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B4BA4" w14:textId="77A83FAF" w:rsidR="001D64A6" w:rsidRPr="001054E9" w:rsidRDefault="0052594D" w:rsidP="003B5BF8">
      <w:pPr>
        <w:jc w:val="center"/>
        <w:rPr>
          <w:b/>
          <w:bCs/>
        </w:rPr>
      </w:pPr>
      <w:r w:rsidRPr="001054E9">
        <w:rPr>
          <w:b/>
          <w:bCs/>
        </w:rPr>
        <w:t xml:space="preserve">Ministru kabineta noteikumu </w:t>
      </w:r>
      <w:r w:rsidR="001D64A6" w:rsidRPr="001054E9">
        <w:rPr>
          <w:b/>
          <w:bCs/>
        </w:rPr>
        <w:t xml:space="preserve">projekta </w:t>
      </w:r>
      <w:r w:rsidR="0065705D">
        <w:rPr>
          <w:b/>
        </w:rPr>
        <w:t>„</w:t>
      </w:r>
      <w:r w:rsidR="003050DC">
        <w:rPr>
          <w:b/>
        </w:rPr>
        <w:t>Grozījumi</w:t>
      </w:r>
      <w:r w:rsidR="00C96D2E" w:rsidRPr="001054E9">
        <w:rPr>
          <w:b/>
        </w:rPr>
        <w:t xml:space="preserve"> Ministru kabineta</w:t>
      </w:r>
      <w:r w:rsidR="003050DC">
        <w:rPr>
          <w:b/>
        </w:rPr>
        <w:t xml:space="preserve"> 2011.gada 17</w:t>
      </w:r>
      <w:r w:rsidR="007962C4">
        <w:rPr>
          <w:b/>
        </w:rPr>
        <w:t>.</w:t>
      </w:r>
      <w:r w:rsidR="003050DC">
        <w:rPr>
          <w:b/>
        </w:rPr>
        <w:t>maija</w:t>
      </w:r>
      <w:r w:rsidR="00C96D2E" w:rsidRPr="001054E9">
        <w:rPr>
          <w:b/>
        </w:rPr>
        <w:t xml:space="preserve"> noteikumos Nr.</w:t>
      </w:r>
      <w:r w:rsidR="003050DC">
        <w:rPr>
          <w:b/>
        </w:rPr>
        <w:t>364</w:t>
      </w:r>
      <w:r w:rsidR="0065705D">
        <w:rPr>
          <w:b/>
        </w:rPr>
        <w:t xml:space="preserve"> „</w:t>
      </w:r>
      <w:r w:rsidR="003050DC">
        <w:rPr>
          <w:b/>
        </w:rPr>
        <w:t>Kārtība, kādā licencē un uzrauga komersantus, kuri sniedz darbiekārtošanas pakalpojumus kuģa apkalpes komplektēšanā</w:t>
      </w:r>
      <w:r w:rsidR="00C96D2E" w:rsidRPr="001054E9">
        <w:rPr>
          <w:b/>
        </w:rPr>
        <w:t>””</w:t>
      </w:r>
      <w:r w:rsidR="001D64A6" w:rsidRPr="001054E9">
        <w:rPr>
          <w:b/>
          <w:bCs/>
        </w:rPr>
        <w:t xml:space="preserve"> sākotnējās ietekmes novērtējuma ziņojums (anotācija)</w:t>
      </w:r>
    </w:p>
    <w:p w14:paraId="05E17B7E" w14:textId="77777777" w:rsidR="00A43184" w:rsidRDefault="00A43184" w:rsidP="00A43184">
      <w:pPr>
        <w:rPr>
          <w:b/>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41"/>
        <w:gridCol w:w="6214"/>
      </w:tblGrid>
      <w:tr w:rsidR="00BA6A2B" w:rsidRPr="000B79B2" w14:paraId="0188D149" w14:textId="77777777" w:rsidTr="003050D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64B4AFE" w14:textId="77777777" w:rsidR="00BA6A2B" w:rsidRPr="00993C84" w:rsidRDefault="00BA6A2B" w:rsidP="003050DC">
            <w:pPr>
              <w:spacing w:before="100" w:beforeAutospacing="1" w:after="100" w:afterAutospacing="1" w:line="360" w:lineRule="auto"/>
              <w:ind w:firstLine="300"/>
              <w:jc w:val="center"/>
              <w:rPr>
                <w:b/>
                <w:bCs/>
              </w:rPr>
            </w:pPr>
            <w:r w:rsidRPr="00993C84">
              <w:rPr>
                <w:b/>
                <w:bCs/>
              </w:rPr>
              <w:t>Tiesību akta projekta anotācijas kopsavilkums</w:t>
            </w:r>
          </w:p>
        </w:tc>
      </w:tr>
      <w:tr w:rsidR="00BA6A2B" w:rsidRPr="000B79B2" w14:paraId="005755EC" w14:textId="77777777" w:rsidTr="0060717B">
        <w:tc>
          <w:tcPr>
            <w:tcW w:w="1569" w:type="pct"/>
            <w:tcBorders>
              <w:top w:val="outset" w:sz="6" w:space="0" w:color="414142"/>
              <w:left w:val="outset" w:sz="6" w:space="0" w:color="414142"/>
              <w:bottom w:val="outset" w:sz="6" w:space="0" w:color="414142"/>
              <w:right w:val="outset" w:sz="6" w:space="0" w:color="414142"/>
            </w:tcBorders>
            <w:hideMark/>
          </w:tcPr>
          <w:p w14:paraId="78D19D48" w14:textId="77777777" w:rsidR="00BA6A2B" w:rsidRPr="00993C84" w:rsidRDefault="00BA6A2B" w:rsidP="003050DC">
            <w:pPr>
              <w:jc w:val="both"/>
            </w:pPr>
            <w:r w:rsidRPr="00993C84">
              <w:t>Mērķis, risinājums un projekta spēkā stāšanās laiks (500 zīmes bez atstarpēm)</w:t>
            </w:r>
          </w:p>
        </w:tc>
        <w:tc>
          <w:tcPr>
            <w:tcW w:w="3431" w:type="pct"/>
            <w:tcBorders>
              <w:top w:val="outset" w:sz="6" w:space="0" w:color="414142"/>
              <w:left w:val="outset" w:sz="6" w:space="0" w:color="414142"/>
              <w:bottom w:val="outset" w:sz="6" w:space="0" w:color="414142"/>
              <w:right w:val="outset" w:sz="6" w:space="0" w:color="414142"/>
            </w:tcBorders>
            <w:hideMark/>
          </w:tcPr>
          <w:p w14:paraId="3E9EBAE7" w14:textId="3B566854" w:rsidR="00EA5635" w:rsidRPr="00BD2633" w:rsidRDefault="00BA6A2B" w:rsidP="00EA5635">
            <w:pPr>
              <w:ind w:left="27" w:right="105" w:hanging="27"/>
              <w:jc w:val="both"/>
            </w:pPr>
            <w:r>
              <w:t xml:space="preserve"> </w:t>
            </w:r>
            <w:r w:rsidR="00E9501C">
              <w:t>Tiesību akta projekts</w:t>
            </w:r>
            <w:r w:rsidR="00ED4CC1" w:rsidRPr="00BD2633">
              <w:t xml:space="preserve"> </w:t>
            </w:r>
            <w:r w:rsidR="00E9501C">
              <w:t>precizē</w:t>
            </w:r>
            <w:r w:rsidR="00EA5635" w:rsidRPr="00BD2633">
              <w:t xml:space="preserve"> kārtību, kādā notiek komersanta, kas sniedz darbiekārtošanas pakalpojumus kuģa apkalpes komplektēšanā, licencēšana, izsniegtās </w:t>
            </w:r>
            <w:r w:rsidR="00130A22">
              <w:t>speciālās atļaujas (</w:t>
            </w:r>
            <w:r w:rsidR="00EA5635" w:rsidRPr="00BD2633">
              <w:t>licences</w:t>
            </w:r>
            <w:r w:rsidR="00130A22">
              <w:t>)</w:t>
            </w:r>
            <w:r w:rsidR="00EA5635" w:rsidRPr="00BD2633">
              <w:t xml:space="preserve"> noteikumu izpildes uzraudzības kārtība, kā arī komersanta tiesības, pienākumus un atbildību atbilstoši </w:t>
            </w:r>
            <w:r w:rsidR="00F53F67" w:rsidRPr="00BD2633">
              <w:t xml:space="preserve">praksē konstatētajām problēmām un Starptautiskās Darba konferences 2014.gada 11.jūnijā apstiprinātajiem grozījumiem </w:t>
            </w:r>
            <w:r w:rsidR="00F53F67" w:rsidRPr="00BD2633">
              <w:rPr>
                <w:iCs/>
              </w:rPr>
              <w:t>2006.gada Konvencijā</w:t>
            </w:r>
            <w:r w:rsidR="00EA5635" w:rsidRPr="00BD2633">
              <w:rPr>
                <w:iCs/>
              </w:rPr>
              <w:t xml:space="preserve"> par darbu jūrniecībā</w:t>
            </w:r>
            <w:r w:rsidR="00F53F67" w:rsidRPr="00BD2633">
              <w:rPr>
                <w:iCs/>
              </w:rPr>
              <w:t xml:space="preserve"> (MLC, 2006)</w:t>
            </w:r>
            <w:r w:rsidR="00E9501C">
              <w:rPr>
                <w:iCs/>
              </w:rPr>
              <w:t>.</w:t>
            </w:r>
          </w:p>
          <w:p w14:paraId="38C889B2" w14:textId="6DD777A4" w:rsidR="00ED4CC1" w:rsidRPr="006B5174" w:rsidRDefault="00E9501C" w:rsidP="00C66FE3">
            <w:pPr>
              <w:ind w:left="27" w:right="105" w:hanging="27"/>
              <w:jc w:val="both"/>
              <w:rPr>
                <w:color w:val="7030A0"/>
              </w:rPr>
            </w:pPr>
            <w:r>
              <w:rPr>
                <w:iCs/>
              </w:rPr>
              <w:t>Tiesību akta p</w:t>
            </w:r>
            <w:r w:rsidR="00ED4CC1" w:rsidRPr="00BD2633">
              <w:rPr>
                <w:iCs/>
              </w:rPr>
              <w:t>rojekts stāsies spēkā atbilstoši Oficiālo publikāciju un tiesiskās informācijas likuma 7.panta otrajai daļai.</w:t>
            </w:r>
          </w:p>
        </w:tc>
      </w:tr>
    </w:tbl>
    <w:p w14:paraId="3187F38F" w14:textId="77777777" w:rsidR="00A43184" w:rsidRPr="001054E9" w:rsidRDefault="00A43184" w:rsidP="00A43184">
      <w:pPr>
        <w:spacing w:line="120" w:lineRule="auto"/>
        <w:rPr>
          <w:b/>
          <w:bCs/>
        </w:rPr>
      </w:pPr>
    </w:p>
    <w:tbl>
      <w:tblPr>
        <w:tblpPr w:leftFromText="180" w:rightFromText="180" w:vertAnchor="text" w:horzAnchor="margin" w:tblpXSpec="center" w:tblpY="16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405"/>
        <w:gridCol w:w="6237"/>
      </w:tblGrid>
      <w:tr w:rsidR="00DE5BE7" w:rsidRPr="001054E9" w14:paraId="1CA117B1" w14:textId="77777777" w:rsidTr="00F13AB9">
        <w:trPr>
          <w:trHeight w:val="1"/>
        </w:trPr>
        <w:tc>
          <w:tcPr>
            <w:tcW w:w="9067" w:type="dxa"/>
            <w:gridSpan w:val="3"/>
            <w:vAlign w:val="center"/>
          </w:tcPr>
          <w:p w14:paraId="479790F6" w14:textId="77777777" w:rsidR="00DE5BE7" w:rsidRPr="001054E9" w:rsidRDefault="00551F1E" w:rsidP="00551F1E">
            <w:pPr>
              <w:pStyle w:val="naisnod"/>
              <w:spacing w:before="0" w:after="0"/>
              <w:ind w:left="1800"/>
              <w:jc w:val="left"/>
            </w:pPr>
            <w:r w:rsidRPr="001054E9">
              <w:t>I. </w:t>
            </w:r>
            <w:r w:rsidR="00DE5BE7" w:rsidRPr="001054E9">
              <w:t>Tiesību akta projekta izstrādes nepieciešamība</w:t>
            </w:r>
          </w:p>
        </w:tc>
      </w:tr>
      <w:tr w:rsidR="00DE5BE7" w:rsidRPr="001054E9" w14:paraId="03FB7214" w14:textId="77777777" w:rsidTr="00F13AB9">
        <w:trPr>
          <w:trHeight w:val="9"/>
        </w:trPr>
        <w:tc>
          <w:tcPr>
            <w:tcW w:w="425" w:type="dxa"/>
          </w:tcPr>
          <w:p w14:paraId="6B16B179" w14:textId="77777777" w:rsidR="00DE5BE7" w:rsidRPr="001054E9" w:rsidRDefault="00DE5BE7" w:rsidP="00A63A7D">
            <w:pPr>
              <w:pStyle w:val="naiskr"/>
              <w:spacing w:before="0" w:after="0"/>
              <w:jc w:val="center"/>
            </w:pPr>
            <w:r w:rsidRPr="001054E9">
              <w:t>1.</w:t>
            </w:r>
          </w:p>
        </w:tc>
        <w:tc>
          <w:tcPr>
            <w:tcW w:w="2405" w:type="dxa"/>
          </w:tcPr>
          <w:p w14:paraId="60A3566E" w14:textId="6A427975" w:rsidR="00DE5BE7" w:rsidRPr="001054E9" w:rsidRDefault="004E2E4F" w:rsidP="009A197C">
            <w:pPr>
              <w:pStyle w:val="naiskr"/>
              <w:spacing w:before="0" w:after="0"/>
              <w:ind w:hanging="10"/>
            </w:pPr>
            <w:r>
              <w:t xml:space="preserve"> </w:t>
            </w:r>
            <w:r w:rsidR="00DE5BE7" w:rsidRPr="001054E9">
              <w:t>Pamatojums</w:t>
            </w:r>
          </w:p>
        </w:tc>
        <w:tc>
          <w:tcPr>
            <w:tcW w:w="6237" w:type="dxa"/>
          </w:tcPr>
          <w:p w14:paraId="3F94F24B" w14:textId="69B137D4" w:rsidR="004E2E4F" w:rsidRDefault="00A4082F" w:rsidP="00485E3C">
            <w:pPr>
              <w:ind w:left="143"/>
              <w:jc w:val="both"/>
            </w:pPr>
            <w:r w:rsidRPr="00A4082F">
              <w:t>Jūrlietu pārva</w:t>
            </w:r>
            <w:r>
              <w:t>ldes un jūras drošības likuma 24</w:t>
            </w:r>
            <w:r w:rsidRPr="00A4082F">
              <w:t xml:space="preserve">.panta </w:t>
            </w:r>
            <w:r>
              <w:t xml:space="preserve">piektā un sestā </w:t>
            </w:r>
            <w:r w:rsidRPr="00A4082F">
              <w:t>daļa</w:t>
            </w:r>
            <w:r w:rsidR="00B60819">
              <w:t>.</w:t>
            </w:r>
          </w:p>
          <w:p w14:paraId="133A5CD1" w14:textId="38493E4E" w:rsidR="004E2E4F" w:rsidRDefault="005C76EC" w:rsidP="004E2E4F">
            <w:pPr>
              <w:ind w:left="143"/>
              <w:jc w:val="both"/>
            </w:pPr>
            <w:r>
              <w:t>2006.gada</w:t>
            </w:r>
            <w:r w:rsidR="004E2E4F" w:rsidRPr="004E2E4F">
              <w:t xml:space="preserve"> </w:t>
            </w:r>
            <w:r>
              <w:t>K</w:t>
            </w:r>
            <w:r w:rsidR="004E2E4F" w:rsidRPr="004E2E4F">
              <w:t xml:space="preserve">onvencija par </w:t>
            </w:r>
            <w:r w:rsidR="004E2E4F">
              <w:t>darbu jūrniecībā</w:t>
            </w:r>
            <w:r w:rsidR="002267BA">
              <w:t xml:space="preserve"> </w:t>
            </w:r>
            <w:r w:rsidR="002267BA" w:rsidRPr="002267BA">
              <w:t xml:space="preserve"> </w:t>
            </w:r>
            <w:r w:rsidR="002267BA">
              <w:t>(turpmāk – MLC konvencija)</w:t>
            </w:r>
            <w:r w:rsidR="00401A5D">
              <w:t>,</w:t>
            </w:r>
            <w:r w:rsidR="002267BA">
              <w:t xml:space="preserve"> ar grozījumiem.</w:t>
            </w:r>
          </w:p>
          <w:p w14:paraId="75104F18" w14:textId="77777777" w:rsidR="004E2E4F" w:rsidRDefault="00A4082F" w:rsidP="004E2E4F">
            <w:pPr>
              <w:ind w:left="143"/>
              <w:jc w:val="both"/>
              <w:rPr>
                <w:iCs/>
              </w:rPr>
            </w:pPr>
            <w:r w:rsidRPr="00A4082F">
              <w:rPr>
                <w:iCs/>
              </w:rPr>
              <w:t>Eiropas Parlamenta un Padomes 2008.gada 19.novembra Direktīva 2008/106/EK par jūrnieku minimālo sagatavotības līmeni (turpmāk – Direktīva 2008/106/EK)</w:t>
            </w:r>
            <w:r w:rsidR="004E2E4F">
              <w:rPr>
                <w:iCs/>
              </w:rPr>
              <w:t>.</w:t>
            </w:r>
          </w:p>
          <w:p w14:paraId="11123EAF" w14:textId="44932DB8" w:rsidR="004E2E4F" w:rsidRPr="00401A5D" w:rsidRDefault="00A4082F" w:rsidP="00401A5D">
            <w:pPr>
              <w:ind w:left="143"/>
              <w:jc w:val="both"/>
              <w:rPr>
                <w:iCs/>
              </w:rPr>
            </w:pPr>
            <w:r w:rsidRPr="00A4082F">
              <w:rPr>
                <w:iCs/>
              </w:rPr>
              <w:t xml:space="preserve">Eiropas Parlamenta un Padomes 2012.gada 21.novembra Direktīva 2012/35/ES, ar ko groza Direktīvu 2008/106/EK par jūrnieku minimālo sagatavotības līmeni </w:t>
            </w:r>
            <w:r w:rsidRPr="00A4082F">
              <w:t>(turpmāk – Direktīva 2012/35/ES)</w:t>
            </w:r>
            <w:r w:rsidRPr="00A4082F">
              <w:rPr>
                <w:iCs/>
              </w:rPr>
              <w:t>.</w:t>
            </w:r>
          </w:p>
        </w:tc>
      </w:tr>
      <w:tr w:rsidR="00DE5BE7" w:rsidRPr="001054E9" w14:paraId="5DBDA3B7" w14:textId="77777777" w:rsidTr="00F13AB9">
        <w:trPr>
          <w:trHeight w:val="5"/>
        </w:trPr>
        <w:tc>
          <w:tcPr>
            <w:tcW w:w="425" w:type="dxa"/>
          </w:tcPr>
          <w:p w14:paraId="60542D13" w14:textId="77777777" w:rsidR="00DE5BE7" w:rsidRPr="001054E9" w:rsidRDefault="00DE5BE7" w:rsidP="009A197C">
            <w:pPr>
              <w:pStyle w:val="naiskr"/>
              <w:spacing w:before="0" w:after="0"/>
              <w:jc w:val="center"/>
            </w:pPr>
            <w:r w:rsidRPr="001054E9">
              <w:t>2.</w:t>
            </w:r>
          </w:p>
        </w:tc>
        <w:tc>
          <w:tcPr>
            <w:tcW w:w="2405" w:type="dxa"/>
          </w:tcPr>
          <w:p w14:paraId="18521A81" w14:textId="77777777" w:rsidR="000F47AB" w:rsidRPr="001054E9" w:rsidRDefault="00A63A7D" w:rsidP="00B60819">
            <w:pPr>
              <w:pStyle w:val="naiskr"/>
              <w:tabs>
                <w:tab w:val="left" w:pos="170"/>
              </w:tabs>
              <w:spacing w:before="0" w:after="0"/>
              <w:ind w:hanging="146"/>
              <w:rPr>
                <w:color w:val="000000"/>
              </w:rPr>
            </w:pPr>
            <w:r>
              <w:rPr>
                <w:color w:val="000000"/>
              </w:rPr>
              <w:t xml:space="preserve">   </w:t>
            </w:r>
            <w:r w:rsidR="00DE5BE7" w:rsidRPr="001054E9">
              <w:rPr>
                <w:color w:val="000000"/>
              </w:rPr>
              <w:t>Pašreizējā situācija un problēmas, kuru risināšanai tiesību akta projekts izstrādāts, tiesiskā regulējuma mērķis un būtība</w:t>
            </w:r>
          </w:p>
          <w:p w14:paraId="20CF9038" w14:textId="77777777" w:rsidR="00DE5BE7" w:rsidRPr="001054E9" w:rsidRDefault="00DE5BE7" w:rsidP="000F47AB">
            <w:pPr>
              <w:ind w:firstLine="720"/>
              <w:rPr>
                <w:color w:val="000000"/>
              </w:rPr>
            </w:pPr>
          </w:p>
        </w:tc>
        <w:tc>
          <w:tcPr>
            <w:tcW w:w="6237" w:type="dxa"/>
          </w:tcPr>
          <w:p w14:paraId="512CED94" w14:textId="3BDA7CB0" w:rsidR="00153B03" w:rsidRDefault="002267BA" w:rsidP="00153B03">
            <w:pPr>
              <w:ind w:left="143" w:right="142"/>
              <w:jc w:val="both"/>
            </w:pPr>
            <w:r>
              <w:t>K</w:t>
            </w:r>
            <w:r w:rsidRPr="002267BA">
              <w:t>ārtību, kādā notiek komersanta, kas sniedz darbiekārtošanas pakalpojumus kuģa apkalpes komplektēšanā</w:t>
            </w:r>
            <w:r w:rsidR="00AA1C5F">
              <w:t xml:space="preserve"> (turpmāk – komersants)</w:t>
            </w:r>
            <w:r w:rsidRPr="002267BA">
              <w:t>, licencēšana, izsniegtās licences noteikumu izpildes uzraudzības kārtība, kā arī komersanta tiesības, pienākumus un atbildību</w:t>
            </w:r>
            <w:r>
              <w:t xml:space="preserve"> nosaka Ministru kabineta 2011.gada 17.maija noteikumi Nr.364 </w:t>
            </w:r>
            <w:r w:rsidRPr="002267BA">
              <w:t>„Kārtība, kādā licencē un uzrauga komersantus, kuri sniedz darbiekārtošanas pakalpojumus kuģa apkalpes komplektēšanā”</w:t>
            </w:r>
            <w:r>
              <w:t xml:space="preserve"> (turpmāk – Noteikumi</w:t>
            </w:r>
            <w:r w:rsidR="00600A17">
              <w:t xml:space="preserve"> Nr.364</w:t>
            </w:r>
            <w:r>
              <w:t>).</w:t>
            </w:r>
          </w:p>
          <w:p w14:paraId="18D346CD" w14:textId="58D7429B" w:rsidR="00153B03" w:rsidRDefault="00727F97" w:rsidP="00727F97">
            <w:pPr>
              <w:ind w:left="143" w:right="142"/>
              <w:jc w:val="both"/>
            </w:pPr>
            <w:r w:rsidRPr="00727F97">
              <w:t xml:space="preserve">Ministru kabineta noteikumu projekts „Grozījumi Ministru kabineta 2011.gada 17.maija noteikumos Nr.364 „Kārtība, kādā licencē un uzrauga komersantus, kuri sniedz darbiekārtošanas pakalpojumus kuģa apkalpes komplektēšanā”” </w:t>
            </w:r>
            <w:r>
              <w:t xml:space="preserve"> (turpmāk – Noteikumu projekts) ir izstrādāts, lai</w:t>
            </w:r>
            <w:r w:rsidR="00153B03">
              <w:t xml:space="preserve"> precizētu:</w:t>
            </w:r>
          </w:p>
          <w:p w14:paraId="229380F9" w14:textId="53EADC3D" w:rsidR="00153B03" w:rsidRDefault="00153B03" w:rsidP="00130A22">
            <w:pPr>
              <w:ind w:left="143" w:right="142"/>
              <w:jc w:val="both"/>
            </w:pPr>
            <w:r>
              <w:t xml:space="preserve">1) MLC konvencijas prasības atbilstoši </w:t>
            </w:r>
            <w:r w:rsidRPr="00153B03">
              <w:t>Starptautiskās Darba konferences 2</w:t>
            </w:r>
            <w:r>
              <w:t>014.gada 11.jūnijā apstiprinātajiem grozījumiem</w:t>
            </w:r>
            <w:r w:rsidRPr="00153B03">
              <w:t xml:space="preserve"> MLC konvencijas kodeksā </w:t>
            </w:r>
            <w:r>
              <w:t>precizējot</w:t>
            </w:r>
            <w:r w:rsidRPr="00153B03">
              <w:t xml:space="preserve">, ka komersantam, kas slēdz līgumu ar kuģa īpašnieku </w:t>
            </w:r>
            <w:r w:rsidR="00954286">
              <w:t xml:space="preserve">vai tā pārstāvi darbiekārtošanas jautājumos </w:t>
            </w:r>
            <w:r w:rsidRPr="00153B03">
              <w:t xml:space="preserve">par jūrnieku iekārtošanu darbā uz kuģa, ir jāpārliecinās, ka attiecīgajam kuģa </w:t>
            </w:r>
            <w:r w:rsidR="005C76EC">
              <w:lastRenderedPageBreak/>
              <w:t>īpašniekam ir spēkā esoša MLC k</w:t>
            </w:r>
            <w:r w:rsidRPr="00153B03">
              <w:t>onvencijai, tai skaitā tās grozījumiem</w:t>
            </w:r>
            <w:r>
              <w:t>,</w:t>
            </w:r>
            <w:r w:rsidRPr="00153B03">
              <w:t xml:space="preserve"> atbilstoša </w:t>
            </w:r>
            <w:r w:rsidR="00130A22">
              <w:t>finansiālā nodrošinājuma sistēma;</w:t>
            </w:r>
          </w:p>
          <w:p w14:paraId="1B0E46F8" w14:textId="27571D9C" w:rsidR="00153B03" w:rsidRDefault="00153B03" w:rsidP="00727F97">
            <w:pPr>
              <w:ind w:left="143" w:right="142"/>
              <w:jc w:val="both"/>
            </w:pPr>
            <w:r>
              <w:t>2) tiesību normas atbilstoši praksē konstatētajām problēmām;</w:t>
            </w:r>
          </w:p>
          <w:p w14:paraId="1BC3AD89" w14:textId="5417A713" w:rsidR="00153B03" w:rsidRDefault="00153B03" w:rsidP="00727F97">
            <w:pPr>
              <w:ind w:left="143" w:right="142"/>
              <w:jc w:val="both"/>
            </w:pPr>
            <w:r>
              <w:t>3) speciālās atļaujas (licences) paraugu, tai skaitā ietverot arī tās tulkojumu angļu valodā.</w:t>
            </w:r>
          </w:p>
          <w:p w14:paraId="5351F99D" w14:textId="77777777" w:rsidR="0007361B" w:rsidRPr="0007361B" w:rsidRDefault="0007361B" w:rsidP="0007361B">
            <w:pPr>
              <w:ind w:left="143" w:right="142"/>
              <w:jc w:val="both"/>
              <w:rPr>
                <w:b/>
                <w:bCs/>
                <w:u w:val="single"/>
              </w:rPr>
            </w:pPr>
            <w:r w:rsidRPr="0007361B">
              <w:rPr>
                <w:b/>
                <w:bCs/>
                <w:u w:val="single"/>
              </w:rPr>
              <w:t>Būtiskākās izmaiņas:</w:t>
            </w:r>
          </w:p>
          <w:p w14:paraId="332103CB" w14:textId="66E4EF3C" w:rsidR="0007361B" w:rsidRPr="0007361B" w:rsidRDefault="0007361B" w:rsidP="0007361B">
            <w:pPr>
              <w:ind w:left="142" w:right="142"/>
              <w:jc w:val="both"/>
            </w:pPr>
            <w:r w:rsidRPr="0007361B">
              <w:t>2017.gada 18.jan</w:t>
            </w:r>
            <w:r w:rsidR="00B77F25">
              <w:t>vārī</w:t>
            </w:r>
            <w:r w:rsidRPr="0007361B">
              <w:t xml:space="preserve"> stājās spēkā Starptautiskās Darba konferences 2014.gada 11.jūnijā apstiprinātie grozījumi </w:t>
            </w:r>
            <w:r>
              <w:t xml:space="preserve">MLC konvencijas </w:t>
            </w:r>
            <w:r w:rsidRPr="0007361B">
              <w:t xml:space="preserve">kodeksā. Lai nodrošinātu minēto grozījumu ieviešanu Latvijā, pēc apspriešanās ar kuģu īpašnieku un jūrnieku organizācijām Latvijā tika pieņemti grozījumi Jūras kodeksā, nosakot pienākumu kuģa īpašniekam kuģa īpašnieka civiltiesiskās atbildības apdrošināšanas līgumā ietvert apdrošināšanu pamestu jūrnieku repatriācijai, apdrošināšanu pret jebkuriem prasījumiem, kas ir saistīti ar jūrnieku nāvi vai ilglaicīgu invaliditāti, kas radusies darbavietā gūtā savainojuma, arodslimības vai darbavietā pieredzēta apdraudējuma dēļ, un minētās apdrošināšanas nosacījumus. </w:t>
            </w:r>
          </w:p>
          <w:p w14:paraId="661DFA0B" w14:textId="5713A5F9" w:rsidR="001C07AC" w:rsidRDefault="0007361B" w:rsidP="0007361B">
            <w:pPr>
              <w:ind w:left="143" w:right="142"/>
              <w:jc w:val="both"/>
            </w:pPr>
            <w:r w:rsidRPr="0007361B">
              <w:t>Latvijā joprojām ir aktuāls jautājums par MLC</w:t>
            </w:r>
            <w:r>
              <w:t xml:space="preserve"> konvencijas</w:t>
            </w:r>
            <w:r w:rsidRPr="0007361B">
              <w:t xml:space="preserve"> A1.4.standarta 4.punkta c) (vi) apakšpunktā paredzētās prasības pilnvērtīgu ieviešanu, tas ir – par to, ka </w:t>
            </w:r>
            <w:r w:rsidR="0047091B">
              <w:t>komersant</w:t>
            </w:r>
            <w:r w:rsidR="00600A17">
              <w:t>am</w:t>
            </w:r>
            <w:r w:rsidR="0047091B">
              <w:t xml:space="preserve"> </w:t>
            </w:r>
            <w:r w:rsidRPr="0007361B">
              <w:t xml:space="preserve">ir jānodrošina aizsardzības sistēma, ar apdrošināšanu vai citā līdzvērtīgā veidā, kas nodrošina finansiālo zaudējumu atlīdzināšanu, kas varētu rasties </w:t>
            </w:r>
            <w:r w:rsidRPr="0047091B">
              <w:t>komersanta</w:t>
            </w:r>
            <w:r w:rsidRPr="0007361B">
              <w:t xml:space="preserve"> vai kuģa īpašnieka dēļ. Ņemot vērā MLC </w:t>
            </w:r>
            <w:r>
              <w:t>konvencijas</w:t>
            </w:r>
            <w:r w:rsidRPr="0007361B">
              <w:t xml:space="preserve"> grozījumus no 2017.gada 18.janvāra kuģu īpašniekiem ir jābūt obligātai apdrošināšanai vai citai aizsardzības sistēmai, kā atlīdzināt jūrniekam nodarītos zaudējumus jūrnieka pamešanas gadījumā vai citu līgumisko prasību (saistībā ar jūrnieka nāvi vai ilgstošu invaliditāti) gadījumā. Tādejādi var teikt, ka šobrīd visos gadījumos, kad jūrniekam tiek nodarīti finansiālie zaudējumi, viņam tiek nodrošināta iespēja saņemt atlīdzību no kuģa īpašnieka apdrošinātāja vai citas aizsardzības sistēmas ietvaros. Latvijā </w:t>
            </w:r>
            <w:r w:rsidR="00600A17">
              <w:t xml:space="preserve">komersanti </w:t>
            </w:r>
            <w:r w:rsidRPr="00494A68">
              <w:t>pārsvarā darbojas kā starpnieki ārzemju kuģu īpaš</w:t>
            </w:r>
            <w:r w:rsidR="001C07AC" w:rsidRPr="00494A68">
              <w:t>nieku vārdā. Ņemot vērā minēto</w:t>
            </w:r>
            <w:r w:rsidR="00600A17">
              <w:t>,</w:t>
            </w:r>
            <w:r w:rsidR="0047091B" w:rsidRPr="00494A68">
              <w:t xml:space="preserve"> Noteikumu projekts paredz, ka komersants, kas vēlas saņemt speciālo atļauju (licenci) iesniegumam pievieno arī</w:t>
            </w:r>
            <w:r w:rsidR="00703F92" w:rsidRPr="00494A68">
              <w:t xml:space="preserve"> </w:t>
            </w:r>
            <w:r w:rsidR="0047091B" w:rsidRPr="00494A68">
              <w:t>dokumentāru apliecinājumu no kuģa īpašnieka vai tā pārstāvja darbiekārtošanas jautājumos, ka kuģa īpašniekam ir finansiālā</w:t>
            </w:r>
            <w:r w:rsidR="00703F92" w:rsidRPr="00494A68">
              <w:t xml:space="preserve"> nodrošinājuma sistēma atbilstoši MLC konvencijas A2.5. un A4.2. </w:t>
            </w:r>
            <w:r w:rsidR="00494A68" w:rsidRPr="00494A68">
              <w:t>standartam, tai skaitā arī noteikts kā pien</w:t>
            </w:r>
            <w:r w:rsidR="00494A68">
              <w:t>ākums komersantam</w:t>
            </w:r>
            <w:r w:rsidR="00494A68" w:rsidRPr="00494A68">
              <w:t>, kuram izsniegta speciālā atļauja (licence) pārliecināties, ka kuģa īpašniekam ir finansiālā nodrošinājuma sistēma, kā arī nodrošināt darbā iekārtotās personas darba līgumā noteikto saistību izpildi paredzot to finansiālo zaudējumu atlīdzināšanu, kas varētu rasties komersanta vai kuģa īpašnieka vainas dēļ (piemēram, apdrošināšanas līgumā vai līgumā par darbiekārtošanas pakalpojumu sniegšanu iekļaujot atbilstošus nosacījumus).</w:t>
            </w:r>
          </w:p>
          <w:p w14:paraId="40D56D3D" w14:textId="349C6A00" w:rsidR="00881B5F" w:rsidRDefault="00B20826" w:rsidP="00B20826">
            <w:pPr>
              <w:ind w:left="143" w:right="142"/>
              <w:jc w:val="both"/>
            </w:pPr>
            <w:r w:rsidRPr="00B20826">
              <w:t>2016. gada 27. aprīlī tika pieņemta</w:t>
            </w:r>
            <w:r w:rsidR="00D36BAF">
              <w:t xml:space="preserve"> Eiropas Parlamenta un Padomes R</w:t>
            </w:r>
            <w:r w:rsidRPr="00B20826">
              <w:t xml:space="preserve">egula (ES) 2016/679 par fizisku personu </w:t>
            </w:r>
            <w:r w:rsidRPr="00B20826">
              <w:lastRenderedPageBreak/>
              <w:t xml:space="preserve">aizsardzību attiecībā uz personas datu apstrādi un šādu datu brīvu apriti, ar ko atceļ Direktīvu 95/46/EK (Vispārīgā datu aizsardzības regula), kas tiks piemērota no 2018.gada 25.maija. Atbilstoši Vispārīgās datu regulas prasībām, turpmāk juridiskajām personām nebūs jāreģistrē personu datu apstrāde, savukārt datu aizsardzības speciālistiem tiks izveidota sertifikācijas sistēma un to piesaistīšana tiks nodrošināta atkarībā no apstrādājamo datu veida. Lai ieviestu skaidrību par to, kādā veidā Vispārīgā datu aizsardzības regula tiks piemērota, Tieslietu ministrija ir izstrādājusi Personu datu apstrādes likumprojektu, kas šobrīd ir saskaņošanas procesā. Ievērojot minēto, Noteikumu projekts </w:t>
            </w:r>
            <w:r w:rsidR="000F436D">
              <w:t>precizē</w:t>
            </w:r>
            <w:r w:rsidR="003E6FF5">
              <w:t xml:space="preserve"> Noteikumus Nr.364 </w:t>
            </w:r>
            <w:r w:rsidRPr="00B20826">
              <w:t xml:space="preserve">nosakot, ka </w:t>
            </w:r>
            <w:r w:rsidR="003E6FF5">
              <w:t xml:space="preserve">komersants iesniedzot iesniegumu </w:t>
            </w:r>
            <w:r w:rsidR="000F436D">
              <w:t xml:space="preserve">speciālās atļaujas (licences) saņemšanai </w:t>
            </w:r>
            <w:r w:rsidR="003E6FF5">
              <w:t>apliecina, ka</w:t>
            </w:r>
            <w:r w:rsidRPr="00B20826">
              <w:t xml:space="preserve"> veic datu apstrādi atbilstoši normatīvajiem aktie</w:t>
            </w:r>
            <w:r w:rsidR="000F436D">
              <w:t xml:space="preserve">m par personas datu aizsardzību, kā arī papildina </w:t>
            </w:r>
            <w:r w:rsidR="000F436D" w:rsidRPr="000F436D">
              <w:t xml:space="preserve">Noteikumus Nr.364 </w:t>
            </w:r>
            <w:r w:rsidR="000F436D">
              <w:t>ar komersanta pienākumu veikt datu apstrādi atbilstoši normatīvajiem aktiem par personas datu aizsardzību.</w:t>
            </w:r>
            <w:r w:rsidRPr="00B20826">
              <w:t xml:space="preserve"> </w:t>
            </w:r>
          </w:p>
          <w:p w14:paraId="3270ED6A" w14:textId="74BFB5F2" w:rsidR="002267BA" w:rsidRDefault="00881B5F" w:rsidP="00AF0518">
            <w:pPr>
              <w:ind w:left="143" w:right="142"/>
              <w:jc w:val="both"/>
            </w:pPr>
            <w:r>
              <w:t>Noteikumu</w:t>
            </w:r>
            <w:r w:rsidRPr="00881B5F">
              <w:t xml:space="preserve"> Nr.364 </w:t>
            </w:r>
            <w:r>
              <w:t xml:space="preserve">11.4.apakšpunkts nosaka, ka komersantam ir pienākums uzturēt darbiekārtoto personu datu bāzi, uzglabāt profesionālās kvalifikācijas, obligātās papildapmācības kursu apguves un veselības atbilstību apliecinošo dokumentu un darba līgumu kopijas, kā arī informāciju par personu darbu uz kuģiem un profesionālo kvalifikāciju apliecinošo dokumentu autentiskumu. Tā kā </w:t>
            </w:r>
            <w:r w:rsidR="00C7380C">
              <w:t>tiesiskais regulējums</w:t>
            </w:r>
            <w:r>
              <w:t xml:space="preserve"> </w:t>
            </w:r>
            <w:r w:rsidR="00C7380C">
              <w:t>nenosaka konkrētu</w:t>
            </w:r>
            <w:r w:rsidR="00B77F25">
              <w:t xml:space="preserve"> dokumentu uzglabāšanas termiņu</w:t>
            </w:r>
            <w:r>
              <w:t>, praksē komersanti</w:t>
            </w:r>
            <w:r w:rsidR="00C7380C">
              <w:t xml:space="preserve"> glabā dokumentu kopijas ilgāk nekā nepieciešams vai arī pretēji, mazāk nekā nepieciešams, tai skaitā ir jāņem vērā </w:t>
            </w:r>
            <w:r w:rsidR="00AF0518">
              <w:t xml:space="preserve">arī </w:t>
            </w:r>
            <w:r w:rsidR="00C7380C">
              <w:t>Vispārīgās datu aizsardzības regulā paredzētais</w:t>
            </w:r>
            <w:r w:rsidR="00AF0518">
              <w:t>, ka, ja dati vairs nav nepieciešami saistībā ar nolūkiem, kādos tie ir vākti, tad tie ir dzēšami. Ņemot vērā minēto, Noteikumu projekts</w:t>
            </w:r>
            <w:r w:rsidR="00DD6C6F">
              <w:t xml:space="preserve"> </w:t>
            </w:r>
            <w:r w:rsidR="00B77F25">
              <w:t>precizē</w:t>
            </w:r>
            <w:r w:rsidR="00B77F25" w:rsidRPr="00B77F25">
              <w:t xml:space="preserve"> Noteikumu Nr.364 </w:t>
            </w:r>
            <w:r w:rsidR="00AF0518">
              <w:t>11.4.apakšpunktu</w:t>
            </w:r>
            <w:r w:rsidR="00DD6C6F">
              <w:t xml:space="preserve"> nosakot</w:t>
            </w:r>
            <w:r w:rsidR="00AF0518">
              <w:t>, ka</w:t>
            </w:r>
            <w:r w:rsidR="00DD6C6F" w:rsidRPr="00AF0518">
              <w:t xml:space="preserve"> </w:t>
            </w:r>
            <w:r w:rsidR="00AF0518">
              <w:t xml:space="preserve">komersants </w:t>
            </w:r>
            <w:r w:rsidR="00AF0518" w:rsidRPr="00AF0518">
              <w:t xml:space="preserve">par katru personas darbiekārtošanas gadījumu </w:t>
            </w:r>
            <w:r w:rsidR="00AF0518">
              <w:t>pastāvīgi uzglabā</w:t>
            </w:r>
            <w:r w:rsidR="00AF0518" w:rsidRPr="00AF0518">
              <w:t xml:space="preserve"> darba līgumu kopijas un vismaz desmit</w:t>
            </w:r>
            <w:r w:rsidR="00AF0518">
              <w:t xml:space="preserve"> gadus uzglabā</w:t>
            </w:r>
            <w:r w:rsidR="00AF0518" w:rsidRPr="00AF0518">
              <w:t xml:space="preserve"> profesionālās kvalifikācijas, obligātās papildapmācības kursu apguves, veselības atbilstību apliecinošo dokumentu kopijas, kā arī informāciju par personu darbu uz kuģiem un profesionālo kvalifikāciju </w:t>
            </w:r>
            <w:r w:rsidR="00AF0518" w:rsidRPr="00575509">
              <w:t xml:space="preserve">apliecinošo dokumentu autentiskumu. Iekārtoto personu darba līgumu kopiju uzglabāšana ir nepieciešama, jo ir gadījumi, kad darba līguma oriģināli nav </w:t>
            </w:r>
            <w:r w:rsidR="00575509" w:rsidRPr="00575509">
              <w:t>pieejami ne pie darba devēja, ne darba ņēmēja un darb</w:t>
            </w:r>
            <w:r w:rsidR="00AF0518" w:rsidRPr="00575509">
              <w:t>a līgumu kopija</w:t>
            </w:r>
            <w:r w:rsidR="00575509" w:rsidRPr="00575509">
              <w:t xml:space="preserve"> pie komersanta</w:t>
            </w:r>
            <w:r w:rsidR="00AF0518" w:rsidRPr="00575509">
              <w:t xml:space="preserve"> ir vienīgai</w:t>
            </w:r>
            <w:r w:rsidR="00117C76" w:rsidRPr="00575509">
              <w:t>s</w:t>
            </w:r>
            <w:r w:rsidR="00575509" w:rsidRPr="00575509">
              <w:t xml:space="preserve"> veids</w:t>
            </w:r>
            <w:r w:rsidR="00117C76" w:rsidRPr="00575509">
              <w:t xml:space="preserve"> kā pierādīt </w:t>
            </w:r>
            <w:r w:rsidR="00575509" w:rsidRPr="00575509">
              <w:t>jūrnieka</w:t>
            </w:r>
            <w:r w:rsidR="00117C76" w:rsidRPr="00575509">
              <w:t xml:space="preserve"> darba </w:t>
            </w:r>
            <w:r w:rsidR="00575509" w:rsidRPr="00575509">
              <w:t xml:space="preserve">tiesiskās </w:t>
            </w:r>
            <w:r w:rsidR="00117C76" w:rsidRPr="00575509">
              <w:t>attiecības</w:t>
            </w:r>
            <w:r w:rsidR="00575509" w:rsidRPr="00575509">
              <w:t>.</w:t>
            </w:r>
          </w:p>
          <w:p w14:paraId="6394F18E" w14:textId="740FFD07" w:rsidR="005E57BE" w:rsidRPr="00B77F25" w:rsidRDefault="00953AB3" w:rsidP="00374DDD">
            <w:pPr>
              <w:ind w:left="143" w:right="142"/>
              <w:jc w:val="both"/>
            </w:pPr>
            <w:r w:rsidRPr="00B77F25">
              <w:t>Atbilstoši praksē konstatētajām problēmām, Noteikumu projekts precizē</w:t>
            </w:r>
            <w:r w:rsidR="00887BF6" w:rsidRPr="00B77F25">
              <w:t xml:space="preserve"> atsevišķus</w:t>
            </w:r>
            <w:r w:rsidRPr="00B77F25">
              <w:t xml:space="preserve"> </w:t>
            </w:r>
            <w:r w:rsidR="00887BF6" w:rsidRPr="00B77F25">
              <w:t xml:space="preserve">un papildina ar jauniem </w:t>
            </w:r>
            <w:r w:rsidRPr="00B77F25">
              <w:t>Noteikumu Nr.364 11.punktā noteiktos komersanta, kuram izsniegta speciāl</w:t>
            </w:r>
            <w:r w:rsidR="00887BF6" w:rsidRPr="00B77F25">
              <w:t>ā atļauja (licence)</w:t>
            </w:r>
            <w:r w:rsidR="005C76EC">
              <w:t>,</w:t>
            </w:r>
            <w:r w:rsidR="00887BF6" w:rsidRPr="00B77F25">
              <w:t xml:space="preserve"> pienākumus. P</w:t>
            </w:r>
            <w:r w:rsidRPr="00B77F25">
              <w:t>iemēram</w:t>
            </w:r>
            <w:r w:rsidR="00887BF6" w:rsidRPr="00B77F25">
              <w:t xml:space="preserve">, precizētas komersanta darbinieka, kurš nodarbojas ar darbiekārtošanas pakalpojumu administrēšanu prasības par </w:t>
            </w:r>
            <w:r w:rsidR="005E57BE" w:rsidRPr="00B77F25">
              <w:t xml:space="preserve">nepieciešamo valsts valodas zināšanu līmeni, </w:t>
            </w:r>
            <w:r w:rsidR="00910EB4" w:rsidRPr="00B77F25">
              <w:t xml:space="preserve">precizēts </w:t>
            </w:r>
            <w:r w:rsidR="005E57BE" w:rsidRPr="00B77F25">
              <w:t xml:space="preserve">pienākums gada laikā iekārtot darbā uz MLC konvencijai pakļauta kuģa vismaz </w:t>
            </w:r>
            <w:r w:rsidR="005E57BE" w:rsidRPr="00B77F25">
              <w:lastRenderedPageBreak/>
              <w:t xml:space="preserve">piecas personas, kas atbilstoši </w:t>
            </w:r>
            <w:r w:rsidR="00244AB5" w:rsidRPr="00B77F25">
              <w:t>konsultācijām</w:t>
            </w:r>
            <w:r w:rsidR="005E57BE" w:rsidRPr="00B77F25">
              <w:t xml:space="preserve"> ar </w:t>
            </w:r>
            <w:r w:rsidR="00910EB4" w:rsidRPr="00B77F25">
              <w:t>jūrniecības nevalstiskajām organizācijām</w:t>
            </w:r>
            <w:r w:rsidR="00244AB5" w:rsidRPr="00B77F25">
              <w:t xml:space="preserve"> (</w:t>
            </w:r>
            <w:r w:rsidR="00F21B21" w:rsidRPr="00F21B21">
              <w:t>Latvijas Kuģu apkalpju kom</w:t>
            </w:r>
            <w:r w:rsidR="00F21B21">
              <w:t>plektēšanas kompāniju asociāciju</w:t>
            </w:r>
            <w:r w:rsidR="00F21B21" w:rsidRPr="00F21B21">
              <w:t xml:space="preserve"> </w:t>
            </w:r>
            <w:r w:rsidR="007D7BE1" w:rsidRPr="00B77F25">
              <w:t>un Latvijas t</w:t>
            </w:r>
            <w:r w:rsidR="00910EB4" w:rsidRPr="00B77F25">
              <w:t>irdzniecības flotes jūrnieku arodbiedrību)</w:t>
            </w:r>
            <w:r w:rsidR="00374DDD" w:rsidRPr="00B77F25">
              <w:t xml:space="preserve"> ir pamatots</w:t>
            </w:r>
            <w:r w:rsidR="00F64F11" w:rsidRPr="00B77F25">
              <w:t xml:space="preserve"> un norāda,</w:t>
            </w:r>
            <w:r w:rsidR="00374DDD" w:rsidRPr="00B77F25">
              <w:t xml:space="preserve"> ka komersants ir spējīgs nodrošināt </w:t>
            </w:r>
            <w:r w:rsidR="00910EB4" w:rsidRPr="00B77F25">
              <w:t>darbiekārtošanas pakalpojumu sniegšanu, pienākums</w:t>
            </w:r>
            <w:r w:rsidR="00374DDD" w:rsidRPr="00B77F25">
              <w:t xml:space="preserve"> </w:t>
            </w:r>
            <w:r w:rsidR="00244AB5" w:rsidRPr="00B77F25">
              <w:t>veik</w:t>
            </w:r>
            <w:r w:rsidR="00374DDD" w:rsidRPr="00B77F25">
              <w:t>t</w:t>
            </w:r>
            <w:r w:rsidR="00244AB5" w:rsidRPr="00B77F25">
              <w:t xml:space="preserve"> darbības</w:t>
            </w:r>
            <w:r w:rsidR="00374DDD" w:rsidRPr="00B77F25">
              <w:t xml:space="preserve">, </w:t>
            </w:r>
            <w:r w:rsidR="00244AB5" w:rsidRPr="00B77F25">
              <w:t xml:space="preserve">lai </w:t>
            </w:r>
            <w:r w:rsidR="00374DDD" w:rsidRPr="00B77F25">
              <w:t>iekārtot</w:t>
            </w:r>
            <w:r w:rsidR="00910EB4" w:rsidRPr="00B77F25">
              <w:t>u</w:t>
            </w:r>
            <w:r w:rsidR="00374DDD" w:rsidRPr="00B77F25">
              <w:t xml:space="preserve"> darbā uz kuģa </w:t>
            </w:r>
            <w:r w:rsidR="00910EB4" w:rsidRPr="00B77F25">
              <w:t>trešās valsts valstspiederīgo</w:t>
            </w:r>
            <w:r w:rsidR="00374DDD" w:rsidRPr="00B77F25">
              <w:t xml:space="preserve"> tikai gadījumā, ja nav iespējams iekārtot darbā uz kuģa Eiropas Ekonomikas zonas dalībvalsts valstspiederīgo, </w:t>
            </w:r>
            <w:r w:rsidR="00910EB4" w:rsidRPr="00B77F25">
              <w:t xml:space="preserve">pienākums </w:t>
            </w:r>
            <w:r w:rsidR="00374DDD" w:rsidRPr="00B77F25">
              <w:t>ievērot Jūrnieka reģistra norādījumus par nacionālo normatīvo aktu un Latvijai saistošo starptautisko normatīvo aktu prasību īstenošanu, kas saistīti ar darbu j</w:t>
            </w:r>
            <w:r w:rsidR="000E2127" w:rsidRPr="00B77F25">
              <w:t>ūrniec</w:t>
            </w:r>
            <w:r w:rsidR="00374DDD" w:rsidRPr="00B77F25">
              <w:t xml:space="preserve">ības jomā, kā arī </w:t>
            </w:r>
            <w:r w:rsidR="00910EB4" w:rsidRPr="00B77F25">
              <w:t xml:space="preserve">pienākums </w:t>
            </w:r>
            <w:r w:rsidR="00374DDD" w:rsidRPr="00B77F25">
              <w:t>nodrošināt iespēju Jūrnieku reģistram veikt pilnvērtīgu komersanta pārbaudi tā darbības vietā uzraudzības funkciju veikšanai.</w:t>
            </w:r>
            <w:r w:rsidR="000E2127" w:rsidRPr="00B77F25">
              <w:t xml:space="preserve"> </w:t>
            </w:r>
          </w:p>
          <w:p w14:paraId="0DA3171B" w14:textId="26FFF05A" w:rsidR="004F7735" w:rsidRPr="00B77F25" w:rsidRDefault="008425B5" w:rsidP="00374DDD">
            <w:pPr>
              <w:ind w:left="143" w:right="142"/>
              <w:jc w:val="both"/>
            </w:pPr>
            <w:r w:rsidRPr="00B77F25">
              <w:t>Atbilstoši grozījumiem Noteikumu</w:t>
            </w:r>
            <w:r w:rsidR="004F7735" w:rsidRPr="00B77F25">
              <w:t xml:space="preserve"> Nr.364</w:t>
            </w:r>
            <w:r w:rsidRPr="00B77F25">
              <w:t xml:space="preserve"> </w:t>
            </w:r>
            <w:r w:rsidR="00274866">
              <w:t>6. un 7.punktā, kas precizē iesniegumam speciālās atļaujas (licences) saņemšanai pievienojamos dokumentus un informāciju, kas jāapliecina, kā arī</w:t>
            </w:r>
            <w:r w:rsidR="00274866" w:rsidRPr="00B77F25">
              <w:t xml:space="preserve"> Noteikumu Nr.364 </w:t>
            </w:r>
            <w:r w:rsidRPr="00B77F25">
              <w:t>11.punktā noteiktajos komersanta pienākumos</w:t>
            </w:r>
            <w:r w:rsidR="00274866">
              <w:t>,</w:t>
            </w:r>
            <w:r w:rsidR="00DF67A0" w:rsidRPr="00B77F25">
              <w:t xml:space="preserve"> ar Noteikumu projektu tiek </w:t>
            </w:r>
            <w:r w:rsidR="00B77F25" w:rsidRPr="00B77F25">
              <w:t>precizēti</w:t>
            </w:r>
            <w:r w:rsidR="00DF67A0" w:rsidRPr="00B77F25">
              <w:t xml:space="preserve"> </w:t>
            </w:r>
            <w:r w:rsidR="00B77F25" w:rsidRPr="00B77F25">
              <w:t xml:space="preserve">arī </w:t>
            </w:r>
            <w:r w:rsidR="00DF67A0" w:rsidRPr="00B77F25">
              <w:t>Noteikumu Nr.364 pielikumi – iesnieguma paraugs speciālās atļaujas (licences) saņemšanai, komersanta</w:t>
            </w:r>
            <w:r w:rsidR="0045579F" w:rsidRPr="00B77F25">
              <w:t xml:space="preserve"> darbības uzsākšanas novērtējuma</w:t>
            </w:r>
            <w:r w:rsidR="000F37C1" w:rsidRPr="00B77F25">
              <w:t xml:space="preserve"> paraugs un</w:t>
            </w:r>
            <w:r w:rsidR="00EA7D64" w:rsidRPr="00B77F25">
              <w:t xml:space="preserve"> komersanta darbības novērtējuma paraugs</w:t>
            </w:r>
            <w:r w:rsidR="000F37C1" w:rsidRPr="00B77F25">
              <w:t xml:space="preserve">. </w:t>
            </w:r>
          </w:p>
          <w:p w14:paraId="0BB41BF7" w14:textId="11CEAB14" w:rsidR="00226BAC" w:rsidRPr="00B77F25" w:rsidRDefault="00F64F11" w:rsidP="00226BAC">
            <w:pPr>
              <w:ind w:left="143" w:right="142"/>
              <w:jc w:val="both"/>
              <w:rPr>
                <w:bCs/>
              </w:rPr>
            </w:pPr>
            <w:r w:rsidRPr="00B77F25">
              <w:t>Noteikumu projekts paredz arī precizētu speciālās atļaujas (licences) paraug</w:t>
            </w:r>
            <w:r w:rsidR="00226BAC" w:rsidRPr="00B77F25">
              <w:t xml:space="preserve">u un tās tulkojumu angļu valodā, kā arī nosaka </w:t>
            </w:r>
            <w:r w:rsidR="00226BAC" w:rsidRPr="00B77F25">
              <w:rPr>
                <w:bCs/>
              </w:rPr>
              <w:t xml:space="preserve">pārejas periodu līdz 2018.gada 31.decembrim komersantiem nomainīt speciālās atļaujas (licences), kas izsniegtas līdz </w:t>
            </w:r>
            <w:r w:rsidR="00B710F7">
              <w:rPr>
                <w:bCs/>
              </w:rPr>
              <w:t>Noteikumu projekta spēkā stāšanās dienai.</w:t>
            </w:r>
          </w:p>
          <w:p w14:paraId="4CDD71A9" w14:textId="42570DB0" w:rsidR="00910EB4" w:rsidRPr="00184257" w:rsidRDefault="00910EB4" w:rsidP="00910EB4">
            <w:pPr>
              <w:ind w:left="143" w:right="142"/>
              <w:jc w:val="both"/>
            </w:pPr>
            <w:r w:rsidRPr="00184257">
              <w:t xml:space="preserve">Noteikumu projekts papildina Noteikumu Nr.364 11.16.apakšpunktu ar jaunu procedūru par kārtību, kādā komersants izvērtē un nodrošina slēdzamā darba līguma un tā nosacījumu atbilstību attiecīgo normatīvo aktu prasībām un darba koplīgumam, ja tāds ir, ņemot vērā, ka praksē ir pierādījies, ka </w:t>
            </w:r>
            <w:r w:rsidR="00184257" w:rsidRPr="00184257">
              <w:t xml:space="preserve">minētā </w:t>
            </w:r>
            <w:r w:rsidRPr="00184257">
              <w:t>procedūra ir nepieciešama. Lai</w:t>
            </w:r>
            <w:r w:rsidR="00184257" w:rsidRPr="00184257">
              <w:t xml:space="preserve"> komersanti</w:t>
            </w:r>
            <w:r w:rsidRPr="00184257">
              <w:t xml:space="preserve"> varētu sagatavoties</w:t>
            </w:r>
            <w:r w:rsidR="00184257" w:rsidRPr="00184257">
              <w:t xml:space="preserve"> un izstrādāt minēto procedūru, Noteikumu projekts paredz pārejas termiņu</w:t>
            </w:r>
            <w:r w:rsidRPr="00184257">
              <w:t xml:space="preserve"> </w:t>
            </w:r>
            <w:r w:rsidR="00184257" w:rsidRPr="00184257">
              <w:t>nosakot</w:t>
            </w:r>
            <w:r w:rsidRPr="00184257">
              <w:t xml:space="preserve">, ka minētais punkts </w:t>
            </w:r>
            <w:r w:rsidR="00184257" w:rsidRPr="00184257">
              <w:t>stājas spēkā</w:t>
            </w:r>
            <w:r w:rsidRPr="00184257">
              <w:t xml:space="preserve"> 2019.gada 1.janvārī</w:t>
            </w:r>
            <w:r w:rsidR="00184257" w:rsidRPr="00184257">
              <w:t>.</w:t>
            </w:r>
          </w:p>
          <w:p w14:paraId="3E6ABAA4" w14:textId="611BBC12" w:rsidR="00E70F63" w:rsidRPr="007863BF" w:rsidRDefault="00764E49" w:rsidP="007863BF">
            <w:pPr>
              <w:ind w:left="143" w:right="142"/>
              <w:jc w:val="both"/>
              <w:rPr>
                <w:color w:val="FF0000"/>
              </w:rPr>
            </w:pPr>
            <w:r>
              <w:t>Noteikumu</w:t>
            </w:r>
            <w:r w:rsidRPr="00764E49">
              <w:t xml:space="preserve"> Nr.364</w:t>
            </w:r>
            <w:r>
              <w:t xml:space="preserve"> 16.</w:t>
            </w:r>
            <w:r w:rsidRPr="00A1637B">
              <w:t xml:space="preserve">punkts </w:t>
            </w:r>
            <w:r w:rsidR="00E70F63" w:rsidRPr="00A1637B">
              <w:t xml:space="preserve">paredz noteiktus gadījumus, kad Jūrnieku reģistrs var anulēt komersanta </w:t>
            </w:r>
            <w:r w:rsidRPr="00A1637B">
              <w:t>speciālo atļauju (</w:t>
            </w:r>
            <w:r w:rsidR="00E70F63" w:rsidRPr="00A1637B">
              <w:t>licenci</w:t>
            </w:r>
            <w:r w:rsidRPr="00A1637B">
              <w:t>)</w:t>
            </w:r>
            <w:r w:rsidR="00E70F63" w:rsidRPr="00A1637B">
              <w:t xml:space="preserve">. </w:t>
            </w:r>
            <w:r w:rsidRPr="00A1637B">
              <w:t xml:space="preserve">Speciālās atļaujas (licences) anulēšana ir ilgstošs process, tomēr praksē ir situācijas, kad komersanta darbībā konstatēta neatbilstība rada apdraudējumu darbā iekārtojamās vai iekārtotās personas likumīgajām interesēm un uzraudzības procesā ir nepieciešama tūlītējas darbības. </w:t>
            </w:r>
            <w:r w:rsidR="007863BF" w:rsidRPr="00A1637B">
              <w:t>Līdz ar to</w:t>
            </w:r>
            <w:r w:rsidRPr="00A1637B">
              <w:t xml:space="preserve"> Noteikumu projekts papildināts ar 14.</w:t>
            </w:r>
            <w:r w:rsidRPr="00A1637B">
              <w:rPr>
                <w:vertAlign w:val="superscript"/>
              </w:rPr>
              <w:t xml:space="preserve">1 </w:t>
            </w:r>
            <w:r w:rsidR="00552C8A">
              <w:t>un 14.</w:t>
            </w:r>
            <w:r w:rsidR="00552C8A">
              <w:rPr>
                <w:vertAlign w:val="superscript"/>
              </w:rPr>
              <w:t xml:space="preserve">2 </w:t>
            </w:r>
            <w:r w:rsidRPr="00A1637B">
              <w:t>punktu</w:t>
            </w:r>
            <w:r w:rsidR="007863BF" w:rsidRPr="00A1637B">
              <w:t>, kas paredz Jūrnieku reģistram tiesības apturēt speciālo atļauju (</w:t>
            </w:r>
            <w:r w:rsidR="00E70F63" w:rsidRPr="00A1637B">
              <w:t>licenci</w:t>
            </w:r>
            <w:r w:rsidR="007863BF" w:rsidRPr="00A1637B">
              <w:t>), ja komersanta darbības novērtējumā konstatēta neatbilstība, kuras dēļ komersants rada vai var radīt apdraudējumu darbā iekārtojamās vai iekārtotās personas likumīgajām interesēm, kā arī</w:t>
            </w:r>
            <w:r w:rsidR="00E70F63" w:rsidRPr="00A1637B">
              <w:t xml:space="preserve"> </w:t>
            </w:r>
            <w:r w:rsidR="007863BF" w:rsidRPr="00A1637B">
              <w:t xml:space="preserve">tiesībaizsardzības iestāde vai </w:t>
            </w:r>
            <w:r w:rsidR="007863BF" w:rsidRPr="00A1637B">
              <w:lastRenderedPageBreak/>
              <w:t xml:space="preserve">cita valsts, pašvaldību vai ārvalsts kompetentā institūcija, vai privātpersona, vai kuģa īpašnieks vai tā pārstāvji darbiekārtošanas jautājumos ir iesnieguši dokumentus par iespējamiem noziedzīgajiem nodarījumiem vai iespējamiem citu ar darbā iekārtošanu saistītu normatīvo aktu pārkāpumiem, kuru dēļ komersants rada vai var radīt apdraudējumu darbā iekārtojamās vai iekārtotās personas likumīgajām interesēm. </w:t>
            </w:r>
            <w:r w:rsidR="00460AF8" w:rsidRPr="00460AF8">
              <w:rPr>
                <w:rFonts w:eastAsiaTheme="minorHAnsi"/>
                <w:color w:val="FF0000"/>
                <w:lang w:eastAsia="en-US"/>
              </w:rPr>
              <w:t xml:space="preserve"> </w:t>
            </w:r>
            <w:r w:rsidR="00460AF8" w:rsidRPr="00460AF8">
              <w:t>Komersants nav tiesīgs sniegt darbiekārtošanas pakalpojumus, kamēr speciālās atļaujas (licences) darbība ir apturēta un drīkst veikt tikai tās darbības, kas nepieciešamas neatbilstības novēršanai, un darbības, kas nepieciešamas, lai neradītu apdraudējumu darbā iekārtotās personas likumīgajām interesēm. Pēc neatbilstības novēršanas Jūrnieku reģistrs pieņem lēmumu par speciālās atļaujas (licences) darbības atjaunošanu.</w:t>
            </w:r>
          </w:p>
          <w:p w14:paraId="0B61B508" w14:textId="673A9465" w:rsidR="00E70F63" w:rsidRDefault="00860EC4" w:rsidP="00A1637B">
            <w:pPr>
              <w:ind w:left="143" w:right="142"/>
              <w:jc w:val="both"/>
              <w:rPr>
                <w:bCs/>
              </w:rPr>
            </w:pPr>
            <w:r w:rsidRPr="00860EC4">
              <w:rPr>
                <w:bCs/>
              </w:rPr>
              <w:t>Noteikumu projekts p</w:t>
            </w:r>
            <w:r>
              <w:rPr>
                <w:bCs/>
              </w:rPr>
              <w:t xml:space="preserve">recizē </w:t>
            </w:r>
            <w:r>
              <w:t>Noteikumu</w:t>
            </w:r>
            <w:r w:rsidRPr="00881B5F">
              <w:t xml:space="preserve"> Nr.364</w:t>
            </w:r>
            <w:r>
              <w:t xml:space="preserve"> 18.punktā noteiktās</w:t>
            </w:r>
            <w:r w:rsidRPr="00881B5F">
              <w:t xml:space="preserve"> </w:t>
            </w:r>
            <w:r w:rsidRPr="00860EC4">
              <w:rPr>
                <w:bCs/>
              </w:rPr>
              <w:t xml:space="preserve">Jūrnieku reģistra tiesības anulējot </w:t>
            </w:r>
            <w:r>
              <w:rPr>
                <w:bCs/>
              </w:rPr>
              <w:t>speciālo atļauju (</w:t>
            </w:r>
            <w:r w:rsidRPr="00860EC4">
              <w:rPr>
                <w:bCs/>
              </w:rPr>
              <w:t>licenci</w:t>
            </w:r>
            <w:r>
              <w:rPr>
                <w:bCs/>
              </w:rPr>
              <w:t>)</w:t>
            </w:r>
            <w:r w:rsidRPr="00860EC4">
              <w:rPr>
                <w:bCs/>
              </w:rPr>
              <w:t xml:space="preserve"> noteikt </w:t>
            </w:r>
            <w:r>
              <w:rPr>
                <w:bCs/>
              </w:rPr>
              <w:t xml:space="preserve">komersantam </w:t>
            </w:r>
            <w:r w:rsidRPr="00860EC4">
              <w:rPr>
                <w:bCs/>
              </w:rPr>
              <w:t>liegumu</w:t>
            </w:r>
            <w:r>
              <w:rPr>
                <w:bCs/>
              </w:rPr>
              <w:t xml:space="preserve">. Noteikumu projekts nosaka, ka lēmumā par speciālās atļaujas (licences) anulēšanu Jūrnieku reģistram </w:t>
            </w:r>
            <w:r w:rsidRPr="00860EC4">
              <w:rPr>
                <w:bCs/>
              </w:rPr>
              <w:t>ir tiesības noteikt komersantam un tā izpildinstitūcijas locekļa, pārraudzības institūcijas locekļa vai pārstāvēttiesīgā biedra pārstāvētam komersantam liegumu uz laiku līdz trim gadiem iesniegt dokumentus speciālās atļaujas (licences) saņemšanai vispārējā kārtībā.</w:t>
            </w:r>
            <w:r>
              <w:rPr>
                <w:bCs/>
              </w:rPr>
              <w:t xml:space="preserve"> Praksē ir gadījumi, kad komersanta, kuram noteikts liegums speciālās atļaujas (licences) saņemšanai</w:t>
            </w:r>
            <w:r w:rsidR="00693142">
              <w:rPr>
                <w:bCs/>
              </w:rPr>
              <w:t xml:space="preserve"> par nopietniem pārkāpumiem</w:t>
            </w:r>
            <w:r>
              <w:rPr>
                <w:bCs/>
              </w:rPr>
              <w:t xml:space="preserve">, </w:t>
            </w:r>
            <w:r w:rsidR="00693142">
              <w:rPr>
                <w:bCs/>
              </w:rPr>
              <w:t>izpildinstitūcijas locekļi</w:t>
            </w:r>
            <w:r w:rsidRPr="00860EC4">
              <w:rPr>
                <w:bCs/>
              </w:rPr>
              <w:t>, p</w:t>
            </w:r>
            <w:r w:rsidR="00693142">
              <w:rPr>
                <w:bCs/>
              </w:rPr>
              <w:t>ārraudzības institūcijas locekļi</w:t>
            </w:r>
            <w:r w:rsidR="00041C0D">
              <w:rPr>
                <w:bCs/>
              </w:rPr>
              <w:t xml:space="preserve"> vai pārstāvēttiesīgie biedri</w:t>
            </w:r>
            <w:r w:rsidRPr="00860EC4">
              <w:rPr>
                <w:bCs/>
              </w:rPr>
              <w:t xml:space="preserve"> </w:t>
            </w:r>
            <w:r w:rsidR="00693142">
              <w:rPr>
                <w:bCs/>
              </w:rPr>
              <w:t>izveido jaunu komercsabiedrību un sniedz dokumentus jaunas speciālās atļaujas (licences) saņemšanai Jūrnieku reģistrā, lai turpinātu nodarboties ar darbiekārtošanas pakalpojumus sniegšanu. Līdz ar to, lai izvairītos no šādiem gadījumiem ir nepieciešami minētie grozījumi. Trīs gadu</w:t>
            </w:r>
            <w:r w:rsidRPr="00860EC4">
              <w:rPr>
                <w:bCs/>
              </w:rPr>
              <w:t xml:space="preserve"> aizliegums</w:t>
            </w:r>
            <w:r w:rsidR="00693142">
              <w:rPr>
                <w:bCs/>
              </w:rPr>
              <w:t xml:space="preserve"> speciālās atļaujas</w:t>
            </w:r>
            <w:r w:rsidRPr="00860EC4">
              <w:rPr>
                <w:bCs/>
              </w:rPr>
              <w:t xml:space="preserve"> </w:t>
            </w:r>
            <w:r w:rsidR="00693142">
              <w:rPr>
                <w:bCs/>
              </w:rPr>
              <w:t>(</w:t>
            </w:r>
            <w:r w:rsidRPr="00860EC4">
              <w:rPr>
                <w:bCs/>
              </w:rPr>
              <w:t>licences</w:t>
            </w:r>
            <w:r w:rsidR="00693142">
              <w:rPr>
                <w:bCs/>
              </w:rPr>
              <w:t>)</w:t>
            </w:r>
            <w:r w:rsidRPr="00860EC4">
              <w:rPr>
                <w:bCs/>
              </w:rPr>
              <w:t xml:space="preserve"> saņemšanai gadījumā, ja komersants neatbilst noteikumu prasībām, ir samērīgs atsevišķos gadījumos. Piemēram, ja Jūrnieku reģistrs konstatēs, ka komersants ir pieprasījis un saņēmis no jūrnieka atlīdzību par darbiekārtošanas pakalpojumu</w:t>
            </w:r>
            <w:r w:rsidRPr="00860EC4">
              <w:rPr>
                <w:b/>
                <w:bCs/>
              </w:rPr>
              <w:t xml:space="preserve"> </w:t>
            </w:r>
            <w:r w:rsidRPr="00860EC4">
              <w:rPr>
                <w:bCs/>
              </w:rPr>
              <w:t xml:space="preserve">sniegšanu, šis būs būtisks pārkāpums, lai noteiktu komersantam liegumu atkārtoti pretendēt uz </w:t>
            </w:r>
            <w:r w:rsidR="00693142">
              <w:rPr>
                <w:bCs/>
              </w:rPr>
              <w:t>specialo atļauju (</w:t>
            </w:r>
            <w:r w:rsidRPr="00860EC4">
              <w:rPr>
                <w:bCs/>
              </w:rPr>
              <w:t>licenci</w:t>
            </w:r>
            <w:r w:rsidR="00693142">
              <w:rPr>
                <w:bCs/>
              </w:rPr>
              <w:t>)</w:t>
            </w:r>
            <w:r w:rsidRPr="00860EC4">
              <w:rPr>
                <w:bCs/>
              </w:rPr>
              <w:t>. Līdz ar to katrā konkrētā gadījumā Jūrnieku reģistr</w:t>
            </w:r>
            <w:r w:rsidR="00693142">
              <w:rPr>
                <w:bCs/>
              </w:rPr>
              <w:t>s</w:t>
            </w:r>
            <w:r w:rsidRPr="00860EC4">
              <w:rPr>
                <w:bCs/>
              </w:rPr>
              <w:t>,</w:t>
            </w:r>
            <w:r w:rsidRPr="00860EC4">
              <w:rPr>
                <w:b/>
                <w:bCs/>
              </w:rPr>
              <w:t xml:space="preserve"> </w:t>
            </w:r>
            <w:r w:rsidRPr="00860EC4">
              <w:rPr>
                <w:bCs/>
              </w:rPr>
              <w:t>pieņemot lēmumu par</w:t>
            </w:r>
            <w:r w:rsidRPr="00860EC4">
              <w:rPr>
                <w:b/>
                <w:bCs/>
              </w:rPr>
              <w:t xml:space="preserve"> </w:t>
            </w:r>
            <w:r w:rsidRPr="00860EC4">
              <w:rPr>
                <w:bCs/>
              </w:rPr>
              <w:t>licences anulēšanu, izvērtē</w:t>
            </w:r>
            <w:r w:rsidR="00693142">
              <w:rPr>
                <w:bCs/>
              </w:rPr>
              <w:t>s pārkāpuma smagumu</w:t>
            </w:r>
            <w:r w:rsidR="00F30F48">
              <w:rPr>
                <w:bCs/>
              </w:rPr>
              <w:t xml:space="preserve"> un samērīgumu</w:t>
            </w:r>
            <w:r w:rsidRPr="00860EC4">
              <w:rPr>
                <w:bCs/>
              </w:rPr>
              <w:t xml:space="preserve"> ar lieguma noteikšanu.</w:t>
            </w:r>
          </w:p>
          <w:p w14:paraId="70BA4EB8" w14:textId="70B2E0B3" w:rsidR="00552C8A" w:rsidRPr="00A1637B" w:rsidRDefault="00552C8A" w:rsidP="00460AF8">
            <w:pPr>
              <w:ind w:left="143" w:right="142"/>
              <w:jc w:val="both"/>
              <w:rPr>
                <w:bCs/>
              </w:rPr>
            </w:pPr>
            <w:r>
              <w:rPr>
                <w:bCs/>
              </w:rPr>
              <w:t>Ņemot vērā praksē konstatēto, kā arī to, ka Noteikumu projektā noteikt</w:t>
            </w:r>
            <w:r w:rsidR="00460AF8">
              <w:rPr>
                <w:bCs/>
              </w:rPr>
              <w:t>s, ka Jūrnieku reģistram ir tiesības apturēt speciālo atļauju (licenci), ar Noteikumu projektu papildināti 16.punktā noteiktie gadījumi</w:t>
            </w:r>
            <w:r w:rsidRPr="00552C8A">
              <w:rPr>
                <w:bCs/>
              </w:rPr>
              <w:t xml:space="preserve">, kad Jūrnieku reģistrs var anulēt komersanta </w:t>
            </w:r>
            <w:r>
              <w:rPr>
                <w:bCs/>
              </w:rPr>
              <w:t>speciālo atļauju (</w:t>
            </w:r>
            <w:r w:rsidRPr="00552C8A">
              <w:rPr>
                <w:bCs/>
              </w:rPr>
              <w:t>licenci</w:t>
            </w:r>
            <w:r>
              <w:rPr>
                <w:bCs/>
              </w:rPr>
              <w:t>)</w:t>
            </w:r>
            <w:r w:rsidRPr="00552C8A">
              <w:rPr>
                <w:bCs/>
              </w:rPr>
              <w:t xml:space="preserve">. Šie gadījumi </w:t>
            </w:r>
            <w:r>
              <w:rPr>
                <w:bCs/>
              </w:rPr>
              <w:t>ir, ja komersants 18 mēnešu laikā pēc</w:t>
            </w:r>
            <w:r w:rsidR="00460AF8">
              <w:rPr>
                <w:bCs/>
              </w:rPr>
              <w:t xml:space="preserve"> darbības uzsākšanas novērtējuma </w:t>
            </w:r>
            <w:r w:rsidR="00460AF8" w:rsidRPr="00460AF8">
              <w:rPr>
                <w:bCs/>
              </w:rPr>
              <w:t>vai iepriekšējā darbības novērtējuma nav nodrošinājis Jūrnieku reģistram iespēju veikt pilnvērtīgu pārbaudi tā darbības vietā</w:t>
            </w:r>
            <w:r w:rsidR="00460AF8" w:rsidRPr="00460AF8">
              <w:rPr>
                <w:rFonts w:eastAsiaTheme="minorHAnsi"/>
                <w:color w:val="FF0000"/>
                <w:lang w:eastAsia="en-US"/>
              </w:rPr>
              <w:t xml:space="preserve"> </w:t>
            </w:r>
            <w:r w:rsidR="003E25F7">
              <w:rPr>
                <w:rFonts w:eastAsiaTheme="minorHAnsi"/>
                <w:lang w:eastAsia="en-US"/>
              </w:rPr>
              <w:t xml:space="preserve">vai </w:t>
            </w:r>
            <w:r w:rsidR="00460AF8" w:rsidRPr="00460AF8">
              <w:rPr>
                <w:bCs/>
              </w:rPr>
              <w:t>komersants ir pārkāpis 14.</w:t>
            </w:r>
            <w:r w:rsidR="00460AF8" w:rsidRPr="00460AF8">
              <w:rPr>
                <w:bCs/>
                <w:vertAlign w:val="superscript"/>
              </w:rPr>
              <w:t>2</w:t>
            </w:r>
            <w:r w:rsidR="00460AF8" w:rsidRPr="00460AF8">
              <w:rPr>
                <w:bCs/>
              </w:rPr>
              <w:t xml:space="preserve"> </w:t>
            </w:r>
            <w:r w:rsidR="00460AF8" w:rsidRPr="00460AF8">
              <w:rPr>
                <w:bCs/>
              </w:rPr>
              <w:lastRenderedPageBreak/>
              <w:t xml:space="preserve">punkta prasības laikā, kamēr speciālās atļaujas </w:t>
            </w:r>
            <w:r w:rsidR="003E25F7">
              <w:rPr>
                <w:bCs/>
              </w:rPr>
              <w:t>(licences) darbība ir apturēta.</w:t>
            </w:r>
          </w:p>
          <w:p w14:paraId="43636235" w14:textId="120D7010" w:rsidR="00B60819" w:rsidRPr="00A1637B" w:rsidRDefault="00B60819" w:rsidP="00A1637B">
            <w:pPr>
              <w:tabs>
                <w:tab w:val="left" w:pos="143"/>
              </w:tabs>
              <w:ind w:left="143" w:right="142"/>
              <w:jc w:val="both"/>
            </w:pPr>
            <w:r w:rsidRPr="00A1637B">
              <w:t xml:space="preserve">Ar </w:t>
            </w:r>
            <w:r w:rsidR="00600A17" w:rsidRPr="00A1637B">
              <w:t>Noteikumu Nr.364</w:t>
            </w:r>
            <w:r w:rsidRPr="00A1637B">
              <w:t xml:space="preserve"> 11.2. un 11.4.apakšpunktu tika pārņemts Direktīvas 2008/106/EK 14.panta 1.punkta a) un c)apakšpunkts, taču atsauce uz Direktīvu 2008/106/EK Noteikumu Nr.364 spēkā esošajā redakcijā nav. Līdz ar to</w:t>
            </w:r>
            <w:r w:rsidR="00B20826" w:rsidRPr="00A1637B">
              <w:t xml:space="preserve"> Noteikumu projekts paredz</w:t>
            </w:r>
            <w:r w:rsidRPr="00A1637B">
              <w:t xml:space="preserve"> informatīvo atsauci uz Eiropas Savienības direktīvām </w:t>
            </w:r>
            <w:r w:rsidR="00B20826" w:rsidRPr="00A1637B">
              <w:t>papildinot</w:t>
            </w:r>
            <w:r w:rsidRPr="00A1637B">
              <w:t xml:space="preserve"> ar atsauci uz Direktīvu 2008/106/EK.</w:t>
            </w:r>
          </w:p>
          <w:p w14:paraId="4DEEFA42" w14:textId="4D5BD403" w:rsidR="00E36A53" w:rsidRPr="00F64F11" w:rsidRDefault="00B60819" w:rsidP="00F64F11">
            <w:pPr>
              <w:ind w:left="143" w:right="142"/>
              <w:jc w:val="both"/>
            </w:pPr>
            <w:r w:rsidRPr="00A1637B">
              <w:t xml:space="preserve">2012.gada 21.novembrī tika pieņemta Direktīva 2012/35/ES. Direktīvas 2012/35/ES 1.panta 13.punkta a)apakšpunkts paredz Direktīvas 2008/106/EK 14.panta 1.punktam pievienot f)apakšpunktu, kas nosaka, ka jūrnieki, kuri pieņemti darbā uz kāda no kuģiem, ir pabeiguši atbilstīgus kvalifikācijas celšanas un aktualizācijas kursus, kā to prasa </w:t>
            </w:r>
            <w:r w:rsidR="00B20826" w:rsidRPr="00A1637B">
              <w:rPr>
                <w:rFonts w:eastAsiaTheme="minorHAnsi"/>
                <w:lang w:eastAsia="en-US"/>
              </w:rPr>
              <w:t xml:space="preserve"> </w:t>
            </w:r>
            <w:r w:rsidR="00B20826" w:rsidRPr="00A1637B">
              <w:t>1978.gada Starptautiskā konvencija par jūrnieku sagatavošanu un diplomēšanu, kā arī sardzes pildīšanu.</w:t>
            </w:r>
            <w:r w:rsidRPr="00A1637B">
              <w:t xml:space="preserve"> Minētā prasība ir pārņemta ar Noteikumu Nr.364 11.2.apakšpunktu. Līdz ar to Noteikumu</w:t>
            </w:r>
            <w:r w:rsidR="00B20826" w:rsidRPr="00A1637B">
              <w:t xml:space="preserve"> projekts paredz informatīvo atsauci</w:t>
            </w:r>
            <w:r w:rsidRPr="00A1637B">
              <w:t xml:space="preserve"> uz Eiropas Savienības Direktīvu 2012/35/ES.</w:t>
            </w:r>
          </w:p>
          <w:p w14:paraId="371C8F99" w14:textId="0FB69341" w:rsidR="00D202F1" w:rsidRPr="00226BAC" w:rsidRDefault="00192809" w:rsidP="00226BAC">
            <w:pPr>
              <w:ind w:left="143" w:right="142"/>
              <w:jc w:val="both"/>
              <w:rPr>
                <w:color w:val="FF0000"/>
              </w:rPr>
            </w:pPr>
            <w:r w:rsidRPr="00226BAC">
              <w:t>Noteikumu projekts</w:t>
            </w:r>
            <w:r w:rsidR="00F64F11" w:rsidRPr="00226BAC">
              <w:t xml:space="preserve"> arī</w:t>
            </w:r>
            <w:r w:rsidRPr="00226BAC">
              <w:t xml:space="preserve"> </w:t>
            </w:r>
            <w:r w:rsidR="00F64F11" w:rsidRPr="00226BAC">
              <w:t>precizē,</w:t>
            </w:r>
            <w:r w:rsidRPr="00226BAC">
              <w:t xml:space="preserve"> ka komersants darbiekārtošanas pakalpojumus kuģa apkalpes komplektēšanā sniedz Latvijas Republikā</w:t>
            </w:r>
            <w:r w:rsidR="00226BAC" w:rsidRPr="00226BAC">
              <w:t>, kā arī</w:t>
            </w:r>
            <w:r w:rsidR="00F64F11" w:rsidRPr="00226BAC">
              <w:t xml:space="preserve"> darbiekārtošanas pakalpojumu kvalitātes vadības sistēmas standarts </w:t>
            </w:r>
            <w:r w:rsidR="004A2A22" w:rsidRPr="00226BAC">
              <w:t xml:space="preserve">LVS EN ISO 9001:2009 "Kvalitātes </w:t>
            </w:r>
            <w:r w:rsidR="00F64F11" w:rsidRPr="00226BAC">
              <w:t xml:space="preserve">pārvaldības </w:t>
            </w:r>
            <w:r w:rsidR="00226BAC" w:rsidRPr="00226BAC">
              <w:t>sistēmas. Prasības" tiek aizstāts ar</w:t>
            </w:r>
            <w:r w:rsidR="00F64F11" w:rsidRPr="00226BAC">
              <w:t xml:space="preserve"> darbiekārtošanas pakalpojumu kvalitātes vadības sistēmas standartu LVS EN ISO 9001:2017 "Kvalitātes pārvaldības sistēmas. Prasības"</w:t>
            </w:r>
            <w:r w:rsidR="00226BAC" w:rsidRPr="00226BAC">
              <w:t>.</w:t>
            </w:r>
          </w:p>
        </w:tc>
      </w:tr>
      <w:tr w:rsidR="00DE5BE7" w:rsidRPr="001054E9" w14:paraId="495C0C10" w14:textId="77777777" w:rsidTr="00F13AB9">
        <w:trPr>
          <w:trHeight w:val="8"/>
        </w:trPr>
        <w:tc>
          <w:tcPr>
            <w:tcW w:w="425" w:type="dxa"/>
          </w:tcPr>
          <w:p w14:paraId="4F3E9A17" w14:textId="17A18ED3" w:rsidR="00DE5BE7" w:rsidRPr="001054E9" w:rsidRDefault="00DE5BE7" w:rsidP="008F2C79">
            <w:pPr>
              <w:pStyle w:val="naiskr"/>
              <w:spacing w:before="0" w:after="0"/>
            </w:pPr>
            <w:r w:rsidRPr="001054E9">
              <w:lastRenderedPageBreak/>
              <w:t>3.</w:t>
            </w:r>
          </w:p>
        </w:tc>
        <w:tc>
          <w:tcPr>
            <w:tcW w:w="2405" w:type="dxa"/>
          </w:tcPr>
          <w:p w14:paraId="2FAA52CD" w14:textId="77777777" w:rsidR="00DE5BE7" w:rsidRPr="001054E9" w:rsidRDefault="00F965C3" w:rsidP="008F2C79">
            <w:pPr>
              <w:pStyle w:val="naiskr"/>
              <w:spacing w:before="0" w:after="0"/>
            </w:pPr>
            <w:r w:rsidRPr="001054E9">
              <w:t>Projekta izstrādē iesaistītās institūcijas un publiskas personas kapitālsabiedrības</w:t>
            </w:r>
          </w:p>
        </w:tc>
        <w:tc>
          <w:tcPr>
            <w:tcW w:w="6237" w:type="dxa"/>
          </w:tcPr>
          <w:p w14:paraId="1F644469" w14:textId="77777777" w:rsidR="00795620" w:rsidRPr="00795620" w:rsidRDefault="00795620" w:rsidP="00795620">
            <w:pPr>
              <w:pStyle w:val="naiskr"/>
              <w:tabs>
                <w:tab w:val="left" w:pos="6357"/>
              </w:tabs>
              <w:ind w:right="138"/>
              <w:jc w:val="both"/>
            </w:pPr>
            <w:r w:rsidRPr="00795620">
              <w:t>Satiksmes ministrija, VAS „Latvijas Jūras administrācija”.</w:t>
            </w:r>
          </w:p>
          <w:p w14:paraId="34375246" w14:textId="1F5873EE" w:rsidR="007E22B9" w:rsidRPr="001054E9" w:rsidRDefault="007E22B9" w:rsidP="00F13AB9">
            <w:pPr>
              <w:pStyle w:val="naiskr"/>
              <w:tabs>
                <w:tab w:val="left" w:pos="6357"/>
              </w:tabs>
              <w:spacing w:before="0" w:after="0"/>
              <w:ind w:right="138"/>
              <w:jc w:val="both"/>
            </w:pPr>
          </w:p>
        </w:tc>
      </w:tr>
      <w:tr w:rsidR="00DE5BE7" w:rsidRPr="001054E9" w14:paraId="0545E559" w14:textId="77777777" w:rsidTr="00F13AB9">
        <w:trPr>
          <w:trHeight w:val="246"/>
        </w:trPr>
        <w:tc>
          <w:tcPr>
            <w:tcW w:w="425" w:type="dxa"/>
          </w:tcPr>
          <w:p w14:paraId="6B47AA56" w14:textId="77777777" w:rsidR="00DE5BE7" w:rsidRPr="001054E9" w:rsidRDefault="00DE5BE7" w:rsidP="008F2C79">
            <w:pPr>
              <w:pStyle w:val="naiskr"/>
              <w:spacing w:before="0" w:after="0"/>
            </w:pPr>
            <w:r w:rsidRPr="001054E9">
              <w:t>4.</w:t>
            </w:r>
          </w:p>
        </w:tc>
        <w:tc>
          <w:tcPr>
            <w:tcW w:w="2405" w:type="dxa"/>
          </w:tcPr>
          <w:p w14:paraId="375E8DFE" w14:textId="77777777" w:rsidR="00DE5BE7" w:rsidRPr="001054E9" w:rsidRDefault="00DE5BE7" w:rsidP="008F2C79">
            <w:pPr>
              <w:pStyle w:val="naiskr"/>
              <w:spacing w:before="0" w:after="0"/>
            </w:pPr>
            <w:r w:rsidRPr="001054E9">
              <w:t>Cita informācija</w:t>
            </w:r>
          </w:p>
        </w:tc>
        <w:tc>
          <w:tcPr>
            <w:tcW w:w="6237" w:type="dxa"/>
          </w:tcPr>
          <w:p w14:paraId="417A20B7" w14:textId="77777777" w:rsidR="0058508C" w:rsidRPr="001054E9" w:rsidRDefault="00616488" w:rsidP="0058508C">
            <w:pPr>
              <w:jc w:val="both"/>
              <w:rPr>
                <w:lang w:eastAsia="ru-RU"/>
              </w:rPr>
            </w:pPr>
            <w:r w:rsidRPr="001054E9">
              <w:rPr>
                <w:lang w:eastAsia="ru-RU"/>
              </w:rPr>
              <w:t>Nav</w:t>
            </w:r>
            <w:r w:rsidR="0058508C" w:rsidRPr="001054E9">
              <w:rPr>
                <w:lang w:eastAsia="ru-RU"/>
              </w:rPr>
              <w:t>.</w:t>
            </w:r>
          </w:p>
        </w:tc>
      </w:tr>
    </w:tbl>
    <w:p w14:paraId="44C3E101" w14:textId="77777777" w:rsidR="003035A9" w:rsidRPr="001054E9" w:rsidRDefault="003035A9" w:rsidP="008F2C79">
      <w:pPr>
        <w:jc w:val="both"/>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3"/>
        <w:gridCol w:w="2800"/>
        <w:gridCol w:w="5762"/>
      </w:tblGrid>
      <w:tr w:rsidR="00D65035" w:rsidRPr="001054E9" w14:paraId="593FE855" w14:textId="77777777" w:rsidTr="003050DC">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9BCE23" w14:textId="77777777" w:rsidR="00D65035" w:rsidRPr="001054E9" w:rsidRDefault="00D65035" w:rsidP="003050DC">
            <w:pPr>
              <w:jc w:val="center"/>
              <w:rPr>
                <w:b/>
                <w:bCs/>
              </w:rPr>
            </w:pPr>
            <w:r w:rsidRPr="001054E9">
              <w:rPr>
                <w:b/>
                <w:bCs/>
              </w:rPr>
              <w:t>II. Tiesību akta projekta ietekme uz sabiedrību, tautsaimniecības attīstību un administratīvo slogu</w:t>
            </w:r>
          </w:p>
        </w:tc>
      </w:tr>
      <w:tr w:rsidR="00D65035" w:rsidRPr="001054E9" w14:paraId="791B5EFF" w14:textId="77777777" w:rsidTr="00110FDD">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tcPr>
          <w:p w14:paraId="03C0F9FF" w14:textId="77777777" w:rsidR="00D65035" w:rsidRPr="001054E9" w:rsidRDefault="00D65035" w:rsidP="003050DC">
            <w:r w:rsidRPr="001054E9">
              <w:t>1.</w:t>
            </w:r>
          </w:p>
        </w:tc>
        <w:tc>
          <w:tcPr>
            <w:tcW w:w="1530" w:type="pct"/>
            <w:tcBorders>
              <w:top w:val="outset" w:sz="6" w:space="0" w:color="auto"/>
              <w:left w:val="outset" w:sz="6" w:space="0" w:color="auto"/>
              <w:bottom w:val="outset" w:sz="6" w:space="0" w:color="auto"/>
              <w:right w:val="outset" w:sz="6" w:space="0" w:color="auto"/>
            </w:tcBorders>
          </w:tcPr>
          <w:p w14:paraId="1D435B72" w14:textId="5FAC21CA" w:rsidR="003C4095" w:rsidRDefault="00D65035" w:rsidP="003050DC">
            <w:r w:rsidRPr="001054E9">
              <w:t>Sabiedrības mērķgrupas, kuras tiesiskais regulējums ietekmē vai varētu ietekmēt</w:t>
            </w:r>
          </w:p>
          <w:p w14:paraId="7855AFDC" w14:textId="77777777" w:rsidR="003C4095" w:rsidRPr="003C4095" w:rsidRDefault="003C4095" w:rsidP="003C4095"/>
          <w:p w14:paraId="1AB52BE5" w14:textId="77777777" w:rsidR="003C4095" w:rsidRPr="003C4095" w:rsidRDefault="003C4095" w:rsidP="003C4095"/>
          <w:p w14:paraId="4429C4C9" w14:textId="77777777" w:rsidR="003C4095" w:rsidRPr="003C4095" w:rsidRDefault="003C4095" w:rsidP="003C4095"/>
          <w:p w14:paraId="6F21BC39" w14:textId="77777777" w:rsidR="003C4095" w:rsidRPr="003C4095" w:rsidRDefault="003C4095" w:rsidP="003C4095"/>
          <w:p w14:paraId="108E2891" w14:textId="77777777" w:rsidR="003C4095" w:rsidRPr="003C4095" w:rsidRDefault="003C4095" w:rsidP="003C4095"/>
          <w:p w14:paraId="5E6A03B3" w14:textId="77777777" w:rsidR="003C4095" w:rsidRPr="003C4095" w:rsidRDefault="003C4095" w:rsidP="003C4095"/>
          <w:p w14:paraId="01BD88DB" w14:textId="77777777" w:rsidR="003C4095" w:rsidRPr="003C4095" w:rsidRDefault="003C4095" w:rsidP="003C4095"/>
          <w:p w14:paraId="69991CBE" w14:textId="5F37E158" w:rsidR="003C4095" w:rsidRDefault="003C4095" w:rsidP="003C4095"/>
          <w:p w14:paraId="7DCCD81D" w14:textId="368BDE00" w:rsidR="003C4095" w:rsidRDefault="003C4095" w:rsidP="003C4095"/>
          <w:p w14:paraId="2ED07D71" w14:textId="77777777" w:rsidR="00D65035" w:rsidRPr="003C4095" w:rsidRDefault="00D65035" w:rsidP="003C4095">
            <w:pPr>
              <w:jc w:val="right"/>
            </w:pPr>
          </w:p>
        </w:tc>
        <w:tc>
          <w:tcPr>
            <w:tcW w:w="3157" w:type="pct"/>
            <w:tcBorders>
              <w:top w:val="outset" w:sz="6" w:space="0" w:color="auto"/>
              <w:left w:val="outset" w:sz="6" w:space="0" w:color="auto"/>
              <w:bottom w:val="outset" w:sz="6" w:space="0" w:color="auto"/>
              <w:right w:val="outset" w:sz="6" w:space="0" w:color="auto"/>
            </w:tcBorders>
          </w:tcPr>
          <w:p w14:paraId="0BC20D5B" w14:textId="7C9979D4" w:rsidR="00D44B17" w:rsidRPr="00D44B17" w:rsidRDefault="00D44B17" w:rsidP="00D44B17">
            <w:pPr>
              <w:jc w:val="both"/>
              <w:rPr>
                <w:bCs/>
              </w:rPr>
            </w:pPr>
            <w:r w:rsidRPr="00D44B17">
              <w:rPr>
                <w:bCs/>
              </w:rPr>
              <w:t xml:space="preserve">Noteikumu projekta tiesiskais regulējums </w:t>
            </w:r>
            <w:r w:rsidR="00EE7879">
              <w:rPr>
                <w:bCs/>
              </w:rPr>
              <w:t>ietekmē vai varētu ietekmēt:</w:t>
            </w:r>
          </w:p>
          <w:p w14:paraId="2E87092B" w14:textId="0AB93918" w:rsidR="00D44B17" w:rsidRPr="00D44B17" w:rsidRDefault="00EE7879" w:rsidP="00D44B17">
            <w:pPr>
              <w:jc w:val="both"/>
              <w:rPr>
                <w:bCs/>
              </w:rPr>
            </w:pPr>
            <w:r>
              <w:rPr>
                <w:bCs/>
              </w:rPr>
              <w:t>1) komersantus</w:t>
            </w:r>
            <w:r w:rsidR="00D44B17" w:rsidRPr="00D44B17">
              <w:rPr>
                <w:bCs/>
              </w:rPr>
              <w:t>, kas sniedz darbiekārtošanas pakalpojumus kuģa apkalpes komplektēšanā</w:t>
            </w:r>
            <w:r w:rsidR="00D44B17">
              <w:rPr>
                <w:bCs/>
              </w:rPr>
              <w:t xml:space="preserve"> – 54;</w:t>
            </w:r>
          </w:p>
          <w:p w14:paraId="51145871" w14:textId="7542B525" w:rsidR="00D44B17" w:rsidRDefault="00D44B17" w:rsidP="00EE7879">
            <w:pPr>
              <w:jc w:val="both"/>
              <w:rPr>
                <w:bCs/>
                <w:iCs/>
              </w:rPr>
            </w:pPr>
            <w:r w:rsidRPr="00D44B17">
              <w:rPr>
                <w:bCs/>
              </w:rPr>
              <w:t>2) Jūrnieku reģistrā sertificēt</w:t>
            </w:r>
            <w:r w:rsidR="00EE7879">
              <w:rPr>
                <w:bCs/>
              </w:rPr>
              <w:t>us</w:t>
            </w:r>
            <w:r w:rsidRPr="00D44B17">
              <w:rPr>
                <w:bCs/>
              </w:rPr>
              <w:t xml:space="preserve"> jūrniek</w:t>
            </w:r>
            <w:r w:rsidR="00EE7879">
              <w:rPr>
                <w:bCs/>
              </w:rPr>
              <w:t>us</w:t>
            </w:r>
            <w:r w:rsidRPr="00D44B17">
              <w:rPr>
                <w:bCs/>
              </w:rPr>
              <w:t xml:space="preserve"> </w:t>
            </w:r>
            <w:r w:rsidRPr="00D44B17">
              <w:rPr>
                <w:bCs/>
                <w:iCs/>
              </w:rPr>
              <w:t>– aptuveni 12</w:t>
            </w:r>
            <w:r w:rsidR="00EE7879">
              <w:rPr>
                <w:bCs/>
                <w:iCs/>
              </w:rPr>
              <w:t> </w:t>
            </w:r>
            <w:r w:rsidRPr="00D44B17">
              <w:rPr>
                <w:bCs/>
                <w:iCs/>
              </w:rPr>
              <w:t>738;</w:t>
            </w:r>
          </w:p>
          <w:p w14:paraId="1491DA25" w14:textId="20CD431E" w:rsidR="00D44B17" w:rsidRPr="00D44B17" w:rsidRDefault="00EE7879" w:rsidP="00EE7879">
            <w:pPr>
              <w:jc w:val="both"/>
              <w:rPr>
                <w:bCs/>
              </w:rPr>
            </w:pPr>
            <w:r>
              <w:rPr>
                <w:bCs/>
                <w:iCs/>
              </w:rPr>
              <w:t>3) personas</w:t>
            </w:r>
            <w:r w:rsidR="00D44B17" w:rsidRPr="00D44B17">
              <w:rPr>
                <w:bCs/>
                <w:iCs/>
              </w:rPr>
              <w:t>, kuras apgūst Satiksmes ministrijas sertificētas jūrniecības izglītības programmas uz 2017.gada 1.septembri –2112 personas apguva kuģu virsnieku, savukārt aptuveni 120 personas – ierindas jūrnieku izglītības programmas;</w:t>
            </w:r>
          </w:p>
          <w:p w14:paraId="207AB90C" w14:textId="74BF9982" w:rsidR="00D44B17" w:rsidRDefault="00EE7879" w:rsidP="00EE7879">
            <w:pPr>
              <w:jc w:val="both"/>
              <w:rPr>
                <w:bCs/>
                <w:iCs/>
              </w:rPr>
            </w:pPr>
            <w:r>
              <w:rPr>
                <w:bCs/>
                <w:iCs/>
              </w:rPr>
              <w:t>4) j</w:t>
            </w:r>
            <w:r w:rsidR="00D44B17" w:rsidRPr="00D44B17">
              <w:rPr>
                <w:bCs/>
                <w:iCs/>
              </w:rPr>
              <w:t>ūrnieku profesionālās sagatavošanas iestādes, kas īsteno Satiksmes ministrijas sertificētas jūrniecības izglītības un/vai mācību kursu programmas – 8;</w:t>
            </w:r>
          </w:p>
          <w:p w14:paraId="3C17D38B" w14:textId="36250F69" w:rsidR="00D44B17" w:rsidRPr="00EE7879" w:rsidRDefault="00EE7879" w:rsidP="00D44B17">
            <w:pPr>
              <w:jc w:val="both"/>
              <w:rPr>
                <w:bCs/>
              </w:rPr>
            </w:pPr>
            <w:r>
              <w:rPr>
                <w:bCs/>
                <w:iCs/>
              </w:rPr>
              <w:lastRenderedPageBreak/>
              <w:t xml:space="preserve">5) </w:t>
            </w:r>
            <w:r w:rsidR="00D44B17" w:rsidRPr="00D44B17">
              <w:rPr>
                <w:bCs/>
                <w:iCs/>
              </w:rPr>
              <w:t>Latvijas Kuģu reģistrā reģistrētu starptautiskā kuģošanā nodarbināt</w:t>
            </w:r>
            <w:r w:rsidR="00226BAC">
              <w:rPr>
                <w:bCs/>
                <w:iCs/>
              </w:rPr>
              <w:t xml:space="preserve">u kuģu </w:t>
            </w:r>
            <w:r>
              <w:rPr>
                <w:bCs/>
                <w:iCs/>
              </w:rPr>
              <w:t>(aptuveni 23) īpašniekus</w:t>
            </w:r>
            <w:r w:rsidR="00D44B17" w:rsidRPr="00D44B17">
              <w:rPr>
                <w:bCs/>
                <w:iCs/>
              </w:rPr>
              <w:t>.</w:t>
            </w:r>
          </w:p>
        </w:tc>
      </w:tr>
      <w:tr w:rsidR="00110FDD" w:rsidRPr="001054E9" w14:paraId="639D24C1" w14:textId="77777777" w:rsidTr="00110FDD">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tcPr>
          <w:p w14:paraId="2A18653C" w14:textId="77777777" w:rsidR="00110FDD" w:rsidRPr="001054E9" w:rsidRDefault="00110FDD" w:rsidP="00110FDD">
            <w:r w:rsidRPr="001054E9">
              <w:lastRenderedPageBreak/>
              <w:t>2.</w:t>
            </w:r>
          </w:p>
        </w:tc>
        <w:tc>
          <w:tcPr>
            <w:tcW w:w="1530" w:type="pct"/>
            <w:tcBorders>
              <w:top w:val="outset" w:sz="6" w:space="0" w:color="auto"/>
              <w:left w:val="outset" w:sz="6" w:space="0" w:color="auto"/>
              <w:bottom w:val="outset" w:sz="6" w:space="0" w:color="auto"/>
              <w:right w:val="outset" w:sz="6" w:space="0" w:color="auto"/>
            </w:tcBorders>
          </w:tcPr>
          <w:p w14:paraId="04F0675F" w14:textId="77777777" w:rsidR="00110FDD" w:rsidRPr="001054E9" w:rsidRDefault="00110FDD" w:rsidP="00110FDD">
            <w:r w:rsidRPr="001054E9">
              <w:t>Tiesiskā regulējuma ietekme uz tautsaimniecību un administratīvo slogu</w:t>
            </w:r>
          </w:p>
        </w:tc>
        <w:tc>
          <w:tcPr>
            <w:tcW w:w="3157" w:type="pct"/>
            <w:tcBorders>
              <w:top w:val="outset" w:sz="6" w:space="0" w:color="auto"/>
              <w:left w:val="outset" w:sz="6" w:space="0" w:color="auto"/>
              <w:bottom w:val="outset" w:sz="6" w:space="0" w:color="auto"/>
              <w:right w:val="outset" w:sz="6" w:space="0" w:color="auto"/>
            </w:tcBorders>
          </w:tcPr>
          <w:p w14:paraId="2F6967C2" w14:textId="29D4818E" w:rsidR="00290012" w:rsidRPr="00A939EA" w:rsidRDefault="00244124" w:rsidP="00110FDD">
            <w:pPr>
              <w:jc w:val="both"/>
            </w:pPr>
            <w:r w:rsidRPr="00A939EA">
              <w:t>Noteikumu projekts precizē un papildina komersanta, kas vēlas saņemt speciālo atļauju (licenci) un komersanta, kuram izsniegta speciālā atļauja (licenci) pienākumus</w:t>
            </w:r>
            <w:r w:rsidR="00A939EA">
              <w:t xml:space="preserve"> palielinot</w:t>
            </w:r>
            <w:r w:rsidR="00290012" w:rsidRPr="00A939EA">
              <w:t xml:space="preserve"> administratīvo slogu komersantam.</w:t>
            </w:r>
          </w:p>
          <w:p w14:paraId="3EF3E58B" w14:textId="733B322B" w:rsidR="00F31E27" w:rsidRPr="00A939EA" w:rsidRDefault="00290012" w:rsidP="00110FDD">
            <w:pPr>
              <w:jc w:val="both"/>
            </w:pPr>
            <w:r w:rsidRPr="00A939EA">
              <w:t xml:space="preserve">Noteikumu projekts paredz uzlabotu speciālās atļaujas (licences) paraugu </w:t>
            </w:r>
            <w:r w:rsidR="00F31E27" w:rsidRPr="00A939EA">
              <w:t>ar tulkojumu angļu valodā</w:t>
            </w:r>
            <w:r w:rsidR="00FA030D">
              <w:t>, lai atvieglotu sadarbību ar ārvalstu kuģu īpašniekiem.</w:t>
            </w:r>
          </w:p>
          <w:p w14:paraId="2A0D8467" w14:textId="109708FE" w:rsidR="009A0F62" w:rsidRPr="00A939EA" w:rsidRDefault="00A939EA" w:rsidP="00A939EA">
            <w:pPr>
              <w:jc w:val="both"/>
              <w:rPr>
                <w:highlight w:val="yellow"/>
              </w:rPr>
            </w:pPr>
            <w:r w:rsidRPr="00A939EA">
              <w:t xml:space="preserve">Noteikumu projekts novērš praksē konstatētās problēmas, tādējādi </w:t>
            </w:r>
            <w:r>
              <w:t>pilnveidojot Jūrnieku reģistra darbu un</w:t>
            </w:r>
            <w:r w:rsidRPr="00A939EA">
              <w:t xml:space="preserve"> komersantu uzraudzības </w:t>
            </w:r>
            <w:r>
              <w:t>procesu</w:t>
            </w:r>
            <w:r w:rsidRPr="00A939EA">
              <w:t xml:space="preserve">. </w:t>
            </w:r>
          </w:p>
        </w:tc>
      </w:tr>
      <w:tr w:rsidR="00110FDD" w:rsidRPr="001054E9" w14:paraId="3925C5EB" w14:textId="77777777" w:rsidTr="00110FDD">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1E97E8F1" w14:textId="67262F5D" w:rsidR="00110FDD" w:rsidRPr="001054E9" w:rsidRDefault="00110FDD" w:rsidP="00110FDD">
            <w:r w:rsidRPr="001054E9">
              <w:t>3.</w:t>
            </w:r>
          </w:p>
        </w:tc>
        <w:tc>
          <w:tcPr>
            <w:tcW w:w="1530" w:type="pct"/>
            <w:tcBorders>
              <w:top w:val="outset" w:sz="6" w:space="0" w:color="auto"/>
              <w:left w:val="outset" w:sz="6" w:space="0" w:color="auto"/>
              <w:bottom w:val="outset" w:sz="6" w:space="0" w:color="auto"/>
              <w:right w:val="outset" w:sz="6" w:space="0" w:color="auto"/>
            </w:tcBorders>
            <w:hideMark/>
          </w:tcPr>
          <w:p w14:paraId="44D01D73" w14:textId="77777777" w:rsidR="00110FDD" w:rsidRPr="001054E9" w:rsidRDefault="00110FDD" w:rsidP="00110FDD">
            <w:r w:rsidRPr="001054E9">
              <w:t>Administratīvo izmaksu monetārs novērtējums</w:t>
            </w:r>
          </w:p>
        </w:tc>
        <w:tc>
          <w:tcPr>
            <w:tcW w:w="3157" w:type="pct"/>
            <w:tcBorders>
              <w:top w:val="outset" w:sz="6" w:space="0" w:color="auto"/>
              <w:left w:val="outset" w:sz="6" w:space="0" w:color="auto"/>
              <w:bottom w:val="outset" w:sz="6" w:space="0" w:color="auto"/>
              <w:right w:val="outset" w:sz="6" w:space="0" w:color="auto"/>
            </w:tcBorders>
            <w:hideMark/>
          </w:tcPr>
          <w:p w14:paraId="7F068B95" w14:textId="2BE5DCA6" w:rsidR="00775276" w:rsidRPr="001054E9" w:rsidRDefault="00775276" w:rsidP="00110FDD">
            <w:pPr>
              <w:jc w:val="both"/>
            </w:pPr>
            <w:r w:rsidRPr="00775276">
              <w:t>Administratīvās izmaksas gada laikā mērķgrupai nepārsniedz 2000 euro.</w:t>
            </w:r>
          </w:p>
        </w:tc>
      </w:tr>
      <w:tr w:rsidR="00110FDD" w:rsidRPr="001054E9" w14:paraId="6AEC32C8" w14:textId="77777777" w:rsidTr="00110FDD">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926ACB2" w14:textId="77777777" w:rsidR="00110FDD" w:rsidRPr="001054E9" w:rsidRDefault="00110FDD" w:rsidP="00110FDD">
            <w:r w:rsidRPr="001054E9">
              <w:t>4.</w:t>
            </w:r>
          </w:p>
        </w:tc>
        <w:tc>
          <w:tcPr>
            <w:tcW w:w="1530" w:type="pct"/>
            <w:tcBorders>
              <w:top w:val="outset" w:sz="6" w:space="0" w:color="auto"/>
              <w:left w:val="outset" w:sz="6" w:space="0" w:color="auto"/>
              <w:bottom w:val="outset" w:sz="6" w:space="0" w:color="auto"/>
              <w:right w:val="outset" w:sz="6" w:space="0" w:color="auto"/>
            </w:tcBorders>
            <w:hideMark/>
          </w:tcPr>
          <w:p w14:paraId="5BBC312F" w14:textId="77777777" w:rsidR="00110FDD" w:rsidRPr="001054E9" w:rsidRDefault="00110FDD" w:rsidP="00110FDD">
            <w:r w:rsidRPr="001054E9">
              <w:t>Cita informācija</w:t>
            </w:r>
          </w:p>
        </w:tc>
        <w:tc>
          <w:tcPr>
            <w:tcW w:w="3157" w:type="pct"/>
            <w:tcBorders>
              <w:top w:val="outset" w:sz="6" w:space="0" w:color="auto"/>
              <w:left w:val="outset" w:sz="6" w:space="0" w:color="auto"/>
              <w:bottom w:val="outset" w:sz="6" w:space="0" w:color="auto"/>
              <w:right w:val="outset" w:sz="6" w:space="0" w:color="auto"/>
            </w:tcBorders>
            <w:hideMark/>
          </w:tcPr>
          <w:p w14:paraId="5DB7B01D" w14:textId="77777777" w:rsidR="00110FDD" w:rsidRPr="001054E9" w:rsidRDefault="00110FDD" w:rsidP="00110FDD">
            <w:r w:rsidRPr="001054E9">
              <w:t>Nav.</w:t>
            </w:r>
          </w:p>
        </w:tc>
      </w:tr>
    </w:tbl>
    <w:p w14:paraId="0265123B" w14:textId="77777777" w:rsidR="00AF28BD" w:rsidRPr="001054E9" w:rsidRDefault="00AF28BD" w:rsidP="008F2C79">
      <w:pPr>
        <w:jc w:val="both"/>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7"/>
      </w:tblGrid>
      <w:tr w:rsidR="00AF28BD" w:rsidRPr="001054E9" w14:paraId="0F1063C2" w14:textId="77777777" w:rsidTr="007F3773">
        <w:trPr>
          <w:trHeight w:val="42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7A790060" w14:textId="77777777" w:rsidR="00AF28BD" w:rsidRPr="001054E9" w:rsidRDefault="00AF28BD" w:rsidP="007F3773">
            <w:pPr>
              <w:pStyle w:val="naisnod"/>
              <w:spacing w:before="0" w:after="0"/>
              <w:ind w:left="57" w:right="57"/>
              <w:rPr>
                <w:bCs w:val="0"/>
              </w:rPr>
            </w:pPr>
            <w:r w:rsidRPr="001054E9">
              <w:t xml:space="preserve">III. </w:t>
            </w:r>
            <w:r w:rsidRPr="001054E9">
              <w:rPr>
                <w:bCs w:val="0"/>
              </w:rPr>
              <w:t>Tiesību akta projekta ietekme uz valsts budžetu un pašvaldību budžetiem</w:t>
            </w:r>
          </w:p>
        </w:tc>
      </w:tr>
      <w:tr w:rsidR="00AF28BD" w:rsidRPr="001054E9" w14:paraId="76B32CC2" w14:textId="77777777" w:rsidTr="007F3773">
        <w:trPr>
          <w:trHeight w:val="410"/>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02CFBDDB" w14:textId="77777777" w:rsidR="00AF28BD" w:rsidRPr="001054E9" w:rsidRDefault="00AF28BD" w:rsidP="007F3773">
            <w:pPr>
              <w:ind w:left="57" w:right="57"/>
              <w:jc w:val="center"/>
              <w:rPr>
                <w:bCs/>
              </w:rPr>
            </w:pPr>
            <w:r w:rsidRPr="001054E9">
              <w:t>Noteikumu projekts šo jomu neskar.</w:t>
            </w:r>
          </w:p>
        </w:tc>
      </w:tr>
    </w:tbl>
    <w:p w14:paraId="52C90324" w14:textId="77777777" w:rsidR="00AF28BD" w:rsidRPr="001054E9" w:rsidRDefault="00AF28BD" w:rsidP="008F2C79">
      <w:pPr>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AF28BD" w:rsidRPr="001054E9" w14:paraId="4C704EA0" w14:textId="77777777" w:rsidTr="007F3773">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48A65CE" w14:textId="77777777" w:rsidR="00AF28BD" w:rsidRPr="001054E9" w:rsidRDefault="00AF28BD" w:rsidP="007F3773">
            <w:pPr>
              <w:ind w:firstLine="300"/>
              <w:jc w:val="center"/>
              <w:rPr>
                <w:b/>
                <w:bCs/>
              </w:rPr>
            </w:pPr>
            <w:r w:rsidRPr="001054E9">
              <w:rPr>
                <w:b/>
                <w:bCs/>
              </w:rPr>
              <w:t>IV. Tiesību akta projekta ietekme uz spēkā esošo tiesību normu sistēmu</w:t>
            </w:r>
          </w:p>
        </w:tc>
      </w:tr>
      <w:tr w:rsidR="002E1FBB" w:rsidRPr="001054E9" w14:paraId="0FE3EC2E" w14:textId="77777777" w:rsidTr="002E1FBB">
        <w:tc>
          <w:tcPr>
            <w:tcW w:w="5000" w:type="pct"/>
            <w:tcBorders>
              <w:top w:val="outset" w:sz="6" w:space="0" w:color="414142"/>
              <w:left w:val="outset" w:sz="6" w:space="0" w:color="414142"/>
              <w:bottom w:val="outset" w:sz="6" w:space="0" w:color="414142"/>
              <w:right w:val="outset" w:sz="6" w:space="0" w:color="414142"/>
            </w:tcBorders>
            <w:hideMark/>
          </w:tcPr>
          <w:p w14:paraId="0B853236" w14:textId="77777777" w:rsidR="002E1FBB" w:rsidRPr="002E1FBB" w:rsidRDefault="002E1FBB" w:rsidP="002E1FBB">
            <w:pPr>
              <w:pStyle w:val="ListParagraph"/>
              <w:spacing w:after="0" w:line="240" w:lineRule="auto"/>
              <w:ind w:left="0"/>
              <w:jc w:val="center"/>
              <w:rPr>
                <w:rFonts w:ascii="Times New Roman" w:eastAsia="Times New Roman" w:hAnsi="Times New Roman"/>
                <w:sz w:val="24"/>
                <w:szCs w:val="24"/>
                <w:lang w:eastAsia="lv-LV"/>
              </w:rPr>
            </w:pPr>
            <w:r w:rsidRPr="002E1FBB">
              <w:rPr>
                <w:rFonts w:ascii="Times New Roman" w:hAnsi="Times New Roman"/>
                <w:sz w:val="24"/>
                <w:szCs w:val="24"/>
              </w:rPr>
              <w:t>Noteikumu projekts šo jomu neskar</w:t>
            </w:r>
            <w:r w:rsidR="009A197C">
              <w:rPr>
                <w:rFonts w:ascii="Times New Roman" w:hAnsi="Times New Roman"/>
                <w:sz w:val="24"/>
                <w:szCs w:val="24"/>
              </w:rPr>
              <w:t>.</w:t>
            </w:r>
          </w:p>
        </w:tc>
      </w:tr>
    </w:tbl>
    <w:p w14:paraId="5F8E383F" w14:textId="77777777" w:rsidR="001C695B" w:rsidRDefault="001C695B" w:rsidP="008F2C79">
      <w:pPr>
        <w:jc w:val="both"/>
      </w:pPr>
    </w:p>
    <w:tbl>
      <w:tblPr>
        <w:tblW w:w="9072" w:type="dxa"/>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70"/>
        <w:gridCol w:w="2087"/>
        <w:gridCol w:w="6715"/>
      </w:tblGrid>
      <w:tr w:rsidR="001C695B" w:rsidRPr="009231C2" w14:paraId="0A391CAD" w14:textId="77777777" w:rsidTr="001C695B">
        <w:tc>
          <w:tcPr>
            <w:tcW w:w="9072" w:type="dxa"/>
            <w:gridSpan w:val="3"/>
            <w:tcBorders>
              <w:top w:val="single" w:sz="6" w:space="0" w:color="auto"/>
              <w:left w:val="single" w:sz="6" w:space="0" w:color="auto"/>
              <w:bottom w:val="outset" w:sz="6" w:space="0" w:color="000000"/>
              <w:right w:val="single" w:sz="6" w:space="0" w:color="auto"/>
            </w:tcBorders>
          </w:tcPr>
          <w:p w14:paraId="38CC21CA" w14:textId="77777777" w:rsidR="001C695B" w:rsidRPr="009231C2" w:rsidRDefault="001C695B" w:rsidP="001C695B">
            <w:pPr>
              <w:jc w:val="center"/>
              <w:rPr>
                <w:b/>
                <w:bCs/>
              </w:rPr>
            </w:pPr>
            <w:r w:rsidRPr="009231C2">
              <w:rPr>
                <w:b/>
                <w:bCs/>
              </w:rPr>
              <w:t>V. Tiesību akta projekta atbilstība Latvijas Republikas starptautiskajām saistībām</w:t>
            </w:r>
          </w:p>
        </w:tc>
      </w:tr>
      <w:tr w:rsidR="001C695B" w:rsidRPr="001C695B" w14:paraId="1F188337" w14:textId="77777777" w:rsidTr="001C695B">
        <w:tc>
          <w:tcPr>
            <w:tcW w:w="270" w:type="dxa"/>
            <w:tcBorders>
              <w:top w:val="outset" w:sz="6" w:space="0" w:color="000000"/>
              <w:left w:val="outset" w:sz="6" w:space="0" w:color="000000"/>
              <w:bottom w:val="outset" w:sz="6" w:space="0" w:color="000000"/>
              <w:right w:val="outset" w:sz="6" w:space="0" w:color="000000"/>
            </w:tcBorders>
          </w:tcPr>
          <w:p w14:paraId="4C0DC79A" w14:textId="77777777" w:rsidR="001C695B" w:rsidRPr="00A57A55" w:rsidRDefault="001C695B" w:rsidP="001C695B">
            <w:pPr>
              <w:jc w:val="both"/>
            </w:pPr>
            <w:r w:rsidRPr="00A57A55">
              <w:t>1.</w:t>
            </w:r>
          </w:p>
        </w:tc>
        <w:tc>
          <w:tcPr>
            <w:tcW w:w="2087" w:type="dxa"/>
            <w:tcBorders>
              <w:top w:val="outset" w:sz="6" w:space="0" w:color="000000"/>
              <w:left w:val="outset" w:sz="6" w:space="0" w:color="000000"/>
              <w:bottom w:val="outset" w:sz="6" w:space="0" w:color="000000"/>
              <w:right w:val="outset" w:sz="6" w:space="0" w:color="000000"/>
            </w:tcBorders>
          </w:tcPr>
          <w:p w14:paraId="47AF45F9" w14:textId="77777777" w:rsidR="001C695B" w:rsidRPr="00A57A55" w:rsidRDefault="001C695B" w:rsidP="001C695B">
            <w:pPr>
              <w:jc w:val="both"/>
            </w:pPr>
            <w:r w:rsidRPr="00A57A55">
              <w:t>Saistības pret Eiropas Savienību</w:t>
            </w:r>
          </w:p>
        </w:tc>
        <w:tc>
          <w:tcPr>
            <w:tcW w:w="6715" w:type="dxa"/>
            <w:tcBorders>
              <w:top w:val="outset" w:sz="6" w:space="0" w:color="000000"/>
              <w:left w:val="outset" w:sz="6" w:space="0" w:color="000000"/>
              <w:bottom w:val="outset" w:sz="6" w:space="0" w:color="000000"/>
              <w:right w:val="outset" w:sz="6" w:space="0" w:color="000000"/>
            </w:tcBorders>
          </w:tcPr>
          <w:p w14:paraId="2A1C31EF" w14:textId="77777777" w:rsidR="001C695B" w:rsidRPr="00A57A55" w:rsidRDefault="001C695B" w:rsidP="001C695B">
            <w:pPr>
              <w:jc w:val="both"/>
            </w:pPr>
            <w:r w:rsidRPr="00A57A55">
              <w:t>1) Eiropas Parlamenta un Padomes 2008.gada 19.novembra Direktīva 2008/106/EK par jūrnieku minimālo sagatavotības līmeni;</w:t>
            </w:r>
          </w:p>
          <w:p w14:paraId="16B45473" w14:textId="77777777" w:rsidR="001C695B" w:rsidRPr="00A57A55" w:rsidRDefault="001C695B" w:rsidP="001C695B">
            <w:pPr>
              <w:jc w:val="both"/>
            </w:pPr>
            <w:r w:rsidRPr="00A57A55">
              <w:t>2) Eiropas Parlamenta un Padomes 2012.gada 21.novembra Direktīva 2012/35/ES, ar ko groza Direktīvu 2008/106/EK par jūrnieku minimālo sagatavotības līmeni.</w:t>
            </w:r>
          </w:p>
        </w:tc>
      </w:tr>
      <w:tr w:rsidR="001C695B" w:rsidRPr="00A57A55" w14:paraId="7E1CBF5B" w14:textId="77777777" w:rsidTr="001C695B">
        <w:tc>
          <w:tcPr>
            <w:tcW w:w="270" w:type="dxa"/>
            <w:tcBorders>
              <w:top w:val="outset" w:sz="6" w:space="0" w:color="000000"/>
              <w:left w:val="outset" w:sz="6" w:space="0" w:color="000000"/>
              <w:bottom w:val="outset" w:sz="6" w:space="0" w:color="000000"/>
              <w:right w:val="outset" w:sz="6" w:space="0" w:color="000000"/>
            </w:tcBorders>
          </w:tcPr>
          <w:p w14:paraId="0A6E9ABE" w14:textId="77777777" w:rsidR="001C695B" w:rsidRPr="00A57A55" w:rsidRDefault="001C695B" w:rsidP="001C695B">
            <w:pPr>
              <w:jc w:val="both"/>
            </w:pPr>
            <w:r w:rsidRPr="00A57A55">
              <w:t>2.</w:t>
            </w:r>
          </w:p>
        </w:tc>
        <w:tc>
          <w:tcPr>
            <w:tcW w:w="2087" w:type="dxa"/>
            <w:tcBorders>
              <w:top w:val="outset" w:sz="6" w:space="0" w:color="000000"/>
              <w:left w:val="outset" w:sz="6" w:space="0" w:color="000000"/>
              <w:bottom w:val="outset" w:sz="6" w:space="0" w:color="000000"/>
              <w:right w:val="outset" w:sz="6" w:space="0" w:color="000000"/>
            </w:tcBorders>
          </w:tcPr>
          <w:p w14:paraId="5033229F" w14:textId="77777777" w:rsidR="001C695B" w:rsidRPr="00A57A55" w:rsidRDefault="001C695B" w:rsidP="001C695B">
            <w:pPr>
              <w:jc w:val="both"/>
            </w:pPr>
            <w:r w:rsidRPr="00A57A55">
              <w:t>Citas starptautiskās saistības</w:t>
            </w:r>
          </w:p>
        </w:tc>
        <w:tc>
          <w:tcPr>
            <w:tcW w:w="6715" w:type="dxa"/>
            <w:tcBorders>
              <w:top w:val="outset" w:sz="6" w:space="0" w:color="000000"/>
              <w:left w:val="outset" w:sz="6" w:space="0" w:color="000000"/>
              <w:bottom w:val="outset" w:sz="6" w:space="0" w:color="000000"/>
              <w:right w:val="outset" w:sz="6" w:space="0" w:color="000000"/>
            </w:tcBorders>
          </w:tcPr>
          <w:p w14:paraId="54C3FF0F" w14:textId="0CADE68D" w:rsidR="001C695B" w:rsidRPr="00A57A55" w:rsidRDefault="001C695B" w:rsidP="00CC3EEA">
            <w:pPr>
              <w:jc w:val="both"/>
              <w:rPr>
                <w:bCs/>
              </w:rPr>
            </w:pPr>
            <w:r w:rsidRPr="00A57A55">
              <w:rPr>
                <w:bCs/>
              </w:rPr>
              <w:t>Nav</w:t>
            </w:r>
            <w:r w:rsidR="00CC3EEA">
              <w:rPr>
                <w:bCs/>
              </w:rPr>
              <w:t>.</w:t>
            </w:r>
          </w:p>
        </w:tc>
      </w:tr>
      <w:tr w:rsidR="001C695B" w:rsidRPr="00A57A55" w14:paraId="41D4B522" w14:textId="77777777" w:rsidTr="001C695B">
        <w:tc>
          <w:tcPr>
            <w:tcW w:w="270" w:type="dxa"/>
            <w:tcBorders>
              <w:top w:val="outset" w:sz="6" w:space="0" w:color="000000"/>
              <w:left w:val="outset" w:sz="6" w:space="0" w:color="000000"/>
              <w:bottom w:val="outset" w:sz="6" w:space="0" w:color="000000"/>
              <w:right w:val="outset" w:sz="6" w:space="0" w:color="000000"/>
            </w:tcBorders>
          </w:tcPr>
          <w:p w14:paraId="2FE60F41" w14:textId="77777777" w:rsidR="001C695B" w:rsidRPr="00A57A55" w:rsidRDefault="001C695B" w:rsidP="001C695B">
            <w:pPr>
              <w:jc w:val="both"/>
            </w:pPr>
            <w:r w:rsidRPr="00A57A55">
              <w:t>3.</w:t>
            </w:r>
          </w:p>
        </w:tc>
        <w:tc>
          <w:tcPr>
            <w:tcW w:w="2087" w:type="dxa"/>
            <w:tcBorders>
              <w:top w:val="outset" w:sz="6" w:space="0" w:color="000000"/>
              <w:left w:val="outset" w:sz="6" w:space="0" w:color="000000"/>
              <w:bottom w:val="outset" w:sz="6" w:space="0" w:color="000000"/>
              <w:right w:val="outset" w:sz="6" w:space="0" w:color="000000"/>
            </w:tcBorders>
          </w:tcPr>
          <w:p w14:paraId="27E3FA92" w14:textId="77777777" w:rsidR="001C695B" w:rsidRPr="00A57A55" w:rsidRDefault="001C695B" w:rsidP="001C695B">
            <w:pPr>
              <w:jc w:val="both"/>
            </w:pPr>
            <w:r w:rsidRPr="00A57A55">
              <w:t>Cita informācija</w:t>
            </w:r>
          </w:p>
        </w:tc>
        <w:tc>
          <w:tcPr>
            <w:tcW w:w="6715" w:type="dxa"/>
            <w:tcBorders>
              <w:top w:val="outset" w:sz="6" w:space="0" w:color="000000"/>
              <w:left w:val="outset" w:sz="6" w:space="0" w:color="000000"/>
              <w:bottom w:val="outset" w:sz="6" w:space="0" w:color="000000"/>
              <w:right w:val="outset" w:sz="6" w:space="0" w:color="000000"/>
            </w:tcBorders>
          </w:tcPr>
          <w:p w14:paraId="7010713A" w14:textId="77B0F2EA" w:rsidR="001C695B" w:rsidRPr="00A57A55" w:rsidRDefault="001C695B" w:rsidP="001C695B">
            <w:pPr>
              <w:jc w:val="both"/>
            </w:pPr>
            <w:r w:rsidRPr="00A57A55">
              <w:t>Nav</w:t>
            </w:r>
            <w:r w:rsidR="002A0E9B">
              <w:t>.</w:t>
            </w:r>
          </w:p>
        </w:tc>
      </w:tr>
    </w:tbl>
    <w:p w14:paraId="1835A4F5" w14:textId="77777777" w:rsidR="001C695B" w:rsidRPr="001C695B" w:rsidRDefault="001C695B" w:rsidP="001C695B">
      <w:pPr>
        <w:jc w:val="both"/>
        <w:rPr>
          <w:highlight w:val="yellow"/>
        </w:rPr>
      </w:pPr>
    </w:p>
    <w:tbl>
      <w:tblPr>
        <w:tblW w:w="4984"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006"/>
        <w:gridCol w:w="2962"/>
        <w:gridCol w:w="2155"/>
        <w:gridCol w:w="1903"/>
      </w:tblGrid>
      <w:tr w:rsidR="001C695B" w:rsidRPr="001C695B" w14:paraId="4B95D41F" w14:textId="77777777" w:rsidTr="00ED6243">
        <w:tc>
          <w:tcPr>
            <w:tcW w:w="5000" w:type="pct"/>
            <w:gridSpan w:val="4"/>
            <w:tcBorders>
              <w:top w:val="outset" w:sz="6" w:space="0" w:color="000000"/>
              <w:left w:val="outset" w:sz="6" w:space="0" w:color="000000"/>
              <w:bottom w:val="outset" w:sz="6" w:space="0" w:color="000000"/>
              <w:right w:val="outset" w:sz="6" w:space="0" w:color="000000"/>
            </w:tcBorders>
            <w:vAlign w:val="center"/>
          </w:tcPr>
          <w:p w14:paraId="5D06090B" w14:textId="77777777" w:rsidR="001C695B" w:rsidRPr="001C695B" w:rsidRDefault="001C695B" w:rsidP="001C695B">
            <w:pPr>
              <w:jc w:val="center"/>
              <w:rPr>
                <w:b/>
                <w:highlight w:val="yellow"/>
              </w:rPr>
            </w:pPr>
            <w:r w:rsidRPr="00A57A55">
              <w:rPr>
                <w:b/>
                <w:bCs/>
              </w:rPr>
              <w:t>1.tabula</w:t>
            </w:r>
            <w:r w:rsidRPr="00A57A55">
              <w:rPr>
                <w:b/>
                <w:bCs/>
              </w:rPr>
              <w:br/>
              <w:t>Tiesību akta projekta atbilstība ES tiesību aktiem</w:t>
            </w:r>
          </w:p>
        </w:tc>
      </w:tr>
      <w:tr w:rsidR="001C695B" w:rsidRPr="00A57A55" w14:paraId="37132D25" w14:textId="77777777" w:rsidTr="00ED6243">
        <w:tc>
          <w:tcPr>
            <w:tcW w:w="0" w:type="auto"/>
            <w:tcBorders>
              <w:top w:val="outset" w:sz="6" w:space="0" w:color="000000"/>
              <w:left w:val="outset" w:sz="6" w:space="0" w:color="000000"/>
              <w:bottom w:val="outset" w:sz="6" w:space="0" w:color="000000"/>
              <w:right w:val="outset" w:sz="6" w:space="0" w:color="000000"/>
            </w:tcBorders>
            <w:vAlign w:val="center"/>
          </w:tcPr>
          <w:p w14:paraId="4DF77D08" w14:textId="77777777" w:rsidR="001C695B" w:rsidRPr="00A57A55" w:rsidRDefault="001C695B" w:rsidP="001C695B">
            <w:pPr>
              <w:jc w:val="both"/>
            </w:pPr>
            <w:r w:rsidRPr="00A57A55">
              <w:t>Attiecīgā ES tiesību akta datums, numurs un nosaukums</w:t>
            </w:r>
          </w:p>
        </w:tc>
        <w:tc>
          <w:tcPr>
            <w:tcW w:w="3889" w:type="pct"/>
            <w:gridSpan w:val="3"/>
            <w:tcBorders>
              <w:top w:val="outset" w:sz="6" w:space="0" w:color="000000"/>
              <w:left w:val="outset" w:sz="6" w:space="0" w:color="000000"/>
              <w:bottom w:val="outset" w:sz="6" w:space="0" w:color="000000"/>
              <w:right w:val="outset" w:sz="6" w:space="0" w:color="000000"/>
            </w:tcBorders>
            <w:vAlign w:val="center"/>
          </w:tcPr>
          <w:p w14:paraId="0A5C5D14" w14:textId="77777777" w:rsidR="00533BB8" w:rsidRPr="00533BB8" w:rsidRDefault="00533BB8" w:rsidP="00533BB8">
            <w:pPr>
              <w:jc w:val="both"/>
            </w:pPr>
            <w:r w:rsidRPr="00533BB8">
              <w:t>Eiropas Parlamenta un Padomes 2008.gada 19.novembra Direktīva 2008/106/EK par jūrnieku minimālo sagatavotības līmeni. Publicēta „Eiropas Savienības Oficiālajā Vēstnesī” L 323/33, 03.12.2008.</w:t>
            </w:r>
          </w:p>
          <w:p w14:paraId="2A847898" w14:textId="146B784C" w:rsidR="001C695B" w:rsidRPr="00A57A55" w:rsidRDefault="00533BB8" w:rsidP="00533BB8">
            <w:pPr>
              <w:jc w:val="both"/>
            </w:pPr>
            <w:r w:rsidRPr="00533BB8">
              <w:t>Eiropas Parlamenta un Padomes 2012.gada 21.novembra Direktīva 2012/35/ES, ar ko groza Direktīvu 2008/106/EK par jūrnieku minimālo sagatavotības līmeni. Publicēta „Eiropas Savienības Oficiālajā Vēstnesī” L 343/78, 14.12.2012.</w:t>
            </w:r>
          </w:p>
        </w:tc>
      </w:tr>
      <w:tr w:rsidR="001C695B" w:rsidRPr="00A57A55" w14:paraId="2A24C49A" w14:textId="77777777" w:rsidTr="00ED6243">
        <w:tc>
          <w:tcPr>
            <w:tcW w:w="1111" w:type="pct"/>
            <w:tcBorders>
              <w:top w:val="outset" w:sz="6" w:space="0" w:color="000000"/>
              <w:left w:val="outset" w:sz="6" w:space="0" w:color="000000"/>
              <w:bottom w:val="outset" w:sz="6" w:space="0" w:color="000000"/>
              <w:right w:val="outset" w:sz="6" w:space="0" w:color="000000"/>
            </w:tcBorders>
            <w:vAlign w:val="center"/>
          </w:tcPr>
          <w:p w14:paraId="1D1840CE" w14:textId="77777777" w:rsidR="001C695B" w:rsidRPr="00A57A55" w:rsidRDefault="001C695B" w:rsidP="001C695B">
            <w:pPr>
              <w:jc w:val="both"/>
            </w:pPr>
            <w:r w:rsidRPr="00A57A55">
              <w:t>A</w:t>
            </w:r>
          </w:p>
        </w:tc>
        <w:tc>
          <w:tcPr>
            <w:tcW w:w="1641" w:type="pct"/>
            <w:tcBorders>
              <w:top w:val="outset" w:sz="6" w:space="0" w:color="000000"/>
              <w:left w:val="outset" w:sz="6" w:space="0" w:color="000000"/>
              <w:bottom w:val="outset" w:sz="6" w:space="0" w:color="000000"/>
              <w:right w:val="outset" w:sz="6" w:space="0" w:color="000000"/>
            </w:tcBorders>
            <w:vAlign w:val="center"/>
          </w:tcPr>
          <w:p w14:paraId="467AE904" w14:textId="77777777" w:rsidR="001C695B" w:rsidRPr="00A57A55" w:rsidRDefault="001C695B" w:rsidP="001C695B">
            <w:pPr>
              <w:jc w:val="both"/>
            </w:pPr>
            <w:r w:rsidRPr="00A57A55">
              <w:t>B</w:t>
            </w:r>
          </w:p>
        </w:tc>
        <w:tc>
          <w:tcPr>
            <w:tcW w:w="1194" w:type="pct"/>
            <w:tcBorders>
              <w:top w:val="outset" w:sz="6" w:space="0" w:color="000000"/>
              <w:left w:val="outset" w:sz="6" w:space="0" w:color="000000"/>
              <w:bottom w:val="outset" w:sz="6" w:space="0" w:color="000000"/>
              <w:right w:val="outset" w:sz="6" w:space="0" w:color="000000"/>
            </w:tcBorders>
            <w:vAlign w:val="center"/>
          </w:tcPr>
          <w:p w14:paraId="744A118C" w14:textId="77777777" w:rsidR="001C695B" w:rsidRPr="00A57A55" w:rsidRDefault="001C695B" w:rsidP="001C695B">
            <w:pPr>
              <w:jc w:val="both"/>
            </w:pPr>
            <w:r w:rsidRPr="00A57A55">
              <w:t>C</w:t>
            </w:r>
          </w:p>
        </w:tc>
        <w:tc>
          <w:tcPr>
            <w:tcW w:w="1054" w:type="pct"/>
            <w:tcBorders>
              <w:top w:val="outset" w:sz="6" w:space="0" w:color="000000"/>
              <w:left w:val="outset" w:sz="6" w:space="0" w:color="000000"/>
              <w:bottom w:val="outset" w:sz="6" w:space="0" w:color="000000"/>
              <w:right w:val="outset" w:sz="6" w:space="0" w:color="000000"/>
            </w:tcBorders>
            <w:vAlign w:val="center"/>
          </w:tcPr>
          <w:p w14:paraId="5890128E" w14:textId="77777777" w:rsidR="001C695B" w:rsidRPr="00A57A55" w:rsidRDefault="001C695B" w:rsidP="001C695B">
            <w:pPr>
              <w:jc w:val="both"/>
            </w:pPr>
            <w:r w:rsidRPr="00A57A55">
              <w:t>D</w:t>
            </w:r>
          </w:p>
        </w:tc>
      </w:tr>
      <w:tr w:rsidR="001C695B" w:rsidRPr="00A57A55" w14:paraId="4CBA20A3" w14:textId="77777777" w:rsidTr="00ED6243">
        <w:tc>
          <w:tcPr>
            <w:tcW w:w="1111" w:type="pct"/>
            <w:tcBorders>
              <w:top w:val="outset" w:sz="6" w:space="0" w:color="000000"/>
              <w:left w:val="outset" w:sz="6" w:space="0" w:color="000000"/>
              <w:bottom w:val="outset" w:sz="6" w:space="0" w:color="000000"/>
              <w:right w:val="outset" w:sz="6" w:space="0" w:color="000000"/>
            </w:tcBorders>
          </w:tcPr>
          <w:p w14:paraId="5F971AD0" w14:textId="77777777" w:rsidR="001C695B" w:rsidRPr="00A57A55" w:rsidRDefault="001C695B" w:rsidP="001C695B">
            <w:pPr>
              <w:jc w:val="both"/>
            </w:pPr>
            <w:r w:rsidRPr="00A57A55">
              <w:t xml:space="preserve">Attiecīgā ES tiesību akta panta numurs </w:t>
            </w:r>
            <w:r w:rsidRPr="00A57A55">
              <w:lastRenderedPageBreak/>
              <w:t>(uzskaitot katru tiesību akta</w:t>
            </w:r>
            <w:r w:rsidRPr="00A57A55">
              <w:br/>
              <w:t>vienību - pantu, daļu, punktu, apakšpunktu)</w:t>
            </w:r>
          </w:p>
        </w:tc>
        <w:tc>
          <w:tcPr>
            <w:tcW w:w="1641" w:type="pct"/>
            <w:tcBorders>
              <w:top w:val="outset" w:sz="6" w:space="0" w:color="000000"/>
              <w:left w:val="outset" w:sz="6" w:space="0" w:color="000000"/>
              <w:bottom w:val="outset" w:sz="6" w:space="0" w:color="000000"/>
              <w:right w:val="single" w:sz="4" w:space="0" w:color="auto"/>
            </w:tcBorders>
          </w:tcPr>
          <w:p w14:paraId="42EC99B8" w14:textId="77777777" w:rsidR="001C695B" w:rsidRPr="00A57A55" w:rsidRDefault="001C695B" w:rsidP="001C695B">
            <w:pPr>
              <w:jc w:val="both"/>
            </w:pPr>
            <w:r w:rsidRPr="00A57A55">
              <w:lastRenderedPageBreak/>
              <w:t xml:space="preserve">Projekta vienība, kas pārņem vai ievieš katru šīs tabulas A </w:t>
            </w:r>
            <w:r w:rsidRPr="00A57A55">
              <w:lastRenderedPageBreak/>
              <w:t>ailē minēto ES tiesību akta vienību, vai tiesību akts, kur attiecīgā ES tiesību akta vienība pārņemta vai ieviesta</w:t>
            </w:r>
          </w:p>
        </w:tc>
        <w:tc>
          <w:tcPr>
            <w:tcW w:w="1194" w:type="pct"/>
            <w:tcBorders>
              <w:top w:val="outset" w:sz="6" w:space="0" w:color="000000"/>
              <w:left w:val="single" w:sz="4" w:space="0" w:color="auto"/>
              <w:bottom w:val="outset" w:sz="6" w:space="0" w:color="000000"/>
              <w:right w:val="single" w:sz="4" w:space="0" w:color="auto"/>
            </w:tcBorders>
          </w:tcPr>
          <w:p w14:paraId="09D200DD" w14:textId="77777777" w:rsidR="001C695B" w:rsidRPr="00A57A55" w:rsidRDefault="001C695B" w:rsidP="001C695B">
            <w:pPr>
              <w:jc w:val="both"/>
            </w:pPr>
            <w:r w:rsidRPr="00A57A55">
              <w:lastRenderedPageBreak/>
              <w:t xml:space="preserve">Informācija par to, vai šīs tabulas A ailē </w:t>
            </w:r>
            <w:r w:rsidRPr="00A57A55">
              <w:lastRenderedPageBreak/>
              <w:t>minētās ES tiesību akta vienības tiek pārņemtas vai ieviestas pilnībā vai daļēji.</w:t>
            </w:r>
          </w:p>
          <w:p w14:paraId="5877C9AB" w14:textId="77777777" w:rsidR="001C695B" w:rsidRPr="00A57A55" w:rsidRDefault="001C695B" w:rsidP="001C695B">
            <w:pPr>
              <w:jc w:val="both"/>
            </w:pPr>
            <w:r w:rsidRPr="00A57A55">
              <w:t>Ja attiecīgā ES tiesību akta vienība tiek pārņemta vai ieviesta daļēji, - sniedz attiecīgu skaidrojumu, kā arī precīzi norāda, kad un kādā veidā ES tiesību akta vienība tiks pārņemta vai ieviesta pilnībā.</w:t>
            </w:r>
          </w:p>
          <w:p w14:paraId="0680857C" w14:textId="77777777" w:rsidR="001C695B" w:rsidRPr="00A57A55" w:rsidRDefault="001C695B" w:rsidP="001C695B">
            <w:pPr>
              <w:jc w:val="both"/>
            </w:pPr>
            <w:r w:rsidRPr="00A57A55">
              <w:t>Norāda institūciju, kas ir atbildīga par šo saistību izpildi pilnībā</w:t>
            </w:r>
          </w:p>
        </w:tc>
        <w:tc>
          <w:tcPr>
            <w:tcW w:w="1054" w:type="pct"/>
            <w:tcBorders>
              <w:top w:val="outset" w:sz="6" w:space="0" w:color="000000"/>
              <w:left w:val="single" w:sz="4" w:space="0" w:color="auto"/>
              <w:bottom w:val="outset" w:sz="6" w:space="0" w:color="000000"/>
              <w:right w:val="outset" w:sz="6" w:space="0" w:color="000000"/>
            </w:tcBorders>
          </w:tcPr>
          <w:p w14:paraId="0B8D89CB" w14:textId="77777777" w:rsidR="001C695B" w:rsidRPr="00A57A55" w:rsidRDefault="001C695B" w:rsidP="001C695B">
            <w:pPr>
              <w:jc w:val="both"/>
            </w:pPr>
            <w:r w:rsidRPr="00A57A55">
              <w:lastRenderedPageBreak/>
              <w:t xml:space="preserve">Informācija par to, vai šīs tabulas B </w:t>
            </w:r>
            <w:r w:rsidRPr="00A57A55">
              <w:lastRenderedPageBreak/>
              <w:t>ailē minētās projekta vienības paredz stingrākas prasības nekā šīs tabulas A ailē minētās ES tiesību akta vienības.</w:t>
            </w:r>
          </w:p>
          <w:p w14:paraId="4FEBD682" w14:textId="77777777" w:rsidR="001C695B" w:rsidRPr="00A57A55" w:rsidRDefault="001C695B" w:rsidP="001C695B">
            <w:pPr>
              <w:jc w:val="both"/>
            </w:pPr>
            <w:r w:rsidRPr="00A57A55">
              <w:t>Ja projekts satur stingrākas prasības nekā attiecīgais ES tiesību akts, - norāda pamatojumu un samērīgumu.</w:t>
            </w:r>
          </w:p>
          <w:p w14:paraId="2591280C" w14:textId="77777777" w:rsidR="001C695B" w:rsidRPr="00A57A55" w:rsidRDefault="001C695B" w:rsidP="001C695B">
            <w:pPr>
              <w:jc w:val="both"/>
            </w:pPr>
            <w:r w:rsidRPr="00A57A55">
              <w:t>Norāda iespējamās alternatīvas (t.sk. alternatīvas, kas neparedz tiesiskā regulējuma izstrādi) - kādos gadījumos būtu iespējams izvairīties no stingrāku prasību noteikšanas, nekā paredzēts attiecīgajos ES tiesību aktos</w:t>
            </w:r>
          </w:p>
        </w:tc>
      </w:tr>
      <w:tr w:rsidR="001C695B" w:rsidRPr="001C695B" w14:paraId="286F454A" w14:textId="77777777" w:rsidTr="00ED6243">
        <w:tc>
          <w:tcPr>
            <w:tcW w:w="1111" w:type="pct"/>
            <w:tcBorders>
              <w:top w:val="outset" w:sz="6" w:space="0" w:color="000000"/>
              <w:left w:val="outset" w:sz="6" w:space="0" w:color="000000"/>
              <w:bottom w:val="single" w:sz="4" w:space="0" w:color="auto"/>
              <w:right w:val="outset" w:sz="6" w:space="0" w:color="000000"/>
            </w:tcBorders>
          </w:tcPr>
          <w:p w14:paraId="1B82E39C" w14:textId="1A570626" w:rsidR="001C695B" w:rsidRPr="00CC3EEA" w:rsidRDefault="0046358B" w:rsidP="001C695B">
            <w:pPr>
              <w:jc w:val="both"/>
              <w:rPr>
                <w:bCs/>
              </w:rPr>
            </w:pPr>
            <w:r w:rsidRPr="00CC3EEA">
              <w:lastRenderedPageBreak/>
              <w:t xml:space="preserve">Direktīvas 2008/106/EK </w:t>
            </w:r>
            <w:r w:rsidR="001C695B" w:rsidRPr="00CC3EEA">
              <w:rPr>
                <w:bCs/>
              </w:rPr>
              <w:t>14.panta 1.punkta a)apakšpunkts</w:t>
            </w:r>
          </w:p>
          <w:p w14:paraId="07629BB6" w14:textId="77777777" w:rsidR="001C695B" w:rsidRPr="00CC3EEA" w:rsidRDefault="001C695B" w:rsidP="001C695B">
            <w:pPr>
              <w:jc w:val="both"/>
              <w:rPr>
                <w:bCs/>
              </w:rPr>
            </w:pPr>
          </w:p>
        </w:tc>
        <w:tc>
          <w:tcPr>
            <w:tcW w:w="1641" w:type="pct"/>
            <w:tcBorders>
              <w:top w:val="outset" w:sz="6" w:space="0" w:color="000000"/>
              <w:left w:val="outset" w:sz="6" w:space="0" w:color="000000"/>
              <w:bottom w:val="single" w:sz="4" w:space="0" w:color="auto"/>
              <w:right w:val="single" w:sz="4" w:space="0" w:color="auto"/>
            </w:tcBorders>
            <w:shd w:val="clear" w:color="auto" w:fill="auto"/>
          </w:tcPr>
          <w:p w14:paraId="6CFC45E5" w14:textId="77777777" w:rsidR="001C695B" w:rsidRPr="00CC3EEA" w:rsidRDefault="001C695B" w:rsidP="001C695B">
            <w:pPr>
              <w:jc w:val="both"/>
            </w:pPr>
            <w:r w:rsidRPr="00CC3EEA">
              <w:t>Noteikumu Nr.364 11.2.apakšpunkts</w:t>
            </w:r>
          </w:p>
        </w:tc>
        <w:tc>
          <w:tcPr>
            <w:tcW w:w="1194" w:type="pct"/>
            <w:tcBorders>
              <w:top w:val="outset" w:sz="6" w:space="0" w:color="000000"/>
              <w:left w:val="single" w:sz="4" w:space="0" w:color="auto"/>
              <w:right w:val="single" w:sz="4" w:space="0" w:color="auto"/>
            </w:tcBorders>
          </w:tcPr>
          <w:p w14:paraId="2512458C" w14:textId="77777777" w:rsidR="001C695B" w:rsidRPr="00A57A55" w:rsidRDefault="001C695B" w:rsidP="001C695B">
            <w:pPr>
              <w:jc w:val="both"/>
            </w:pPr>
            <w:r w:rsidRPr="00A57A55">
              <w:t>Direktīvas normas pārņemtas pilnībā</w:t>
            </w:r>
          </w:p>
          <w:p w14:paraId="4902E04E" w14:textId="77777777" w:rsidR="001C695B" w:rsidRPr="00A57A55" w:rsidRDefault="001C695B" w:rsidP="001C695B">
            <w:pPr>
              <w:jc w:val="both"/>
            </w:pPr>
          </w:p>
        </w:tc>
        <w:tc>
          <w:tcPr>
            <w:tcW w:w="1054" w:type="pct"/>
            <w:tcBorders>
              <w:top w:val="outset" w:sz="6" w:space="0" w:color="000000"/>
              <w:left w:val="single" w:sz="4" w:space="0" w:color="auto"/>
              <w:right w:val="outset" w:sz="6" w:space="0" w:color="000000"/>
            </w:tcBorders>
          </w:tcPr>
          <w:p w14:paraId="0E63DF04" w14:textId="77777777" w:rsidR="001C695B" w:rsidRPr="00A57A55" w:rsidRDefault="001C695B" w:rsidP="001C695B">
            <w:pPr>
              <w:jc w:val="both"/>
            </w:pPr>
            <w:r w:rsidRPr="00A57A55">
              <w:t>Projekts stingrākas prasības neparedz</w:t>
            </w:r>
          </w:p>
        </w:tc>
      </w:tr>
      <w:tr w:rsidR="001C695B" w:rsidRPr="001C695B" w14:paraId="24269FA1" w14:textId="77777777" w:rsidTr="00ED6243">
        <w:tc>
          <w:tcPr>
            <w:tcW w:w="1111" w:type="pct"/>
            <w:tcBorders>
              <w:top w:val="outset" w:sz="6" w:space="0" w:color="000000"/>
              <w:left w:val="outset" w:sz="6" w:space="0" w:color="000000"/>
              <w:bottom w:val="single" w:sz="4" w:space="0" w:color="auto"/>
              <w:right w:val="outset" w:sz="6" w:space="0" w:color="000000"/>
            </w:tcBorders>
          </w:tcPr>
          <w:p w14:paraId="4FC2017F" w14:textId="1793AD35" w:rsidR="001C695B" w:rsidRPr="001C695B" w:rsidRDefault="0046358B" w:rsidP="001C695B">
            <w:pPr>
              <w:jc w:val="both"/>
              <w:rPr>
                <w:bCs/>
                <w:highlight w:val="yellow"/>
              </w:rPr>
            </w:pPr>
            <w:r w:rsidRPr="00533BB8">
              <w:t xml:space="preserve">Direktīvas 2008/106/EK </w:t>
            </w:r>
            <w:r w:rsidR="001C695B" w:rsidRPr="00491F5A">
              <w:rPr>
                <w:bCs/>
              </w:rPr>
              <w:t>14.panta 1.punkta c)apakšpunkts</w:t>
            </w:r>
          </w:p>
        </w:tc>
        <w:tc>
          <w:tcPr>
            <w:tcW w:w="1641" w:type="pct"/>
            <w:tcBorders>
              <w:top w:val="outset" w:sz="6" w:space="0" w:color="000000"/>
              <w:left w:val="outset" w:sz="6" w:space="0" w:color="000000"/>
              <w:bottom w:val="single" w:sz="4" w:space="0" w:color="auto"/>
              <w:right w:val="single" w:sz="4" w:space="0" w:color="auto"/>
            </w:tcBorders>
            <w:shd w:val="clear" w:color="auto" w:fill="auto"/>
          </w:tcPr>
          <w:p w14:paraId="60C04844" w14:textId="77777777" w:rsidR="001C695B" w:rsidRPr="001C695B" w:rsidRDefault="001C695B" w:rsidP="001C695B">
            <w:pPr>
              <w:jc w:val="both"/>
              <w:rPr>
                <w:highlight w:val="yellow"/>
              </w:rPr>
            </w:pPr>
            <w:r w:rsidRPr="00CC3EEA">
              <w:t>Noteikumu Nr.364 11.4.apakšpunkts</w:t>
            </w:r>
          </w:p>
        </w:tc>
        <w:tc>
          <w:tcPr>
            <w:tcW w:w="1194" w:type="pct"/>
            <w:tcBorders>
              <w:top w:val="outset" w:sz="6" w:space="0" w:color="000000"/>
              <w:left w:val="single" w:sz="4" w:space="0" w:color="auto"/>
              <w:right w:val="single" w:sz="4" w:space="0" w:color="auto"/>
            </w:tcBorders>
          </w:tcPr>
          <w:p w14:paraId="4BA13E75" w14:textId="77777777" w:rsidR="001C695B" w:rsidRPr="00491F5A" w:rsidRDefault="001C695B" w:rsidP="001C695B">
            <w:pPr>
              <w:jc w:val="both"/>
            </w:pPr>
            <w:r w:rsidRPr="00491F5A">
              <w:t>Direktīvas normas pārņemtas pilnībā</w:t>
            </w:r>
          </w:p>
        </w:tc>
        <w:tc>
          <w:tcPr>
            <w:tcW w:w="1054" w:type="pct"/>
            <w:tcBorders>
              <w:top w:val="outset" w:sz="6" w:space="0" w:color="000000"/>
              <w:left w:val="single" w:sz="4" w:space="0" w:color="auto"/>
              <w:right w:val="outset" w:sz="6" w:space="0" w:color="000000"/>
            </w:tcBorders>
          </w:tcPr>
          <w:p w14:paraId="03E5DB9C" w14:textId="77777777" w:rsidR="001C695B" w:rsidRPr="00491F5A" w:rsidRDefault="001C695B" w:rsidP="001C695B">
            <w:pPr>
              <w:jc w:val="both"/>
            </w:pPr>
            <w:r w:rsidRPr="00491F5A">
              <w:t>Projekts stingrākas prasības neparedz</w:t>
            </w:r>
          </w:p>
        </w:tc>
      </w:tr>
      <w:tr w:rsidR="00491F5A" w:rsidRPr="001C695B" w14:paraId="13A45993" w14:textId="77777777" w:rsidTr="00ED6243">
        <w:tc>
          <w:tcPr>
            <w:tcW w:w="1111" w:type="pct"/>
            <w:tcBorders>
              <w:top w:val="outset" w:sz="6" w:space="0" w:color="000000"/>
              <w:left w:val="outset" w:sz="6" w:space="0" w:color="000000"/>
              <w:bottom w:val="single" w:sz="4" w:space="0" w:color="auto"/>
              <w:right w:val="outset" w:sz="6" w:space="0" w:color="000000"/>
            </w:tcBorders>
          </w:tcPr>
          <w:p w14:paraId="679CD190" w14:textId="77777777" w:rsidR="00491F5A" w:rsidRPr="00CC3EEA" w:rsidRDefault="00491F5A" w:rsidP="001C695B">
            <w:pPr>
              <w:jc w:val="both"/>
            </w:pPr>
            <w:r w:rsidRPr="00CC3EEA">
              <w:t>Direktīvas 2012/35/ES</w:t>
            </w:r>
          </w:p>
          <w:p w14:paraId="4B8292C0" w14:textId="77777777" w:rsidR="00491F5A" w:rsidRPr="00CC3EEA" w:rsidRDefault="00491F5A" w:rsidP="00491F5A">
            <w:pPr>
              <w:jc w:val="both"/>
              <w:rPr>
                <w:bCs/>
              </w:rPr>
            </w:pPr>
            <w:r w:rsidRPr="00CC3EEA">
              <w:rPr>
                <w:bCs/>
              </w:rPr>
              <w:t>1.panta 13.punkta a)apakšpunkts</w:t>
            </w:r>
          </w:p>
          <w:p w14:paraId="349473CC" w14:textId="6B44BF3E" w:rsidR="00491F5A" w:rsidRPr="00CC3EEA" w:rsidRDefault="00491F5A" w:rsidP="00491F5A">
            <w:pPr>
              <w:jc w:val="both"/>
            </w:pPr>
            <w:r w:rsidRPr="00CC3EEA">
              <w:rPr>
                <w:bCs/>
              </w:rPr>
              <w:t>( f)apakšpunkts)</w:t>
            </w:r>
          </w:p>
        </w:tc>
        <w:tc>
          <w:tcPr>
            <w:tcW w:w="1641" w:type="pct"/>
            <w:tcBorders>
              <w:top w:val="outset" w:sz="6" w:space="0" w:color="000000"/>
              <w:left w:val="outset" w:sz="6" w:space="0" w:color="000000"/>
              <w:bottom w:val="single" w:sz="4" w:space="0" w:color="auto"/>
              <w:right w:val="single" w:sz="4" w:space="0" w:color="auto"/>
            </w:tcBorders>
            <w:shd w:val="clear" w:color="auto" w:fill="auto"/>
          </w:tcPr>
          <w:p w14:paraId="06347BB3" w14:textId="57D30BFF" w:rsidR="00491F5A" w:rsidRPr="00CC3EEA" w:rsidRDefault="00491F5A" w:rsidP="00491F5A">
            <w:pPr>
              <w:jc w:val="both"/>
              <w:rPr>
                <w:bCs/>
              </w:rPr>
            </w:pPr>
            <w:r w:rsidRPr="00CC3EEA">
              <w:rPr>
                <w:bCs/>
              </w:rPr>
              <w:t>Noteikumu Nr.364 11.2.apakšpunkts</w:t>
            </w:r>
          </w:p>
          <w:p w14:paraId="3E2B1DF8" w14:textId="77777777" w:rsidR="00491F5A" w:rsidRPr="00CC3EEA" w:rsidRDefault="00491F5A" w:rsidP="001C695B">
            <w:pPr>
              <w:jc w:val="both"/>
            </w:pPr>
          </w:p>
        </w:tc>
        <w:tc>
          <w:tcPr>
            <w:tcW w:w="1194" w:type="pct"/>
            <w:tcBorders>
              <w:top w:val="outset" w:sz="6" w:space="0" w:color="000000"/>
              <w:left w:val="single" w:sz="4" w:space="0" w:color="auto"/>
              <w:right w:val="single" w:sz="4" w:space="0" w:color="auto"/>
            </w:tcBorders>
          </w:tcPr>
          <w:p w14:paraId="17298A2A" w14:textId="63FFCBB5" w:rsidR="00491F5A" w:rsidRPr="00CC3EEA" w:rsidRDefault="00491F5A" w:rsidP="001C695B">
            <w:pPr>
              <w:jc w:val="both"/>
            </w:pPr>
            <w:r w:rsidRPr="00CC3EEA">
              <w:t>Direktīvas normas pārņemtas pilnībā</w:t>
            </w:r>
          </w:p>
        </w:tc>
        <w:tc>
          <w:tcPr>
            <w:tcW w:w="1054" w:type="pct"/>
            <w:tcBorders>
              <w:top w:val="outset" w:sz="6" w:space="0" w:color="000000"/>
              <w:left w:val="single" w:sz="4" w:space="0" w:color="auto"/>
              <w:right w:val="outset" w:sz="6" w:space="0" w:color="000000"/>
            </w:tcBorders>
          </w:tcPr>
          <w:p w14:paraId="2FA62348" w14:textId="225E48B1" w:rsidR="00491F5A" w:rsidRPr="00CC3EEA" w:rsidRDefault="00491F5A" w:rsidP="001C695B">
            <w:pPr>
              <w:jc w:val="both"/>
            </w:pPr>
            <w:r w:rsidRPr="00CC3EEA">
              <w:t>Projekts stingrākas prasības neparedz</w:t>
            </w:r>
          </w:p>
        </w:tc>
      </w:tr>
      <w:tr w:rsidR="001C695B" w:rsidRPr="00A57A55" w14:paraId="7FC20031" w14:textId="77777777" w:rsidTr="00ED6243">
        <w:tc>
          <w:tcPr>
            <w:tcW w:w="1111" w:type="pct"/>
            <w:tcBorders>
              <w:top w:val="outset" w:sz="6" w:space="0" w:color="000000"/>
              <w:left w:val="outset" w:sz="6" w:space="0" w:color="000000"/>
              <w:bottom w:val="outset" w:sz="6" w:space="0" w:color="000000"/>
              <w:right w:val="outset" w:sz="6" w:space="0" w:color="000000"/>
            </w:tcBorders>
            <w:vAlign w:val="center"/>
          </w:tcPr>
          <w:p w14:paraId="78C6A08D" w14:textId="77777777" w:rsidR="001C695B" w:rsidRPr="00A57A55" w:rsidRDefault="001C695B" w:rsidP="001C695B">
            <w:pPr>
              <w:jc w:val="both"/>
            </w:pPr>
            <w:r w:rsidRPr="00A57A55">
              <w:t>Kā ir izmantota ES tiesību aktā paredzētā rīcības brīvība dalībvalstij pārņemt vai ieviest noteiktas ES tiesību akta normas.</w:t>
            </w:r>
          </w:p>
          <w:p w14:paraId="770A42D8" w14:textId="77777777" w:rsidR="001C695B" w:rsidRPr="00A57A55" w:rsidRDefault="001C695B" w:rsidP="001C695B">
            <w:pPr>
              <w:jc w:val="both"/>
            </w:pPr>
            <w:r w:rsidRPr="00A57A55">
              <w:t>Kādēļ?</w:t>
            </w:r>
          </w:p>
        </w:tc>
        <w:tc>
          <w:tcPr>
            <w:tcW w:w="3889" w:type="pct"/>
            <w:gridSpan w:val="3"/>
            <w:tcBorders>
              <w:top w:val="outset" w:sz="6" w:space="0" w:color="000000"/>
              <w:left w:val="outset" w:sz="6" w:space="0" w:color="000000"/>
              <w:bottom w:val="outset" w:sz="6" w:space="0" w:color="000000"/>
              <w:right w:val="outset" w:sz="6" w:space="0" w:color="000000"/>
            </w:tcBorders>
          </w:tcPr>
          <w:p w14:paraId="5FB361F6" w14:textId="266F9B6A" w:rsidR="001C695B" w:rsidRPr="00A57A55" w:rsidRDefault="009A0F62" w:rsidP="001C695B">
            <w:pPr>
              <w:jc w:val="both"/>
            </w:pPr>
            <w:r>
              <w:t>Noteikumu p</w:t>
            </w:r>
            <w:r w:rsidR="00F60D56" w:rsidRPr="00F60D56">
              <w:t>rojekts šo jomu neskar</w:t>
            </w:r>
            <w:r w:rsidR="002A0E9B">
              <w:t>.</w:t>
            </w:r>
          </w:p>
        </w:tc>
      </w:tr>
      <w:tr w:rsidR="001C695B" w:rsidRPr="00A57A55" w14:paraId="2F2748D2" w14:textId="77777777" w:rsidTr="00ED6243">
        <w:tc>
          <w:tcPr>
            <w:tcW w:w="1111" w:type="pct"/>
            <w:tcBorders>
              <w:top w:val="outset" w:sz="6" w:space="0" w:color="000000"/>
              <w:left w:val="outset" w:sz="6" w:space="0" w:color="000000"/>
              <w:bottom w:val="outset" w:sz="6" w:space="0" w:color="000000"/>
              <w:right w:val="outset" w:sz="6" w:space="0" w:color="000000"/>
            </w:tcBorders>
            <w:vAlign w:val="center"/>
          </w:tcPr>
          <w:p w14:paraId="508E523C" w14:textId="77777777" w:rsidR="001C695B" w:rsidRPr="00A57A55" w:rsidRDefault="001C695B" w:rsidP="001C695B">
            <w:pPr>
              <w:jc w:val="both"/>
            </w:pPr>
            <w:r w:rsidRPr="00A57A55">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89" w:type="pct"/>
            <w:gridSpan w:val="3"/>
            <w:tcBorders>
              <w:top w:val="outset" w:sz="6" w:space="0" w:color="000000"/>
              <w:left w:val="outset" w:sz="6" w:space="0" w:color="000000"/>
              <w:bottom w:val="outset" w:sz="6" w:space="0" w:color="000000"/>
              <w:right w:val="outset" w:sz="6" w:space="0" w:color="000000"/>
            </w:tcBorders>
          </w:tcPr>
          <w:p w14:paraId="7EF59A24" w14:textId="6A793C50" w:rsidR="001C695B" w:rsidRPr="00A57A55" w:rsidRDefault="009A0F62" w:rsidP="001C695B">
            <w:pPr>
              <w:jc w:val="both"/>
            </w:pPr>
            <w:r>
              <w:t>Noteikumu p</w:t>
            </w:r>
            <w:r w:rsidR="00F60D56" w:rsidRPr="00F60D56">
              <w:t>rojekts šo jomu neskar</w:t>
            </w:r>
            <w:r w:rsidR="002A0E9B">
              <w:t>.</w:t>
            </w:r>
          </w:p>
        </w:tc>
      </w:tr>
      <w:tr w:rsidR="001C695B" w:rsidRPr="001C695B" w14:paraId="52D02A74" w14:textId="77777777" w:rsidTr="00ED6243">
        <w:trPr>
          <w:trHeight w:val="324"/>
        </w:trPr>
        <w:tc>
          <w:tcPr>
            <w:tcW w:w="1111" w:type="pct"/>
            <w:tcBorders>
              <w:top w:val="outset" w:sz="6" w:space="0" w:color="000000"/>
              <w:left w:val="outset" w:sz="6" w:space="0" w:color="000000"/>
              <w:bottom w:val="outset" w:sz="6" w:space="0" w:color="000000"/>
              <w:right w:val="outset" w:sz="6" w:space="0" w:color="000000"/>
            </w:tcBorders>
          </w:tcPr>
          <w:p w14:paraId="11216FF1" w14:textId="77777777" w:rsidR="001C695B" w:rsidRPr="001C695B" w:rsidRDefault="001C695B" w:rsidP="001C695B">
            <w:pPr>
              <w:jc w:val="both"/>
              <w:rPr>
                <w:highlight w:val="yellow"/>
              </w:rPr>
            </w:pPr>
            <w:r w:rsidRPr="00A57A55">
              <w:t>Cita informācija</w:t>
            </w:r>
          </w:p>
        </w:tc>
        <w:tc>
          <w:tcPr>
            <w:tcW w:w="3889" w:type="pct"/>
            <w:gridSpan w:val="3"/>
            <w:tcBorders>
              <w:top w:val="outset" w:sz="6" w:space="0" w:color="000000"/>
              <w:left w:val="outset" w:sz="6" w:space="0" w:color="000000"/>
              <w:bottom w:val="outset" w:sz="6" w:space="0" w:color="000000"/>
              <w:right w:val="outset" w:sz="6" w:space="0" w:color="000000"/>
            </w:tcBorders>
          </w:tcPr>
          <w:p w14:paraId="79F71075" w14:textId="77777777" w:rsidR="00F60D56" w:rsidRPr="00F60D56" w:rsidRDefault="00F60D56" w:rsidP="00F60D56">
            <w:pPr>
              <w:jc w:val="both"/>
            </w:pPr>
            <w:r w:rsidRPr="00F60D56">
              <w:t>Pārējās Direktīvas 2008/106/EK prasības ir pārņemtas ar:</w:t>
            </w:r>
          </w:p>
          <w:p w14:paraId="163F4082" w14:textId="67390505" w:rsidR="00F60D56" w:rsidRPr="00F60D56" w:rsidRDefault="00F60D56" w:rsidP="00F60D56">
            <w:pPr>
              <w:jc w:val="both"/>
            </w:pPr>
            <w:r w:rsidRPr="00F60D56">
              <w:t>1) Jūrlietu pārvaldes un jūras drošības likumu;</w:t>
            </w:r>
          </w:p>
          <w:p w14:paraId="139A7333" w14:textId="77777777" w:rsidR="00F60D56" w:rsidRPr="00F60D56" w:rsidRDefault="00F60D56" w:rsidP="00F60D56">
            <w:pPr>
              <w:jc w:val="both"/>
            </w:pPr>
            <w:r w:rsidRPr="00F60D56">
              <w:t>2) Jūras kodeksu;</w:t>
            </w:r>
          </w:p>
          <w:p w14:paraId="2742394E" w14:textId="77777777" w:rsidR="00F60D56" w:rsidRPr="00F60D56" w:rsidRDefault="00F60D56" w:rsidP="00F60D56">
            <w:pPr>
              <w:jc w:val="both"/>
            </w:pPr>
            <w:r w:rsidRPr="00F60D56">
              <w:t>3) Ministru kabineta 2005.gada 22.novembra noteikumiem Nr.895 „Jūrnieku sertificēšanas noteikumi”;</w:t>
            </w:r>
          </w:p>
          <w:p w14:paraId="329D2DA5" w14:textId="77777777" w:rsidR="00F60D56" w:rsidRPr="00F60D56" w:rsidRDefault="00F60D56" w:rsidP="00F60D56">
            <w:pPr>
              <w:jc w:val="both"/>
            </w:pPr>
            <w:r w:rsidRPr="00F60D56">
              <w:t>4) Ministru kabineta 2010.gada 21.decembra noteikumiem Nr.1164 „Ostas valsts kontroles kārtība””;</w:t>
            </w:r>
          </w:p>
          <w:p w14:paraId="622595CA" w14:textId="6B9835A7" w:rsidR="00F60D56" w:rsidRDefault="00F60D56" w:rsidP="00F60D56">
            <w:pPr>
              <w:jc w:val="both"/>
            </w:pPr>
            <w:r>
              <w:t>5</w:t>
            </w:r>
            <w:r w:rsidRPr="00F60D56">
              <w:t>) Ministru kabineta 2014.ga</w:t>
            </w:r>
            <w:r>
              <w:t>da 3.jūnija noteikumiem Nr.273 „</w:t>
            </w:r>
            <w:r w:rsidRPr="00F60D56">
              <w:t>Noteikumi par jūrnieku vesel</w:t>
            </w:r>
            <w:r>
              <w:t>ības atbilstību darbam uz kuģa”;</w:t>
            </w:r>
          </w:p>
          <w:p w14:paraId="2C051493" w14:textId="494F4626" w:rsidR="00F60D56" w:rsidRPr="00F60D56" w:rsidRDefault="00F60D56" w:rsidP="00F60D56">
            <w:pPr>
              <w:jc w:val="both"/>
            </w:pPr>
            <w:r>
              <w:t xml:space="preserve">6) Ministru kabineta 2015.gada 15.decembra noteikumiem Nr.710 </w:t>
            </w:r>
            <w:r w:rsidRPr="00F60D56">
              <w:t>„</w:t>
            </w:r>
            <w:r w:rsidRPr="00F60D56">
              <w:rPr>
                <w:bCs/>
              </w:rPr>
              <w:t>Jūrnieku profesionālās sagatavošanas programmu sertificēšanas, īstenošanas un uzraudzības noteikumi”</w:t>
            </w:r>
            <w:r>
              <w:rPr>
                <w:bCs/>
              </w:rPr>
              <w:t>.</w:t>
            </w:r>
          </w:p>
          <w:p w14:paraId="56F05008" w14:textId="77777777" w:rsidR="00F60D56" w:rsidRPr="00F60D56" w:rsidRDefault="00F60D56" w:rsidP="00F60D56">
            <w:pPr>
              <w:jc w:val="both"/>
            </w:pPr>
            <w:r w:rsidRPr="00F60D56">
              <w:t>Pārējās Direktīvas 2012/35/ES prasības ir pārņemtas ar:</w:t>
            </w:r>
          </w:p>
          <w:p w14:paraId="5C3B2117" w14:textId="77777777" w:rsidR="00F60D56" w:rsidRPr="00F60D56" w:rsidRDefault="00F60D56" w:rsidP="00F60D56">
            <w:pPr>
              <w:jc w:val="both"/>
            </w:pPr>
            <w:r w:rsidRPr="00F60D56">
              <w:t>1) 2013.gada 13.jūnija grozījumiem Jūrlietu pārvaldes un jūras drošības likumā (stājās spēkā 16.07.2013.);</w:t>
            </w:r>
          </w:p>
          <w:p w14:paraId="6371558E" w14:textId="77777777" w:rsidR="00F60D56" w:rsidRPr="00F60D56" w:rsidRDefault="00F60D56" w:rsidP="00F60D56">
            <w:pPr>
              <w:jc w:val="both"/>
            </w:pPr>
            <w:r w:rsidRPr="00F60D56">
              <w:t>2) 2014.gada 22.maija grozījumiem Jūras kodeksā (stājās spēkā 18.06.2014.)</w:t>
            </w:r>
          </w:p>
          <w:p w14:paraId="0DEC1F80" w14:textId="77777777" w:rsidR="00F60D56" w:rsidRPr="00F60D56" w:rsidRDefault="00F60D56" w:rsidP="00F60D56">
            <w:pPr>
              <w:jc w:val="both"/>
            </w:pPr>
            <w:r w:rsidRPr="00F60D56">
              <w:t>3) 2013.gada 23.aprīļa Ministru kabineta noteikumiem Nr.223 „Grozījumi Ministru kabineta 2005.gada 22.novembra noteikumos Nr.895 „Jūrnieku sertificēšanas noteikumi””;</w:t>
            </w:r>
          </w:p>
          <w:p w14:paraId="36812F18" w14:textId="77777777" w:rsidR="00F60D56" w:rsidRPr="00F60D56" w:rsidRDefault="00F60D56" w:rsidP="00F60D56">
            <w:pPr>
              <w:jc w:val="both"/>
            </w:pPr>
            <w:r w:rsidRPr="00F60D56">
              <w:t>4) 2013.gada 22.oktobra Ministru kabineta noteikumiem Nr.1140 „Grozījumi Ministru kabineta 2010.gada 21.decembra noteikumos Nr.1164 „Ostas valsts kontroles kārtība””;</w:t>
            </w:r>
          </w:p>
          <w:p w14:paraId="14F86B09" w14:textId="77777777" w:rsidR="00F60D56" w:rsidRPr="00F60D56" w:rsidRDefault="00F60D56" w:rsidP="00F60D56">
            <w:pPr>
              <w:jc w:val="both"/>
            </w:pPr>
            <w:r w:rsidRPr="00F60D56">
              <w:t>5) Ministru kabineta 2011.gada 17.maija noteikumiem Nr.364 „Kārtība, kādā licencē un uzrauga komersantus, kuri sniedz darbiekārtošanas pakalpojumus kuģa apkalpes komplektēšanā”;</w:t>
            </w:r>
          </w:p>
          <w:p w14:paraId="192EFE68" w14:textId="5AEEC776" w:rsidR="00F60D56" w:rsidRPr="00F60D56" w:rsidRDefault="00040E03" w:rsidP="00F60D56">
            <w:pPr>
              <w:jc w:val="both"/>
            </w:pPr>
            <w:r w:rsidRPr="00040E03">
              <w:t>6) Ministru kabineta 2016</w:t>
            </w:r>
            <w:r w:rsidR="00F60D56" w:rsidRPr="00040E03">
              <w:t>.</w:t>
            </w:r>
            <w:r w:rsidRPr="00040E03">
              <w:t>gada 20.decembra</w:t>
            </w:r>
            <w:r w:rsidR="0060043D" w:rsidRPr="00040E03">
              <w:t xml:space="preserve"> noteikumiem Nr.811</w:t>
            </w:r>
            <w:r w:rsidR="00F60D56" w:rsidRPr="00040E03">
              <w:t xml:space="preserve"> „Jūrnieku ārstu atzīšanas </w:t>
            </w:r>
            <w:r w:rsidR="0060043D" w:rsidRPr="00040E03">
              <w:t>noteikumi</w:t>
            </w:r>
            <w:r w:rsidR="00F60D56" w:rsidRPr="00040E03">
              <w:t>”;</w:t>
            </w:r>
          </w:p>
          <w:p w14:paraId="4A476FAF" w14:textId="0142EAAA" w:rsidR="001C695B" w:rsidRDefault="00F60D56" w:rsidP="00F60D56">
            <w:pPr>
              <w:jc w:val="both"/>
            </w:pPr>
            <w:r w:rsidRPr="00F60D56">
              <w:t>7) Ministru kabineta 2014.gada 3.jūnija noteikumiem Nr.273 “Noteikumi par jūrnieku vesel</w:t>
            </w:r>
            <w:r>
              <w:t>ības atbilstību darbam uz kuģa”;</w:t>
            </w:r>
          </w:p>
          <w:p w14:paraId="0F914351" w14:textId="26964DC2" w:rsidR="00F60D56" w:rsidRPr="00AD55B4" w:rsidRDefault="00F60D56" w:rsidP="00F60D56">
            <w:pPr>
              <w:jc w:val="both"/>
            </w:pPr>
            <w:r>
              <w:t xml:space="preserve">8) </w:t>
            </w:r>
            <w:r w:rsidRPr="00F60D56">
              <w:t>Ministru kabineta 2015.gada 15.decembra noteikumiem Nr.710 „</w:t>
            </w:r>
            <w:r w:rsidRPr="00F60D56">
              <w:rPr>
                <w:bCs/>
              </w:rPr>
              <w:t>Jūrnieku profesionālās sagatavošanas programmu sertificēšanas, īstenošanas un uzraudzības noteikumi”.</w:t>
            </w:r>
          </w:p>
        </w:tc>
      </w:tr>
    </w:tbl>
    <w:p w14:paraId="02D6AD10" w14:textId="77777777" w:rsidR="00533BB8" w:rsidRPr="00306622" w:rsidRDefault="00533BB8" w:rsidP="008F2C79">
      <w:pPr>
        <w:jc w:val="both"/>
        <w:rPr>
          <w:sz w:val="6"/>
          <w:szCs w:val="6"/>
        </w:rPr>
      </w:pPr>
    </w:p>
    <w:p w14:paraId="00969742" w14:textId="77777777" w:rsidR="00533BB8" w:rsidRDefault="00533BB8" w:rsidP="008F2C79">
      <w:pPr>
        <w:jc w:val="both"/>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71"/>
      </w:tblGrid>
      <w:tr w:rsidR="00163583" w:rsidRPr="00163583" w14:paraId="02DC1B65" w14:textId="77777777" w:rsidTr="00163583">
        <w:tc>
          <w:tcPr>
            <w:tcW w:w="5000" w:type="pct"/>
            <w:tcBorders>
              <w:top w:val="outset" w:sz="6" w:space="0" w:color="414142"/>
              <w:left w:val="outset" w:sz="6" w:space="0" w:color="414142"/>
              <w:bottom w:val="outset" w:sz="6" w:space="0" w:color="414142"/>
              <w:right w:val="outset" w:sz="6" w:space="0" w:color="414142"/>
            </w:tcBorders>
            <w:vAlign w:val="center"/>
            <w:hideMark/>
          </w:tcPr>
          <w:p w14:paraId="17250922" w14:textId="77777777" w:rsidR="00163583" w:rsidRPr="00163583" w:rsidRDefault="00163583" w:rsidP="00163583">
            <w:pPr>
              <w:ind w:firstLine="300"/>
              <w:jc w:val="center"/>
              <w:rPr>
                <w:b/>
                <w:bCs/>
                <w:color w:val="000000"/>
              </w:rPr>
            </w:pPr>
            <w:r w:rsidRPr="00163583">
              <w:rPr>
                <w:b/>
                <w:bCs/>
                <w:color w:val="000000"/>
              </w:rPr>
              <w:lastRenderedPageBreak/>
              <w:t>2. tabula</w:t>
            </w:r>
            <w:r w:rsidRPr="00163583">
              <w:rPr>
                <w:b/>
                <w:bCs/>
                <w:color w:val="000000"/>
              </w:rPr>
              <w:br/>
              <w:t>Ar tiesību akta projektu izpildītās vai uzņemtās saistības, kas izriet no starptautiskajiem tiesību aktiem vai starptautiskas institūcijas vai organizācijas dokumentiem.</w:t>
            </w:r>
            <w:r w:rsidRPr="00163583">
              <w:rPr>
                <w:b/>
                <w:bCs/>
                <w:color w:val="000000"/>
              </w:rPr>
              <w:br/>
              <w:t>Pasākumi šo saistību izpildei</w:t>
            </w:r>
          </w:p>
        </w:tc>
      </w:tr>
      <w:tr w:rsidR="00163583" w:rsidRPr="00163583" w14:paraId="7BFE99E9" w14:textId="77777777" w:rsidTr="00163583">
        <w:tc>
          <w:tcPr>
            <w:tcW w:w="5000" w:type="pct"/>
            <w:tcBorders>
              <w:top w:val="outset" w:sz="6" w:space="0" w:color="414142"/>
              <w:left w:val="outset" w:sz="6" w:space="0" w:color="414142"/>
              <w:bottom w:val="outset" w:sz="6" w:space="0" w:color="414142"/>
              <w:right w:val="outset" w:sz="6" w:space="0" w:color="414142"/>
            </w:tcBorders>
            <w:vAlign w:val="center"/>
            <w:hideMark/>
          </w:tcPr>
          <w:p w14:paraId="5113B474" w14:textId="77777777" w:rsidR="00163583" w:rsidRPr="00163583" w:rsidRDefault="00163583" w:rsidP="00163583">
            <w:pPr>
              <w:jc w:val="center"/>
              <w:rPr>
                <w:color w:val="000000"/>
              </w:rPr>
            </w:pPr>
            <w:r w:rsidRPr="00163583">
              <w:rPr>
                <w:color w:val="000000"/>
              </w:rPr>
              <w:t>Noteikumu projekts šo jomu neskar.</w:t>
            </w:r>
          </w:p>
        </w:tc>
      </w:tr>
    </w:tbl>
    <w:p w14:paraId="73AABE3C" w14:textId="77777777" w:rsidR="00163583" w:rsidRPr="001054E9" w:rsidRDefault="00163583" w:rsidP="008F2C79">
      <w:pPr>
        <w:jc w:val="both"/>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2"/>
        <w:gridCol w:w="3220"/>
        <w:gridCol w:w="5525"/>
      </w:tblGrid>
      <w:tr w:rsidR="0040612C" w:rsidRPr="00632BFF" w14:paraId="769E1640" w14:textId="77777777" w:rsidTr="007F3773">
        <w:trPr>
          <w:trHeight w:val="421"/>
          <w:jc w:val="center"/>
        </w:trPr>
        <w:tc>
          <w:tcPr>
            <w:tcW w:w="9067" w:type="dxa"/>
            <w:gridSpan w:val="3"/>
            <w:tcBorders>
              <w:top w:val="single" w:sz="4" w:space="0" w:color="auto"/>
              <w:left w:val="single" w:sz="4" w:space="0" w:color="auto"/>
              <w:bottom w:val="single" w:sz="4" w:space="0" w:color="auto"/>
              <w:right w:val="single" w:sz="4" w:space="0" w:color="auto"/>
            </w:tcBorders>
            <w:vAlign w:val="center"/>
            <w:hideMark/>
          </w:tcPr>
          <w:p w14:paraId="5441AD31" w14:textId="77777777" w:rsidR="0040612C" w:rsidRPr="00632BFF" w:rsidRDefault="0040612C" w:rsidP="007F3773">
            <w:pPr>
              <w:pStyle w:val="naisnod"/>
              <w:spacing w:before="0" w:after="0"/>
              <w:ind w:left="57" w:right="57"/>
              <w:rPr>
                <w:highlight w:val="yellow"/>
              </w:rPr>
            </w:pPr>
            <w:r w:rsidRPr="00632BFF">
              <w:t>VI. Sabiedrības līdzdalība un komunikācijas aktivitātes</w:t>
            </w:r>
          </w:p>
        </w:tc>
      </w:tr>
      <w:tr w:rsidR="0040612C" w:rsidRPr="00632BFF" w14:paraId="6D4C8192" w14:textId="77777777" w:rsidTr="00A74B0E">
        <w:trPr>
          <w:trHeight w:val="553"/>
          <w:jc w:val="center"/>
        </w:trPr>
        <w:tc>
          <w:tcPr>
            <w:tcW w:w="322" w:type="dxa"/>
            <w:tcBorders>
              <w:top w:val="single" w:sz="4" w:space="0" w:color="auto"/>
              <w:left w:val="single" w:sz="4" w:space="0" w:color="auto"/>
              <w:bottom w:val="single" w:sz="4" w:space="0" w:color="auto"/>
              <w:right w:val="single" w:sz="4" w:space="0" w:color="auto"/>
            </w:tcBorders>
            <w:hideMark/>
          </w:tcPr>
          <w:p w14:paraId="29C89335" w14:textId="77777777" w:rsidR="0040612C" w:rsidRPr="00632BFF" w:rsidRDefault="0040612C" w:rsidP="007F3773">
            <w:pPr>
              <w:ind w:left="57" w:right="57"/>
              <w:jc w:val="both"/>
              <w:rPr>
                <w:bCs/>
                <w:highlight w:val="yellow"/>
              </w:rPr>
            </w:pPr>
            <w:r w:rsidRPr="00632BFF">
              <w:rPr>
                <w:bCs/>
              </w:rPr>
              <w:t>1.</w:t>
            </w:r>
          </w:p>
        </w:tc>
        <w:tc>
          <w:tcPr>
            <w:tcW w:w="3220" w:type="dxa"/>
            <w:tcBorders>
              <w:top w:val="single" w:sz="4" w:space="0" w:color="auto"/>
              <w:left w:val="single" w:sz="4" w:space="0" w:color="auto"/>
              <w:bottom w:val="single" w:sz="4" w:space="0" w:color="auto"/>
              <w:right w:val="single" w:sz="4" w:space="0" w:color="auto"/>
            </w:tcBorders>
            <w:hideMark/>
          </w:tcPr>
          <w:p w14:paraId="0EC418C5" w14:textId="77777777" w:rsidR="0040612C" w:rsidRPr="00632BFF" w:rsidRDefault="0040612C" w:rsidP="007F3773">
            <w:pPr>
              <w:tabs>
                <w:tab w:val="left" w:pos="170"/>
              </w:tabs>
              <w:ind w:left="57" w:right="57"/>
              <w:rPr>
                <w:highlight w:val="yellow"/>
              </w:rPr>
            </w:pPr>
            <w:r w:rsidRPr="00632BFF">
              <w:t>Plānotās sabiedrības līdzdalības un komunikācijas aktivitātes saistībā ar projektu</w:t>
            </w:r>
          </w:p>
        </w:tc>
        <w:tc>
          <w:tcPr>
            <w:tcW w:w="5525" w:type="dxa"/>
            <w:tcBorders>
              <w:top w:val="single" w:sz="4" w:space="0" w:color="auto"/>
              <w:left w:val="single" w:sz="4" w:space="0" w:color="auto"/>
              <w:bottom w:val="single" w:sz="4" w:space="0" w:color="auto"/>
              <w:right w:val="single" w:sz="4" w:space="0" w:color="auto"/>
            </w:tcBorders>
          </w:tcPr>
          <w:p w14:paraId="762B1188" w14:textId="5C9A81A5" w:rsidR="00CC6EFA" w:rsidRPr="00632BFF" w:rsidRDefault="00CC6EFA" w:rsidP="00632BFF">
            <w:pPr>
              <w:spacing w:after="120"/>
              <w:ind w:left="57" w:right="57"/>
              <w:jc w:val="both"/>
            </w:pPr>
            <w:bookmarkStart w:id="0" w:name="p61"/>
            <w:bookmarkEnd w:id="0"/>
            <w:r w:rsidRPr="00632BFF">
              <w:t>Atbilstoši Ministru kabineta 2009.gada 25.augusta noteikumiem Nr.970 „Sabiedrības līdzdalības kārtība attīstības plānošanas procesā” par projekta izstrādi ir informēti sabiedrības pārstāvji,</w:t>
            </w:r>
            <w:r w:rsidR="00B45D2C" w:rsidRPr="00632BFF">
              <w:t xml:space="preserve"> </w:t>
            </w:r>
            <w:r w:rsidR="00B45D2C" w:rsidRPr="002B4DF7">
              <w:t>2018.</w:t>
            </w:r>
            <w:r w:rsidR="00ED3F53">
              <w:t> </w:t>
            </w:r>
            <w:r w:rsidR="00B45D2C" w:rsidRPr="002B4DF7">
              <w:t xml:space="preserve">gada </w:t>
            </w:r>
            <w:r w:rsidR="00836164">
              <w:t>10</w:t>
            </w:r>
            <w:r w:rsidR="00CC3EEA" w:rsidRPr="00836164">
              <w:t>.</w:t>
            </w:r>
            <w:r w:rsidR="00ED3F53">
              <w:t> </w:t>
            </w:r>
            <w:r w:rsidR="00CC3EEA">
              <w:t>maijā</w:t>
            </w:r>
            <w:r w:rsidRPr="00632BFF">
              <w:t xml:space="preserve"> ievietojot Paziņojumu par līdzdalības iespējām tiesību akta izstrādes procesā Satiksmes ministrijas tīmekļa vietnē.</w:t>
            </w:r>
          </w:p>
        </w:tc>
      </w:tr>
      <w:tr w:rsidR="0040612C" w:rsidRPr="00632BFF" w14:paraId="246A3948" w14:textId="77777777" w:rsidTr="00A74B0E">
        <w:trPr>
          <w:trHeight w:val="339"/>
          <w:jc w:val="center"/>
        </w:trPr>
        <w:tc>
          <w:tcPr>
            <w:tcW w:w="322" w:type="dxa"/>
            <w:tcBorders>
              <w:top w:val="single" w:sz="4" w:space="0" w:color="auto"/>
              <w:left w:val="single" w:sz="4" w:space="0" w:color="auto"/>
              <w:bottom w:val="single" w:sz="4" w:space="0" w:color="auto"/>
              <w:right w:val="single" w:sz="4" w:space="0" w:color="auto"/>
            </w:tcBorders>
            <w:hideMark/>
          </w:tcPr>
          <w:p w14:paraId="2B139EEC" w14:textId="77777777" w:rsidR="0040612C" w:rsidRPr="00632BFF" w:rsidRDefault="0040612C" w:rsidP="007F3773">
            <w:pPr>
              <w:ind w:left="57" w:right="57"/>
              <w:jc w:val="both"/>
              <w:rPr>
                <w:bCs/>
              </w:rPr>
            </w:pPr>
            <w:r w:rsidRPr="00632BFF">
              <w:rPr>
                <w:bCs/>
              </w:rPr>
              <w:t>2.</w:t>
            </w:r>
          </w:p>
        </w:tc>
        <w:tc>
          <w:tcPr>
            <w:tcW w:w="3220" w:type="dxa"/>
            <w:tcBorders>
              <w:top w:val="single" w:sz="4" w:space="0" w:color="auto"/>
              <w:left w:val="single" w:sz="4" w:space="0" w:color="auto"/>
              <w:bottom w:val="single" w:sz="4" w:space="0" w:color="auto"/>
              <w:right w:val="single" w:sz="4" w:space="0" w:color="auto"/>
            </w:tcBorders>
            <w:hideMark/>
          </w:tcPr>
          <w:p w14:paraId="2AC49854" w14:textId="77777777" w:rsidR="0040612C" w:rsidRPr="00632BFF" w:rsidRDefault="0040612C" w:rsidP="007F3773">
            <w:pPr>
              <w:ind w:left="57" w:right="57"/>
            </w:pPr>
            <w:r w:rsidRPr="00632BFF">
              <w:t>Sabiedrības līdzdalība projekta izstrādē</w:t>
            </w:r>
          </w:p>
        </w:tc>
        <w:tc>
          <w:tcPr>
            <w:tcW w:w="5525" w:type="dxa"/>
            <w:tcBorders>
              <w:top w:val="single" w:sz="4" w:space="0" w:color="auto"/>
              <w:left w:val="single" w:sz="4" w:space="0" w:color="auto"/>
              <w:bottom w:val="single" w:sz="4" w:space="0" w:color="auto"/>
              <w:right w:val="single" w:sz="4" w:space="0" w:color="auto"/>
            </w:tcBorders>
          </w:tcPr>
          <w:p w14:paraId="5AF5D7F2" w14:textId="2E6C80BE" w:rsidR="00632BFF" w:rsidRPr="00632BFF" w:rsidRDefault="00632BFF" w:rsidP="00BB49DA">
            <w:pPr>
              <w:jc w:val="both"/>
            </w:pPr>
            <w:bookmarkStart w:id="1" w:name="p62"/>
            <w:bookmarkEnd w:id="1"/>
            <w:r w:rsidRPr="00632BFF">
              <w:t>Atbilstoši Ministru kabineta 2009.gada 25.</w:t>
            </w:r>
            <w:r w:rsidR="00ED3F53">
              <w:t> </w:t>
            </w:r>
            <w:r w:rsidRPr="00632BFF">
              <w:t>augusta noteikumu Nr.970 „Sabiedrības līdzdalības kārtība attīstības plānošanas procesā” 7.4.</w:t>
            </w:r>
            <w:r w:rsidRPr="00632BFF">
              <w:rPr>
                <w:vertAlign w:val="superscript"/>
              </w:rPr>
              <w:t>1</w:t>
            </w:r>
            <w:r w:rsidRPr="00632BFF">
              <w:t xml:space="preserve"> apakšpunktam, sabiedrībai tika dota iespēja rakstiski sniegt viedokli par noteikumu projektu tā izstrādes stadijā.</w:t>
            </w:r>
          </w:p>
        </w:tc>
      </w:tr>
      <w:tr w:rsidR="0040612C" w:rsidRPr="00DA7FBF" w14:paraId="56E82EEC" w14:textId="77777777" w:rsidTr="00A74B0E">
        <w:trPr>
          <w:trHeight w:val="476"/>
          <w:jc w:val="center"/>
        </w:trPr>
        <w:tc>
          <w:tcPr>
            <w:tcW w:w="322" w:type="dxa"/>
            <w:tcBorders>
              <w:top w:val="single" w:sz="4" w:space="0" w:color="auto"/>
              <w:left w:val="single" w:sz="4" w:space="0" w:color="auto"/>
              <w:bottom w:val="single" w:sz="4" w:space="0" w:color="auto"/>
              <w:right w:val="single" w:sz="4" w:space="0" w:color="auto"/>
            </w:tcBorders>
            <w:hideMark/>
          </w:tcPr>
          <w:p w14:paraId="1A2434E2" w14:textId="77777777" w:rsidR="0040612C" w:rsidRPr="00DA7FBF" w:rsidRDefault="0040612C" w:rsidP="007F3773">
            <w:pPr>
              <w:ind w:left="57" w:right="57"/>
              <w:jc w:val="both"/>
              <w:rPr>
                <w:bCs/>
              </w:rPr>
            </w:pPr>
            <w:r w:rsidRPr="00DA7FBF">
              <w:rPr>
                <w:bCs/>
              </w:rPr>
              <w:t>3.</w:t>
            </w:r>
          </w:p>
        </w:tc>
        <w:tc>
          <w:tcPr>
            <w:tcW w:w="3220" w:type="dxa"/>
            <w:tcBorders>
              <w:top w:val="single" w:sz="4" w:space="0" w:color="auto"/>
              <w:left w:val="single" w:sz="4" w:space="0" w:color="auto"/>
              <w:bottom w:val="single" w:sz="4" w:space="0" w:color="auto"/>
              <w:right w:val="single" w:sz="4" w:space="0" w:color="auto"/>
            </w:tcBorders>
            <w:hideMark/>
          </w:tcPr>
          <w:p w14:paraId="7A0D7EA4" w14:textId="77777777" w:rsidR="0040612C" w:rsidRPr="00DA7FBF" w:rsidRDefault="0040612C" w:rsidP="007F3773">
            <w:pPr>
              <w:ind w:left="57" w:right="57"/>
            </w:pPr>
            <w:r w:rsidRPr="00DA7FBF">
              <w:t>Sabiedrības līdzdalības rezultāti</w:t>
            </w:r>
          </w:p>
        </w:tc>
        <w:tc>
          <w:tcPr>
            <w:tcW w:w="5525" w:type="dxa"/>
            <w:tcBorders>
              <w:top w:val="single" w:sz="4" w:space="0" w:color="auto"/>
              <w:left w:val="single" w:sz="4" w:space="0" w:color="auto"/>
              <w:bottom w:val="single" w:sz="4" w:space="0" w:color="auto"/>
              <w:right w:val="single" w:sz="4" w:space="0" w:color="auto"/>
            </w:tcBorders>
            <w:hideMark/>
          </w:tcPr>
          <w:p w14:paraId="72C050C9" w14:textId="504B4A81" w:rsidR="0040612C" w:rsidRPr="00DA7FBF" w:rsidRDefault="00836164" w:rsidP="00BA2F82">
            <w:pPr>
              <w:shd w:val="clear" w:color="auto" w:fill="FFFFFF"/>
              <w:ind w:left="57" w:right="57"/>
              <w:jc w:val="both"/>
            </w:pPr>
            <w:r>
              <w:t>Nav saņemti iebildumi vai priekšlikumi.</w:t>
            </w:r>
          </w:p>
        </w:tc>
      </w:tr>
      <w:tr w:rsidR="0040612C" w:rsidRPr="00DA7FBF" w14:paraId="434BBDF6" w14:textId="77777777" w:rsidTr="00A74B0E">
        <w:trPr>
          <w:trHeight w:val="476"/>
          <w:jc w:val="center"/>
        </w:trPr>
        <w:tc>
          <w:tcPr>
            <w:tcW w:w="322" w:type="dxa"/>
            <w:tcBorders>
              <w:top w:val="single" w:sz="4" w:space="0" w:color="auto"/>
              <w:left w:val="single" w:sz="4" w:space="0" w:color="auto"/>
              <w:bottom w:val="single" w:sz="4" w:space="0" w:color="auto"/>
              <w:right w:val="single" w:sz="4" w:space="0" w:color="auto"/>
            </w:tcBorders>
            <w:hideMark/>
          </w:tcPr>
          <w:p w14:paraId="245CEFF9" w14:textId="77777777" w:rsidR="0040612C" w:rsidRPr="00DA7FBF" w:rsidRDefault="0040612C" w:rsidP="007F3773">
            <w:pPr>
              <w:ind w:left="57" w:right="57"/>
              <w:jc w:val="both"/>
              <w:rPr>
                <w:bCs/>
              </w:rPr>
            </w:pPr>
            <w:r w:rsidRPr="00DA7FBF">
              <w:rPr>
                <w:bCs/>
              </w:rPr>
              <w:t>4.</w:t>
            </w:r>
          </w:p>
        </w:tc>
        <w:tc>
          <w:tcPr>
            <w:tcW w:w="3220" w:type="dxa"/>
            <w:tcBorders>
              <w:top w:val="single" w:sz="4" w:space="0" w:color="auto"/>
              <w:left w:val="single" w:sz="4" w:space="0" w:color="auto"/>
              <w:bottom w:val="single" w:sz="4" w:space="0" w:color="auto"/>
              <w:right w:val="single" w:sz="4" w:space="0" w:color="auto"/>
            </w:tcBorders>
            <w:hideMark/>
          </w:tcPr>
          <w:p w14:paraId="1C6EEDF0" w14:textId="77777777" w:rsidR="0040612C" w:rsidRPr="00DA7FBF" w:rsidRDefault="0040612C" w:rsidP="007F3773">
            <w:pPr>
              <w:ind w:left="57" w:right="57"/>
            </w:pPr>
            <w:r w:rsidRPr="00DA7FBF">
              <w:t>Cita informācija</w:t>
            </w:r>
          </w:p>
        </w:tc>
        <w:tc>
          <w:tcPr>
            <w:tcW w:w="5525" w:type="dxa"/>
            <w:tcBorders>
              <w:top w:val="single" w:sz="4" w:space="0" w:color="auto"/>
              <w:left w:val="single" w:sz="4" w:space="0" w:color="auto"/>
              <w:bottom w:val="single" w:sz="4" w:space="0" w:color="auto"/>
              <w:right w:val="single" w:sz="4" w:space="0" w:color="auto"/>
            </w:tcBorders>
            <w:hideMark/>
          </w:tcPr>
          <w:p w14:paraId="66AAD8CA" w14:textId="77777777" w:rsidR="0040612C" w:rsidRPr="00DA7FBF" w:rsidRDefault="009A197C" w:rsidP="007F3773">
            <w:pPr>
              <w:ind w:right="57"/>
              <w:jc w:val="both"/>
            </w:pPr>
            <w:r w:rsidRPr="00DA7FBF">
              <w:t xml:space="preserve">  </w:t>
            </w:r>
            <w:r w:rsidR="003B5BF8" w:rsidRPr="00DA7FBF">
              <w:t>Nav.</w:t>
            </w:r>
          </w:p>
        </w:tc>
      </w:tr>
    </w:tbl>
    <w:p w14:paraId="4BC35484" w14:textId="77777777" w:rsidR="0040612C" w:rsidRPr="00DA7FBF" w:rsidRDefault="0040612C" w:rsidP="008F2C79">
      <w:pPr>
        <w:jc w:val="both"/>
      </w:pPr>
    </w:p>
    <w:tbl>
      <w:tblPr>
        <w:tblpPr w:leftFromText="180" w:rightFromText="180" w:vertAnchor="text" w:horzAnchor="margin" w:tblpY="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4"/>
        <w:gridCol w:w="3102"/>
        <w:gridCol w:w="5515"/>
      </w:tblGrid>
      <w:tr w:rsidR="007E1773" w:rsidRPr="00DA7FBF" w14:paraId="2DE4B08C" w14:textId="77777777" w:rsidTr="007E1773">
        <w:trPr>
          <w:trHeight w:val="231"/>
        </w:trPr>
        <w:tc>
          <w:tcPr>
            <w:tcW w:w="5000" w:type="pct"/>
            <w:gridSpan w:val="3"/>
            <w:tcBorders>
              <w:top w:val="single" w:sz="4" w:space="0" w:color="auto"/>
            </w:tcBorders>
          </w:tcPr>
          <w:p w14:paraId="1F8E371A" w14:textId="77777777" w:rsidR="007E1773" w:rsidRPr="00DA7FBF" w:rsidRDefault="007E1773" w:rsidP="007E1773">
            <w:pPr>
              <w:pStyle w:val="naisnod"/>
              <w:spacing w:before="0" w:after="0"/>
              <w:ind w:left="57" w:right="57"/>
            </w:pPr>
            <w:r w:rsidRPr="00DA7FBF">
              <w:t>VII. Tiesību akta projekta izpildes nodrošināšana un tās ietekme uz institūcijām</w:t>
            </w:r>
          </w:p>
        </w:tc>
      </w:tr>
      <w:tr w:rsidR="007E1773" w:rsidRPr="00DA7FBF" w14:paraId="06F66554" w14:textId="77777777" w:rsidTr="00A74B0E">
        <w:trPr>
          <w:trHeight w:val="42"/>
        </w:trPr>
        <w:tc>
          <w:tcPr>
            <w:tcW w:w="245" w:type="pct"/>
          </w:tcPr>
          <w:p w14:paraId="3955A501" w14:textId="77777777" w:rsidR="007E1773" w:rsidRPr="00DA7FBF" w:rsidRDefault="007E1773" w:rsidP="007E1773">
            <w:pPr>
              <w:pStyle w:val="naisnod"/>
              <w:spacing w:before="0" w:after="0"/>
              <w:ind w:left="57" w:right="57"/>
              <w:rPr>
                <w:b w:val="0"/>
              </w:rPr>
            </w:pPr>
            <w:r w:rsidRPr="00DA7FBF">
              <w:rPr>
                <w:b w:val="0"/>
              </w:rPr>
              <w:t>1.</w:t>
            </w:r>
          </w:p>
        </w:tc>
        <w:tc>
          <w:tcPr>
            <w:tcW w:w="1712" w:type="pct"/>
          </w:tcPr>
          <w:p w14:paraId="25A7EF68" w14:textId="77777777" w:rsidR="007E1773" w:rsidRPr="00DA7FBF" w:rsidRDefault="007E1773" w:rsidP="007E1773">
            <w:pPr>
              <w:pStyle w:val="naisf"/>
              <w:spacing w:before="0" w:after="0"/>
              <w:ind w:firstLine="0"/>
              <w:jc w:val="left"/>
            </w:pPr>
            <w:r w:rsidRPr="00DA7FBF">
              <w:t xml:space="preserve">Projekta izpildē iesaistītās institūcijas </w:t>
            </w:r>
          </w:p>
        </w:tc>
        <w:tc>
          <w:tcPr>
            <w:tcW w:w="3043" w:type="pct"/>
          </w:tcPr>
          <w:p w14:paraId="36982CAB" w14:textId="781F6C35" w:rsidR="007E1773" w:rsidRPr="00DA7FBF" w:rsidRDefault="00DA7FBF" w:rsidP="007E1773">
            <w:pPr>
              <w:pStyle w:val="naisnod"/>
              <w:spacing w:before="0" w:after="0"/>
              <w:jc w:val="both"/>
              <w:rPr>
                <w:b w:val="0"/>
              </w:rPr>
            </w:pPr>
            <w:r w:rsidRPr="00DA7FBF">
              <w:rPr>
                <w:b w:val="0"/>
              </w:rPr>
              <w:t>Noteikumu projekta izpildi nodrošinās VAS „Latvijas Jūras administrācija” Jūrnieku reģistrs.</w:t>
            </w:r>
          </w:p>
        </w:tc>
      </w:tr>
      <w:tr w:rsidR="007E1773" w:rsidRPr="00DA7FBF" w14:paraId="0B189EC4" w14:textId="77777777" w:rsidTr="00A74B0E">
        <w:trPr>
          <w:trHeight w:val="373"/>
        </w:trPr>
        <w:tc>
          <w:tcPr>
            <w:tcW w:w="245" w:type="pct"/>
          </w:tcPr>
          <w:p w14:paraId="359A0CC0" w14:textId="77777777" w:rsidR="007E1773" w:rsidRPr="00DA7FBF" w:rsidRDefault="007E1773" w:rsidP="007E1773">
            <w:pPr>
              <w:pStyle w:val="naisnod"/>
              <w:spacing w:before="0" w:after="0"/>
              <w:ind w:left="57" w:right="57"/>
              <w:rPr>
                <w:b w:val="0"/>
              </w:rPr>
            </w:pPr>
            <w:r w:rsidRPr="00DA7FBF">
              <w:rPr>
                <w:b w:val="0"/>
              </w:rPr>
              <w:t>2.</w:t>
            </w:r>
          </w:p>
        </w:tc>
        <w:tc>
          <w:tcPr>
            <w:tcW w:w="1712" w:type="pct"/>
          </w:tcPr>
          <w:p w14:paraId="71E7F54B" w14:textId="77777777" w:rsidR="007E1773" w:rsidRPr="00DA7FBF" w:rsidRDefault="007E1773" w:rsidP="007E1773">
            <w:r w:rsidRPr="00DA7FBF">
              <w:t xml:space="preserve">Projekta izpildes ietekme uz pārvaldes funkcijām un institucionālo struktūru. </w:t>
            </w:r>
          </w:p>
          <w:p w14:paraId="0345D2C5" w14:textId="77777777" w:rsidR="007E1773" w:rsidRPr="00DA7FBF" w:rsidRDefault="007E1773" w:rsidP="007E1773">
            <w:pPr>
              <w:pStyle w:val="naisf"/>
              <w:spacing w:before="0" w:after="0"/>
              <w:ind w:firstLine="0"/>
              <w:jc w:val="left"/>
            </w:pPr>
            <w:r w:rsidRPr="00DA7FBF">
              <w:t>Jaunu institūciju izveide, esošu institūciju likvidācija vai reorganizācija, to ietekme uz institūcijas cilvēkresursiem</w:t>
            </w:r>
          </w:p>
        </w:tc>
        <w:tc>
          <w:tcPr>
            <w:tcW w:w="3043" w:type="pct"/>
          </w:tcPr>
          <w:p w14:paraId="5294F9FD" w14:textId="7B64F5E0" w:rsidR="00DA7FBF" w:rsidRPr="00DA7FBF" w:rsidRDefault="009A0F62" w:rsidP="00DA7FBF">
            <w:pPr>
              <w:jc w:val="both"/>
            </w:pPr>
            <w:r>
              <w:t>Noteikumu p</w:t>
            </w:r>
            <w:r w:rsidR="00DA7FBF" w:rsidRPr="00DA7FBF">
              <w:t>rojekta īstenošana tiks veikta esošo cilvēkresursu ietvaros.</w:t>
            </w:r>
          </w:p>
          <w:p w14:paraId="38472D96" w14:textId="6B399127" w:rsidR="00DA7FBF" w:rsidRPr="00DA7FBF" w:rsidRDefault="00DA7FBF" w:rsidP="00DA7FBF">
            <w:pPr>
              <w:jc w:val="both"/>
            </w:pPr>
            <w:r w:rsidRPr="00DA7FBF">
              <w:t xml:space="preserve">Saistībā ar </w:t>
            </w:r>
            <w:r w:rsidR="009A0F62">
              <w:t xml:space="preserve">Noteikumu </w:t>
            </w:r>
            <w:r w:rsidRPr="00DA7FBF">
              <w:t>projekta izpildi nebūs nepieciešams veidot jaunas institūcijas vai likvidēt, reorganizēt esošās.</w:t>
            </w:r>
          </w:p>
          <w:p w14:paraId="28B38C43" w14:textId="3DDFED07" w:rsidR="007E1773" w:rsidRPr="00DA7FBF" w:rsidRDefault="007E1773" w:rsidP="007E1773">
            <w:pPr>
              <w:jc w:val="both"/>
            </w:pPr>
          </w:p>
        </w:tc>
      </w:tr>
      <w:tr w:rsidR="007E1773" w:rsidRPr="001054E9" w14:paraId="79E8AE00" w14:textId="77777777" w:rsidTr="00A74B0E">
        <w:trPr>
          <w:trHeight w:val="201"/>
        </w:trPr>
        <w:tc>
          <w:tcPr>
            <w:tcW w:w="245" w:type="pct"/>
          </w:tcPr>
          <w:p w14:paraId="4A8F8711" w14:textId="77777777" w:rsidR="007E1773" w:rsidRPr="00DA7FBF" w:rsidRDefault="007E1773" w:rsidP="007E1773">
            <w:pPr>
              <w:pStyle w:val="naiskr"/>
              <w:spacing w:before="0" w:after="0"/>
              <w:ind w:left="57" w:right="57"/>
              <w:jc w:val="center"/>
            </w:pPr>
            <w:r w:rsidRPr="00DA7FBF">
              <w:t>3.</w:t>
            </w:r>
          </w:p>
        </w:tc>
        <w:tc>
          <w:tcPr>
            <w:tcW w:w="1712" w:type="pct"/>
          </w:tcPr>
          <w:p w14:paraId="7F3D640C" w14:textId="77777777" w:rsidR="007E1773" w:rsidRPr="00DA7FBF" w:rsidRDefault="007E1773" w:rsidP="007E1773">
            <w:pPr>
              <w:pStyle w:val="naiskr"/>
              <w:spacing w:before="0" w:after="0"/>
            </w:pPr>
            <w:r w:rsidRPr="00DA7FBF">
              <w:t>Cita informācija</w:t>
            </w:r>
          </w:p>
        </w:tc>
        <w:tc>
          <w:tcPr>
            <w:tcW w:w="3043" w:type="pct"/>
          </w:tcPr>
          <w:p w14:paraId="71342E7F" w14:textId="77777777" w:rsidR="007E1773" w:rsidRPr="001054E9" w:rsidRDefault="007E1773" w:rsidP="007E1773">
            <w:pPr>
              <w:jc w:val="both"/>
            </w:pPr>
            <w:r w:rsidRPr="00DA7FBF">
              <w:t>Nav.</w:t>
            </w:r>
            <w:r w:rsidRPr="001054E9">
              <w:t xml:space="preserve"> </w:t>
            </w:r>
          </w:p>
        </w:tc>
      </w:tr>
    </w:tbl>
    <w:p w14:paraId="300DEDF7" w14:textId="77777777" w:rsidR="00FD593F" w:rsidRPr="001054E9" w:rsidRDefault="00FD593F" w:rsidP="008F2C79">
      <w:pPr>
        <w:rPr>
          <w:vanish/>
        </w:rPr>
      </w:pPr>
      <w:bookmarkStart w:id="2" w:name="_GoBack"/>
      <w:bookmarkEnd w:id="2"/>
    </w:p>
    <w:p w14:paraId="216EE8EF" w14:textId="77777777" w:rsidR="00E446B1" w:rsidRPr="001054E9" w:rsidRDefault="00E446B1" w:rsidP="00BA5EB9">
      <w:pPr>
        <w:pStyle w:val="StyleRight"/>
        <w:spacing w:after="0"/>
        <w:ind w:firstLine="0"/>
        <w:jc w:val="both"/>
        <w:rPr>
          <w:sz w:val="24"/>
          <w:szCs w:val="24"/>
        </w:rPr>
      </w:pPr>
    </w:p>
    <w:p w14:paraId="36EAE840" w14:textId="77777777" w:rsidR="007E1773" w:rsidRPr="001054E9" w:rsidRDefault="00C96D2E" w:rsidP="007E1773">
      <w:pPr>
        <w:pStyle w:val="StyleRight"/>
        <w:spacing w:after="0"/>
        <w:ind w:firstLine="0"/>
        <w:jc w:val="both"/>
        <w:rPr>
          <w:sz w:val="24"/>
          <w:szCs w:val="24"/>
        </w:rPr>
      </w:pPr>
      <w:r w:rsidRPr="001054E9">
        <w:rPr>
          <w:sz w:val="24"/>
          <w:szCs w:val="24"/>
        </w:rPr>
        <w:t>Satiksmes</w:t>
      </w:r>
      <w:r w:rsidR="005A0553" w:rsidRPr="001054E9">
        <w:rPr>
          <w:sz w:val="24"/>
          <w:szCs w:val="24"/>
        </w:rPr>
        <w:t xml:space="preserve"> ministrs                                                                            Uldis Augulis</w:t>
      </w:r>
    </w:p>
    <w:p w14:paraId="6CDCA767" w14:textId="77777777" w:rsidR="00F35D04" w:rsidRDefault="00F35D04" w:rsidP="00B10543">
      <w:pPr>
        <w:pStyle w:val="naisf"/>
        <w:tabs>
          <w:tab w:val="left" w:pos="6804"/>
        </w:tabs>
        <w:spacing w:before="0" w:after="0"/>
        <w:ind w:firstLine="0"/>
      </w:pPr>
    </w:p>
    <w:p w14:paraId="680F178C" w14:textId="77777777" w:rsidR="00FD593F" w:rsidRDefault="00FD593F" w:rsidP="00B10543">
      <w:pPr>
        <w:pStyle w:val="naisf"/>
        <w:tabs>
          <w:tab w:val="left" w:pos="6804"/>
        </w:tabs>
        <w:spacing w:before="0" w:after="0"/>
        <w:ind w:firstLine="0"/>
      </w:pPr>
      <w:r>
        <w:t>Vīza:</w:t>
      </w:r>
    </w:p>
    <w:p w14:paraId="26073CE3" w14:textId="77777777" w:rsidR="00FD593F" w:rsidRDefault="00FD593F" w:rsidP="00B10543">
      <w:pPr>
        <w:pStyle w:val="naisf"/>
        <w:tabs>
          <w:tab w:val="left" w:pos="6804"/>
        </w:tabs>
        <w:spacing w:before="0" w:after="0"/>
        <w:ind w:firstLine="0"/>
      </w:pPr>
      <w:r>
        <w:t>valsts sekretārs                                                                                 Kaspars Ozoliņš</w:t>
      </w:r>
    </w:p>
    <w:p w14:paraId="51406EDB" w14:textId="77777777" w:rsidR="00B45D2C" w:rsidRPr="001054E9" w:rsidRDefault="00B45D2C" w:rsidP="00B10543">
      <w:pPr>
        <w:pStyle w:val="naisf"/>
        <w:tabs>
          <w:tab w:val="left" w:pos="6804"/>
        </w:tabs>
        <w:spacing w:before="0" w:after="0"/>
        <w:ind w:firstLine="0"/>
      </w:pPr>
    </w:p>
    <w:p w14:paraId="06457826" w14:textId="77777777" w:rsidR="00ED6243" w:rsidRDefault="00ED6243" w:rsidP="00DA7FBF">
      <w:pPr>
        <w:rPr>
          <w:sz w:val="20"/>
          <w:szCs w:val="20"/>
          <w:highlight w:val="yellow"/>
        </w:rPr>
      </w:pPr>
    </w:p>
    <w:p w14:paraId="28376C7C" w14:textId="07113659" w:rsidR="00DA7FBF" w:rsidRPr="00A939EA" w:rsidRDefault="00236787" w:rsidP="00DA7FBF">
      <w:pPr>
        <w:rPr>
          <w:sz w:val="20"/>
          <w:szCs w:val="20"/>
        </w:rPr>
      </w:pPr>
      <w:r>
        <w:rPr>
          <w:sz w:val="20"/>
          <w:szCs w:val="20"/>
        </w:rPr>
        <w:t>10</w:t>
      </w:r>
      <w:r w:rsidR="00DA7FBF" w:rsidRPr="00A939EA">
        <w:rPr>
          <w:sz w:val="20"/>
          <w:szCs w:val="20"/>
        </w:rPr>
        <w:t>.</w:t>
      </w:r>
      <w:r w:rsidR="00A939EA" w:rsidRPr="00A939EA">
        <w:rPr>
          <w:sz w:val="20"/>
          <w:szCs w:val="20"/>
        </w:rPr>
        <w:t>05</w:t>
      </w:r>
      <w:r w:rsidR="00DA7FBF" w:rsidRPr="00A939EA">
        <w:rPr>
          <w:sz w:val="20"/>
          <w:szCs w:val="20"/>
        </w:rPr>
        <w:t>.2018</w:t>
      </w:r>
      <w:r w:rsidR="00D36BAF">
        <w:rPr>
          <w:sz w:val="20"/>
          <w:szCs w:val="20"/>
        </w:rPr>
        <w:t xml:space="preserve">. </w:t>
      </w:r>
    </w:p>
    <w:p w14:paraId="71499E4C" w14:textId="63D7B6A0" w:rsidR="00DA7FBF" w:rsidRPr="00A939EA" w:rsidRDefault="00236787" w:rsidP="00DA7FBF">
      <w:pPr>
        <w:rPr>
          <w:sz w:val="20"/>
          <w:szCs w:val="20"/>
        </w:rPr>
      </w:pPr>
      <w:r>
        <w:rPr>
          <w:sz w:val="20"/>
          <w:szCs w:val="20"/>
        </w:rPr>
        <w:t>29</w:t>
      </w:r>
      <w:r w:rsidR="00C05E30">
        <w:rPr>
          <w:sz w:val="20"/>
          <w:szCs w:val="20"/>
        </w:rPr>
        <w:t>52</w:t>
      </w:r>
    </w:p>
    <w:p w14:paraId="003FD751" w14:textId="602478F8" w:rsidR="00C05E30" w:rsidRDefault="00DA7FBF" w:rsidP="00C05E30">
      <w:pPr>
        <w:tabs>
          <w:tab w:val="left" w:pos="3915"/>
        </w:tabs>
        <w:rPr>
          <w:sz w:val="20"/>
          <w:szCs w:val="20"/>
        </w:rPr>
      </w:pPr>
      <w:r w:rsidRPr="00A939EA">
        <w:rPr>
          <w:sz w:val="20"/>
          <w:szCs w:val="20"/>
        </w:rPr>
        <w:t>S</w:t>
      </w:r>
      <w:r w:rsidR="00C05E30">
        <w:rPr>
          <w:sz w:val="20"/>
          <w:szCs w:val="20"/>
        </w:rPr>
        <w:t>.</w:t>
      </w:r>
      <w:r w:rsidRPr="00A939EA">
        <w:rPr>
          <w:sz w:val="20"/>
          <w:szCs w:val="20"/>
        </w:rPr>
        <w:t>Gerge-Lubeja</w:t>
      </w:r>
      <w:r w:rsidR="00C05E30">
        <w:rPr>
          <w:sz w:val="20"/>
          <w:szCs w:val="20"/>
        </w:rPr>
        <w:t>, 67099402</w:t>
      </w:r>
    </w:p>
    <w:p w14:paraId="5A19A4D0" w14:textId="2C33F400" w:rsidR="00DA7FBF" w:rsidRPr="00DA7FBF" w:rsidRDefault="00983038" w:rsidP="00C05E30">
      <w:pPr>
        <w:tabs>
          <w:tab w:val="left" w:pos="3915"/>
        </w:tabs>
        <w:rPr>
          <w:sz w:val="20"/>
          <w:szCs w:val="20"/>
        </w:rPr>
      </w:pPr>
      <w:hyperlink r:id="rId8" w:history="1">
        <w:r w:rsidR="00DA7FBF" w:rsidRPr="00DA7FBF">
          <w:rPr>
            <w:rStyle w:val="Hyperlink"/>
            <w:sz w:val="20"/>
            <w:szCs w:val="20"/>
          </w:rPr>
          <w:t>sendija.gerge@lja.lv</w:t>
        </w:r>
      </w:hyperlink>
    </w:p>
    <w:p w14:paraId="6C48FB24" w14:textId="77777777" w:rsidR="001054E9" w:rsidRPr="001054E9" w:rsidRDefault="001054E9" w:rsidP="00A83488">
      <w:pPr>
        <w:rPr>
          <w:sz w:val="20"/>
          <w:szCs w:val="20"/>
        </w:rPr>
      </w:pPr>
    </w:p>
    <w:sectPr w:rsidR="001054E9" w:rsidRPr="001054E9" w:rsidSect="003B5BF8">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360D5" w14:textId="77777777" w:rsidR="00983038" w:rsidRDefault="00983038">
      <w:r>
        <w:separator/>
      </w:r>
    </w:p>
  </w:endnote>
  <w:endnote w:type="continuationSeparator" w:id="0">
    <w:p w14:paraId="357DD328" w14:textId="77777777" w:rsidR="00983038" w:rsidRDefault="0098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F084D" w14:textId="02787915" w:rsidR="00274866" w:rsidRPr="00255740" w:rsidRDefault="00274866" w:rsidP="00C51999">
    <w:pPr>
      <w:jc w:val="both"/>
      <w:rPr>
        <w:sz w:val="20"/>
        <w:szCs w:val="20"/>
      </w:rPr>
    </w:pPr>
    <w:r>
      <w:rPr>
        <w:color w:val="000000"/>
        <w:sz w:val="20"/>
        <w:szCs w:val="20"/>
      </w:rPr>
      <w:t>S</w:t>
    </w:r>
    <w:r w:rsidR="00236787">
      <w:rPr>
        <w:color w:val="000000"/>
        <w:sz w:val="20"/>
        <w:szCs w:val="20"/>
      </w:rPr>
      <w:t>Manot_10</w:t>
    </w:r>
    <w:r>
      <w:rPr>
        <w:color w:val="000000"/>
        <w:sz w:val="20"/>
        <w:szCs w:val="20"/>
      </w:rPr>
      <w:t>0518_groz364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C3697" w14:textId="5F656945" w:rsidR="00274866" w:rsidRPr="00B9379E" w:rsidRDefault="00274866" w:rsidP="00B9379E">
    <w:pPr>
      <w:jc w:val="both"/>
      <w:rPr>
        <w:sz w:val="20"/>
        <w:szCs w:val="20"/>
      </w:rPr>
    </w:pPr>
    <w:r w:rsidRPr="00A939EA">
      <w:rPr>
        <w:color w:val="000000"/>
        <w:sz w:val="20"/>
        <w:szCs w:val="20"/>
      </w:rPr>
      <w:t>S</w:t>
    </w:r>
    <w:r w:rsidR="00236787">
      <w:rPr>
        <w:color w:val="000000"/>
        <w:sz w:val="20"/>
        <w:szCs w:val="20"/>
      </w:rPr>
      <w:t>Manot_10</w:t>
    </w:r>
    <w:r w:rsidRPr="00A939EA">
      <w:rPr>
        <w:color w:val="000000"/>
        <w:sz w:val="20"/>
        <w:szCs w:val="20"/>
      </w:rPr>
      <w:t>0518_groz364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E066E" w14:textId="77777777" w:rsidR="00983038" w:rsidRDefault="00983038">
      <w:r>
        <w:separator/>
      </w:r>
    </w:p>
  </w:footnote>
  <w:footnote w:type="continuationSeparator" w:id="0">
    <w:p w14:paraId="08814799" w14:textId="77777777" w:rsidR="00983038" w:rsidRDefault="00983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FEC30" w14:textId="77777777" w:rsidR="00274866" w:rsidRDefault="00274866"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94C1F5" w14:textId="77777777" w:rsidR="00274866" w:rsidRDefault="002748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61062" w14:textId="3FB5A156" w:rsidR="00274866" w:rsidRDefault="00274866"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5E30">
      <w:rPr>
        <w:rStyle w:val="PageNumber"/>
        <w:noProof/>
      </w:rPr>
      <w:t>8</w:t>
    </w:r>
    <w:r>
      <w:rPr>
        <w:rStyle w:val="PageNumber"/>
      </w:rPr>
      <w:fldChar w:fldCharType="end"/>
    </w:r>
  </w:p>
  <w:p w14:paraId="3D1F59BE" w14:textId="77777777" w:rsidR="00274866" w:rsidRPr="00DC444E" w:rsidRDefault="00274866" w:rsidP="00DC444E">
    <w:pPr>
      <w:tabs>
        <w:tab w:val="left" w:pos="14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968"/>
    <w:multiLevelType w:val="multilevel"/>
    <w:tmpl w:val="EE1E94E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07904443"/>
    <w:multiLevelType w:val="hybridMultilevel"/>
    <w:tmpl w:val="C8DC222E"/>
    <w:lvl w:ilvl="0" w:tplc="A10A6A48">
      <w:start w:val="1"/>
      <w:numFmt w:val="decimal"/>
      <w:lvlText w:val="%1."/>
      <w:lvlJc w:val="left"/>
      <w:pPr>
        <w:tabs>
          <w:tab w:val="num" w:pos="949"/>
        </w:tabs>
        <w:ind w:left="949" w:hanging="60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717097"/>
    <w:multiLevelType w:val="hybridMultilevel"/>
    <w:tmpl w:val="3C5E7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61FCC"/>
    <w:multiLevelType w:val="hybridMultilevel"/>
    <w:tmpl w:val="EE7220A8"/>
    <w:lvl w:ilvl="0" w:tplc="DDD6FE92">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F35118"/>
    <w:multiLevelType w:val="hybridMultilevel"/>
    <w:tmpl w:val="95E295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067070"/>
    <w:multiLevelType w:val="hybridMultilevel"/>
    <w:tmpl w:val="06F68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A8E679A"/>
    <w:multiLevelType w:val="hybridMultilevel"/>
    <w:tmpl w:val="0962464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BC34D13"/>
    <w:multiLevelType w:val="hybridMultilevel"/>
    <w:tmpl w:val="2130B9C2"/>
    <w:lvl w:ilvl="0" w:tplc="0426000F">
      <w:start w:val="1"/>
      <w:numFmt w:val="decimal"/>
      <w:lvlText w:val="%1."/>
      <w:lvlJc w:val="left"/>
      <w:pPr>
        <w:tabs>
          <w:tab w:val="num" w:pos="1038"/>
        </w:tabs>
        <w:ind w:left="1038" w:hanging="360"/>
      </w:pPr>
    </w:lvl>
    <w:lvl w:ilvl="1" w:tplc="04260019" w:tentative="1">
      <w:start w:val="1"/>
      <w:numFmt w:val="lowerLetter"/>
      <w:lvlText w:val="%2."/>
      <w:lvlJc w:val="left"/>
      <w:pPr>
        <w:tabs>
          <w:tab w:val="num" w:pos="1758"/>
        </w:tabs>
        <w:ind w:left="1758" w:hanging="360"/>
      </w:pPr>
    </w:lvl>
    <w:lvl w:ilvl="2" w:tplc="0426001B" w:tentative="1">
      <w:start w:val="1"/>
      <w:numFmt w:val="lowerRoman"/>
      <w:lvlText w:val="%3."/>
      <w:lvlJc w:val="right"/>
      <w:pPr>
        <w:tabs>
          <w:tab w:val="num" w:pos="2478"/>
        </w:tabs>
        <w:ind w:left="2478" w:hanging="180"/>
      </w:pPr>
    </w:lvl>
    <w:lvl w:ilvl="3" w:tplc="0426000F" w:tentative="1">
      <w:start w:val="1"/>
      <w:numFmt w:val="decimal"/>
      <w:lvlText w:val="%4."/>
      <w:lvlJc w:val="left"/>
      <w:pPr>
        <w:tabs>
          <w:tab w:val="num" w:pos="3198"/>
        </w:tabs>
        <w:ind w:left="3198" w:hanging="360"/>
      </w:pPr>
    </w:lvl>
    <w:lvl w:ilvl="4" w:tplc="04260019" w:tentative="1">
      <w:start w:val="1"/>
      <w:numFmt w:val="lowerLetter"/>
      <w:lvlText w:val="%5."/>
      <w:lvlJc w:val="left"/>
      <w:pPr>
        <w:tabs>
          <w:tab w:val="num" w:pos="3918"/>
        </w:tabs>
        <w:ind w:left="3918" w:hanging="360"/>
      </w:pPr>
    </w:lvl>
    <w:lvl w:ilvl="5" w:tplc="0426001B" w:tentative="1">
      <w:start w:val="1"/>
      <w:numFmt w:val="lowerRoman"/>
      <w:lvlText w:val="%6."/>
      <w:lvlJc w:val="right"/>
      <w:pPr>
        <w:tabs>
          <w:tab w:val="num" w:pos="4638"/>
        </w:tabs>
        <w:ind w:left="4638" w:hanging="180"/>
      </w:pPr>
    </w:lvl>
    <w:lvl w:ilvl="6" w:tplc="0426000F" w:tentative="1">
      <w:start w:val="1"/>
      <w:numFmt w:val="decimal"/>
      <w:lvlText w:val="%7."/>
      <w:lvlJc w:val="left"/>
      <w:pPr>
        <w:tabs>
          <w:tab w:val="num" w:pos="5358"/>
        </w:tabs>
        <w:ind w:left="5358" w:hanging="360"/>
      </w:pPr>
    </w:lvl>
    <w:lvl w:ilvl="7" w:tplc="04260019" w:tentative="1">
      <w:start w:val="1"/>
      <w:numFmt w:val="lowerLetter"/>
      <w:lvlText w:val="%8."/>
      <w:lvlJc w:val="left"/>
      <w:pPr>
        <w:tabs>
          <w:tab w:val="num" w:pos="6078"/>
        </w:tabs>
        <w:ind w:left="6078" w:hanging="360"/>
      </w:pPr>
    </w:lvl>
    <w:lvl w:ilvl="8" w:tplc="0426001B" w:tentative="1">
      <w:start w:val="1"/>
      <w:numFmt w:val="lowerRoman"/>
      <w:lvlText w:val="%9."/>
      <w:lvlJc w:val="right"/>
      <w:pPr>
        <w:tabs>
          <w:tab w:val="num" w:pos="6798"/>
        </w:tabs>
        <w:ind w:left="6798" w:hanging="180"/>
      </w:pPr>
    </w:lvl>
  </w:abstractNum>
  <w:abstractNum w:abstractNumId="11" w15:restartNumberingAfterBreak="0">
    <w:nsid w:val="1D1C5F4B"/>
    <w:multiLevelType w:val="hybridMultilevel"/>
    <w:tmpl w:val="A91E6E7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2"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F7513E4"/>
    <w:multiLevelType w:val="hybridMultilevel"/>
    <w:tmpl w:val="687CEB7C"/>
    <w:lvl w:ilvl="0" w:tplc="A87C10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15:restartNumberingAfterBreak="0">
    <w:nsid w:val="382D54C3"/>
    <w:multiLevelType w:val="hybridMultilevel"/>
    <w:tmpl w:val="E5963B1E"/>
    <w:lvl w:ilvl="0" w:tplc="D6F4C6B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3A71B2"/>
    <w:multiLevelType w:val="hybridMultilevel"/>
    <w:tmpl w:val="31B4162C"/>
    <w:lvl w:ilvl="0" w:tplc="6C627852">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18" w15:restartNumberingAfterBreak="0">
    <w:nsid w:val="3ABE54D8"/>
    <w:multiLevelType w:val="hybridMultilevel"/>
    <w:tmpl w:val="B4A25862"/>
    <w:lvl w:ilvl="0" w:tplc="4B7C5198">
      <w:numFmt w:val="bullet"/>
      <w:lvlText w:val="-"/>
      <w:lvlJc w:val="left"/>
      <w:pPr>
        <w:ind w:left="720" w:hanging="360"/>
      </w:pPr>
      <w:rPr>
        <w:rFonts w:ascii="Times New Roman" w:eastAsia="Times New Roman" w:hAnsi="Times New Roman" w:hint="default"/>
        <w:u w:val="singl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64E6A"/>
    <w:multiLevelType w:val="hybridMultilevel"/>
    <w:tmpl w:val="BB7AD5C6"/>
    <w:lvl w:ilvl="0" w:tplc="56DA78A4">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4C842395"/>
    <w:multiLevelType w:val="hybridMultilevel"/>
    <w:tmpl w:val="8C94922E"/>
    <w:lvl w:ilvl="0" w:tplc="A87C10A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4E7D449B"/>
    <w:multiLevelType w:val="hybridMultilevel"/>
    <w:tmpl w:val="C0B0A804"/>
    <w:lvl w:ilvl="0" w:tplc="0426000F">
      <w:start w:val="1"/>
      <w:numFmt w:val="decimal"/>
      <w:lvlText w:val="%1."/>
      <w:lvlJc w:val="left"/>
      <w:pPr>
        <w:ind w:left="397" w:hanging="36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25" w15:restartNumberingAfterBreak="0">
    <w:nsid w:val="52E56BE9"/>
    <w:multiLevelType w:val="hybridMultilevel"/>
    <w:tmpl w:val="31B42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2E659A"/>
    <w:multiLevelType w:val="hybridMultilevel"/>
    <w:tmpl w:val="3CA85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68A2856"/>
    <w:multiLevelType w:val="hybridMultilevel"/>
    <w:tmpl w:val="6CDC8E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72D1FFD"/>
    <w:multiLevelType w:val="hybridMultilevel"/>
    <w:tmpl w:val="EA7885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2E62D0"/>
    <w:multiLevelType w:val="hybridMultilevel"/>
    <w:tmpl w:val="3FD438E2"/>
    <w:lvl w:ilvl="0" w:tplc="D068BE32">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15:restartNumberingAfterBreak="0">
    <w:nsid w:val="5C11416B"/>
    <w:multiLevelType w:val="hybridMultilevel"/>
    <w:tmpl w:val="1F148398"/>
    <w:lvl w:ilvl="0" w:tplc="8C0648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4"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60F26C2D"/>
    <w:multiLevelType w:val="multilevel"/>
    <w:tmpl w:val="77AA3E64"/>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6"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4A97643"/>
    <w:multiLevelType w:val="hybridMultilevel"/>
    <w:tmpl w:val="B68C9F32"/>
    <w:lvl w:ilvl="0" w:tplc="7AAEFA3E">
      <w:start w:val="1"/>
      <w:numFmt w:val="decimal"/>
      <w:lvlText w:val="%1."/>
      <w:lvlJc w:val="left"/>
      <w:pPr>
        <w:ind w:left="652" w:hanging="360"/>
      </w:pPr>
      <w:rPr>
        <w:rFonts w:hint="default"/>
      </w:rPr>
    </w:lvl>
    <w:lvl w:ilvl="1" w:tplc="04260019" w:tentative="1">
      <w:start w:val="1"/>
      <w:numFmt w:val="lowerLetter"/>
      <w:lvlText w:val="%2."/>
      <w:lvlJc w:val="left"/>
      <w:pPr>
        <w:ind w:left="1372" w:hanging="360"/>
      </w:pPr>
    </w:lvl>
    <w:lvl w:ilvl="2" w:tplc="0426001B" w:tentative="1">
      <w:start w:val="1"/>
      <w:numFmt w:val="lowerRoman"/>
      <w:lvlText w:val="%3."/>
      <w:lvlJc w:val="right"/>
      <w:pPr>
        <w:ind w:left="2092" w:hanging="180"/>
      </w:pPr>
    </w:lvl>
    <w:lvl w:ilvl="3" w:tplc="0426000F" w:tentative="1">
      <w:start w:val="1"/>
      <w:numFmt w:val="decimal"/>
      <w:lvlText w:val="%4."/>
      <w:lvlJc w:val="left"/>
      <w:pPr>
        <w:ind w:left="2812" w:hanging="360"/>
      </w:pPr>
    </w:lvl>
    <w:lvl w:ilvl="4" w:tplc="04260019" w:tentative="1">
      <w:start w:val="1"/>
      <w:numFmt w:val="lowerLetter"/>
      <w:lvlText w:val="%5."/>
      <w:lvlJc w:val="left"/>
      <w:pPr>
        <w:ind w:left="3532" w:hanging="360"/>
      </w:pPr>
    </w:lvl>
    <w:lvl w:ilvl="5" w:tplc="0426001B" w:tentative="1">
      <w:start w:val="1"/>
      <w:numFmt w:val="lowerRoman"/>
      <w:lvlText w:val="%6."/>
      <w:lvlJc w:val="right"/>
      <w:pPr>
        <w:ind w:left="4252" w:hanging="180"/>
      </w:pPr>
    </w:lvl>
    <w:lvl w:ilvl="6" w:tplc="0426000F" w:tentative="1">
      <w:start w:val="1"/>
      <w:numFmt w:val="decimal"/>
      <w:lvlText w:val="%7."/>
      <w:lvlJc w:val="left"/>
      <w:pPr>
        <w:ind w:left="4972" w:hanging="360"/>
      </w:pPr>
    </w:lvl>
    <w:lvl w:ilvl="7" w:tplc="04260019" w:tentative="1">
      <w:start w:val="1"/>
      <w:numFmt w:val="lowerLetter"/>
      <w:lvlText w:val="%8."/>
      <w:lvlJc w:val="left"/>
      <w:pPr>
        <w:ind w:left="5692" w:hanging="360"/>
      </w:pPr>
    </w:lvl>
    <w:lvl w:ilvl="8" w:tplc="0426001B" w:tentative="1">
      <w:start w:val="1"/>
      <w:numFmt w:val="lowerRoman"/>
      <w:lvlText w:val="%9."/>
      <w:lvlJc w:val="right"/>
      <w:pPr>
        <w:ind w:left="6412" w:hanging="180"/>
      </w:pPr>
    </w:lvl>
  </w:abstractNum>
  <w:abstractNum w:abstractNumId="38" w15:restartNumberingAfterBreak="0">
    <w:nsid w:val="66367C00"/>
    <w:multiLevelType w:val="hybridMultilevel"/>
    <w:tmpl w:val="CC6A7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D3F4926"/>
    <w:multiLevelType w:val="hybridMultilevel"/>
    <w:tmpl w:val="F2AEB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F47667"/>
    <w:multiLevelType w:val="hybridMultilevel"/>
    <w:tmpl w:val="3FE0EC1A"/>
    <w:lvl w:ilvl="0" w:tplc="49D6F122">
      <w:numFmt w:val="bullet"/>
      <w:lvlText w:val="-"/>
      <w:lvlJc w:val="left"/>
      <w:pPr>
        <w:ind w:left="943" w:hanging="360"/>
      </w:pPr>
      <w:rPr>
        <w:rFonts w:ascii="Times New Roman" w:eastAsia="Times New Roman" w:hAnsi="Times New Roman" w:cs="Times New Roman" w:hint="default"/>
      </w:rPr>
    </w:lvl>
    <w:lvl w:ilvl="1" w:tplc="04260003" w:tentative="1">
      <w:start w:val="1"/>
      <w:numFmt w:val="bullet"/>
      <w:lvlText w:val="o"/>
      <w:lvlJc w:val="left"/>
      <w:pPr>
        <w:ind w:left="1663" w:hanging="360"/>
      </w:pPr>
      <w:rPr>
        <w:rFonts w:ascii="Courier New" w:hAnsi="Courier New" w:cs="Courier New" w:hint="default"/>
      </w:rPr>
    </w:lvl>
    <w:lvl w:ilvl="2" w:tplc="04260005" w:tentative="1">
      <w:start w:val="1"/>
      <w:numFmt w:val="bullet"/>
      <w:lvlText w:val=""/>
      <w:lvlJc w:val="left"/>
      <w:pPr>
        <w:ind w:left="2383" w:hanging="360"/>
      </w:pPr>
      <w:rPr>
        <w:rFonts w:ascii="Wingdings" w:hAnsi="Wingdings" w:hint="default"/>
      </w:rPr>
    </w:lvl>
    <w:lvl w:ilvl="3" w:tplc="04260001" w:tentative="1">
      <w:start w:val="1"/>
      <w:numFmt w:val="bullet"/>
      <w:lvlText w:val=""/>
      <w:lvlJc w:val="left"/>
      <w:pPr>
        <w:ind w:left="3103" w:hanging="360"/>
      </w:pPr>
      <w:rPr>
        <w:rFonts w:ascii="Symbol" w:hAnsi="Symbol" w:hint="default"/>
      </w:rPr>
    </w:lvl>
    <w:lvl w:ilvl="4" w:tplc="04260003" w:tentative="1">
      <w:start w:val="1"/>
      <w:numFmt w:val="bullet"/>
      <w:lvlText w:val="o"/>
      <w:lvlJc w:val="left"/>
      <w:pPr>
        <w:ind w:left="3823" w:hanging="360"/>
      </w:pPr>
      <w:rPr>
        <w:rFonts w:ascii="Courier New" w:hAnsi="Courier New" w:cs="Courier New" w:hint="default"/>
      </w:rPr>
    </w:lvl>
    <w:lvl w:ilvl="5" w:tplc="04260005" w:tentative="1">
      <w:start w:val="1"/>
      <w:numFmt w:val="bullet"/>
      <w:lvlText w:val=""/>
      <w:lvlJc w:val="left"/>
      <w:pPr>
        <w:ind w:left="4543" w:hanging="360"/>
      </w:pPr>
      <w:rPr>
        <w:rFonts w:ascii="Wingdings" w:hAnsi="Wingdings" w:hint="default"/>
      </w:rPr>
    </w:lvl>
    <w:lvl w:ilvl="6" w:tplc="04260001" w:tentative="1">
      <w:start w:val="1"/>
      <w:numFmt w:val="bullet"/>
      <w:lvlText w:val=""/>
      <w:lvlJc w:val="left"/>
      <w:pPr>
        <w:ind w:left="5263" w:hanging="360"/>
      </w:pPr>
      <w:rPr>
        <w:rFonts w:ascii="Symbol" w:hAnsi="Symbol" w:hint="default"/>
      </w:rPr>
    </w:lvl>
    <w:lvl w:ilvl="7" w:tplc="04260003" w:tentative="1">
      <w:start w:val="1"/>
      <w:numFmt w:val="bullet"/>
      <w:lvlText w:val="o"/>
      <w:lvlJc w:val="left"/>
      <w:pPr>
        <w:ind w:left="5983" w:hanging="360"/>
      </w:pPr>
      <w:rPr>
        <w:rFonts w:ascii="Courier New" w:hAnsi="Courier New" w:cs="Courier New" w:hint="default"/>
      </w:rPr>
    </w:lvl>
    <w:lvl w:ilvl="8" w:tplc="04260005" w:tentative="1">
      <w:start w:val="1"/>
      <w:numFmt w:val="bullet"/>
      <w:lvlText w:val=""/>
      <w:lvlJc w:val="left"/>
      <w:pPr>
        <w:ind w:left="6703" w:hanging="360"/>
      </w:pPr>
      <w:rPr>
        <w:rFonts w:ascii="Wingdings" w:hAnsi="Wingdings" w:hint="default"/>
      </w:rPr>
    </w:lvl>
  </w:abstractNum>
  <w:abstractNum w:abstractNumId="41" w15:restartNumberingAfterBreak="0">
    <w:nsid w:val="73FF4077"/>
    <w:multiLevelType w:val="multilevel"/>
    <w:tmpl w:val="CDDCFAF4"/>
    <w:lvl w:ilvl="0">
      <w:start w:val="1"/>
      <w:numFmt w:val="decimal"/>
      <w:lvlText w:val="%1."/>
      <w:lvlJc w:val="left"/>
      <w:pPr>
        <w:ind w:left="1230" w:hanging="1230"/>
      </w:pPr>
      <w:rPr>
        <w:rFonts w:hint="default"/>
      </w:rPr>
    </w:lvl>
    <w:lvl w:ilvl="1">
      <w:start w:val="1"/>
      <w:numFmt w:val="decimal"/>
      <w:lvlText w:val="%1.%2."/>
      <w:lvlJc w:val="left"/>
      <w:pPr>
        <w:ind w:left="1230" w:hanging="1230"/>
      </w:pPr>
      <w:rPr>
        <w:rFonts w:hint="default"/>
      </w:rPr>
    </w:lvl>
    <w:lvl w:ilvl="2">
      <w:start w:val="1"/>
      <w:numFmt w:val="decimal"/>
      <w:lvlText w:val="%1.%2.%3."/>
      <w:lvlJc w:val="left"/>
      <w:pPr>
        <w:ind w:left="1230" w:hanging="1230"/>
      </w:pPr>
      <w:rPr>
        <w:rFonts w:hint="default"/>
      </w:rPr>
    </w:lvl>
    <w:lvl w:ilvl="3">
      <w:start w:val="1"/>
      <w:numFmt w:val="decimal"/>
      <w:lvlText w:val="%1.%2.%3.%4."/>
      <w:lvlJc w:val="left"/>
      <w:pPr>
        <w:ind w:left="1230" w:hanging="1230"/>
      </w:pPr>
      <w:rPr>
        <w:rFonts w:hint="default"/>
      </w:rPr>
    </w:lvl>
    <w:lvl w:ilvl="4">
      <w:start w:val="1"/>
      <w:numFmt w:val="decimal"/>
      <w:lvlText w:val="%1.%2.%3.%4.%5."/>
      <w:lvlJc w:val="left"/>
      <w:pPr>
        <w:ind w:left="1230" w:hanging="1230"/>
      </w:pPr>
      <w:rPr>
        <w:rFonts w:hint="default"/>
      </w:rPr>
    </w:lvl>
    <w:lvl w:ilvl="5">
      <w:start w:val="1"/>
      <w:numFmt w:val="decimal"/>
      <w:lvlText w:val="%1.%2.%3.%4.%5.%6."/>
      <w:lvlJc w:val="left"/>
      <w:pPr>
        <w:ind w:left="1230" w:hanging="123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7276187"/>
    <w:multiLevelType w:val="hybridMultilevel"/>
    <w:tmpl w:val="0CEE449C"/>
    <w:lvl w:ilvl="0" w:tplc="0426000F">
      <w:start w:val="1"/>
      <w:numFmt w:val="decimal"/>
      <w:lvlText w:val="%1."/>
      <w:lvlJc w:val="left"/>
      <w:pPr>
        <w:ind w:left="374" w:hanging="360"/>
      </w:pPr>
      <w:rPr>
        <w:rFonts w:hint="default"/>
      </w:rPr>
    </w:lvl>
    <w:lvl w:ilvl="1" w:tplc="04260003" w:tentative="1">
      <w:start w:val="1"/>
      <w:numFmt w:val="bullet"/>
      <w:lvlText w:val="o"/>
      <w:lvlJc w:val="left"/>
      <w:pPr>
        <w:ind w:left="1094" w:hanging="360"/>
      </w:pPr>
      <w:rPr>
        <w:rFonts w:ascii="Courier New" w:hAnsi="Courier New" w:cs="Courier New" w:hint="default"/>
      </w:rPr>
    </w:lvl>
    <w:lvl w:ilvl="2" w:tplc="04260005" w:tentative="1">
      <w:start w:val="1"/>
      <w:numFmt w:val="bullet"/>
      <w:lvlText w:val=""/>
      <w:lvlJc w:val="left"/>
      <w:pPr>
        <w:ind w:left="1814" w:hanging="360"/>
      </w:pPr>
      <w:rPr>
        <w:rFonts w:ascii="Wingdings" w:hAnsi="Wingdings" w:hint="default"/>
      </w:rPr>
    </w:lvl>
    <w:lvl w:ilvl="3" w:tplc="04260001" w:tentative="1">
      <w:start w:val="1"/>
      <w:numFmt w:val="bullet"/>
      <w:lvlText w:val=""/>
      <w:lvlJc w:val="left"/>
      <w:pPr>
        <w:ind w:left="2534" w:hanging="360"/>
      </w:pPr>
      <w:rPr>
        <w:rFonts w:ascii="Symbol" w:hAnsi="Symbol" w:hint="default"/>
      </w:rPr>
    </w:lvl>
    <w:lvl w:ilvl="4" w:tplc="04260003" w:tentative="1">
      <w:start w:val="1"/>
      <w:numFmt w:val="bullet"/>
      <w:lvlText w:val="o"/>
      <w:lvlJc w:val="left"/>
      <w:pPr>
        <w:ind w:left="3254" w:hanging="360"/>
      </w:pPr>
      <w:rPr>
        <w:rFonts w:ascii="Courier New" w:hAnsi="Courier New" w:cs="Courier New" w:hint="default"/>
      </w:rPr>
    </w:lvl>
    <w:lvl w:ilvl="5" w:tplc="04260005" w:tentative="1">
      <w:start w:val="1"/>
      <w:numFmt w:val="bullet"/>
      <w:lvlText w:val=""/>
      <w:lvlJc w:val="left"/>
      <w:pPr>
        <w:ind w:left="3974" w:hanging="360"/>
      </w:pPr>
      <w:rPr>
        <w:rFonts w:ascii="Wingdings" w:hAnsi="Wingdings" w:hint="default"/>
      </w:rPr>
    </w:lvl>
    <w:lvl w:ilvl="6" w:tplc="04260001" w:tentative="1">
      <w:start w:val="1"/>
      <w:numFmt w:val="bullet"/>
      <w:lvlText w:val=""/>
      <w:lvlJc w:val="left"/>
      <w:pPr>
        <w:ind w:left="4694" w:hanging="360"/>
      </w:pPr>
      <w:rPr>
        <w:rFonts w:ascii="Symbol" w:hAnsi="Symbol" w:hint="default"/>
      </w:rPr>
    </w:lvl>
    <w:lvl w:ilvl="7" w:tplc="04260003" w:tentative="1">
      <w:start w:val="1"/>
      <w:numFmt w:val="bullet"/>
      <w:lvlText w:val="o"/>
      <w:lvlJc w:val="left"/>
      <w:pPr>
        <w:ind w:left="5414" w:hanging="360"/>
      </w:pPr>
      <w:rPr>
        <w:rFonts w:ascii="Courier New" w:hAnsi="Courier New" w:cs="Courier New" w:hint="default"/>
      </w:rPr>
    </w:lvl>
    <w:lvl w:ilvl="8" w:tplc="04260005" w:tentative="1">
      <w:start w:val="1"/>
      <w:numFmt w:val="bullet"/>
      <w:lvlText w:val=""/>
      <w:lvlJc w:val="left"/>
      <w:pPr>
        <w:ind w:left="6134" w:hanging="360"/>
      </w:pPr>
      <w:rPr>
        <w:rFonts w:ascii="Wingdings" w:hAnsi="Wingdings" w:hint="default"/>
      </w:rPr>
    </w:lvl>
  </w:abstractNum>
  <w:abstractNum w:abstractNumId="43" w15:restartNumberingAfterBreak="0">
    <w:nsid w:val="79C70711"/>
    <w:multiLevelType w:val="hybridMultilevel"/>
    <w:tmpl w:val="4BCE7106"/>
    <w:lvl w:ilvl="0" w:tplc="8AFA0724">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num w:numId="1">
    <w:abstractNumId w:val="15"/>
  </w:num>
  <w:num w:numId="2">
    <w:abstractNumId w:val="34"/>
  </w:num>
  <w:num w:numId="3">
    <w:abstractNumId w:val="12"/>
  </w:num>
  <w:num w:numId="4">
    <w:abstractNumId w:val="7"/>
  </w:num>
  <w:num w:numId="5">
    <w:abstractNumId w:val="2"/>
  </w:num>
  <w:num w:numId="6">
    <w:abstractNumId w:val="27"/>
  </w:num>
  <w:num w:numId="7">
    <w:abstractNumId w:val="36"/>
  </w:num>
  <w:num w:numId="8">
    <w:abstractNumId w:val="19"/>
  </w:num>
  <w:num w:numId="9">
    <w:abstractNumId w:val="9"/>
  </w:num>
  <w:num w:numId="10">
    <w:abstractNumId w:val="20"/>
  </w:num>
  <w:num w:numId="11">
    <w:abstractNumId w:val="22"/>
  </w:num>
  <w:num w:numId="12">
    <w:abstractNumId w:val="30"/>
  </w:num>
  <w:num w:numId="13">
    <w:abstractNumId w:val="33"/>
  </w:num>
  <w:num w:numId="14">
    <w:abstractNumId w:val="43"/>
  </w:num>
  <w:num w:numId="15">
    <w:abstractNumId w:val="10"/>
  </w:num>
  <w:num w:numId="16">
    <w:abstractNumId w:val="17"/>
  </w:num>
  <w:num w:numId="17">
    <w:abstractNumId w:val="1"/>
  </w:num>
  <w:num w:numId="18">
    <w:abstractNumId w:val="14"/>
  </w:num>
  <w:num w:numId="19">
    <w:abstractNumId w:val="37"/>
  </w:num>
  <w:num w:numId="20">
    <w:abstractNumId w:val="11"/>
  </w:num>
  <w:num w:numId="21">
    <w:abstractNumId w:val="18"/>
  </w:num>
  <w:num w:numId="22">
    <w:abstractNumId w:val="29"/>
  </w:num>
  <w:num w:numId="23">
    <w:abstractNumId w:val="13"/>
  </w:num>
  <w:num w:numId="24">
    <w:abstractNumId w:val="23"/>
  </w:num>
  <w:num w:numId="25">
    <w:abstractNumId w:val="32"/>
  </w:num>
  <w:num w:numId="26">
    <w:abstractNumId w:val="39"/>
  </w:num>
  <w:num w:numId="27">
    <w:abstractNumId w:val="3"/>
  </w:num>
  <w:num w:numId="28">
    <w:abstractNumId w:val="16"/>
  </w:num>
  <w:num w:numId="29">
    <w:abstractNumId w:val="6"/>
  </w:num>
  <w:num w:numId="30">
    <w:abstractNumId w:val="26"/>
  </w:num>
  <w:num w:numId="31">
    <w:abstractNumId w:val="21"/>
  </w:num>
  <w:num w:numId="32">
    <w:abstractNumId w:val="5"/>
  </w:num>
  <w:num w:numId="33">
    <w:abstractNumId w:val="38"/>
  </w:num>
  <w:num w:numId="34">
    <w:abstractNumId w:val="25"/>
  </w:num>
  <w:num w:numId="35">
    <w:abstractNumId w:val="41"/>
  </w:num>
  <w:num w:numId="36">
    <w:abstractNumId w:val="35"/>
  </w:num>
  <w:num w:numId="37">
    <w:abstractNumId w:val="0"/>
  </w:num>
  <w:num w:numId="38">
    <w:abstractNumId w:val="42"/>
  </w:num>
  <w:num w:numId="39">
    <w:abstractNumId w:val="24"/>
  </w:num>
  <w:num w:numId="40">
    <w:abstractNumId w:val="31"/>
  </w:num>
  <w:num w:numId="41">
    <w:abstractNumId w:val="40"/>
  </w:num>
  <w:num w:numId="42">
    <w:abstractNumId w:val="28"/>
  </w:num>
  <w:num w:numId="43">
    <w:abstractNumId w:val="4"/>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49"/>
    <w:rsid w:val="000000B5"/>
    <w:rsid w:val="00000201"/>
    <w:rsid w:val="00000788"/>
    <w:rsid w:val="00000DC8"/>
    <w:rsid w:val="0000273F"/>
    <w:rsid w:val="000027FE"/>
    <w:rsid w:val="00004313"/>
    <w:rsid w:val="00004A35"/>
    <w:rsid w:val="00005602"/>
    <w:rsid w:val="00005762"/>
    <w:rsid w:val="00010DF5"/>
    <w:rsid w:val="00011D24"/>
    <w:rsid w:val="00013E2C"/>
    <w:rsid w:val="00013FF4"/>
    <w:rsid w:val="00014A7A"/>
    <w:rsid w:val="000164AF"/>
    <w:rsid w:val="00016D31"/>
    <w:rsid w:val="000202AE"/>
    <w:rsid w:val="00020722"/>
    <w:rsid w:val="00020FE1"/>
    <w:rsid w:val="00021E8D"/>
    <w:rsid w:val="00022E13"/>
    <w:rsid w:val="00022FA8"/>
    <w:rsid w:val="00024A12"/>
    <w:rsid w:val="00026328"/>
    <w:rsid w:val="0002640F"/>
    <w:rsid w:val="00026518"/>
    <w:rsid w:val="00027082"/>
    <w:rsid w:val="00030AB2"/>
    <w:rsid w:val="000310CE"/>
    <w:rsid w:val="00031C64"/>
    <w:rsid w:val="00032388"/>
    <w:rsid w:val="00034182"/>
    <w:rsid w:val="00035CE2"/>
    <w:rsid w:val="0003628D"/>
    <w:rsid w:val="00040E03"/>
    <w:rsid w:val="00041713"/>
    <w:rsid w:val="00041841"/>
    <w:rsid w:val="00041C0D"/>
    <w:rsid w:val="00044B39"/>
    <w:rsid w:val="000453FA"/>
    <w:rsid w:val="00047B81"/>
    <w:rsid w:val="00047D4D"/>
    <w:rsid w:val="00052210"/>
    <w:rsid w:val="000524AA"/>
    <w:rsid w:val="000525F8"/>
    <w:rsid w:val="00054D80"/>
    <w:rsid w:val="0005553B"/>
    <w:rsid w:val="00056C71"/>
    <w:rsid w:val="00057062"/>
    <w:rsid w:val="000604D2"/>
    <w:rsid w:val="00063BE2"/>
    <w:rsid w:val="00064FAF"/>
    <w:rsid w:val="0006550E"/>
    <w:rsid w:val="00065979"/>
    <w:rsid w:val="0006710B"/>
    <w:rsid w:val="00070987"/>
    <w:rsid w:val="00070C1D"/>
    <w:rsid w:val="00072781"/>
    <w:rsid w:val="00072A2A"/>
    <w:rsid w:val="00072E85"/>
    <w:rsid w:val="0007361B"/>
    <w:rsid w:val="0007404F"/>
    <w:rsid w:val="00081403"/>
    <w:rsid w:val="00084880"/>
    <w:rsid w:val="000848A1"/>
    <w:rsid w:val="00084ED2"/>
    <w:rsid w:val="00085CDB"/>
    <w:rsid w:val="0009005E"/>
    <w:rsid w:val="00090F27"/>
    <w:rsid w:val="0009189E"/>
    <w:rsid w:val="00093162"/>
    <w:rsid w:val="000941C5"/>
    <w:rsid w:val="00094466"/>
    <w:rsid w:val="000947D6"/>
    <w:rsid w:val="00094B78"/>
    <w:rsid w:val="00094FB6"/>
    <w:rsid w:val="000A04D2"/>
    <w:rsid w:val="000A08C1"/>
    <w:rsid w:val="000A0E24"/>
    <w:rsid w:val="000A18C6"/>
    <w:rsid w:val="000A1977"/>
    <w:rsid w:val="000A1D0A"/>
    <w:rsid w:val="000A3E6B"/>
    <w:rsid w:val="000A42F9"/>
    <w:rsid w:val="000A4D5D"/>
    <w:rsid w:val="000A5A38"/>
    <w:rsid w:val="000A6451"/>
    <w:rsid w:val="000B064E"/>
    <w:rsid w:val="000B2106"/>
    <w:rsid w:val="000B2391"/>
    <w:rsid w:val="000B28A5"/>
    <w:rsid w:val="000B296E"/>
    <w:rsid w:val="000B2B1C"/>
    <w:rsid w:val="000B3CEF"/>
    <w:rsid w:val="000B41C0"/>
    <w:rsid w:val="000B6169"/>
    <w:rsid w:val="000B69CF"/>
    <w:rsid w:val="000B77D4"/>
    <w:rsid w:val="000C3FE0"/>
    <w:rsid w:val="000C4FD4"/>
    <w:rsid w:val="000C53FD"/>
    <w:rsid w:val="000C68B6"/>
    <w:rsid w:val="000C784D"/>
    <w:rsid w:val="000C788D"/>
    <w:rsid w:val="000C790C"/>
    <w:rsid w:val="000C7E32"/>
    <w:rsid w:val="000D00FE"/>
    <w:rsid w:val="000D1B5A"/>
    <w:rsid w:val="000D1C05"/>
    <w:rsid w:val="000D35E0"/>
    <w:rsid w:val="000D58B1"/>
    <w:rsid w:val="000D6556"/>
    <w:rsid w:val="000D798F"/>
    <w:rsid w:val="000E06D0"/>
    <w:rsid w:val="000E1356"/>
    <w:rsid w:val="000E2127"/>
    <w:rsid w:val="000E33C6"/>
    <w:rsid w:val="000E3C3F"/>
    <w:rsid w:val="000E411B"/>
    <w:rsid w:val="000E6551"/>
    <w:rsid w:val="000E6EE9"/>
    <w:rsid w:val="000E798F"/>
    <w:rsid w:val="000E7EC9"/>
    <w:rsid w:val="000F027B"/>
    <w:rsid w:val="000F061D"/>
    <w:rsid w:val="000F14FC"/>
    <w:rsid w:val="000F171C"/>
    <w:rsid w:val="000F37C1"/>
    <w:rsid w:val="000F436D"/>
    <w:rsid w:val="000F4794"/>
    <w:rsid w:val="000F47AB"/>
    <w:rsid w:val="000F580E"/>
    <w:rsid w:val="000F720A"/>
    <w:rsid w:val="000F72F3"/>
    <w:rsid w:val="00103AAF"/>
    <w:rsid w:val="00104245"/>
    <w:rsid w:val="001046F5"/>
    <w:rsid w:val="00104F06"/>
    <w:rsid w:val="001054E9"/>
    <w:rsid w:val="00110FDD"/>
    <w:rsid w:val="001140C8"/>
    <w:rsid w:val="001146B9"/>
    <w:rsid w:val="001151EE"/>
    <w:rsid w:val="0011729F"/>
    <w:rsid w:val="00117C76"/>
    <w:rsid w:val="00120D4B"/>
    <w:rsid w:val="001213DD"/>
    <w:rsid w:val="00121665"/>
    <w:rsid w:val="00124E19"/>
    <w:rsid w:val="00124F12"/>
    <w:rsid w:val="00124F7F"/>
    <w:rsid w:val="001269AB"/>
    <w:rsid w:val="00130A22"/>
    <w:rsid w:val="00130A70"/>
    <w:rsid w:val="00131130"/>
    <w:rsid w:val="001328A9"/>
    <w:rsid w:val="001329DB"/>
    <w:rsid w:val="00133E95"/>
    <w:rsid w:val="00136944"/>
    <w:rsid w:val="00137021"/>
    <w:rsid w:val="00137DDD"/>
    <w:rsid w:val="00137FB4"/>
    <w:rsid w:val="00140046"/>
    <w:rsid w:val="001404CF"/>
    <w:rsid w:val="00140C62"/>
    <w:rsid w:val="001411F6"/>
    <w:rsid w:val="001416D7"/>
    <w:rsid w:val="00141BB3"/>
    <w:rsid w:val="0014206F"/>
    <w:rsid w:val="001424F9"/>
    <w:rsid w:val="001430E8"/>
    <w:rsid w:val="00144E3A"/>
    <w:rsid w:val="0014671B"/>
    <w:rsid w:val="00146F5A"/>
    <w:rsid w:val="00147F87"/>
    <w:rsid w:val="0015060C"/>
    <w:rsid w:val="00151484"/>
    <w:rsid w:val="00152988"/>
    <w:rsid w:val="00153B03"/>
    <w:rsid w:val="00154D2A"/>
    <w:rsid w:val="00157E5E"/>
    <w:rsid w:val="0016018A"/>
    <w:rsid w:val="00161046"/>
    <w:rsid w:val="00161CFA"/>
    <w:rsid w:val="00161F0E"/>
    <w:rsid w:val="001622FD"/>
    <w:rsid w:val="0016309D"/>
    <w:rsid w:val="00163583"/>
    <w:rsid w:val="00163800"/>
    <w:rsid w:val="00164EF9"/>
    <w:rsid w:val="0016574C"/>
    <w:rsid w:val="0016725B"/>
    <w:rsid w:val="00170580"/>
    <w:rsid w:val="001705FF"/>
    <w:rsid w:val="00170E2A"/>
    <w:rsid w:val="00174A45"/>
    <w:rsid w:val="00174B71"/>
    <w:rsid w:val="00174DE8"/>
    <w:rsid w:val="0017563E"/>
    <w:rsid w:val="00176AF4"/>
    <w:rsid w:val="001770A6"/>
    <w:rsid w:val="00177376"/>
    <w:rsid w:val="00177394"/>
    <w:rsid w:val="001807A1"/>
    <w:rsid w:val="00182994"/>
    <w:rsid w:val="00182C18"/>
    <w:rsid w:val="00182E5A"/>
    <w:rsid w:val="00183CC2"/>
    <w:rsid w:val="00184257"/>
    <w:rsid w:val="00185703"/>
    <w:rsid w:val="00185CB9"/>
    <w:rsid w:val="00187ED0"/>
    <w:rsid w:val="001900E4"/>
    <w:rsid w:val="00190F88"/>
    <w:rsid w:val="00192809"/>
    <w:rsid w:val="00192992"/>
    <w:rsid w:val="00193788"/>
    <w:rsid w:val="00193801"/>
    <w:rsid w:val="001A1354"/>
    <w:rsid w:val="001A3367"/>
    <w:rsid w:val="001A4066"/>
    <w:rsid w:val="001A40C1"/>
    <w:rsid w:val="001A4321"/>
    <w:rsid w:val="001A4581"/>
    <w:rsid w:val="001A4FD0"/>
    <w:rsid w:val="001A517E"/>
    <w:rsid w:val="001A5975"/>
    <w:rsid w:val="001A5D6B"/>
    <w:rsid w:val="001A60C6"/>
    <w:rsid w:val="001A6AE4"/>
    <w:rsid w:val="001A730B"/>
    <w:rsid w:val="001A7460"/>
    <w:rsid w:val="001B001D"/>
    <w:rsid w:val="001B01FD"/>
    <w:rsid w:val="001B132A"/>
    <w:rsid w:val="001B293B"/>
    <w:rsid w:val="001B34E5"/>
    <w:rsid w:val="001B46D8"/>
    <w:rsid w:val="001B4A71"/>
    <w:rsid w:val="001B4EBE"/>
    <w:rsid w:val="001B6F54"/>
    <w:rsid w:val="001B71A6"/>
    <w:rsid w:val="001B74C2"/>
    <w:rsid w:val="001C07AC"/>
    <w:rsid w:val="001C1554"/>
    <w:rsid w:val="001C1974"/>
    <w:rsid w:val="001C1F97"/>
    <w:rsid w:val="001C4BFF"/>
    <w:rsid w:val="001C517D"/>
    <w:rsid w:val="001C605F"/>
    <w:rsid w:val="001C6492"/>
    <w:rsid w:val="001C695B"/>
    <w:rsid w:val="001D1470"/>
    <w:rsid w:val="001D1A4C"/>
    <w:rsid w:val="001D3984"/>
    <w:rsid w:val="001D3D55"/>
    <w:rsid w:val="001D41FA"/>
    <w:rsid w:val="001D50B2"/>
    <w:rsid w:val="001D514B"/>
    <w:rsid w:val="001D5B54"/>
    <w:rsid w:val="001D63EE"/>
    <w:rsid w:val="001D64A6"/>
    <w:rsid w:val="001D672F"/>
    <w:rsid w:val="001E1DBF"/>
    <w:rsid w:val="001E287E"/>
    <w:rsid w:val="001E29EF"/>
    <w:rsid w:val="001E2AA3"/>
    <w:rsid w:val="001E3FA7"/>
    <w:rsid w:val="001E4639"/>
    <w:rsid w:val="001E4A7D"/>
    <w:rsid w:val="001E57BA"/>
    <w:rsid w:val="001E598F"/>
    <w:rsid w:val="001E67BE"/>
    <w:rsid w:val="001E786F"/>
    <w:rsid w:val="001F01DC"/>
    <w:rsid w:val="001F195D"/>
    <w:rsid w:val="001F4209"/>
    <w:rsid w:val="001F43A8"/>
    <w:rsid w:val="001F478D"/>
    <w:rsid w:val="001F4C86"/>
    <w:rsid w:val="001F54DF"/>
    <w:rsid w:val="001F5569"/>
    <w:rsid w:val="001F5CD6"/>
    <w:rsid w:val="001F5E45"/>
    <w:rsid w:val="001F5E46"/>
    <w:rsid w:val="001F6973"/>
    <w:rsid w:val="001F7C3F"/>
    <w:rsid w:val="00200C9B"/>
    <w:rsid w:val="00201BBA"/>
    <w:rsid w:val="00204CBA"/>
    <w:rsid w:val="00205498"/>
    <w:rsid w:val="00206876"/>
    <w:rsid w:val="00207D58"/>
    <w:rsid w:val="0021044A"/>
    <w:rsid w:val="002106E4"/>
    <w:rsid w:val="002116D0"/>
    <w:rsid w:val="0021255C"/>
    <w:rsid w:val="0021263D"/>
    <w:rsid w:val="0021304C"/>
    <w:rsid w:val="00213F0C"/>
    <w:rsid w:val="00214094"/>
    <w:rsid w:val="00215124"/>
    <w:rsid w:val="0021592D"/>
    <w:rsid w:val="00215C2F"/>
    <w:rsid w:val="002164D3"/>
    <w:rsid w:val="00217706"/>
    <w:rsid w:val="00220360"/>
    <w:rsid w:val="002225DB"/>
    <w:rsid w:val="00222D76"/>
    <w:rsid w:val="00223196"/>
    <w:rsid w:val="00223858"/>
    <w:rsid w:val="00223B6F"/>
    <w:rsid w:val="00223BEB"/>
    <w:rsid w:val="00223EB1"/>
    <w:rsid w:val="00225144"/>
    <w:rsid w:val="002267BA"/>
    <w:rsid w:val="00226BAC"/>
    <w:rsid w:val="002271C5"/>
    <w:rsid w:val="00231344"/>
    <w:rsid w:val="00231B35"/>
    <w:rsid w:val="00232765"/>
    <w:rsid w:val="00232AB6"/>
    <w:rsid w:val="00232CFB"/>
    <w:rsid w:val="0023436E"/>
    <w:rsid w:val="002347C0"/>
    <w:rsid w:val="00236150"/>
    <w:rsid w:val="00236787"/>
    <w:rsid w:val="0023696C"/>
    <w:rsid w:val="00237ECF"/>
    <w:rsid w:val="002405DB"/>
    <w:rsid w:val="00241A6C"/>
    <w:rsid w:val="00242D2B"/>
    <w:rsid w:val="00244124"/>
    <w:rsid w:val="00244AB5"/>
    <w:rsid w:val="00244B8F"/>
    <w:rsid w:val="00246971"/>
    <w:rsid w:val="002475A6"/>
    <w:rsid w:val="00250772"/>
    <w:rsid w:val="00252D9C"/>
    <w:rsid w:val="00253ACD"/>
    <w:rsid w:val="0025402D"/>
    <w:rsid w:val="00255740"/>
    <w:rsid w:val="0025590E"/>
    <w:rsid w:val="00256F53"/>
    <w:rsid w:val="002574FA"/>
    <w:rsid w:val="00257C70"/>
    <w:rsid w:val="002606B0"/>
    <w:rsid w:val="002609AC"/>
    <w:rsid w:val="002620AF"/>
    <w:rsid w:val="00262E2B"/>
    <w:rsid w:val="00263232"/>
    <w:rsid w:val="0026404D"/>
    <w:rsid w:val="00264624"/>
    <w:rsid w:val="00265CEA"/>
    <w:rsid w:val="00265E61"/>
    <w:rsid w:val="0026775D"/>
    <w:rsid w:val="00267BDE"/>
    <w:rsid w:val="00267FF7"/>
    <w:rsid w:val="00270429"/>
    <w:rsid w:val="0027056F"/>
    <w:rsid w:val="002709AD"/>
    <w:rsid w:val="002712BF"/>
    <w:rsid w:val="002719AA"/>
    <w:rsid w:val="002720AE"/>
    <w:rsid w:val="002721C1"/>
    <w:rsid w:val="002723E9"/>
    <w:rsid w:val="00273F9A"/>
    <w:rsid w:val="00274866"/>
    <w:rsid w:val="00275B0D"/>
    <w:rsid w:val="0027791E"/>
    <w:rsid w:val="00277929"/>
    <w:rsid w:val="00280E2D"/>
    <w:rsid w:val="0028344B"/>
    <w:rsid w:val="00283B82"/>
    <w:rsid w:val="002846E9"/>
    <w:rsid w:val="00284C34"/>
    <w:rsid w:val="00286B25"/>
    <w:rsid w:val="002877DC"/>
    <w:rsid w:val="00287E37"/>
    <w:rsid w:val="00290012"/>
    <w:rsid w:val="0029066C"/>
    <w:rsid w:val="00294C7C"/>
    <w:rsid w:val="0029573C"/>
    <w:rsid w:val="00296536"/>
    <w:rsid w:val="00296D69"/>
    <w:rsid w:val="00297248"/>
    <w:rsid w:val="002A08B4"/>
    <w:rsid w:val="002A0E9B"/>
    <w:rsid w:val="002A1578"/>
    <w:rsid w:val="002A24EA"/>
    <w:rsid w:val="002A2B73"/>
    <w:rsid w:val="002A3250"/>
    <w:rsid w:val="002A3DC7"/>
    <w:rsid w:val="002A5143"/>
    <w:rsid w:val="002A53DB"/>
    <w:rsid w:val="002A5A8D"/>
    <w:rsid w:val="002A62EE"/>
    <w:rsid w:val="002A7D2C"/>
    <w:rsid w:val="002B01CD"/>
    <w:rsid w:val="002B0BAD"/>
    <w:rsid w:val="002B1FD2"/>
    <w:rsid w:val="002B24AA"/>
    <w:rsid w:val="002B25AD"/>
    <w:rsid w:val="002B2EC6"/>
    <w:rsid w:val="002B3940"/>
    <w:rsid w:val="002B42E1"/>
    <w:rsid w:val="002B4DF7"/>
    <w:rsid w:val="002B50DB"/>
    <w:rsid w:val="002B6937"/>
    <w:rsid w:val="002C0005"/>
    <w:rsid w:val="002C015F"/>
    <w:rsid w:val="002C12AB"/>
    <w:rsid w:val="002C1789"/>
    <w:rsid w:val="002C29BC"/>
    <w:rsid w:val="002C3857"/>
    <w:rsid w:val="002C76B3"/>
    <w:rsid w:val="002C7CAC"/>
    <w:rsid w:val="002C7F8A"/>
    <w:rsid w:val="002D1B3F"/>
    <w:rsid w:val="002D20C2"/>
    <w:rsid w:val="002D3306"/>
    <w:rsid w:val="002D33AD"/>
    <w:rsid w:val="002D42CA"/>
    <w:rsid w:val="002D4498"/>
    <w:rsid w:val="002D48AA"/>
    <w:rsid w:val="002D4FCF"/>
    <w:rsid w:val="002D5949"/>
    <w:rsid w:val="002D64DE"/>
    <w:rsid w:val="002D7AD7"/>
    <w:rsid w:val="002D7BAA"/>
    <w:rsid w:val="002D7E7A"/>
    <w:rsid w:val="002D7F54"/>
    <w:rsid w:val="002E09AB"/>
    <w:rsid w:val="002E13A9"/>
    <w:rsid w:val="002E1FBB"/>
    <w:rsid w:val="002E238D"/>
    <w:rsid w:val="002E3A6B"/>
    <w:rsid w:val="002E3D39"/>
    <w:rsid w:val="002E3FF4"/>
    <w:rsid w:val="002E41DF"/>
    <w:rsid w:val="002E5740"/>
    <w:rsid w:val="002E5C58"/>
    <w:rsid w:val="002E5D13"/>
    <w:rsid w:val="002E5F59"/>
    <w:rsid w:val="002E7BEF"/>
    <w:rsid w:val="002F0BDE"/>
    <w:rsid w:val="002F14F2"/>
    <w:rsid w:val="002F2D52"/>
    <w:rsid w:val="002F301C"/>
    <w:rsid w:val="002F4BE1"/>
    <w:rsid w:val="002F4C20"/>
    <w:rsid w:val="002F51DD"/>
    <w:rsid w:val="002F5D18"/>
    <w:rsid w:val="002F6D9F"/>
    <w:rsid w:val="002F78C8"/>
    <w:rsid w:val="00300415"/>
    <w:rsid w:val="00300F7E"/>
    <w:rsid w:val="00301CF3"/>
    <w:rsid w:val="003024E0"/>
    <w:rsid w:val="00302743"/>
    <w:rsid w:val="003035A9"/>
    <w:rsid w:val="00303EB0"/>
    <w:rsid w:val="003050DC"/>
    <w:rsid w:val="0030512D"/>
    <w:rsid w:val="00306622"/>
    <w:rsid w:val="00306B00"/>
    <w:rsid w:val="003119E6"/>
    <w:rsid w:val="003124BA"/>
    <w:rsid w:val="00312D7A"/>
    <w:rsid w:val="003148B0"/>
    <w:rsid w:val="00315C09"/>
    <w:rsid w:val="00316CCE"/>
    <w:rsid w:val="00317C87"/>
    <w:rsid w:val="00320BEC"/>
    <w:rsid w:val="00320F33"/>
    <w:rsid w:val="00322F64"/>
    <w:rsid w:val="00324274"/>
    <w:rsid w:val="00324B3B"/>
    <w:rsid w:val="00326779"/>
    <w:rsid w:val="0032715C"/>
    <w:rsid w:val="00327507"/>
    <w:rsid w:val="00330284"/>
    <w:rsid w:val="00330722"/>
    <w:rsid w:val="00330849"/>
    <w:rsid w:val="00332069"/>
    <w:rsid w:val="003339DD"/>
    <w:rsid w:val="00337CA5"/>
    <w:rsid w:val="00337FA6"/>
    <w:rsid w:val="00340DE9"/>
    <w:rsid w:val="00345A25"/>
    <w:rsid w:val="003508A7"/>
    <w:rsid w:val="0035128D"/>
    <w:rsid w:val="00351727"/>
    <w:rsid w:val="00352662"/>
    <w:rsid w:val="0035283C"/>
    <w:rsid w:val="003528E3"/>
    <w:rsid w:val="00353111"/>
    <w:rsid w:val="00353680"/>
    <w:rsid w:val="00353B5C"/>
    <w:rsid w:val="00354ED6"/>
    <w:rsid w:val="00355C12"/>
    <w:rsid w:val="00355DE3"/>
    <w:rsid w:val="00357E59"/>
    <w:rsid w:val="00360E49"/>
    <w:rsid w:val="00362478"/>
    <w:rsid w:val="0036294E"/>
    <w:rsid w:val="00363A6F"/>
    <w:rsid w:val="00363E26"/>
    <w:rsid w:val="00366373"/>
    <w:rsid w:val="00366662"/>
    <w:rsid w:val="003710D8"/>
    <w:rsid w:val="003717A6"/>
    <w:rsid w:val="00371EA6"/>
    <w:rsid w:val="003741E7"/>
    <w:rsid w:val="003742EC"/>
    <w:rsid w:val="00374DDD"/>
    <w:rsid w:val="00375B25"/>
    <w:rsid w:val="00377D89"/>
    <w:rsid w:val="0038132C"/>
    <w:rsid w:val="0038158C"/>
    <w:rsid w:val="003823BB"/>
    <w:rsid w:val="00383B83"/>
    <w:rsid w:val="00387B54"/>
    <w:rsid w:val="00387D8D"/>
    <w:rsid w:val="00387DB7"/>
    <w:rsid w:val="00387E21"/>
    <w:rsid w:val="00390B5A"/>
    <w:rsid w:val="00391999"/>
    <w:rsid w:val="00392972"/>
    <w:rsid w:val="00394E9C"/>
    <w:rsid w:val="0039516F"/>
    <w:rsid w:val="0039522D"/>
    <w:rsid w:val="00395247"/>
    <w:rsid w:val="003955B9"/>
    <w:rsid w:val="00396542"/>
    <w:rsid w:val="0039685B"/>
    <w:rsid w:val="003A0049"/>
    <w:rsid w:val="003A083B"/>
    <w:rsid w:val="003A31A6"/>
    <w:rsid w:val="003A3604"/>
    <w:rsid w:val="003A41E6"/>
    <w:rsid w:val="003A7F0C"/>
    <w:rsid w:val="003A7F79"/>
    <w:rsid w:val="003B09EC"/>
    <w:rsid w:val="003B10BF"/>
    <w:rsid w:val="003B39E7"/>
    <w:rsid w:val="003B3E23"/>
    <w:rsid w:val="003B48FC"/>
    <w:rsid w:val="003B506D"/>
    <w:rsid w:val="003B5BF8"/>
    <w:rsid w:val="003B5F4E"/>
    <w:rsid w:val="003B6251"/>
    <w:rsid w:val="003B6404"/>
    <w:rsid w:val="003C0503"/>
    <w:rsid w:val="003C0A55"/>
    <w:rsid w:val="003C16D0"/>
    <w:rsid w:val="003C1837"/>
    <w:rsid w:val="003C21F3"/>
    <w:rsid w:val="003C2962"/>
    <w:rsid w:val="003C2E92"/>
    <w:rsid w:val="003C4095"/>
    <w:rsid w:val="003C449B"/>
    <w:rsid w:val="003C5DDF"/>
    <w:rsid w:val="003C7C24"/>
    <w:rsid w:val="003D21FF"/>
    <w:rsid w:val="003D238C"/>
    <w:rsid w:val="003D2809"/>
    <w:rsid w:val="003D4DF6"/>
    <w:rsid w:val="003D7121"/>
    <w:rsid w:val="003E0778"/>
    <w:rsid w:val="003E15D7"/>
    <w:rsid w:val="003E252B"/>
    <w:rsid w:val="003E25E9"/>
    <w:rsid w:val="003E25F7"/>
    <w:rsid w:val="003E2F25"/>
    <w:rsid w:val="003E385B"/>
    <w:rsid w:val="003E439A"/>
    <w:rsid w:val="003E490C"/>
    <w:rsid w:val="003E6FF5"/>
    <w:rsid w:val="003E7014"/>
    <w:rsid w:val="003F0112"/>
    <w:rsid w:val="003F071A"/>
    <w:rsid w:val="003F160B"/>
    <w:rsid w:val="003F26B8"/>
    <w:rsid w:val="003F2B4C"/>
    <w:rsid w:val="003F486B"/>
    <w:rsid w:val="003F5B93"/>
    <w:rsid w:val="003F6157"/>
    <w:rsid w:val="003F71FB"/>
    <w:rsid w:val="003F7C02"/>
    <w:rsid w:val="00400032"/>
    <w:rsid w:val="004001FC"/>
    <w:rsid w:val="00400768"/>
    <w:rsid w:val="004008FE"/>
    <w:rsid w:val="00400B5B"/>
    <w:rsid w:val="00400EAB"/>
    <w:rsid w:val="004010EC"/>
    <w:rsid w:val="00401A5D"/>
    <w:rsid w:val="00402448"/>
    <w:rsid w:val="004027D0"/>
    <w:rsid w:val="0040428C"/>
    <w:rsid w:val="004045D9"/>
    <w:rsid w:val="00405A00"/>
    <w:rsid w:val="0040612C"/>
    <w:rsid w:val="00407279"/>
    <w:rsid w:val="00410630"/>
    <w:rsid w:val="00411513"/>
    <w:rsid w:val="004164BD"/>
    <w:rsid w:val="0041678F"/>
    <w:rsid w:val="0041749E"/>
    <w:rsid w:val="004178F8"/>
    <w:rsid w:val="00417A61"/>
    <w:rsid w:val="004207DA"/>
    <w:rsid w:val="00420870"/>
    <w:rsid w:val="00420D7E"/>
    <w:rsid w:val="00421D39"/>
    <w:rsid w:val="00422BE7"/>
    <w:rsid w:val="00424092"/>
    <w:rsid w:val="00425355"/>
    <w:rsid w:val="00430078"/>
    <w:rsid w:val="0043133B"/>
    <w:rsid w:val="00432365"/>
    <w:rsid w:val="00432D0C"/>
    <w:rsid w:val="00435665"/>
    <w:rsid w:val="00435C16"/>
    <w:rsid w:val="00436070"/>
    <w:rsid w:val="0043669A"/>
    <w:rsid w:val="0043791B"/>
    <w:rsid w:val="004401B0"/>
    <w:rsid w:val="00441483"/>
    <w:rsid w:val="00441B0B"/>
    <w:rsid w:val="00441BCB"/>
    <w:rsid w:val="0044216E"/>
    <w:rsid w:val="0044236B"/>
    <w:rsid w:val="00445B79"/>
    <w:rsid w:val="004466C8"/>
    <w:rsid w:val="0045018F"/>
    <w:rsid w:val="0045131D"/>
    <w:rsid w:val="0045176A"/>
    <w:rsid w:val="00452611"/>
    <w:rsid w:val="004528D6"/>
    <w:rsid w:val="00453599"/>
    <w:rsid w:val="00454352"/>
    <w:rsid w:val="00454799"/>
    <w:rsid w:val="0045579F"/>
    <w:rsid w:val="00456332"/>
    <w:rsid w:val="004572F5"/>
    <w:rsid w:val="00457DCA"/>
    <w:rsid w:val="00460AF8"/>
    <w:rsid w:val="00461826"/>
    <w:rsid w:val="00462221"/>
    <w:rsid w:val="0046358B"/>
    <w:rsid w:val="00464A72"/>
    <w:rsid w:val="00464E80"/>
    <w:rsid w:val="00465309"/>
    <w:rsid w:val="00466060"/>
    <w:rsid w:val="00467D91"/>
    <w:rsid w:val="0047091B"/>
    <w:rsid w:val="00470D59"/>
    <w:rsid w:val="00470E03"/>
    <w:rsid w:val="0047207B"/>
    <w:rsid w:val="00472F73"/>
    <w:rsid w:val="00473A2F"/>
    <w:rsid w:val="0047479B"/>
    <w:rsid w:val="004754DB"/>
    <w:rsid w:val="00475ECD"/>
    <w:rsid w:val="004777A8"/>
    <w:rsid w:val="00477948"/>
    <w:rsid w:val="00477B37"/>
    <w:rsid w:val="004800F9"/>
    <w:rsid w:val="00481887"/>
    <w:rsid w:val="00481F92"/>
    <w:rsid w:val="00482FD3"/>
    <w:rsid w:val="004837D7"/>
    <w:rsid w:val="00483DCB"/>
    <w:rsid w:val="00484032"/>
    <w:rsid w:val="00485DE1"/>
    <w:rsid w:val="00485E3C"/>
    <w:rsid w:val="0049134A"/>
    <w:rsid w:val="00491B59"/>
    <w:rsid w:val="00491F5A"/>
    <w:rsid w:val="00494A68"/>
    <w:rsid w:val="00495440"/>
    <w:rsid w:val="00495603"/>
    <w:rsid w:val="00496EAD"/>
    <w:rsid w:val="004A0123"/>
    <w:rsid w:val="004A2A22"/>
    <w:rsid w:val="004A38FE"/>
    <w:rsid w:val="004A3E51"/>
    <w:rsid w:val="004A4508"/>
    <w:rsid w:val="004A58CB"/>
    <w:rsid w:val="004A781D"/>
    <w:rsid w:val="004B1795"/>
    <w:rsid w:val="004B26C1"/>
    <w:rsid w:val="004B4136"/>
    <w:rsid w:val="004B56DD"/>
    <w:rsid w:val="004B5ACF"/>
    <w:rsid w:val="004B6484"/>
    <w:rsid w:val="004B69E0"/>
    <w:rsid w:val="004C0114"/>
    <w:rsid w:val="004C020F"/>
    <w:rsid w:val="004C1935"/>
    <w:rsid w:val="004C1AFD"/>
    <w:rsid w:val="004C3AC8"/>
    <w:rsid w:val="004C4A0F"/>
    <w:rsid w:val="004C4F6D"/>
    <w:rsid w:val="004C5114"/>
    <w:rsid w:val="004C5256"/>
    <w:rsid w:val="004C558B"/>
    <w:rsid w:val="004C571F"/>
    <w:rsid w:val="004C687F"/>
    <w:rsid w:val="004C74EA"/>
    <w:rsid w:val="004D0AE7"/>
    <w:rsid w:val="004D2128"/>
    <w:rsid w:val="004D2397"/>
    <w:rsid w:val="004D2D15"/>
    <w:rsid w:val="004D3169"/>
    <w:rsid w:val="004D7149"/>
    <w:rsid w:val="004D71F4"/>
    <w:rsid w:val="004D7A18"/>
    <w:rsid w:val="004D7BDA"/>
    <w:rsid w:val="004D7FCD"/>
    <w:rsid w:val="004E1917"/>
    <w:rsid w:val="004E225E"/>
    <w:rsid w:val="004E264C"/>
    <w:rsid w:val="004E2E4F"/>
    <w:rsid w:val="004E5901"/>
    <w:rsid w:val="004E5D7F"/>
    <w:rsid w:val="004E60EC"/>
    <w:rsid w:val="004E6187"/>
    <w:rsid w:val="004E6EE8"/>
    <w:rsid w:val="004F1F88"/>
    <w:rsid w:val="004F22F8"/>
    <w:rsid w:val="004F3039"/>
    <w:rsid w:val="004F366D"/>
    <w:rsid w:val="004F5674"/>
    <w:rsid w:val="004F5CFA"/>
    <w:rsid w:val="004F5F1B"/>
    <w:rsid w:val="004F6697"/>
    <w:rsid w:val="004F7735"/>
    <w:rsid w:val="00501960"/>
    <w:rsid w:val="00502374"/>
    <w:rsid w:val="00503505"/>
    <w:rsid w:val="0050602F"/>
    <w:rsid w:val="005060A1"/>
    <w:rsid w:val="005108C2"/>
    <w:rsid w:val="005112A8"/>
    <w:rsid w:val="0051131C"/>
    <w:rsid w:val="0051164F"/>
    <w:rsid w:val="00511C9D"/>
    <w:rsid w:val="00512733"/>
    <w:rsid w:val="00512A83"/>
    <w:rsid w:val="0051319F"/>
    <w:rsid w:val="0051390D"/>
    <w:rsid w:val="00514069"/>
    <w:rsid w:val="0051545B"/>
    <w:rsid w:val="00516072"/>
    <w:rsid w:val="00516D40"/>
    <w:rsid w:val="00517B47"/>
    <w:rsid w:val="00520320"/>
    <w:rsid w:val="005211B4"/>
    <w:rsid w:val="0052157A"/>
    <w:rsid w:val="00521945"/>
    <w:rsid w:val="00521A41"/>
    <w:rsid w:val="0052439B"/>
    <w:rsid w:val="0052594D"/>
    <w:rsid w:val="00525DA8"/>
    <w:rsid w:val="00530DC8"/>
    <w:rsid w:val="005314AB"/>
    <w:rsid w:val="00531DE0"/>
    <w:rsid w:val="00532775"/>
    <w:rsid w:val="005332EC"/>
    <w:rsid w:val="005339C4"/>
    <w:rsid w:val="00533BB8"/>
    <w:rsid w:val="00533F52"/>
    <w:rsid w:val="00533F8F"/>
    <w:rsid w:val="00534418"/>
    <w:rsid w:val="00534B1E"/>
    <w:rsid w:val="00534C34"/>
    <w:rsid w:val="005353AB"/>
    <w:rsid w:val="005353DA"/>
    <w:rsid w:val="00536BF2"/>
    <w:rsid w:val="00537889"/>
    <w:rsid w:val="00537D2A"/>
    <w:rsid w:val="00540FAF"/>
    <w:rsid w:val="00541B25"/>
    <w:rsid w:val="00541C34"/>
    <w:rsid w:val="00543DF4"/>
    <w:rsid w:val="00544034"/>
    <w:rsid w:val="0054507F"/>
    <w:rsid w:val="00546339"/>
    <w:rsid w:val="00547A14"/>
    <w:rsid w:val="0055171F"/>
    <w:rsid w:val="00551F1E"/>
    <w:rsid w:val="005526DA"/>
    <w:rsid w:val="00552C8A"/>
    <w:rsid w:val="005543B5"/>
    <w:rsid w:val="0055499B"/>
    <w:rsid w:val="00554B31"/>
    <w:rsid w:val="005560BC"/>
    <w:rsid w:val="0055689E"/>
    <w:rsid w:val="005573BE"/>
    <w:rsid w:val="0055740A"/>
    <w:rsid w:val="00561789"/>
    <w:rsid w:val="00561D5F"/>
    <w:rsid w:val="00561F90"/>
    <w:rsid w:val="00562697"/>
    <w:rsid w:val="0056328A"/>
    <w:rsid w:val="005649B3"/>
    <w:rsid w:val="0056558E"/>
    <w:rsid w:val="0056577A"/>
    <w:rsid w:val="00565B90"/>
    <w:rsid w:val="00566E97"/>
    <w:rsid w:val="00567ABB"/>
    <w:rsid w:val="00567BD2"/>
    <w:rsid w:val="00567FF8"/>
    <w:rsid w:val="00570375"/>
    <w:rsid w:val="00570A0E"/>
    <w:rsid w:val="005720EC"/>
    <w:rsid w:val="005726F6"/>
    <w:rsid w:val="00572700"/>
    <w:rsid w:val="0057370C"/>
    <w:rsid w:val="005753C5"/>
    <w:rsid w:val="00575509"/>
    <w:rsid w:val="00576057"/>
    <w:rsid w:val="00576EBE"/>
    <w:rsid w:val="00577684"/>
    <w:rsid w:val="00577B46"/>
    <w:rsid w:val="00580468"/>
    <w:rsid w:val="00582231"/>
    <w:rsid w:val="00582785"/>
    <w:rsid w:val="00582E2D"/>
    <w:rsid w:val="00584F92"/>
    <w:rsid w:val="0058508C"/>
    <w:rsid w:val="00585AF4"/>
    <w:rsid w:val="0058603B"/>
    <w:rsid w:val="00586530"/>
    <w:rsid w:val="00587491"/>
    <w:rsid w:val="005905E7"/>
    <w:rsid w:val="0059164B"/>
    <w:rsid w:val="00592B55"/>
    <w:rsid w:val="00593009"/>
    <w:rsid w:val="005934BD"/>
    <w:rsid w:val="00593CA6"/>
    <w:rsid w:val="0059431B"/>
    <w:rsid w:val="00595AB0"/>
    <w:rsid w:val="00596CD2"/>
    <w:rsid w:val="00597F8D"/>
    <w:rsid w:val="005A0553"/>
    <w:rsid w:val="005A2BFA"/>
    <w:rsid w:val="005A39CC"/>
    <w:rsid w:val="005A68C8"/>
    <w:rsid w:val="005A7497"/>
    <w:rsid w:val="005A7F03"/>
    <w:rsid w:val="005A7F5D"/>
    <w:rsid w:val="005B2068"/>
    <w:rsid w:val="005B31CF"/>
    <w:rsid w:val="005B439A"/>
    <w:rsid w:val="005B4730"/>
    <w:rsid w:val="005B53C8"/>
    <w:rsid w:val="005B6041"/>
    <w:rsid w:val="005B71F3"/>
    <w:rsid w:val="005C2232"/>
    <w:rsid w:val="005C2606"/>
    <w:rsid w:val="005C331E"/>
    <w:rsid w:val="005C4827"/>
    <w:rsid w:val="005C66D3"/>
    <w:rsid w:val="005C6AE2"/>
    <w:rsid w:val="005C76EC"/>
    <w:rsid w:val="005C7774"/>
    <w:rsid w:val="005C7C8E"/>
    <w:rsid w:val="005D0558"/>
    <w:rsid w:val="005D2E13"/>
    <w:rsid w:val="005D492D"/>
    <w:rsid w:val="005D4B60"/>
    <w:rsid w:val="005D5D27"/>
    <w:rsid w:val="005D7584"/>
    <w:rsid w:val="005D7B27"/>
    <w:rsid w:val="005D7E28"/>
    <w:rsid w:val="005D7E44"/>
    <w:rsid w:val="005E040F"/>
    <w:rsid w:val="005E05D7"/>
    <w:rsid w:val="005E196A"/>
    <w:rsid w:val="005E1B93"/>
    <w:rsid w:val="005E22A0"/>
    <w:rsid w:val="005E3469"/>
    <w:rsid w:val="005E36A0"/>
    <w:rsid w:val="005E41E7"/>
    <w:rsid w:val="005E44C2"/>
    <w:rsid w:val="005E450F"/>
    <w:rsid w:val="005E4F28"/>
    <w:rsid w:val="005E5136"/>
    <w:rsid w:val="005E57BE"/>
    <w:rsid w:val="005E5DE0"/>
    <w:rsid w:val="005E64F6"/>
    <w:rsid w:val="005E65A7"/>
    <w:rsid w:val="005E72A6"/>
    <w:rsid w:val="005E7871"/>
    <w:rsid w:val="005F17AF"/>
    <w:rsid w:val="005F2166"/>
    <w:rsid w:val="005F406F"/>
    <w:rsid w:val="005F4ADF"/>
    <w:rsid w:val="005F5411"/>
    <w:rsid w:val="00600343"/>
    <w:rsid w:val="0060043D"/>
    <w:rsid w:val="00600A17"/>
    <w:rsid w:val="00600CEE"/>
    <w:rsid w:val="00600D27"/>
    <w:rsid w:val="00601453"/>
    <w:rsid w:val="00601836"/>
    <w:rsid w:val="006024BF"/>
    <w:rsid w:val="00602990"/>
    <w:rsid w:val="00602FF7"/>
    <w:rsid w:val="006049F9"/>
    <w:rsid w:val="00605421"/>
    <w:rsid w:val="0060717B"/>
    <w:rsid w:val="00610F7B"/>
    <w:rsid w:val="0061468E"/>
    <w:rsid w:val="00616488"/>
    <w:rsid w:val="00617D9E"/>
    <w:rsid w:val="00617F55"/>
    <w:rsid w:val="0062087E"/>
    <w:rsid w:val="006211B3"/>
    <w:rsid w:val="00621D96"/>
    <w:rsid w:val="0062298A"/>
    <w:rsid w:val="00625B21"/>
    <w:rsid w:val="00625EB6"/>
    <w:rsid w:val="00626514"/>
    <w:rsid w:val="00626589"/>
    <w:rsid w:val="00626FE5"/>
    <w:rsid w:val="006273F2"/>
    <w:rsid w:val="00627554"/>
    <w:rsid w:val="0063266F"/>
    <w:rsid w:val="00632BFF"/>
    <w:rsid w:val="006331B2"/>
    <w:rsid w:val="00633699"/>
    <w:rsid w:val="006339A0"/>
    <w:rsid w:val="00635869"/>
    <w:rsid w:val="00635E07"/>
    <w:rsid w:val="006368FC"/>
    <w:rsid w:val="00636AC7"/>
    <w:rsid w:val="00637851"/>
    <w:rsid w:val="006404F7"/>
    <w:rsid w:val="00640DAE"/>
    <w:rsid w:val="006413A8"/>
    <w:rsid w:val="00641DCD"/>
    <w:rsid w:val="00642030"/>
    <w:rsid w:val="00642E56"/>
    <w:rsid w:val="0064486A"/>
    <w:rsid w:val="00647A8B"/>
    <w:rsid w:val="00651A05"/>
    <w:rsid w:val="00651E00"/>
    <w:rsid w:val="00653254"/>
    <w:rsid w:val="006533F5"/>
    <w:rsid w:val="0065416C"/>
    <w:rsid w:val="00654D58"/>
    <w:rsid w:val="00655E09"/>
    <w:rsid w:val="00656814"/>
    <w:rsid w:val="0065705D"/>
    <w:rsid w:val="00660B25"/>
    <w:rsid w:val="00660E44"/>
    <w:rsid w:val="0066257B"/>
    <w:rsid w:val="00662833"/>
    <w:rsid w:val="00664C54"/>
    <w:rsid w:val="00665755"/>
    <w:rsid w:val="00666694"/>
    <w:rsid w:val="006672EE"/>
    <w:rsid w:val="0067016C"/>
    <w:rsid w:val="00670D5A"/>
    <w:rsid w:val="00671A16"/>
    <w:rsid w:val="00671ED2"/>
    <w:rsid w:val="00673A0A"/>
    <w:rsid w:val="006744CF"/>
    <w:rsid w:val="00674572"/>
    <w:rsid w:val="00674F19"/>
    <w:rsid w:val="00674F54"/>
    <w:rsid w:val="00674FCF"/>
    <w:rsid w:val="00675922"/>
    <w:rsid w:val="006779AC"/>
    <w:rsid w:val="00680497"/>
    <w:rsid w:val="00681A96"/>
    <w:rsid w:val="0068439D"/>
    <w:rsid w:val="0068477C"/>
    <w:rsid w:val="00684C5F"/>
    <w:rsid w:val="00684DBE"/>
    <w:rsid w:val="006860DF"/>
    <w:rsid w:val="00686710"/>
    <w:rsid w:val="00686AB7"/>
    <w:rsid w:val="00686D07"/>
    <w:rsid w:val="00687763"/>
    <w:rsid w:val="006903AB"/>
    <w:rsid w:val="0069296A"/>
    <w:rsid w:val="00692B0D"/>
    <w:rsid w:val="00693142"/>
    <w:rsid w:val="00693CA8"/>
    <w:rsid w:val="00693E0E"/>
    <w:rsid w:val="00695FC3"/>
    <w:rsid w:val="00696CB1"/>
    <w:rsid w:val="006A03D2"/>
    <w:rsid w:val="006A1AE3"/>
    <w:rsid w:val="006A523D"/>
    <w:rsid w:val="006A5FA2"/>
    <w:rsid w:val="006A6A76"/>
    <w:rsid w:val="006B1AB9"/>
    <w:rsid w:val="006B3CFA"/>
    <w:rsid w:val="006B61A7"/>
    <w:rsid w:val="006C0B26"/>
    <w:rsid w:val="006C0DB3"/>
    <w:rsid w:val="006C13CE"/>
    <w:rsid w:val="006C1579"/>
    <w:rsid w:val="006C21D4"/>
    <w:rsid w:val="006C2DD0"/>
    <w:rsid w:val="006C30E1"/>
    <w:rsid w:val="006C4607"/>
    <w:rsid w:val="006C51EC"/>
    <w:rsid w:val="006C582E"/>
    <w:rsid w:val="006C58A4"/>
    <w:rsid w:val="006C5932"/>
    <w:rsid w:val="006C6989"/>
    <w:rsid w:val="006C6C82"/>
    <w:rsid w:val="006D1282"/>
    <w:rsid w:val="006D1821"/>
    <w:rsid w:val="006D48F1"/>
    <w:rsid w:val="006D6814"/>
    <w:rsid w:val="006D6851"/>
    <w:rsid w:val="006E10CF"/>
    <w:rsid w:val="006E1D29"/>
    <w:rsid w:val="006E27A2"/>
    <w:rsid w:val="006E4AEF"/>
    <w:rsid w:val="006E5BB2"/>
    <w:rsid w:val="006E7EA8"/>
    <w:rsid w:val="006F236C"/>
    <w:rsid w:val="006F3DBE"/>
    <w:rsid w:val="006F45BE"/>
    <w:rsid w:val="006F5A19"/>
    <w:rsid w:val="006F5F75"/>
    <w:rsid w:val="006F62A9"/>
    <w:rsid w:val="006F67B8"/>
    <w:rsid w:val="006F75BC"/>
    <w:rsid w:val="007004FC"/>
    <w:rsid w:val="00703F92"/>
    <w:rsid w:val="00704868"/>
    <w:rsid w:val="0070496D"/>
    <w:rsid w:val="00705032"/>
    <w:rsid w:val="00706519"/>
    <w:rsid w:val="00706670"/>
    <w:rsid w:val="007112B5"/>
    <w:rsid w:val="007114C4"/>
    <w:rsid w:val="007118A2"/>
    <w:rsid w:val="00711F59"/>
    <w:rsid w:val="0071295F"/>
    <w:rsid w:val="00712C31"/>
    <w:rsid w:val="007202DF"/>
    <w:rsid w:val="00720965"/>
    <w:rsid w:val="0072121A"/>
    <w:rsid w:val="0072167E"/>
    <w:rsid w:val="007216BC"/>
    <w:rsid w:val="00721DAA"/>
    <w:rsid w:val="007220BE"/>
    <w:rsid w:val="00723625"/>
    <w:rsid w:val="0072417C"/>
    <w:rsid w:val="007273F9"/>
    <w:rsid w:val="00727BBD"/>
    <w:rsid w:val="00727F97"/>
    <w:rsid w:val="007302B6"/>
    <w:rsid w:val="00730B06"/>
    <w:rsid w:val="00734450"/>
    <w:rsid w:val="0073467A"/>
    <w:rsid w:val="00735347"/>
    <w:rsid w:val="00735724"/>
    <w:rsid w:val="0073715E"/>
    <w:rsid w:val="00740D30"/>
    <w:rsid w:val="00741BB7"/>
    <w:rsid w:val="007429AB"/>
    <w:rsid w:val="00743FBA"/>
    <w:rsid w:val="0074538F"/>
    <w:rsid w:val="00745BDC"/>
    <w:rsid w:val="00745F67"/>
    <w:rsid w:val="0075039E"/>
    <w:rsid w:val="007510FC"/>
    <w:rsid w:val="007516B6"/>
    <w:rsid w:val="00752320"/>
    <w:rsid w:val="00752D9D"/>
    <w:rsid w:val="00754784"/>
    <w:rsid w:val="00754EA8"/>
    <w:rsid w:val="00755262"/>
    <w:rsid w:val="00757C6E"/>
    <w:rsid w:val="007600F4"/>
    <w:rsid w:val="00760ED6"/>
    <w:rsid w:val="007617C5"/>
    <w:rsid w:val="00761AB2"/>
    <w:rsid w:val="00762BDA"/>
    <w:rsid w:val="007636D5"/>
    <w:rsid w:val="00764E49"/>
    <w:rsid w:val="007676E0"/>
    <w:rsid w:val="00770F93"/>
    <w:rsid w:val="007738EA"/>
    <w:rsid w:val="00773BEA"/>
    <w:rsid w:val="00775276"/>
    <w:rsid w:val="007756AA"/>
    <w:rsid w:val="0077663E"/>
    <w:rsid w:val="007805FD"/>
    <w:rsid w:val="00780AE8"/>
    <w:rsid w:val="007815DD"/>
    <w:rsid w:val="00783AE2"/>
    <w:rsid w:val="00784422"/>
    <w:rsid w:val="007848B8"/>
    <w:rsid w:val="007863BF"/>
    <w:rsid w:val="00786BFC"/>
    <w:rsid w:val="00787077"/>
    <w:rsid w:val="00787644"/>
    <w:rsid w:val="007879B1"/>
    <w:rsid w:val="00790E38"/>
    <w:rsid w:val="00791727"/>
    <w:rsid w:val="00791DFB"/>
    <w:rsid w:val="00792C93"/>
    <w:rsid w:val="00793B93"/>
    <w:rsid w:val="00793F88"/>
    <w:rsid w:val="00795620"/>
    <w:rsid w:val="00795951"/>
    <w:rsid w:val="00796257"/>
    <w:rsid w:val="007962C4"/>
    <w:rsid w:val="007A03AE"/>
    <w:rsid w:val="007A0966"/>
    <w:rsid w:val="007A0975"/>
    <w:rsid w:val="007A0D21"/>
    <w:rsid w:val="007A50A4"/>
    <w:rsid w:val="007A574A"/>
    <w:rsid w:val="007A7446"/>
    <w:rsid w:val="007A7969"/>
    <w:rsid w:val="007A7C87"/>
    <w:rsid w:val="007B10C8"/>
    <w:rsid w:val="007B3B54"/>
    <w:rsid w:val="007B3FA0"/>
    <w:rsid w:val="007B4C01"/>
    <w:rsid w:val="007B67FD"/>
    <w:rsid w:val="007B7359"/>
    <w:rsid w:val="007C03A0"/>
    <w:rsid w:val="007C0F2C"/>
    <w:rsid w:val="007C24DD"/>
    <w:rsid w:val="007C2BCC"/>
    <w:rsid w:val="007C319F"/>
    <w:rsid w:val="007C4EF0"/>
    <w:rsid w:val="007C5861"/>
    <w:rsid w:val="007C710A"/>
    <w:rsid w:val="007D06EC"/>
    <w:rsid w:val="007D099D"/>
    <w:rsid w:val="007D117E"/>
    <w:rsid w:val="007D229F"/>
    <w:rsid w:val="007D2A6E"/>
    <w:rsid w:val="007D5969"/>
    <w:rsid w:val="007D6756"/>
    <w:rsid w:val="007D6823"/>
    <w:rsid w:val="007D71DC"/>
    <w:rsid w:val="007D7BE1"/>
    <w:rsid w:val="007E02DB"/>
    <w:rsid w:val="007E1773"/>
    <w:rsid w:val="007E17F0"/>
    <w:rsid w:val="007E22B9"/>
    <w:rsid w:val="007E2664"/>
    <w:rsid w:val="007E3ABF"/>
    <w:rsid w:val="007E4561"/>
    <w:rsid w:val="007E4DD1"/>
    <w:rsid w:val="007E5111"/>
    <w:rsid w:val="007E5BFA"/>
    <w:rsid w:val="007E6689"/>
    <w:rsid w:val="007E7173"/>
    <w:rsid w:val="007E731C"/>
    <w:rsid w:val="007F0A03"/>
    <w:rsid w:val="007F2047"/>
    <w:rsid w:val="007F2F90"/>
    <w:rsid w:val="007F3773"/>
    <w:rsid w:val="007F7D66"/>
    <w:rsid w:val="00800D1A"/>
    <w:rsid w:val="00801049"/>
    <w:rsid w:val="00801EEE"/>
    <w:rsid w:val="008023EB"/>
    <w:rsid w:val="00802653"/>
    <w:rsid w:val="00810040"/>
    <w:rsid w:val="00810704"/>
    <w:rsid w:val="008126A8"/>
    <w:rsid w:val="00813633"/>
    <w:rsid w:val="0081387A"/>
    <w:rsid w:val="00813D79"/>
    <w:rsid w:val="00814062"/>
    <w:rsid w:val="00816802"/>
    <w:rsid w:val="0082023A"/>
    <w:rsid w:val="0082048B"/>
    <w:rsid w:val="00820AA7"/>
    <w:rsid w:val="0082143F"/>
    <w:rsid w:val="00821A7A"/>
    <w:rsid w:val="00821F0C"/>
    <w:rsid w:val="00821FC1"/>
    <w:rsid w:val="00823244"/>
    <w:rsid w:val="00823BAC"/>
    <w:rsid w:val="008253F8"/>
    <w:rsid w:val="00827358"/>
    <w:rsid w:val="0082766C"/>
    <w:rsid w:val="00830E22"/>
    <w:rsid w:val="00831410"/>
    <w:rsid w:val="00831840"/>
    <w:rsid w:val="008325E4"/>
    <w:rsid w:val="00832A2B"/>
    <w:rsid w:val="00835318"/>
    <w:rsid w:val="00835EC7"/>
    <w:rsid w:val="00836164"/>
    <w:rsid w:val="00837D6F"/>
    <w:rsid w:val="00840203"/>
    <w:rsid w:val="008406DE"/>
    <w:rsid w:val="00841F93"/>
    <w:rsid w:val="00842431"/>
    <w:rsid w:val="008425B5"/>
    <w:rsid w:val="00843040"/>
    <w:rsid w:val="00844747"/>
    <w:rsid w:val="00845811"/>
    <w:rsid w:val="00846994"/>
    <w:rsid w:val="00850451"/>
    <w:rsid w:val="0085125F"/>
    <w:rsid w:val="0085128C"/>
    <w:rsid w:val="00851897"/>
    <w:rsid w:val="00852042"/>
    <w:rsid w:val="00852D64"/>
    <w:rsid w:val="008534C9"/>
    <w:rsid w:val="00853D57"/>
    <w:rsid w:val="00854C05"/>
    <w:rsid w:val="00854DF4"/>
    <w:rsid w:val="0085599D"/>
    <w:rsid w:val="00855B35"/>
    <w:rsid w:val="00856EFC"/>
    <w:rsid w:val="00860EC4"/>
    <w:rsid w:val="00861BCB"/>
    <w:rsid w:val="008629BC"/>
    <w:rsid w:val="0086327E"/>
    <w:rsid w:val="008655F6"/>
    <w:rsid w:val="00870E3D"/>
    <w:rsid w:val="008723C8"/>
    <w:rsid w:val="00874475"/>
    <w:rsid w:val="008749D4"/>
    <w:rsid w:val="00874F5A"/>
    <w:rsid w:val="0087510C"/>
    <w:rsid w:val="00880239"/>
    <w:rsid w:val="008804E0"/>
    <w:rsid w:val="00880C9B"/>
    <w:rsid w:val="0088187E"/>
    <w:rsid w:val="00881B5F"/>
    <w:rsid w:val="00881D19"/>
    <w:rsid w:val="00882B88"/>
    <w:rsid w:val="00884A6D"/>
    <w:rsid w:val="00886559"/>
    <w:rsid w:val="00887BF6"/>
    <w:rsid w:val="0089010D"/>
    <w:rsid w:val="00890360"/>
    <w:rsid w:val="008905AD"/>
    <w:rsid w:val="00890933"/>
    <w:rsid w:val="00892A92"/>
    <w:rsid w:val="00893C8B"/>
    <w:rsid w:val="00893FC0"/>
    <w:rsid w:val="00896091"/>
    <w:rsid w:val="008964E6"/>
    <w:rsid w:val="008966DF"/>
    <w:rsid w:val="008968D2"/>
    <w:rsid w:val="00896DBF"/>
    <w:rsid w:val="00896DE2"/>
    <w:rsid w:val="0089738E"/>
    <w:rsid w:val="008A0197"/>
    <w:rsid w:val="008A036C"/>
    <w:rsid w:val="008A0AF0"/>
    <w:rsid w:val="008A327E"/>
    <w:rsid w:val="008A3E48"/>
    <w:rsid w:val="008A4757"/>
    <w:rsid w:val="008A579E"/>
    <w:rsid w:val="008A5CEC"/>
    <w:rsid w:val="008B40E0"/>
    <w:rsid w:val="008B47C1"/>
    <w:rsid w:val="008B4FF7"/>
    <w:rsid w:val="008B517E"/>
    <w:rsid w:val="008B57AF"/>
    <w:rsid w:val="008B5DF7"/>
    <w:rsid w:val="008B5FDB"/>
    <w:rsid w:val="008C0ECF"/>
    <w:rsid w:val="008C21F5"/>
    <w:rsid w:val="008C3FAD"/>
    <w:rsid w:val="008C50F4"/>
    <w:rsid w:val="008C5649"/>
    <w:rsid w:val="008C63D1"/>
    <w:rsid w:val="008C76BE"/>
    <w:rsid w:val="008C7D39"/>
    <w:rsid w:val="008D040F"/>
    <w:rsid w:val="008D09D5"/>
    <w:rsid w:val="008D1715"/>
    <w:rsid w:val="008D4ACC"/>
    <w:rsid w:val="008D5997"/>
    <w:rsid w:val="008E15E6"/>
    <w:rsid w:val="008E1CE4"/>
    <w:rsid w:val="008E1EFC"/>
    <w:rsid w:val="008E244A"/>
    <w:rsid w:val="008E44A2"/>
    <w:rsid w:val="008E6638"/>
    <w:rsid w:val="008E67B9"/>
    <w:rsid w:val="008E697D"/>
    <w:rsid w:val="008E7964"/>
    <w:rsid w:val="008E7CCB"/>
    <w:rsid w:val="008F2C79"/>
    <w:rsid w:val="008F4E8F"/>
    <w:rsid w:val="008F7455"/>
    <w:rsid w:val="009003A7"/>
    <w:rsid w:val="00900628"/>
    <w:rsid w:val="00900A83"/>
    <w:rsid w:val="00900D93"/>
    <w:rsid w:val="00903263"/>
    <w:rsid w:val="00904AFE"/>
    <w:rsid w:val="00906A21"/>
    <w:rsid w:val="009079C3"/>
    <w:rsid w:val="00910462"/>
    <w:rsid w:val="00910EB4"/>
    <w:rsid w:val="00911E95"/>
    <w:rsid w:val="0091267C"/>
    <w:rsid w:val="00914CFC"/>
    <w:rsid w:val="00915AB1"/>
    <w:rsid w:val="00915B68"/>
    <w:rsid w:val="009163E9"/>
    <w:rsid w:val="00917532"/>
    <w:rsid w:val="00920904"/>
    <w:rsid w:val="00921BE4"/>
    <w:rsid w:val="0092273B"/>
    <w:rsid w:val="009231C2"/>
    <w:rsid w:val="00923534"/>
    <w:rsid w:val="009235BA"/>
    <w:rsid w:val="00924023"/>
    <w:rsid w:val="00924CE2"/>
    <w:rsid w:val="00925197"/>
    <w:rsid w:val="0092542C"/>
    <w:rsid w:val="00925B9F"/>
    <w:rsid w:val="00925E5C"/>
    <w:rsid w:val="009272B6"/>
    <w:rsid w:val="00931A6A"/>
    <w:rsid w:val="00931AED"/>
    <w:rsid w:val="00933696"/>
    <w:rsid w:val="0093369C"/>
    <w:rsid w:val="0093491D"/>
    <w:rsid w:val="00934C49"/>
    <w:rsid w:val="00935867"/>
    <w:rsid w:val="0093749E"/>
    <w:rsid w:val="00937D2B"/>
    <w:rsid w:val="00943AB3"/>
    <w:rsid w:val="00944D35"/>
    <w:rsid w:val="00945517"/>
    <w:rsid w:val="009476A3"/>
    <w:rsid w:val="00947E72"/>
    <w:rsid w:val="00950645"/>
    <w:rsid w:val="009512D0"/>
    <w:rsid w:val="00952763"/>
    <w:rsid w:val="00952D70"/>
    <w:rsid w:val="0095334F"/>
    <w:rsid w:val="00953AB3"/>
    <w:rsid w:val="00953D14"/>
    <w:rsid w:val="00954286"/>
    <w:rsid w:val="009544E6"/>
    <w:rsid w:val="00954944"/>
    <w:rsid w:val="00957131"/>
    <w:rsid w:val="00960402"/>
    <w:rsid w:val="009628B5"/>
    <w:rsid w:val="00965897"/>
    <w:rsid w:val="0096671F"/>
    <w:rsid w:val="0096765C"/>
    <w:rsid w:val="00967697"/>
    <w:rsid w:val="0096793C"/>
    <w:rsid w:val="0097003F"/>
    <w:rsid w:val="009702E2"/>
    <w:rsid w:val="00972550"/>
    <w:rsid w:val="009727E4"/>
    <w:rsid w:val="009751DE"/>
    <w:rsid w:val="00976424"/>
    <w:rsid w:val="00976806"/>
    <w:rsid w:val="0097796A"/>
    <w:rsid w:val="00977D51"/>
    <w:rsid w:val="00980F6A"/>
    <w:rsid w:val="009825B8"/>
    <w:rsid w:val="00983038"/>
    <w:rsid w:val="00983570"/>
    <w:rsid w:val="009835F4"/>
    <w:rsid w:val="00984793"/>
    <w:rsid w:val="009900DD"/>
    <w:rsid w:val="00991391"/>
    <w:rsid w:val="00992B12"/>
    <w:rsid w:val="009934C5"/>
    <w:rsid w:val="00993518"/>
    <w:rsid w:val="00993653"/>
    <w:rsid w:val="00994C0F"/>
    <w:rsid w:val="00996270"/>
    <w:rsid w:val="009A00A2"/>
    <w:rsid w:val="009A051D"/>
    <w:rsid w:val="009A0F62"/>
    <w:rsid w:val="009A197C"/>
    <w:rsid w:val="009A24FF"/>
    <w:rsid w:val="009A4210"/>
    <w:rsid w:val="009B02AC"/>
    <w:rsid w:val="009B0762"/>
    <w:rsid w:val="009B07E4"/>
    <w:rsid w:val="009B11AB"/>
    <w:rsid w:val="009B12C3"/>
    <w:rsid w:val="009B1E54"/>
    <w:rsid w:val="009B2167"/>
    <w:rsid w:val="009B2291"/>
    <w:rsid w:val="009B22D7"/>
    <w:rsid w:val="009B2604"/>
    <w:rsid w:val="009B3AD1"/>
    <w:rsid w:val="009B499D"/>
    <w:rsid w:val="009B616B"/>
    <w:rsid w:val="009B72A4"/>
    <w:rsid w:val="009B72ED"/>
    <w:rsid w:val="009B7BD8"/>
    <w:rsid w:val="009C1619"/>
    <w:rsid w:val="009C35F9"/>
    <w:rsid w:val="009C4C29"/>
    <w:rsid w:val="009C6D55"/>
    <w:rsid w:val="009C6DEB"/>
    <w:rsid w:val="009D096C"/>
    <w:rsid w:val="009D2316"/>
    <w:rsid w:val="009D6046"/>
    <w:rsid w:val="009D6504"/>
    <w:rsid w:val="009D6C00"/>
    <w:rsid w:val="009E12D7"/>
    <w:rsid w:val="009E16B2"/>
    <w:rsid w:val="009E1CE1"/>
    <w:rsid w:val="009E247C"/>
    <w:rsid w:val="009E2701"/>
    <w:rsid w:val="009E3135"/>
    <w:rsid w:val="009E450E"/>
    <w:rsid w:val="009E4E43"/>
    <w:rsid w:val="009E5B44"/>
    <w:rsid w:val="009E661A"/>
    <w:rsid w:val="009E72F0"/>
    <w:rsid w:val="009E76F6"/>
    <w:rsid w:val="009F18FA"/>
    <w:rsid w:val="009F2C43"/>
    <w:rsid w:val="009F517B"/>
    <w:rsid w:val="009F59C7"/>
    <w:rsid w:val="009F746D"/>
    <w:rsid w:val="00A007DF"/>
    <w:rsid w:val="00A019C0"/>
    <w:rsid w:val="00A022C8"/>
    <w:rsid w:val="00A036CC"/>
    <w:rsid w:val="00A065BB"/>
    <w:rsid w:val="00A06781"/>
    <w:rsid w:val="00A07350"/>
    <w:rsid w:val="00A074C3"/>
    <w:rsid w:val="00A10418"/>
    <w:rsid w:val="00A1225A"/>
    <w:rsid w:val="00A13B7E"/>
    <w:rsid w:val="00A1509C"/>
    <w:rsid w:val="00A15A1F"/>
    <w:rsid w:val="00A1637B"/>
    <w:rsid w:val="00A1785A"/>
    <w:rsid w:val="00A213F5"/>
    <w:rsid w:val="00A21B66"/>
    <w:rsid w:val="00A2229E"/>
    <w:rsid w:val="00A22819"/>
    <w:rsid w:val="00A230A9"/>
    <w:rsid w:val="00A23A0E"/>
    <w:rsid w:val="00A23F17"/>
    <w:rsid w:val="00A249B9"/>
    <w:rsid w:val="00A254AA"/>
    <w:rsid w:val="00A25E98"/>
    <w:rsid w:val="00A31744"/>
    <w:rsid w:val="00A32534"/>
    <w:rsid w:val="00A34260"/>
    <w:rsid w:val="00A34D44"/>
    <w:rsid w:val="00A35B6D"/>
    <w:rsid w:val="00A35B73"/>
    <w:rsid w:val="00A3631C"/>
    <w:rsid w:val="00A3646B"/>
    <w:rsid w:val="00A372C5"/>
    <w:rsid w:val="00A377BC"/>
    <w:rsid w:val="00A4082F"/>
    <w:rsid w:val="00A426C7"/>
    <w:rsid w:val="00A43184"/>
    <w:rsid w:val="00A43E39"/>
    <w:rsid w:val="00A4607F"/>
    <w:rsid w:val="00A477BA"/>
    <w:rsid w:val="00A50340"/>
    <w:rsid w:val="00A50F88"/>
    <w:rsid w:val="00A52F31"/>
    <w:rsid w:val="00A5646A"/>
    <w:rsid w:val="00A56B20"/>
    <w:rsid w:val="00A57A55"/>
    <w:rsid w:val="00A60162"/>
    <w:rsid w:val="00A61358"/>
    <w:rsid w:val="00A63A7D"/>
    <w:rsid w:val="00A63B5D"/>
    <w:rsid w:val="00A63D82"/>
    <w:rsid w:val="00A642CB"/>
    <w:rsid w:val="00A6594A"/>
    <w:rsid w:val="00A66798"/>
    <w:rsid w:val="00A667C2"/>
    <w:rsid w:val="00A67E98"/>
    <w:rsid w:val="00A70198"/>
    <w:rsid w:val="00A70CFD"/>
    <w:rsid w:val="00A72806"/>
    <w:rsid w:val="00A7285C"/>
    <w:rsid w:val="00A72A0B"/>
    <w:rsid w:val="00A74B0E"/>
    <w:rsid w:val="00A74E77"/>
    <w:rsid w:val="00A753A0"/>
    <w:rsid w:val="00A75E3A"/>
    <w:rsid w:val="00A77BE3"/>
    <w:rsid w:val="00A80815"/>
    <w:rsid w:val="00A811AD"/>
    <w:rsid w:val="00A81E42"/>
    <w:rsid w:val="00A82691"/>
    <w:rsid w:val="00A83488"/>
    <w:rsid w:val="00A84CA0"/>
    <w:rsid w:val="00A864FE"/>
    <w:rsid w:val="00A86F41"/>
    <w:rsid w:val="00A8764D"/>
    <w:rsid w:val="00A87877"/>
    <w:rsid w:val="00A87BB8"/>
    <w:rsid w:val="00A87D04"/>
    <w:rsid w:val="00A903E6"/>
    <w:rsid w:val="00A915E9"/>
    <w:rsid w:val="00A92461"/>
    <w:rsid w:val="00A936ED"/>
    <w:rsid w:val="00A939EA"/>
    <w:rsid w:val="00A94E57"/>
    <w:rsid w:val="00A950C5"/>
    <w:rsid w:val="00A97A0F"/>
    <w:rsid w:val="00AA19DB"/>
    <w:rsid w:val="00AA1C5F"/>
    <w:rsid w:val="00AA1D25"/>
    <w:rsid w:val="00AA2576"/>
    <w:rsid w:val="00AA3CC6"/>
    <w:rsid w:val="00AA3D3B"/>
    <w:rsid w:val="00AA7B92"/>
    <w:rsid w:val="00AA7F5E"/>
    <w:rsid w:val="00AB28CD"/>
    <w:rsid w:val="00AB2B1A"/>
    <w:rsid w:val="00AB3587"/>
    <w:rsid w:val="00AB397F"/>
    <w:rsid w:val="00AB3F84"/>
    <w:rsid w:val="00AB50C8"/>
    <w:rsid w:val="00AB554E"/>
    <w:rsid w:val="00AB5832"/>
    <w:rsid w:val="00AB655F"/>
    <w:rsid w:val="00AB77DA"/>
    <w:rsid w:val="00AB7896"/>
    <w:rsid w:val="00AC171F"/>
    <w:rsid w:val="00AC31FB"/>
    <w:rsid w:val="00AC3D41"/>
    <w:rsid w:val="00AC3FD1"/>
    <w:rsid w:val="00AC4C11"/>
    <w:rsid w:val="00AC51F2"/>
    <w:rsid w:val="00AC5297"/>
    <w:rsid w:val="00AC586B"/>
    <w:rsid w:val="00AC672C"/>
    <w:rsid w:val="00AC75CE"/>
    <w:rsid w:val="00AC7937"/>
    <w:rsid w:val="00AD157A"/>
    <w:rsid w:val="00AD3269"/>
    <w:rsid w:val="00AD476B"/>
    <w:rsid w:val="00AD50B5"/>
    <w:rsid w:val="00AD55B4"/>
    <w:rsid w:val="00AD5A27"/>
    <w:rsid w:val="00AD655B"/>
    <w:rsid w:val="00AD6678"/>
    <w:rsid w:val="00AD6E20"/>
    <w:rsid w:val="00AD7326"/>
    <w:rsid w:val="00AD7446"/>
    <w:rsid w:val="00AD77C1"/>
    <w:rsid w:val="00AE02B3"/>
    <w:rsid w:val="00AE1210"/>
    <w:rsid w:val="00AE2B44"/>
    <w:rsid w:val="00AE2CB2"/>
    <w:rsid w:val="00AE431B"/>
    <w:rsid w:val="00AE4B00"/>
    <w:rsid w:val="00AE5045"/>
    <w:rsid w:val="00AE5066"/>
    <w:rsid w:val="00AE5E24"/>
    <w:rsid w:val="00AE61B7"/>
    <w:rsid w:val="00AE6C76"/>
    <w:rsid w:val="00AE6CBA"/>
    <w:rsid w:val="00AE6EB0"/>
    <w:rsid w:val="00AE6F41"/>
    <w:rsid w:val="00AE79AD"/>
    <w:rsid w:val="00AE7F82"/>
    <w:rsid w:val="00AF0518"/>
    <w:rsid w:val="00AF0579"/>
    <w:rsid w:val="00AF0651"/>
    <w:rsid w:val="00AF22D0"/>
    <w:rsid w:val="00AF28BD"/>
    <w:rsid w:val="00AF35E4"/>
    <w:rsid w:val="00AF3774"/>
    <w:rsid w:val="00AF4BAD"/>
    <w:rsid w:val="00AF5911"/>
    <w:rsid w:val="00AF5CDE"/>
    <w:rsid w:val="00AF5E16"/>
    <w:rsid w:val="00AF64F9"/>
    <w:rsid w:val="00AF7384"/>
    <w:rsid w:val="00AF7666"/>
    <w:rsid w:val="00B00001"/>
    <w:rsid w:val="00B009A4"/>
    <w:rsid w:val="00B00B04"/>
    <w:rsid w:val="00B02F5A"/>
    <w:rsid w:val="00B03DD2"/>
    <w:rsid w:val="00B06A96"/>
    <w:rsid w:val="00B07678"/>
    <w:rsid w:val="00B07BCE"/>
    <w:rsid w:val="00B10543"/>
    <w:rsid w:val="00B118AA"/>
    <w:rsid w:val="00B11A57"/>
    <w:rsid w:val="00B11CEB"/>
    <w:rsid w:val="00B122B2"/>
    <w:rsid w:val="00B128A3"/>
    <w:rsid w:val="00B13D1E"/>
    <w:rsid w:val="00B14517"/>
    <w:rsid w:val="00B15166"/>
    <w:rsid w:val="00B159D9"/>
    <w:rsid w:val="00B15A33"/>
    <w:rsid w:val="00B15D1C"/>
    <w:rsid w:val="00B164A7"/>
    <w:rsid w:val="00B20826"/>
    <w:rsid w:val="00B20DAE"/>
    <w:rsid w:val="00B211C3"/>
    <w:rsid w:val="00B23E70"/>
    <w:rsid w:val="00B25597"/>
    <w:rsid w:val="00B25756"/>
    <w:rsid w:val="00B2590F"/>
    <w:rsid w:val="00B267B9"/>
    <w:rsid w:val="00B317F2"/>
    <w:rsid w:val="00B31942"/>
    <w:rsid w:val="00B32F11"/>
    <w:rsid w:val="00B331CC"/>
    <w:rsid w:val="00B33E09"/>
    <w:rsid w:val="00B350F1"/>
    <w:rsid w:val="00B35407"/>
    <w:rsid w:val="00B36F5D"/>
    <w:rsid w:val="00B374D0"/>
    <w:rsid w:val="00B37FAF"/>
    <w:rsid w:val="00B4128F"/>
    <w:rsid w:val="00B41712"/>
    <w:rsid w:val="00B424FA"/>
    <w:rsid w:val="00B45D2C"/>
    <w:rsid w:val="00B47BE9"/>
    <w:rsid w:val="00B50708"/>
    <w:rsid w:val="00B50C68"/>
    <w:rsid w:val="00B51293"/>
    <w:rsid w:val="00B52B1E"/>
    <w:rsid w:val="00B54CC1"/>
    <w:rsid w:val="00B5537A"/>
    <w:rsid w:val="00B5545D"/>
    <w:rsid w:val="00B55481"/>
    <w:rsid w:val="00B56C32"/>
    <w:rsid w:val="00B57385"/>
    <w:rsid w:val="00B57ACF"/>
    <w:rsid w:val="00B60819"/>
    <w:rsid w:val="00B63276"/>
    <w:rsid w:val="00B63CCC"/>
    <w:rsid w:val="00B63F07"/>
    <w:rsid w:val="00B64699"/>
    <w:rsid w:val="00B64BB1"/>
    <w:rsid w:val="00B661E4"/>
    <w:rsid w:val="00B66339"/>
    <w:rsid w:val="00B70507"/>
    <w:rsid w:val="00B710F7"/>
    <w:rsid w:val="00B73166"/>
    <w:rsid w:val="00B735AB"/>
    <w:rsid w:val="00B7372B"/>
    <w:rsid w:val="00B73A39"/>
    <w:rsid w:val="00B75A68"/>
    <w:rsid w:val="00B75B37"/>
    <w:rsid w:val="00B779F4"/>
    <w:rsid w:val="00B77F25"/>
    <w:rsid w:val="00B80A7D"/>
    <w:rsid w:val="00B80D50"/>
    <w:rsid w:val="00B817CB"/>
    <w:rsid w:val="00B8235E"/>
    <w:rsid w:val="00B8426C"/>
    <w:rsid w:val="00B85E79"/>
    <w:rsid w:val="00B91B8D"/>
    <w:rsid w:val="00B93265"/>
    <w:rsid w:val="00B9379E"/>
    <w:rsid w:val="00B94418"/>
    <w:rsid w:val="00B94E90"/>
    <w:rsid w:val="00B97672"/>
    <w:rsid w:val="00B97C36"/>
    <w:rsid w:val="00BA23A6"/>
    <w:rsid w:val="00BA2F82"/>
    <w:rsid w:val="00BA3ED0"/>
    <w:rsid w:val="00BA529F"/>
    <w:rsid w:val="00BA5EB9"/>
    <w:rsid w:val="00BA6A2B"/>
    <w:rsid w:val="00BB0A82"/>
    <w:rsid w:val="00BB0C9A"/>
    <w:rsid w:val="00BB34F8"/>
    <w:rsid w:val="00BB4305"/>
    <w:rsid w:val="00BB49DA"/>
    <w:rsid w:val="00BB4B89"/>
    <w:rsid w:val="00BB5E83"/>
    <w:rsid w:val="00BB6374"/>
    <w:rsid w:val="00BB6DE8"/>
    <w:rsid w:val="00BB764A"/>
    <w:rsid w:val="00BB7C94"/>
    <w:rsid w:val="00BC071B"/>
    <w:rsid w:val="00BC0A9D"/>
    <w:rsid w:val="00BC0AAC"/>
    <w:rsid w:val="00BC20E7"/>
    <w:rsid w:val="00BC20F6"/>
    <w:rsid w:val="00BC493D"/>
    <w:rsid w:val="00BC4A2F"/>
    <w:rsid w:val="00BC5796"/>
    <w:rsid w:val="00BC6F1D"/>
    <w:rsid w:val="00BC7A1A"/>
    <w:rsid w:val="00BD034A"/>
    <w:rsid w:val="00BD2633"/>
    <w:rsid w:val="00BD4D7D"/>
    <w:rsid w:val="00BD4DF3"/>
    <w:rsid w:val="00BD61F3"/>
    <w:rsid w:val="00BE0BD2"/>
    <w:rsid w:val="00BE2BCF"/>
    <w:rsid w:val="00BE394D"/>
    <w:rsid w:val="00BE44F9"/>
    <w:rsid w:val="00BE4CF2"/>
    <w:rsid w:val="00BE6541"/>
    <w:rsid w:val="00BE6A8C"/>
    <w:rsid w:val="00BF0B1D"/>
    <w:rsid w:val="00BF19C3"/>
    <w:rsid w:val="00BF2314"/>
    <w:rsid w:val="00BF3136"/>
    <w:rsid w:val="00BF40ED"/>
    <w:rsid w:val="00BF448B"/>
    <w:rsid w:val="00BF497A"/>
    <w:rsid w:val="00BF54C2"/>
    <w:rsid w:val="00BF5BC2"/>
    <w:rsid w:val="00BF6D0B"/>
    <w:rsid w:val="00BF7F45"/>
    <w:rsid w:val="00C00575"/>
    <w:rsid w:val="00C009FB"/>
    <w:rsid w:val="00C00D6E"/>
    <w:rsid w:val="00C00F15"/>
    <w:rsid w:val="00C010D4"/>
    <w:rsid w:val="00C0350B"/>
    <w:rsid w:val="00C03FAF"/>
    <w:rsid w:val="00C05E30"/>
    <w:rsid w:val="00C1021F"/>
    <w:rsid w:val="00C104EF"/>
    <w:rsid w:val="00C10696"/>
    <w:rsid w:val="00C1133D"/>
    <w:rsid w:val="00C13129"/>
    <w:rsid w:val="00C21E76"/>
    <w:rsid w:val="00C22893"/>
    <w:rsid w:val="00C23D7C"/>
    <w:rsid w:val="00C247DD"/>
    <w:rsid w:val="00C2491C"/>
    <w:rsid w:val="00C266D9"/>
    <w:rsid w:val="00C27A08"/>
    <w:rsid w:val="00C302C2"/>
    <w:rsid w:val="00C31312"/>
    <w:rsid w:val="00C31E36"/>
    <w:rsid w:val="00C31EF5"/>
    <w:rsid w:val="00C326C6"/>
    <w:rsid w:val="00C35295"/>
    <w:rsid w:val="00C3534A"/>
    <w:rsid w:val="00C354CF"/>
    <w:rsid w:val="00C3654A"/>
    <w:rsid w:val="00C36ADD"/>
    <w:rsid w:val="00C36E74"/>
    <w:rsid w:val="00C37A92"/>
    <w:rsid w:val="00C37AFB"/>
    <w:rsid w:val="00C4021A"/>
    <w:rsid w:val="00C403AF"/>
    <w:rsid w:val="00C40595"/>
    <w:rsid w:val="00C41226"/>
    <w:rsid w:val="00C41621"/>
    <w:rsid w:val="00C43EEA"/>
    <w:rsid w:val="00C4499E"/>
    <w:rsid w:val="00C449FA"/>
    <w:rsid w:val="00C4516A"/>
    <w:rsid w:val="00C468CD"/>
    <w:rsid w:val="00C4789F"/>
    <w:rsid w:val="00C478DB"/>
    <w:rsid w:val="00C505C0"/>
    <w:rsid w:val="00C50F47"/>
    <w:rsid w:val="00C5180B"/>
    <w:rsid w:val="00C51999"/>
    <w:rsid w:val="00C52E17"/>
    <w:rsid w:val="00C5384F"/>
    <w:rsid w:val="00C55C08"/>
    <w:rsid w:val="00C56964"/>
    <w:rsid w:val="00C57164"/>
    <w:rsid w:val="00C57872"/>
    <w:rsid w:val="00C57C02"/>
    <w:rsid w:val="00C6039D"/>
    <w:rsid w:val="00C612D9"/>
    <w:rsid w:val="00C62FD5"/>
    <w:rsid w:val="00C63DE4"/>
    <w:rsid w:val="00C656D5"/>
    <w:rsid w:val="00C66FE3"/>
    <w:rsid w:val="00C67103"/>
    <w:rsid w:val="00C673A1"/>
    <w:rsid w:val="00C6743F"/>
    <w:rsid w:val="00C719DE"/>
    <w:rsid w:val="00C71BB9"/>
    <w:rsid w:val="00C724C7"/>
    <w:rsid w:val="00C727F2"/>
    <w:rsid w:val="00C72A80"/>
    <w:rsid w:val="00C734FD"/>
    <w:rsid w:val="00C7380C"/>
    <w:rsid w:val="00C7596C"/>
    <w:rsid w:val="00C75FB6"/>
    <w:rsid w:val="00C80ED9"/>
    <w:rsid w:val="00C81273"/>
    <w:rsid w:val="00C81CC6"/>
    <w:rsid w:val="00C83A68"/>
    <w:rsid w:val="00C84268"/>
    <w:rsid w:val="00C84383"/>
    <w:rsid w:val="00C843FB"/>
    <w:rsid w:val="00C8455C"/>
    <w:rsid w:val="00C84F8A"/>
    <w:rsid w:val="00C91027"/>
    <w:rsid w:val="00C91448"/>
    <w:rsid w:val="00C92007"/>
    <w:rsid w:val="00C93909"/>
    <w:rsid w:val="00C94C28"/>
    <w:rsid w:val="00C9583E"/>
    <w:rsid w:val="00C96D2E"/>
    <w:rsid w:val="00CA0CA3"/>
    <w:rsid w:val="00CA118B"/>
    <w:rsid w:val="00CA1602"/>
    <w:rsid w:val="00CA1FBF"/>
    <w:rsid w:val="00CA257C"/>
    <w:rsid w:val="00CA3BB0"/>
    <w:rsid w:val="00CA5AF1"/>
    <w:rsid w:val="00CA5B8C"/>
    <w:rsid w:val="00CA5FEA"/>
    <w:rsid w:val="00CB0247"/>
    <w:rsid w:val="00CB0E3A"/>
    <w:rsid w:val="00CB0F71"/>
    <w:rsid w:val="00CB1498"/>
    <w:rsid w:val="00CB17A1"/>
    <w:rsid w:val="00CB1A0D"/>
    <w:rsid w:val="00CB3440"/>
    <w:rsid w:val="00CB478B"/>
    <w:rsid w:val="00CB4A33"/>
    <w:rsid w:val="00CC1175"/>
    <w:rsid w:val="00CC1692"/>
    <w:rsid w:val="00CC382A"/>
    <w:rsid w:val="00CC3AAC"/>
    <w:rsid w:val="00CC3B8C"/>
    <w:rsid w:val="00CC3EEA"/>
    <w:rsid w:val="00CC3FA8"/>
    <w:rsid w:val="00CC5CF5"/>
    <w:rsid w:val="00CC6EFA"/>
    <w:rsid w:val="00CC7476"/>
    <w:rsid w:val="00CC77B2"/>
    <w:rsid w:val="00CC7F3D"/>
    <w:rsid w:val="00CD09E2"/>
    <w:rsid w:val="00CD10BE"/>
    <w:rsid w:val="00CD138B"/>
    <w:rsid w:val="00CD2130"/>
    <w:rsid w:val="00CD2AF5"/>
    <w:rsid w:val="00CD3271"/>
    <w:rsid w:val="00CD3E31"/>
    <w:rsid w:val="00CD4657"/>
    <w:rsid w:val="00CD74A3"/>
    <w:rsid w:val="00CD7B39"/>
    <w:rsid w:val="00CE0527"/>
    <w:rsid w:val="00CE12FC"/>
    <w:rsid w:val="00CE157B"/>
    <w:rsid w:val="00CE19EF"/>
    <w:rsid w:val="00CE35C0"/>
    <w:rsid w:val="00CE4F14"/>
    <w:rsid w:val="00CE505A"/>
    <w:rsid w:val="00CE5B23"/>
    <w:rsid w:val="00CE6540"/>
    <w:rsid w:val="00CE6732"/>
    <w:rsid w:val="00CE683A"/>
    <w:rsid w:val="00CE6B67"/>
    <w:rsid w:val="00CE6D78"/>
    <w:rsid w:val="00CE74C5"/>
    <w:rsid w:val="00CF32C3"/>
    <w:rsid w:val="00CF3DC7"/>
    <w:rsid w:val="00CF4592"/>
    <w:rsid w:val="00CF70AD"/>
    <w:rsid w:val="00CF7729"/>
    <w:rsid w:val="00D00059"/>
    <w:rsid w:val="00D00626"/>
    <w:rsid w:val="00D00DCE"/>
    <w:rsid w:val="00D0306A"/>
    <w:rsid w:val="00D035FC"/>
    <w:rsid w:val="00D03D4B"/>
    <w:rsid w:val="00D05B54"/>
    <w:rsid w:val="00D0659A"/>
    <w:rsid w:val="00D06678"/>
    <w:rsid w:val="00D0685A"/>
    <w:rsid w:val="00D06F94"/>
    <w:rsid w:val="00D07104"/>
    <w:rsid w:val="00D07B10"/>
    <w:rsid w:val="00D07B19"/>
    <w:rsid w:val="00D107FA"/>
    <w:rsid w:val="00D10D45"/>
    <w:rsid w:val="00D114B7"/>
    <w:rsid w:val="00D12275"/>
    <w:rsid w:val="00D12766"/>
    <w:rsid w:val="00D13AFE"/>
    <w:rsid w:val="00D14D3A"/>
    <w:rsid w:val="00D15C9C"/>
    <w:rsid w:val="00D16C9E"/>
    <w:rsid w:val="00D202F1"/>
    <w:rsid w:val="00D20C5A"/>
    <w:rsid w:val="00D20FF4"/>
    <w:rsid w:val="00D24D2C"/>
    <w:rsid w:val="00D26BA7"/>
    <w:rsid w:val="00D30679"/>
    <w:rsid w:val="00D35881"/>
    <w:rsid w:val="00D359D1"/>
    <w:rsid w:val="00D36BAF"/>
    <w:rsid w:val="00D36ED9"/>
    <w:rsid w:val="00D40FF4"/>
    <w:rsid w:val="00D422D5"/>
    <w:rsid w:val="00D44B17"/>
    <w:rsid w:val="00D465C2"/>
    <w:rsid w:val="00D46A3C"/>
    <w:rsid w:val="00D50AB7"/>
    <w:rsid w:val="00D512C1"/>
    <w:rsid w:val="00D5287E"/>
    <w:rsid w:val="00D531F6"/>
    <w:rsid w:val="00D54E84"/>
    <w:rsid w:val="00D57EB0"/>
    <w:rsid w:val="00D60638"/>
    <w:rsid w:val="00D60D3E"/>
    <w:rsid w:val="00D63C47"/>
    <w:rsid w:val="00D64259"/>
    <w:rsid w:val="00D65035"/>
    <w:rsid w:val="00D65F1E"/>
    <w:rsid w:val="00D66020"/>
    <w:rsid w:val="00D67826"/>
    <w:rsid w:val="00D70F99"/>
    <w:rsid w:val="00D720D5"/>
    <w:rsid w:val="00D72F4E"/>
    <w:rsid w:val="00D744A8"/>
    <w:rsid w:val="00D76D7B"/>
    <w:rsid w:val="00D81A7F"/>
    <w:rsid w:val="00D83030"/>
    <w:rsid w:val="00D8353D"/>
    <w:rsid w:val="00D865A2"/>
    <w:rsid w:val="00D8741E"/>
    <w:rsid w:val="00D8790F"/>
    <w:rsid w:val="00D87A5D"/>
    <w:rsid w:val="00D907B9"/>
    <w:rsid w:val="00D9130A"/>
    <w:rsid w:val="00D92A71"/>
    <w:rsid w:val="00D93DD1"/>
    <w:rsid w:val="00D95CF0"/>
    <w:rsid w:val="00D9621C"/>
    <w:rsid w:val="00D97F72"/>
    <w:rsid w:val="00DA3309"/>
    <w:rsid w:val="00DA67FE"/>
    <w:rsid w:val="00DA6CA8"/>
    <w:rsid w:val="00DA776A"/>
    <w:rsid w:val="00DA7DA5"/>
    <w:rsid w:val="00DA7FBF"/>
    <w:rsid w:val="00DB032A"/>
    <w:rsid w:val="00DB0390"/>
    <w:rsid w:val="00DB073B"/>
    <w:rsid w:val="00DB1CFC"/>
    <w:rsid w:val="00DB3252"/>
    <w:rsid w:val="00DB3C91"/>
    <w:rsid w:val="00DB417C"/>
    <w:rsid w:val="00DB62B9"/>
    <w:rsid w:val="00DB6FCA"/>
    <w:rsid w:val="00DB78F0"/>
    <w:rsid w:val="00DC03C3"/>
    <w:rsid w:val="00DC0CEA"/>
    <w:rsid w:val="00DC0CF2"/>
    <w:rsid w:val="00DC2E43"/>
    <w:rsid w:val="00DC444E"/>
    <w:rsid w:val="00DC5090"/>
    <w:rsid w:val="00DC6F60"/>
    <w:rsid w:val="00DC7FA6"/>
    <w:rsid w:val="00DD095C"/>
    <w:rsid w:val="00DD1020"/>
    <w:rsid w:val="00DD1242"/>
    <w:rsid w:val="00DD1330"/>
    <w:rsid w:val="00DD2D5F"/>
    <w:rsid w:val="00DD3299"/>
    <w:rsid w:val="00DD4017"/>
    <w:rsid w:val="00DD4E58"/>
    <w:rsid w:val="00DD6C6F"/>
    <w:rsid w:val="00DD6F70"/>
    <w:rsid w:val="00DE0B83"/>
    <w:rsid w:val="00DE0D11"/>
    <w:rsid w:val="00DE1A81"/>
    <w:rsid w:val="00DE1C13"/>
    <w:rsid w:val="00DE1E85"/>
    <w:rsid w:val="00DE3FD6"/>
    <w:rsid w:val="00DE49CB"/>
    <w:rsid w:val="00DE4E10"/>
    <w:rsid w:val="00DE5B86"/>
    <w:rsid w:val="00DE5BE7"/>
    <w:rsid w:val="00DE63B6"/>
    <w:rsid w:val="00DE6AA0"/>
    <w:rsid w:val="00DE7C8D"/>
    <w:rsid w:val="00DE7F6D"/>
    <w:rsid w:val="00DF2333"/>
    <w:rsid w:val="00DF3645"/>
    <w:rsid w:val="00DF5ABD"/>
    <w:rsid w:val="00DF67A0"/>
    <w:rsid w:val="00DF7037"/>
    <w:rsid w:val="00DF798F"/>
    <w:rsid w:val="00E0128E"/>
    <w:rsid w:val="00E02ABF"/>
    <w:rsid w:val="00E03A07"/>
    <w:rsid w:val="00E04A58"/>
    <w:rsid w:val="00E0551A"/>
    <w:rsid w:val="00E05A6B"/>
    <w:rsid w:val="00E0664E"/>
    <w:rsid w:val="00E07BAF"/>
    <w:rsid w:val="00E1201B"/>
    <w:rsid w:val="00E1272A"/>
    <w:rsid w:val="00E1356E"/>
    <w:rsid w:val="00E1420B"/>
    <w:rsid w:val="00E14600"/>
    <w:rsid w:val="00E14995"/>
    <w:rsid w:val="00E15CC4"/>
    <w:rsid w:val="00E171FA"/>
    <w:rsid w:val="00E179CD"/>
    <w:rsid w:val="00E20D6B"/>
    <w:rsid w:val="00E216A1"/>
    <w:rsid w:val="00E22BB1"/>
    <w:rsid w:val="00E23E8D"/>
    <w:rsid w:val="00E2650D"/>
    <w:rsid w:val="00E27FB1"/>
    <w:rsid w:val="00E32D07"/>
    <w:rsid w:val="00E3393D"/>
    <w:rsid w:val="00E33A4B"/>
    <w:rsid w:val="00E35D5F"/>
    <w:rsid w:val="00E36962"/>
    <w:rsid w:val="00E36A53"/>
    <w:rsid w:val="00E3700F"/>
    <w:rsid w:val="00E37476"/>
    <w:rsid w:val="00E37F5E"/>
    <w:rsid w:val="00E37F98"/>
    <w:rsid w:val="00E40424"/>
    <w:rsid w:val="00E40DE6"/>
    <w:rsid w:val="00E4365F"/>
    <w:rsid w:val="00E437A1"/>
    <w:rsid w:val="00E446B1"/>
    <w:rsid w:val="00E454A1"/>
    <w:rsid w:val="00E46559"/>
    <w:rsid w:val="00E4682F"/>
    <w:rsid w:val="00E47A3D"/>
    <w:rsid w:val="00E47D6E"/>
    <w:rsid w:val="00E52D1E"/>
    <w:rsid w:val="00E551E5"/>
    <w:rsid w:val="00E56D1E"/>
    <w:rsid w:val="00E57390"/>
    <w:rsid w:val="00E575CB"/>
    <w:rsid w:val="00E6076C"/>
    <w:rsid w:val="00E61B67"/>
    <w:rsid w:val="00E624A4"/>
    <w:rsid w:val="00E65657"/>
    <w:rsid w:val="00E6619E"/>
    <w:rsid w:val="00E66540"/>
    <w:rsid w:val="00E6670C"/>
    <w:rsid w:val="00E70F63"/>
    <w:rsid w:val="00E7416F"/>
    <w:rsid w:val="00E748BB"/>
    <w:rsid w:val="00E771F2"/>
    <w:rsid w:val="00E776E8"/>
    <w:rsid w:val="00E80878"/>
    <w:rsid w:val="00E81A02"/>
    <w:rsid w:val="00E81A45"/>
    <w:rsid w:val="00E828E7"/>
    <w:rsid w:val="00E84A1C"/>
    <w:rsid w:val="00E850BA"/>
    <w:rsid w:val="00E850C3"/>
    <w:rsid w:val="00E85601"/>
    <w:rsid w:val="00E85714"/>
    <w:rsid w:val="00E86773"/>
    <w:rsid w:val="00E86E44"/>
    <w:rsid w:val="00E87770"/>
    <w:rsid w:val="00E90965"/>
    <w:rsid w:val="00E9257F"/>
    <w:rsid w:val="00E92C1F"/>
    <w:rsid w:val="00E9340C"/>
    <w:rsid w:val="00E93A54"/>
    <w:rsid w:val="00E93D52"/>
    <w:rsid w:val="00E93EF2"/>
    <w:rsid w:val="00E93F22"/>
    <w:rsid w:val="00E9501C"/>
    <w:rsid w:val="00E95102"/>
    <w:rsid w:val="00E95A57"/>
    <w:rsid w:val="00E95D4B"/>
    <w:rsid w:val="00E97988"/>
    <w:rsid w:val="00EA03DE"/>
    <w:rsid w:val="00EA2742"/>
    <w:rsid w:val="00EA3DDA"/>
    <w:rsid w:val="00EA4C27"/>
    <w:rsid w:val="00EA5635"/>
    <w:rsid w:val="00EA7D64"/>
    <w:rsid w:val="00EB199F"/>
    <w:rsid w:val="00EB19DD"/>
    <w:rsid w:val="00EB1D88"/>
    <w:rsid w:val="00EB2CF1"/>
    <w:rsid w:val="00EB2E4E"/>
    <w:rsid w:val="00EB5D6A"/>
    <w:rsid w:val="00EB62A1"/>
    <w:rsid w:val="00EB6518"/>
    <w:rsid w:val="00EB6972"/>
    <w:rsid w:val="00EB71A9"/>
    <w:rsid w:val="00EC1E39"/>
    <w:rsid w:val="00EC23F7"/>
    <w:rsid w:val="00EC31CB"/>
    <w:rsid w:val="00EC3812"/>
    <w:rsid w:val="00EC4481"/>
    <w:rsid w:val="00EC47A0"/>
    <w:rsid w:val="00EC4B50"/>
    <w:rsid w:val="00EC4BD8"/>
    <w:rsid w:val="00EC5AE3"/>
    <w:rsid w:val="00EC63EB"/>
    <w:rsid w:val="00EC680F"/>
    <w:rsid w:val="00EC6C67"/>
    <w:rsid w:val="00EC71C8"/>
    <w:rsid w:val="00ED0076"/>
    <w:rsid w:val="00ED0D1E"/>
    <w:rsid w:val="00ED26DE"/>
    <w:rsid w:val="00ED2BC4"/>
    <w:rsid w:val="00ED38A5"/>
    <w:rsid w:val="00ED3F53"/>
    <w:rsid w:val="00ED412F"/>
    <w:rsid w:val="00ED4CC1"/>
    <w:rsid w:val="00ED580C"/>
    <w:rsid w:val="00ED6243"/>
    <w:rsid w:val="00ED6452"/>
    <w:rsid w:val="00ED7614"/>
    <w:rsid w:val="00EE18BB"/>
    <w:rsid w:val="00EE1ECE"/>
    <w:rsid w:val="00EE417E"/>
    <w:rsid w:val="00EE6008"/>
    <w:rsid w:val="00EE6C87"/>
    <w:rsid w:val="00EE7879"/>
    <w:rsid w:val="00EE7A5B"/>
    <w:rsid w:val="00EE7B17"/>
    <w:rsid w:val="00EF04B0"/>
    <w:rsid w:val="00EF36B2"/>
    <w:rsid w:val="00EF3D0A"/>
    <w:rsid w:val="00EF52D8"/>
    <w:rsid w:val="00EF53BF"/>
    <w:rsid w:val="00F000FA"/>
    <w:rsid w:val="00F0055A"/>
    <w:rsid w:val="00F02AB1"/>
    <w:rsid w:val="00F02B16"/>
    <w:rsid w:val="00F10E94"/>
    <w:rsid w:val="00F10F66"/>
    <w:rsid w:val="00F10F75"/>
    <w:rsid w:val="00F10F81"/>
    <w:rsid w:val="00F11D8F"/>
    <w:rsid w:val="00F1246B"/>
    <w:rsid w:val="00F13AB9"/>
    <w:rsid w:val="00F14CD7"/>
    <w:rsid w:val="00F16E30"/>
    <w:rsid w:val="00F201EC"/>
    <w:rsid w:val="00F208A9"/>
    <w:rsid w:val="00F21364"/>
    <w:rsid w:val="00F21B21"/>
    <w:rsid w:val="00F241AA"/>
    <w:rsid w:val="00F244FC"/>
    <w:rsid w:val="00F2556A"/>
    <w:rsid w:val="00F26787"/>
    <w:rsid w:val="00F27E9D"/>
    <w:rsid w:val="00F30F48"/>
    <w:rsid w:val="00F31E27"/>
    <w:rsid w:val="00F33590"/>
    <w:rsid w:val="00F35D04"/>
    <w:rsid w:val="00F35FDE"/>
    <w:rsid w:val="00F36388"/>
    <w:rsid w:val="00F368AB"/>
    <w:rsid w:val="00F37BD2"/>
    <w:rsid w:val="00F405E1"/>
    <w:rsid w:val="00F408F4"/>
    <w:rsid w:val="00F41D75"/>
    <w:rsid w:val="00F42C11"/>
    <w:rsid w:val="00F42FC7"/>
    <w:rsid w:val="00F43DE6"/>
    <w:rsid w:val="00F45D7F"/>
    <w:rsid w:val="00F4723D"/>
    <w:rsid w:val="00F5139D"/>
    <w:rsid w:val="00F5247F"/>
    <w:rsid w:val="00F52B7B"/>
    <w:rsid w:val="00F53F67"/>
    <w:rsid w:val="00F55533"/>
    <w:rsid w:val="00F55C85"/>
    <w:rsid w:val="00F56963"/>
    <w:rsid w:val="00F604BB"/>
    <w:rsid w:val="00F60D56"/>
    <w:rsid w:val="00F62B7E"/>
    <w:rsid w:val="00F63DAC"/>
    <w:rsid w:val="00F64F11"/>
    <w:rsid w:val="00F719A8"/>
    <w:rsid w:val="00F726A5"/>
    <w:rsid w:val="00F72DE4"/>
    <w:rsid w:val="00F73CD8"/>
    <w:rsid w:val="00F743A9"/>
    <w:rsid w:val="00F7454F"/>
    <w:rsid w:val="00F763BB"/>
    <w:rsid w:val="00F77988"/>
    <w:rsid w:val="00F77F48"/>
    <w:rsid w:val="00F805D9"/>
    <w:rsid w:val="00F807C2"/>
    <w:rsid w:val="00F80B30"/>
    <w:rsid w:val="00F83B94"/>
    <w:rsid w:val="00F83BF4"/>
    <w:rsid w:val="00F8427E"/>
    <w:rsid w:val="00F85FB7"/>
    <w:rsid w:val="00F87AB6"/>
    <w:rsid w:val="00F9370E"/>
    <w:rsid w:val="00F937D8"/>
    <w:rsid w:val="00F95184"/>
    <w:rsid w:val="00F95759"/>
    <w:rsid w:val="00F95AAA"/>
    <w:rsid w:val="00F965C3"/>
    <w:rsid w:val="00F96F51"/>
    <w:rsid w:val="00F976B4"/>
    <w:rsid w:val="00F97D97"/>
    <w:rsid w:val="00FA030D"/>
    <w:rsid w:val="00FA0388"/>
    <w:rsid w:val="00FA0B36"/>
    <w:rsid w:val="00FA18FF"/>
    <w:rsid w:val="00FA20E5"/>
    <w:rsid w:val="00FA3E5E"/>
    <w:rsid w:val="00FA41B7"/>
    <w:rsid w:val="00FA4401"/>
    <w:rsid w:val="00FA574C"/>
    <w:rsid w:val="00FA7633"/>
    <w:rsid w:val="00FB0420"/>
    <w:rsid w:val="00FB1A60"/>
    <w:rsid w:val="00FB1DDE"/>
    <w:rsid w:val="00FB1FD2"/>
    <w:rsid w:val="00FB30F1"/>
    <w:rsid w:val="00FB53E7"/>
    <w:rsid w:val="00FB5AE3"/>
    <w:rsid w:val="00FC1309"/>
    <w:rsid w:val="00FC2644"/>
    <w:rsid w:val="00FC5176"/>
    <w:rsid w:val="00FC5B20"/>
    <w:rsid w:val="00FC5CBE"/>
    <w:rsid w:val="00FD1314"/>
    <w:rsid w:val="00FD2387"/>
    <w:rsid w:val="00FD27C6"/>
    <w:rsid w:val="00FD2A68"/>
    <w:rsid w:val="00FD2A8A"/>
    <w:rsid w:val="00FD36AE"/>
    <w:rsid w:val="00FD4505"/>
    <w:rsid w:val="00FD593F"/>
    <w:rsid w:val="00FD5E5B"/>
    <w:rsid w:val="00FD608C"/>
    <w:rsid w:val="00FD63BF"/>
    <w:rsid w:val="00FD6CEC"/>
    <w:rsid w:val="00FD7492"/>
    <w:rsid w:val="00FE0C85"/>
    <w:rsid w:val="00FE39D6"/>
    <w:rsid w:val="00FE4557"/>
    <w:rsid w:val="00FE49C5"/>
    <w:rsid w:val="00FE49DF"/>
    <w:rsid w:val="00FE4BEF"/>
    <w:rsid w:val="00FE4E98"/>
    <w:rsid w:val="00FE4FB3"/>
    <w:rsid w:val="00FE5A37"/>
    <w:rsid w:val="00FE607A"/>
    <w:rsid w:val="00FE716D"/>
    <w:rsid w:val="00FE781F"/>
    <w:rsid w:val="00FF027D"/>
    <w:rsid w:val="00FF107D"/>
    <w:rsid w:val="00FF14EC"/>
    <w:rsid w:val="00FF1517"/>
    <w:rsid w:val="00FF1C06"/>
    <w:rsid w:val="00FF63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821D9"/>
  <w15:docId w15:val="{336CC06F-0F2D-41D3-8371-7EEB26E9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rPr>
      <w:lang w:val="x-none" w:eastAsia="x-none"/>
    </w:r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semiHidden/>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link w:val="CommentText"/>
    <w:uiPriority w:val="99"/>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PlainText">
    <w:name w:val="Plain Text"/>
    <w:basedOn w:val="Normal"/>
    <w:unhideWhenUsed/>
    <w:rsid w:val="00823BAC"/>
    <w:rPr>
      <w:rFonts w:eastAsia="Calibri"/>
    </w:rPr>
  </w:style>
  <w:style w:type="paragraph" w:styleId="BodyTextIndent">
    <w:name w:val="Body Text Indent"/>
    <w:basedOn w:val="Normal"/>
    <w:rsid w:val="00823BAC"/>
    <w:pPr>
      <w:spacing w:after="120"/>
      <w:ind w:left="283"/>
    </w:pPr>
    <w:rPr>
      <w:rFonts w:eastAsia="Calibri"/>
      <w:lang w:eastAsia="en-US"/>
    </w:rPr>
  </w:style>
  <w:style w:type="paragraph" w:customStyle="1" w:styleId="RakstzCharCharRakstzCharCharRakstz">
    <w:name w:val="Rakstz. Char Char Rakstz. Char Char Rakstz."/>
    <w:basedOn w:val="Normal"/>
    <w:rsid w:val="00E454A1"/>
    <w:pPr>
      <w:spacing w:after="160" w:line="240" w:lineRule="exact"/>
    </w:pPr>
    <w:rPr>
      <w:rFonts w:ascii="Tahoma" w:hAnsi="Tahoma"/>
      <w:sz w:val="20"/>
      <w:szCs w:val="20"/>
      <w:lang w:val="en-US" w:eastAsia="en-US"/>
    </w:rPr>
  </w:style>
  <w:style w:type="character" w:customStyle="1" w:styleId="fontsize21">
    <w:name w:val="fontsize21"/>
    <w:rsid w:val="00800D1A"/>
    <w:rPr>
      <w:i/>
      <w:iCs/>
      <w:sz w:val="15"/>
      <w:szCs w:val="15"/>
    </w:rPr>
  </w:style>
  <w:style w:type="paragraph" w:styleId="HTMLPreformatted">
    <w:name w:val="HTML Preformatted"/>
    <w:basedOn w:val="Normal"/>
    <w:unhideWhenUsed/>
    <w:rsid w:val="00246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unhideWhenUsed/>
    <w:rsid w:val="00BC0AAC"/>
    <w:pPr>
      <w:spacing w:before="100" w:beforeAutospacing="1" w:after="100" w:afterAutospacing="1"/>
      <w:jc w:val="both"/>
    </w:pPr>
    <w:rPr>
      <w:lang w:val="en-GB" w:eastAsia="en-US"/>
    </w:rPr>
  </w:style>
  <w:style w:type="character" w:customStyle="1" w:styleId="HeaderChar">
    <w:name w:val="Header Char"/>
    <w:link w:val="Header"/>
    <w:uiPriority w:val="99"/>
    <w:rsid w:val="001411F6"/>
    <w:rPr>
      <w:sz w:val="24"/>
      <w:szCs w:val="24"/>
    </w:rPr>
  </w:style>
  <w:style w:type="paragraph" w:customStyle="1" w:styleId="StyleRight">
    <w:name w:val="Style Right"/>
    <w:basedOn w:val="Normal"/>
    <w:rsid w:val="001411F6"/>
    <w:pPr>
      <w:spacing w:after="120"/>
      <w:ind w:firstLine="720"/>
      <w:jc w:val="right"/>
    </w:pPr>
    <w:rPr>
      <w:sz w:val="28"/>
      <w:szCs w:val="28"/>
      <w:lang w:eastAsia="en-US"/>
    </w:rPr>
  </w:style>
  <w:style w:type="paragraph" w:customStyle="1" w:styleId="tvhtml">
    <w:name w:val="tv_html"/>
    <w:basedOn w:val="Normal"/>
    <w:rsid w:val="00391999"/>
    <w:pPr>
      <w:spacing w:before="100" w:beforeAutospacing="1" w:after="100" w:afterAutospacing="1"/>
    </w:pPr>
  </w:style>
  <w:style w:type="paragraph" w:styleId="ListParagraph">
    <w:name w:val="List Paragraph"/>
    <w:basedOn w:val="Normal"/>
    <w:uiPriority w:val="34"/>
    <w:qFormat/>
    <w:rsid w:val="00306B00"/>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0B3CEF"/>
    <w:rPr>
      <w:sz w:val="24"/>
      <w:szCs w:val="24"/>
    </w:rPr>
  </w:style>
  <w:style w:type="paragraph" w:customStyle="1" w:styleId="Virsraksts21">
    <w:name w:val="Virsraksts 21"/>
    <w:rsid w:val="00495603"/>
    <w:rPr>
      <w:b/>
      <w:i/>
      <w:sz w:val="22"/>
      <w:szCs w:val="28"/>
    </w:rPr>
  </w:style>
  <w:style w:type="paragraph" w:customStyle="1" w:styleId="naispie">
    <w:name w:val="naispie"/>
    <w:basedOn w:val="Normal"/>
    <w:rsid w:val="0000273F"/>
    <w:pPr>
      <w:spacing w:before="100" w:beforeAutospacing="1" w:after="100" w:afterAutospacing="1"/>
    </w:pPr>
  </w:style>
  <w:style w:type="character" w:styleId="Strong">
    <w:name w:val="Strong"/>
    <w:qFormat/>
    <w:rsid w:val="00904AFE"/>
    <w:rPr>
      <w:b/>
      <w:bCs/>
    </w:rPr>
  </w:style>
  <w:style w:type="paragraph" w:customStyle="1" w:styleId="tv213">
    <w:name w:val="tv213"/>
    <w:basedOn w:val="Normal"/>
    <w:rsid w:val="00E35D5F"/>
    <w:pPr>
      <w:spacing w:before="100" w:beforeAutospacing="1" w:after="100" w:afterAutospacing="1"/>
    </w:pPr>
    <w:rPr>
      <w:lang w:val="en-US" w:eastAsia="en-US"/>
    </w:rPr>
  </w:style>
  <w:style w:type="character" w:customStyle="1" w:styleId="FootnoteTextChar">
    <w:name w:val="Footnote Text Char"/>
    <w:link w:val="FootnoteText"/>
    <w:uiPriority w:val="99"/>
    <w:semiHidden/>
    <w:rsid w:val="00A72806"/>
    <w:rPr>
      <w:lang w:val="lv-LV" w:eastAsia="lv-LV"/>
    </w:rPr>
  </w:style>
  <w:style w:type="paragraph" w:customStyle="1" w:styleId="tv2131">
    <w:name w:val="tv2131"/>
    <w:basedOn w:val="Normal"/>
    <w:rsid w:val="00A72806"/>
    <w:pPr>
      <w:spacing w:line="360" w:lineRule="auto"/>
      <w:ind w:firstLine="300"/>
    </w:pPr>
    <w:rPr>
      <w:color w:val="414142"/>
      <w:sz w:val="20"/>
      <w:szCs w:val="20"/>
    </w:rPr>
  </w:style>
  <w:style w:type="character" w:styleId="FollowedHyperlink">
    <w:name w:val="FollowedHyperlink"/>
    <w:rsid w:val="006E5BB2"/>
    <w:rPr>
      <w:color w:val="954F72"/>
      <w:u w:val="single"/>
    </w:rPr>
  </w:style>
  <w:style w:type="paragraph" w:styleId="Revision">
    <w:name w:val="Revision"/>
    <w:hidden/>
    <w:uiPriority w:val="99"/>
    <w:semiHidden/>
    <w:rsid w:val="005F2166"/>
    <w:rPr>
      <w:sz w:val="24"/>
      <w:szCs w:val="24"/>
    </w:rPr>
  </w:style>
  <w:style w:type="paragraph" w:customStyle="1" w:styleId="Default">
    <w:name w:val="Default"/>
    <w:rsid w:val="005A68C8"/>
    <w:pPr>
      <w:autoSpaceDE w:val="0"/>
      <w:autoSpaceDN w:val="0"/>
      <w:adjustRightInd w:val="0"/>
    </w:pPr>
    <w:rPr>
      <w:rFonts w:eastAsia="Calibri"/>
      <w:color w:val="000000"/>
      <w:sz w:val="24"/>
      <w:szCs w:val="24"/>
      <w:lang w:eastAsia="en-US"/>
    </w:rPr>
  </w:style>
  <w:style w:type="character" w:customStyle="1" w:styleId="CharStyle16">
    <w:name w:val="Char Style 16"/>
    <w:link w:val="Style15"/>
    <w:uiPriority w:val="99"/>
    <w:rsid w:val="00C81CC6"/>
    <w:rPr>
      <w:sz w:val="23"/>
      <w:szCs w:val="23"/>
      <w:shd w:val="clear" w:color="auto" w:fill="FFFFFF"/>
    </w:rPr>
  </w:style>
  <w:style w:type="paragraph" w:customStyle="1" w:styleId="Style15">
    <w:name w:val="Style 15"/>
    <w:basedOn w:val="Normal"/>
    <w:link w:val="CharStyle16"/>
    <w:uiPriority w:val="99"/>
    <w:rsid w:val="00C81CC6"/>
    <w:pPr>
      <w:widowControl w:val="0"/>
      <w:shd w:val="clear" w:color="auto" w:fill="FFFFFF"/>
      <w:spacing w:before="240" w:line="274" w:lineRule="exact"/>
      <w:jc w:val="both"/>
    </w:pPr>
    <w:rPr>
      <w:sz w:val="23"/>
      <w:szCs w:val="23"/>
    </w:rPr>
  </w:style>
  <w:style w:type="paragraph" w:customStyle="1" w:styleId="tv2132">
    <w:name w:val="tv2132"/>
    <w:basedOn w:val="Normal"/>
    <w:rsid w:val="009D2316"/>
    <w:pPr>
      <w:spacing w:line="360" w:lineRule="auto"/>
      <w:ind w:firstLine="300"/>
    </w:pPr>
    <w:rPr>
      <w:color w:val="414142"/>
      <w:sz w:val="20"/>
      <w:szCs w:val="20"/>
    </w:rPr>
  </w:style>
  <w:style w:type="paragraph" w:customStyle="1" w:styleId="normal2">
    <w:name w:val="normal2"/>
    <w:basedOn w:val="Normal"/>
    <w:rsid w:val="00F33590"/>
    <w:pPr>
      <w:spacing w:before="120" w:line="312" w:lineRule="atLeast"/>
      <w:jc w:val="both"/>
    </w:pPr>
  </w:style>
  <w:style w:type="paragraph" w:customStyle="1" w:styleId="doc-ti2">
    <w:name w:val="doc-ti2"/>
    <w:basedOn w:val="Normal"/>
    <w:rsid w:val="00F33590"/>
    <w:pPr>
      <w:spacing w:before="240" w:after="120" w:line="312" w:lineRule="atLeast"/>
      <w:jc w:val="center"/>
    </w:pPr>
    <w:rPr>
      <w:b/>
      <w:bCs/>
    </w:rPr>
  </w:style>
  <w:style w:type="paragraph" w:styleId="BodyText2">
    <w:name w:val="Body Text 2"/>
    <w:basedOn w:val="Normal"/>
    <w:link w:val="BodyText2Char"/>
    <w:semiHidden/>
    <w:unhideWhenUsed/>
    <w:rsid w:val="00A22819"/>
    <w:pPr>
      <w:spacing w:after="120" w:line="480" w:lineRule="auto"/>
    </w:pPr>
  </w:style>
  <w:style w:type="character" w:customStyle="1" w:styleId="BodyText2Char">
    <w:name w:val="Body Text 2 Char"/>
    <w:basedOn w:val="DefaultParagraphFont"/>
    <w:link w:val="BodyText2"/>
    <w:semiHidden/>
    <w:rsid w:val="00A228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18057">
      <w:bodyDiv w:val="1"/>
      <w:marLeft w:val="0"/>
      <w:marRight w:val="0"/>
      <w:marTop w:val="0"/>
      <w:marBottom w:val="0"/>
      <w:divBdr>
        <w:top w:val="none" w:sz="0" w:space="0" w:color="auto"/>
        <w:left w:val="none" w:sz="0" w:space="0" w:color="auto"/>
        <w:bottom w:val="none" w:sz="0" w:space="0" w:color="auto"/>
        <w:right w:val="none" w:sz="0" w:space="0" w:color="auto"/>
      </w:divBdr>
    </w:div>
    <w:div w:id="427192904">
      <w:bodyDiv w:val="1"/>
      <w:marLeft w:val="0"/>
      <w:marRight w:val="0"/>
      <w:marTop w:val="0"/>
      <w:marBottom w:val="0"/>
      <w:divBdr>
        <w:top w:val="none" w:sz="0" w:space="0" w:color="auto"/>
        <w:left w:val="none" w:sz="0" w:space="0" w:color="auto"/>
        <w:bottom w:val="none" w:sz="0" w:space="0" w:color="auto"/>
        <w:right w:val="none" w:sz="0" w:space="0" w:color="auto"/>
      </w:divBdr>
    </w:div>
    <w:div w:id="460802169">
      <w:bodyDiv w:val="1"/>
      <w:marLeft w:val="0"/>
      <w:marRight w:val="0"/>
      <w:marTop w:val="0"/>
      <w:marBottom w:val="0"/>
      <w:divBdr>
        <w:top w:val="none" w:sz="0" w:space="0" w:color="auto"/>
        <w:left w:val="none" w:sz="0" w:space="0" w:color="auto"/>
        <w:bottom w:val="none" w:sz="0" w:space="0" w:color="auto"/>
        <w:right w:val="none" w:sz="0" w:space="0" w:color="auto"/>
      </w:divBdr>
    </w:div>
    <w:div w:id="583884095">
      <w:bodyDiv w:val="1"/>
      <w:marLeft w:val="0"/>
      <w:marRight w:val="0"/>
      <w:marTop w:val="0"/>
      <w:marBottom w:val="0"/>
      <w:divBdr>
        <w:top w:val="none" w:sz="0" w:space="0" w:color="auto"/>
        <w:left w:val="none" w:sz="0" w:space="0" w:color="auto"/>
        <w:bottom w:val="none" w:sz="0" w:space="0" w:color="auto"/>
        <w:right w:val="none" w:sz="0" w:space="0" w:color="auto"/>
      </w:divBdr>
    </w:div>
    <w:div w:id="627467559">
      <w:bodyDiv w:val="1"/>
      <w:marLeft w:val="0"/>
      <w:marRight w:val="0"/>
      <w:marTop w:val="0"/>
      <w:marBottom w:val="0"/>
      <w:divBdr>
        <w:top w:val="none" w:sz="0" w:space="0" w:color="auto"/>
        <w:left w:val="none" w:sz="0" w:space="0" w:color="auto"/>
        <w:bottom w:val="none" w:sz="0" w:space="0" w:color="auto"/>
        <w:right w:val="none" w:sz="0" w:space="0" w:color="auto"/>
      </w:divBdr>
      <w:divsChild>
        <w:div w:id="1560281649">
          <w:marLeft w:val="0"/>
          <w:marRight w:val="0"/>
          <w:marTop w:val="0"/>
          <w:marBottom w:val="0"/>
          <w:divBdr>
            <w:top w:val="none" w:sz="0" w:space="0" w:color="auto"/>
            <w:left w:val="none" w:sz="0" w:space="0" w:color="auto"/>
            <w:bottom w:val="none" w:sz="0" w:space="0" w:color="auto"/>
            <w:right w:val="none" w:sz="0" w:space="0" w:color="auto"/>
          </w:divBdr>
          <w:divsChild>
            <w:div w:id="14781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2207">
      <w:bodyDiv w:val="1"/>
      <w:marLeft w:val="0"/>
      <w:marRight w:val="0"/>
      <w:marTop w:val="0"/>
      <w:marBottom w:val="0"/>
      <w:divBdr>
        <w:top w:val="none" w:sz="0" w:space="0" w:color="auto"/>
        <w:left w:val="none" w:sz="0" w:space="0" w:color="auto"/>
        <w:bottom w:val="none" w:sz="0" w:space="0" w:color="auto"/>
        <w:right w:val="none" w:sz="0" w:space="0" w:color="auto"/>
      </w:divBdr>
      <w:divsChild>
        <w:div w:id="370886932">
          <w:marLeft w:val="0"/>
          <w:marRight w:val="0"/>
          <w:marTop w:val="0"/>
          <w:marBottom w:val="0"/>
          <w:divBdr>
            <w:top w:val="none" w:sz="0" w:space="0" w:color="auto"/>
            <w:left w:val="none" w:sz="0" w:space="0" w:color="auto"/>
            <w:bottom w:val="none" w:sz="0" w:space="0" w:color="auto"/>
            <w:right w:val="none" w:sz="0" w:space="0" w:color="auto"/>
          </w:divBdr>
          <w:divsChild>
            <w:div w:id="325474501">
              <w:marLeft w:val="0"/>
              <w:marRight w:val="0"/>
              <w:marTop w:val="0"/>
              <w:marBottom w:val="0"/>
              <w:divBdr>
                <w:top w:val="none" w:sz="0" w:space="0" w:color="auto"/>
                <w:left w:val="none" w:sz="0" w:space="0" w:color="auto"/>
                <w:bottom w:val="none" w:sz="0" w:space="0" w:color="auto"/>
                <w:right w:val="none" w:sz="0" w:space="0" w:color="auto"/>
              </w:divBdr>
              <w:divsChild>
                <w:div w:id="619149875">
                  <w:marLeft w:val="0"/>
                  <w:marRight w:val="0"/>
                  <w:marTop w:val="0"/>
                  <w:marBottom w:val="0"/>
                  <w:divBdr>
                    <w:top w:val="none" w:sz="0" w:space="0" w:color="auto"/>
                    <w:left w:val="none" w:sz="0" w:space="0" w:color="auto"/>
                    <w:bottom w:val="none" w:sz="0" w:space="0" w:color="auto"/>
                    <w:right w:val="none" w:sz="0" w:space="0" w:color="auto"/>
                  </w:divBdr>
                  <w:divsChild>
                    <w:div w:id="1877889287">
                      <w:marLeft w:val="0"/>
                      <w:marRight w:val="0"/>
                      <w:marTop w:val="0"/>
                      <w:marBottom w:val="0"/>
                      <w:divBdr>
                        <w:top w:val="none" w:sz="0" w:space="0" w:color="auto"/>
                        <w:left w:val="none" w:sz="0" w:space="0" w:color="auto"/>
                        <w:bottom w:val="none" w:sz="0" w:space="0" w:color="auto"/>
                        <w:right w:val="none" w:sz="0" w:space="0" w:color="auto"/>
                      </w:divBdr>
                      <w:divsChild>
                        <w:div w:id="1703096131">
                          <w:marLeft w:val="0"/>
                          <w:marRight w:val="0"/>
                          <w:marTop w:val="0"/>
                          <w:marBottom w:val="0"/>
                          <w:divBdr>
                            <w:top w:val="none" w:sz="0" w:space="0" w:color="auto"/>
                            <w:left w:val="none" w:sz="0" w:space="0" w:color="auto"/>
                            <w:bottom w:val="none" w:sz="0" w:space="0" w:color="auto"/>
                            <w:right w:val="none" w:sz="0" w:space="0" w:color="auto"/>
                          </w:divBdr>
                          <w:divsChild>
                            <w:div w:id="28562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085816">
      <w:bodyDiv w:val="1"/>
      <w:marLeft w:val="0"/>
      <w:marRight w:val="0"/>
      <w:marTop w:val="0"/>
      <w:marBottom w:val="0"/>
      <w:divBdr>
        <w:top w:val="none" w:sz="0" w:space="0" w:color="auto"/>
        <w:left w:val="none" w:sz="0" w:space="0" w:color="auto"/>
        <w:bottom w:val="none" w:sz="0" w:space="0" w:color="auto"/>
        <w:right w:val="none" w:sz="0" w:space="0" w:color="auto"/>
      </w:divBdr>
    </w:div>
    <w:div w:id="743382427">
      <w:bodyDiv w:val="1"/>
      <w:marLeft w:val="0"/>
      <w:marRight w:val="0"/>
      <w:marTop w:val="0"/>
      <w:marBottom w:val="0"/>
      <w:divBdr>
        <w:top w:val="none" w:sz="0" w:space="0" w:color="auto"/>
        <w:left w:val="none" w:sz="0" w:space="0" w:color="auto"/>
        <w:bottom w:val="none" w:sz="0" w:space="0" w:color="auto"/>
        <w:right w:val="none" w:sz="0" w:space="0" w:color="auto"/>
      </w:divBdr>
      <w:divsChild>
        <w:div w:id="608240718">
          <w:marLeft w:val="0"/>
          <w:marRight w:val="0"/>
          <w:marTop w:val="0"/>
          <w:marBottom w:val="0"/>
          <w:divBdr>
            <w:top w:val="none" w:sz="0" w:space="0" w:color="auto"/>
            <w:left w:val="none" w:sz="0" w:space="0" w:color="auto"/>
            <w:bottom w:val="none" w:sz="0" w:space="0" w:color="auto"/>
            <w:right w:val="none" w:sz="0" w:space="0" w:color="auto"/>
          </w:divBdr>
          <w:divsChild>
            <w:div w:id="155221275">
              <w:marLeft w:val="0"/>
              <w:marRight w:val="0"/>
              <w:marTop w:val="0"/>
              <w:marBottom w:val="0"/>
              <w:divBdr>
                <w:top w:val="none" w:sz="0" w:space="0" w:color="auto"/>
                <w:left w:val="none" w:sz="0" w:space="0" w:color="auto"/>
                <w:bottom w:val="none" w:sz="0" w:space="0" w:color="auto"/>
                <w:right w:val="none" w:sz="0" w:space="0" w:color="auto"/>
              </w:divBdr>
              <w:divsChild>
                <w:div w:id="1046904097">
                  <w:marLeft w:val="0"/>
                  <w:marRight w:val="0"/>
                  <w:marTop w:val="0"/>
                  <w:marBottom w:val="0"/>
                  <w:divBdr>
                    <w:top w:val="none" w:sz="0" w:space="0" w:color="auto"/>
                    <w:left w:val="none" w:sz="0" w:space="0" w:color="auto"/>
                    <w:bottom w:val="none" w:sz="0" w:space="0" w:color="auto"/>
                    <w:right w:val="none" w:sz="0" w:space="0" w:color="auto"/>
                  </w:divBdr>
                  <w:divsChild>
                    <w:div w:id="1010261247">
                      <w:marLeft w:val="0"/>
                      <w:marRight w:val="0"/>
                      <w:marTop w:val="0"/>
                      <w:marBottom w:val="0"/>
                      <w:divBdr>
                        <w:top w:val="none" w:sz="0" w:space="0" w:color="auto"/>
                        <w:left w:val="none" w:sz="0" w:space="0" w:color="auto"/>
                        <w:bottom w:val="none" w:sz="0" w:space="0" w:color="auto"/>
                        <w:right w:val="none" w:sz="0" w:space="0" w:color="auto"/>
                      </w:divBdr>
                      <w:divsChild>
                        <w:div w:id="1886794619">
                          <w:marLeft w:val="0"/>
                          <w:marRight w:val="0"/>
                          <w:marTop w:val="0"/>
                          <w:marBottom w:val="0"/>
                          <w:divBdr>
                            <w:top w:val="none" w:sz="0" w:space="0" w:color="auto"/>
                            <w:left w:val="none" w:sz="0" w:space="0" w:color="auto"/>
                            <w:bottom w:val="none" w:sz="0" w:space="0" w:color="auto"/>
                            <w:right w:val="none" w:sz="0" w:space="0" w:color="auto"/>
                          </w:divBdr>
                          <w:divsChild>
                            <w:div w:id="9633429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870302">
      <w:bodyDiv w:val="1"/>
      <w:marLeft w:val="0"/>
      <w:marRight w:val="0"/>
      <w:marTop w:val="0"/>
      <w:marBottom w:val="0"/>
      <w:divBdr>
        <w:top w:val="none" w:sz="0" w:space="0" w:color="auto"/>
        <w:left w:val="none" w:sz="0" w:space="0" w:color="auto"/>
        <w:bottom w:val="none" w:sz="0" w:space="0" w:color="auto"/>
        <w:right w:val="none" w:sz="0" w:space="0" w:color="auto"/>
      </w:divBdr>
      <w:divsChild>
        <w:div w:id="1024405075">
          <w:marLeft w:val="0"/>
          <w:marRight w:val="0"/>
          <w:marTop w:val="0"/>
          <w:marBottom w:val="0"/>
          <w:divBdr>
            <w:top w:val="none" w:sz="0" w:space="0" w:color="auto"/>
            <w:left w:val="none" w:sz="0" w:space="0" w:color="auto"/>
            <w:bottom w:val="none" w:sz="0" w:space="0" w:color="auto"/>
            <w:right w:val="none" w:sz="0" w:space="0" w:color="auto"/>
          </w:divBdr>
          <w:divsChild>
            <w:div w:id="816383765">
              <w:marLeft w:val="0"/>
              <w:marRight w:val="0"/>
              <w:marTop w:val="0"/>
              <w:marBottom w:val="0"/>
              <w:divBdr>
                <w:top w:val="none" w:sz="0" w:space="0" w:color="auto"/>
                <w:left w:val="none" w:sz="0" w:space="0" w:color="auto"/>
                <w:bottom w:val="none" w:sz="0" w:space="0" w:color="auto"/>
                <w:right w:val="none" w:sz="0" w:space="0" w:color="auto"/>
              </w:divBdr>
              <w:divsChild>
                <w:div w:id="1641960248">
                  <w:marLeft w:val="0"/>
                  <w:marRight w:val="0"/>
                  <w:marTop w:val="0"/>
                  <w:marBottom w:val="0"/>
                  <w:divBdr>
                    <w:top w:val="none" w:sz="0" w:space="0" w:color="auto"/>
                    <w:left w:val="none" w:sz="0" w:space="0" w:color="auto"/>
                    <w:bottom w:val="none" w:sz="0" w:space="0" w:color="auto"/>
                    <w:right w:val="none" w:sz="0" w:space="0" w:color="auto"/>
                  </w:divBdr>
                  <w:divsChild>
                    <w:div w:id="1782336113">
                      <w:marLeft w:val="0"/>
                      <w:marRight w:val="0"/>
                      <w:marTop w:val="0"/>
                      <w:marBottom w:val="0"/>
                      <w:divBdr>
                        <w:top w:val="none" w:sz="0" w:space="0" w:color="auto"/>
                        <w:left w:val="none" w:sz="0" w:space="0" w:color="auto"/>
                        <w:bottom w:val="none" w:sz="0" w:space="0" w:color="auto"/>
                        <w:right w:val="none" w:sz="0" w:space="0" w:color="auto"/>
                      </w:divBdr>
                      <w:divsChild>
                        <w:div w:id="571159829">
                          <w:marLeft w:val="0"/>
                          <w:marRight w:val="0"/>
                          <w:marTop w:val="0"/>
                          <w:marBottom w:val="0"/>
                          <w:divBdr>
                            <w:top w:val="none" w:sz="0" w:space="0" w:color="auto"/>
                            <w:left w:val="none" w:sz="0" w:space="0" w:color="auto"/>
                            <w:bottom w:val="none" w:sz="0" w:space="0" w:color="auto"/>
                            <w:right w:val="none" w:sz="0" w:space="0" w:color="auto"/>
                          </w:divBdr>
                          <w:divsChild>
                            <w:div w:id="4335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90165">
      <w:bodyDiv w:val="1"/>
      <w:marLeft w:val="0"/>
      <w:marRight w:val="0"/>
      <w:marTop w:val="0"/>
      <w:marBottom w:val="0"/>
      <w:divBdr>
        <w:top w:val="none" w:sz="0" w:space="0" w:color="auto"/>
        <w:left w:val="none" w:sz="0" w:space="0" w:color="auto"/>
        <w:bottom w:val="none" w:sz="0" w:space="0" w:color="auto"/>
        <w:right w:val="none" w:sz="0" w:space="0" w:color="auto"/>
      </w:divBdr>
    </w:div>
    <w:div w:id="907692850">
      <w:bodyDiv w:val="1"/>
      <w:marLeft w:val="0"/>
      <w:marRight w:val="0"/>
      <w:marTop w:val="0"/>
      <w:marBottom w:val="0"/>
      <w:divBdr>
        <w:top w:val="none" w:sz="0" w:space="0" w:color="auto"/>
        <w:left w:val="none" w:sz="0" w:space="0" w:color="auto"/>
        <w:bottom w:val="none" w:sz="0" w:space="0" w:color="auto"/>
        <w:right w:val="none" w:sz="0" w:space="0" w:color="auto"/>
      </w:divBdr>
    </w:div>
    <w:div w:id="950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561772">
          <w:marLeft w:val="0"/>
          <w:marRight w:val="0"/>
          <w:marTop w:val="0"/>
          <w:marBottom w:val="0"/>
          <w:divBdr>
            <w:top w:val="none" w:sz="0" w:space="0" w:color="auto"/>
            <w:left w:val="none" w:sz="0" w:space="0" w:color="auto"/>
            <w:bottom w:val="none" w:sz="0" w:space="0" w:color="auto"/>
            <w:right w:val="none" w:sz="0" w:space="0" w:color="auto"/>
          </w:divBdr>
          <w:divsChild>
            <w:div w:id="20351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82473">
      <w:bodyDiv w:val="1"/>
      <w:marLeft w:val="0"/>
      <w:marRight w:val="0"/>
      <w:marTop w:val="0"/>
      <w:marBottom w:val="0"/>
      <w:divBdr>
        <w:top w:val="none" w:sz="0" w:space="0" w:color="auto"/>
        <w:left w:val="none" w:sz="0" w:space="0" w:color="auto"/>
        <w:bottom w:val="none" w:sz="0" w:space="0" w:color="auto"/>
        <w:right w:val="none" w:sz="0" w:space="0" w:color="auto"/>
      </w:divBdr>
      <w:divsChild>
        <w:div w:id="12659063">
          <w:marLeft w:val="0"/>
          <w:marRight w:val="0"/>
          <w:marTop w:val="0"/>
          <w:marBottom w:val="0"/>
          <w:divBdr>
            <w:top w:val="none" w:sz="0" w:space="0" w:color="auto"/>
            <w:left w:val="none" w:sz="0" w:space="0" w:color="auto"/>
            <w:bottom w:val="none" w:sz="0" w:space="0" w:color="auto"/>
            <w:right w:val="none" w:sz="0" w:space="0" w:color="auto"/>
          </w:divBdr>
          <w:divsChild>
            <w:div w:id="1471826359">
              <w:marLeft w:val="0"/>
              <w:marRight w:val="0"/>
              <w:marTop w:val="0"/>
              <w:marBottom w:val="0"/>
              <w:divBdr>
                <w:top w:val="none" w:sz="0" w:space="0" w:color="auto"/>
                <w:left w:val="none" w:sz="0" w:space="0" w:color="auto"/>
                <w:bottom w:val="none" w:sz="0" w:space="0" w:color="auto"/>
                <w:right w:val="none" w:sz="0" w:space="0" w:color="auto"/>
              </w:divBdr>
              <w:divsChild>
                <w:div w:id="929702726">
                  <w:marLeft w:val="0"/>
                  <w:marRight w:val="0"/>
                  <w:marTop w:val="0"/>
                  <w:marBottom w:val="0"/>
                  <w:divBdr>
                    <w:top w:val="none" w:sz="0" w:space="0" w:color="auto"/>
                    <w:left w:val="none" w:sz="0" w:space="0" w:color="auto"/>
                    <w:bottom w:val="none" w:sz="0" w:space="0" w:color="auto"/>
                    <w:right w:val="none" w:sz="0" w:space="0" w:color="auto"/>
                  </w:divBdr>
                  <w:divsChild>
                    <w:div w:id="178662368">
                      <w:marLeft w:val="1"/>
                      <w:marRight w:val="1"/>
                      <w:marTop w:val="0"/>
                      <w:marBottom w:val="0"/>
                      <w:divBdr>
                        <w:top w:val="none" w:sz="0" w:space="0" w:color="auto"/>
                        <w:left w:val="none" w:sz="0" w:space="0" w:color="auto"/>
                        <w:bottom w:val="none" w:sz="0" w:space="0" w:color="auto"/>
                        <w:right w:val="none" w:sz="0" w:space="0" w:color="auto"/>
                      </w:divBdr>
                      <w:divsChild>
                        <w:div w:id="1346639527">
                          <w:marLeft w:val="0"/>
                          <w:marRight w:val="0"/>
                          <w:marTop w:val="0"/>
                          <w:marBottom w:val="0"/>
                          <w:divBdr>
                            <w:top w:val="none" w:sz="0" w:space="0" w:color="auto"/>
                            <w:left w:val="none" w:sz="0" w:space="0" w:color="auto"/>
                            <w:bottom w:val="none" w:sz="0" w:space="0" w:color="auto"/>
                            <w:right w:val="none" w:sz="0" w:space="0" w:color="auto"/>
                          </w:divBdr>
                          <w:divsChild>
                            <w:div w:id="244925734">
                              <w:marLeft w:val="0"/>
                              <w:marRight w:val="0"/>
                              <w:marTop w:val="0"/>
                              <w:marBottom w:val="360"/>
                              <w:divBdr>
                                <w:top w:val="none" w:sz="0" w:space="0" w:color="auto"/>
                                <w:left w:val="none" w:sz="0" w:space="0" w:color="auto"/>
                                <w:bottom w:val="none" w:sz="0" w:space="0" w:color="auto"/>
                                <w:right w:val="none" w:sz="0" w:space="0" w:color="auto"/>
                              </w:divBdr>
                              <w:divsChild>
                                <w:div w:id="1367292529">
                                  <w:marLeft w:val="0"/>
                                  <w:marRight w:val="0"/>
                                  <w:marTop w:val="0"/>
                                  <w:marBottom w:val="0"/>
                                  <w:divBdr>
                                    <w:top w:val="none" w:sz="0" w:space="0" w:color="auto"/>
                                    <w:left w:val="none" w:sz="0" w:space="0" w:color="auto"/>
                                    <w:bottom w:val="none" w:sz="0" w:space="0" w:color="auto"/>
                                    <w:right w:val="none" w:sz="0" w:space="0" w:color="auto"/>
                                  </w:divBdr>
                                  <w:divsChild>
                                    <w:div w:id="2059815690">
                                      <w:marLeft w:val="0"/>
                                      <w:marRight w:val="0"/>
                                      <w:marTop w:val="0"/>
                                      <w:marBottom w:val="0"/>
                                      <w:divBdr>
                                        <w:top w:val="none" w:sz="0" w:space="0" w:color="auto"/>
                                        <w:left w:val="none" w:sz="0" w:space="0" w:color="auto"/>
                                        <w:bottom w:val="none" w:sz="0" w:space="0" w:color="auto"/>
                                        <w:right w:val="none" w:sz="0" w:space="0" w:color="auto"/>
                                      </w:divBdr>
                                      <w:divsChild>
                                        <w:div w:id="1072119071">
                                          <w:marLeft w:val="0"/>
                                          <w:marRight w:val="0"/>
                                          <w:marTop w:val="0"/>
                                          <w:marBottom w:val="0"/>
                                          <w:divBdr>
                                            <w:top w:val="none" w:sz="0" w:space="0" w:color="auto"/>
                                            <w:left w:val="none" w:sz="0" w:space="0" w:color="auto"/>
                                            <w:bottom w:val="none" w:sz="0" w:space="0" w:color="auto"/>
                                            <w:right w:val="none" w:sz="0" w:space="0" w:color="auto"/>
                                          </w:divBdr>
                                          <w:divsChild>
                                            <w:div w:id="375349927">
                                              <w:marLeft w:val="0"/>
                                              <w:marRight w:val="0"/>
                                              <w:marTop w:val="0"/>
                                              <w:marBottom w:val="0"/>
                                              <w:divBdr>
                                                <w:top w:val="none" w:sz="0" w:space="0" w:color="auto"/>
                                                <w:left w:val="none" w:sz="0" w:space="0" w:color="auto"/>
                                                <w:bottom w:val="none" w:sz="0" w:space="0" w:color="auto"/>
                                                <w:right w:val="none" w:sz="0" w:space="0" w:color="auto"/>
                                              </w:divBdr>
                                              <w:divsChild>
                                                <w:div w:id="1850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4193313">
      <w:bodyDiv w:val="1"/>
      <w:marLeft w:val="0"/>
      <w:marRight w:val="0"/>
      <w:marTop w:val="0"/>
      <w:marBottom w:val="0"/>
      <w:divBdr>
        <w:top w:val="none" w:sz="0" w:space="0" w:color="auto"/>
        <w:left w:val="none" w:sz="0" w:space="0" w:color="auto"/>
        <w:bottom w:val="none" w:sz="0" w:space="0" w:color="auto"/>
        <w:right w:val="none" w:sz="0" w:space="0" w:color="auto"/>
      </w:divBdr>
    </w:div>
    <w:div w:id="1341734886">
      <w:bodyDiv w:val="1"/>
      <w:marLeft w:val="0"/>
      <w:marRight w:val="0"/>
      <w:marTop w:val="0"/>
      <w:marBottom w:val="0"/>
      <w:divBdr>
        <w:top w:val="none" w:sz="0" w:space="0" w:color="auto"/>
        <w:left w:val="none" w:sz="0" w:space="0" w:color="auto"/>
        <w:bottom w:val="none" w:sz="0" w:space="0" w:color="auto"/>
        <w:right w:val="none" w:sz="0" w:space="0" w:color="auto"/>
      </w:divBdr>
    </w:div>
    <w:div w:id="1385905877">
      <w:bodyDiv w:val="1"/>
      <w:marLeft w:val="0"/>
      <w:marRight w:val="0"/>
      <w:marTop w:val="0"/>
      <w:marBottom w:val="0"/>
      <w:divBdr>
        <w:top w:val="none" w:sz="0" w:space="0" w:color="auto"/>
        <w:left w:val="none" w:sz="0" w:space="0" w:color="auto"/>
        <w:bottom w:val="none" w:sz="0" w:space="0" w:color="auto"/>
        <w:right w:val="none" w:sz="0" w:space="0" w:color="auto"/>
      </w:divBdr>
    </w:div>
    <w:div w:id="1492872762">
      <w:bodyDiv w:val="1"/>
      <w:marLeft w:val="0"/>
      <w:marRight w:val="0"/>
      <w:marTop w:val="0"/>
      <w:marBottom w:val="0"/>
      <w:divBdr>
        <w:top w:val="none" w:sz="0" w:space="0" w:color="auto"/>
        <w:left w:val="none" w:sz="0" w:space="0" w:color="auto"/>
        <w:bottom w:val="none" w:sz="0" w:space="0" w:color="auto"/>
        <w:right w:val="none" w:sz="0" w:space="0" w:color="auto"/>
      </w:divBdr>
      <w:divsChild>
        <w:div w:id="187254464">
          <w:marLeft w:val="0"/>
          <w:marRight w:val="0"/>
          <w:marTop w:val="0"/>
          <w:marBottom w:val="0"/>
          <w:divBdr>
            <w:top w:val="none" w:sz="0" w:space="0" w:color="auto"/>
            <w:left w:val="none" w:sz="0" w:space="0" w:color="auto"/>
            <w:bottom w:val="none" w:sz="0" w:space="0" w:color="auto"/>
            <w:right w:val="none" w:sz="0" w:space="0" w:color="auto"/>
          </w:divBdr>
          <w:divsChild>
            <w:div w:id="1313632317">
              <w:marLeft w:val="0"/>
              <w:marRight w:val="0"/>
              <w:marTop w:val="0"/>
              <w:marBottom w:val="0"/>
              <w:divBdr>
                <w:top w:val="none" w:sz="0" w:space="0" w:color="auto"/>
                <w:left w:val="none" w:sz="0" w:space="0" w:color="auto"/>
                <w:bottom w:val="none" w:sz="0" w:space="0" w:color="auto"/>
                <w:right w:val="none" w:sz="0" w:space="0" w:color="auto"/>
              </w:divBdr>
              <w:divsChild>
                <w:div w:id="1147287111">
                  <w:marLeft w:val="0"/>
                  <w:marRight w:val="0"/>
                  <w:marTop w:val="0"/>
                  <w:marBottom w:val="0"/>
                  <w:divBdr>
                    <w:top w:val="none" w:sz="0" w:space="0" w:color="auto"/>
                    <w:left w:val="none" w:sz="0" w:space="0" w:color="auto"/>
                    <w:bottom w:val="none" w:sz="0" w:space="0" w:color="auto"/>
                    <w:right w:val="none" w:sz="0" w:space="0" w:color="auto"/>
                  </w:divBdr>
                  <w:divsChild>
                    <w:div w:id="333534749">
                      <w:marLeft w:val="1"/>
                      <w:marRight w:val="1"/>
                      <w:marTop w:val="0"/>
                      <w:marBottom w:val="0"/>
                      <w:divBdr>
                        <w:top w:val="none" w:sz="0" w:space="0" w:color="auto"/>
                        <w:left w:val="none" w:sz="0" w:space="0" w:color="auto"/>
                        <w:bottom w:val="none" w:sz="0" w:space="0" w:color="auto"/>
                        <w:right w:val="none" w:sz="0" w:space="0" w:color="auto"/>
                      </w:divBdr>
                      <w:divsChild>
                        <w:div w:id="820661697">
                          <w:marLeft w:val="0"/>
                          <w:marRight w:val="0"/>
                          <w:marTop w:val="0"/>
                          <w:marBottom w:val="0"/>
                          <w:divBdr>
                            <w:top w:val="none" w:sz="0" w:space="0" w:color="auto"/>
                            <w:left w:val="none" w:sz="0" w:space="0" w:color="auto"/>
                            <w:bottom w:val="none" w:sz="0" w:space="0" w:color="auto"/>
                            <w:right w:val="none" w:sz="0" w:space="0" w:color="auto"/>
                          </w:divBdr>
                          <w:divsChild>
                            <w:div w:id="1991249632">
                              <w:marLeft w:val="0"/>
                              <w:marRight w:val="0"/>
                              <w:marTop w:val="0"/>
                              <w:marBottom w:val="360"/>
                              <w:divBdr>
                                <w:top w:val="none" w:sz="0" w:space="0" w:color="auto"/>
                                <w:left w:val="none" w:sz="0" w:space="0" w:color="auto"/>
                                <w:bottom w:val="none" w:sz="0" w:space="0" w:color="auto"/>
                                <w:right w:val="none" w:sz="0" w:space="0" w:color="auto"/>
                              </w:divBdr>
                              <w:divsChild>
                                <w:div w:id="1209803661">
                                  <w:marLeft w:val="0"/>
                                  <w:marRight w:val="0"/>
                                  <w:marTop w:val="0"/>
                                  <w:marBottom w:val="0"/>
                                  <w:divBdr>
                                    <w:top w:val="none" w:sz="0" w:space="0" w:color="auto"/>
                                    <w:left w:val="none" w:sz="0" w:space="0" w:color="auto"/>
                                    <w:bottom w:val="none" w:sz="0" w:space="0" w:color="auto"/>
                                    <w:right w:val="none" w:sz="0" w:space="0" w:color="auto"/>
                                  </w:divBdr>
                                  <w:divsChild>
                                    <w:div w:id="366416375">
                                      <w:marLeft w:val="0"/>
                                      <w:marRight w:val="0"/>
                                      <w:marTop w:val="0"/>
                                      <w:marBottom w:val="0"/>
                                      <w:divBdr>
                                        <w:top w:val="none" w:sz="0" w:space="0" w:color="auto"/>
                                        <w:left w:val="none" w:sz="0" w:space="0" w:color="auto"/>
                                        <w:bottom w:val="none" w:sz="0" w:space="0" w:color="auto"/>
                                        <w:right w:val="none" w:sz="0" w:space="0" w:color="auto"/>
                                      </w:divBdr>
                                      <w:divsChild>
                                        <w:div w:id="1451826826">
                                          <w:marLeft w:val="0"/>
                                          <w:marRight w:val="0"/>
                                          <w:marTop w:val="0"/>
                                          <w:marBottom w:val="0"/>
                                          <w:divBdr>
                                            <w:top w:val="none" w:sz="0" w:space="0" w:color="auto"/>
                                            <w:left w:val="none" w:sz="0" w:space="0" w:color="auto"/>
                                            <w:bottom w:val="none" w:sz="0" w:space="0" w:color="auto"/>
                                            <w:right w:val="none" w:sz="0" w:space="0" w:color="auto"/>
                                          </w:divBdr>
                                          <w:divsChild>
                                            <w:div w:id="1988784018">
                                              <w:marLeft w:val="0"/>
                                              <w:marRight w:val="0"/>
                                              <w:marTop w:val="0"/>
                                              <w:marBottom w:val="0"/>
                                              <w:divBdr>
                                                <w:top w:val="none" w:sz="0" w:space="0" w:color="auto"/>
                                                <w:left w:val="none" w:sz="0" w:space="0" w:color="auto"/>
                                                <w:bottom w:val="none" w:sz="0" w:space="0" w:color="auto"/>
                                                <w:right w:val="none" w:sz="0" w:space="0" w:color="auto"/>
                                              </w:divBdr>
                                              <w:divsChild>
                                                <w:div w:id="8892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4150937">
      <w:bodyDiv w:val="1"/>
      <w:marLeft w:val="0"/>
      <w:marRight w:val="0"/>
      <w:marTop w:val="0"/>
      <w:marBottom w:val="0"/>
      <w:divBdr>
        <w:top w:val="none" w:sz="0" w:space="0" w:color="auto"/>
        <w:left w:val="none" w:sz="0" w:space="0" w:color="auto"/>
        <w:bottom w:val="none" w:sz="0" w:space="0" w:color="auto"/>
        <w:right w:val="none" w:sz="0" w:space="0" w:color="auto"/>
      </w:divBdr>
      <w:divsChild>
        <w:div w:id="331643381">
          <w:marLeft w:val="0"/>
          <w:marRight w:val="0"/>
          <w:marTop w:val="100"/>
          <w:marBottom w:val="100"/>
          <w:divBdr>
            <w:top w:val="none" w:sz="0" w:space="0" w:color="auto"/>
            <w:left w:val="none" w:sz="0" w:space="0" w:color="auto"/>
            <w:bottom w:val="none" w:sz="0" w:space="0" w:color="auto"/>
            <w:right w:val="none" w:sz="0" w:space="0" w:color="auto"/>
          </w:divBdr>
          <w:divsChild>
            <w:div w:id="1452286578">
              <w:marLeft w:val="0"/>
              <w:marRight w:val="0"/>
              <w:marTop w:val="0"/>
              <w:marBottom w:val="0"/>
              <w:divBdr>
                <w:top w:val="none" w:sz="0" w:space="0" w:color="auto"/>
                <w:left w:val="none" w:sz="0" w:space="0" w:color="auto"/>
                <w:bottom w:val="none" w:sz="0" w:space="0" w:color="auto"/>
                <w:right w:val="none" w:sz="0" w:space="0" w:color="auto"/>
              </w:divBdr>
              <w:divsChild>
                <w:div w:id="1443067774">
                  <w:marLeft w:val="0"/>
                  <w:marRight w:val="0"/>
                  <w:marTop w:val="100"/>
                  <w:marBottom w:val="100"/>
                  <w:divBdr>
                    <w:top w:val="none" w:sz="0" w:space="0" w:color="auto"/>
                    <w:left w:val="none" w:sz="0" w:space="0" w:color="auto"/>
                    <w:bottom w:val="none" w:sz="0" w:space="0" w:color="auto"/>
                    <w:right w:val="none" w:sz="0" w:space="0" w:color="auto"/>
                  </w:divBdr>
                  <w:divsChild>
                    <w:div w:id="798452902">
                      <w:marLeft w:val="0"/>
                      <w:marRight w:val="0"/>
                      <w:marTop w:val="0"/>
                      <w:marBottom w:val="0"/>
                      <w:divBdr>
                        <w:top w:val="none" w:sz="0" w:space="0" w:color="auto"/>
                        <w:left w:val="none" w:sz="0" w:space="0" w:color="auto"/>
                        <w:bottom w:val="none" w:sz="0" w:space="0" w:color="auto"/>
                        <w:right w:val="none" w:sz="0" w:space="0" w:color="auto"/>
                      </w:divBdr>
                      <w:divsChild>
                        <w:div w:id="1414551910">
                          <w:marLeft w:val="0"/>
                          <w:marRight w:val="0"/>
                          <w:marTop w:val="240"/>
                          <w:marBottom w:val="0"/>
                          <w:divBdr>
                            <w:top w:val="none" w:sz="0" w:space="0" w:color="auto"/>
                            <w:left w:val="none" w:sz="0" w:space="0" w:color="auto"/>
                            <w:bottom w:val="none" w:sz="0" w:space="0" w:color="auto"/>
                            <w:right w:val="none" w:sz="0" w:space="0" w:color="auto"/>
                          </w:divBdr>
                          <w:divsChild>
                            <w:div w:id="1316689106">
                              <w:marLeft w:val="0"/>
                              <w:marRight w:val="0"/>
                              <w:marTop w:val="300"/>
                              <w:marBottom w:val="300"/>
                              <w:divBdr>
                                <w:top w:val="single" w:sz="36" w:space="0" w:color="7F142B"/>
                                <w:left w:val="none" w:sz="0" w:space="0" w:color="auto"/>
                                <w:bottom w:val="none" w:sz="0" w:space="0" w:color="auto"/>
                                <w:right w:val="none" w:sz="0" w:space="0" w:color="auto"/>
                              </w:divBdr>
                              <w:divsChild>
                                <w:div w:id="367338324">
                                  <w:marLeft w:val="0"/>
                                  <w:marRight w:val="0"/>
                                  <w:marTop w:val="0"/>
                                  <w:marBottom w:val="0"/>
                                  <w:divBdr>
                                    <w:top w:val="none" w:sz="0" w:space="0" w:color="auto"/>
                                    <w:left w:val="none" w:sz="0" w:space="0" w:color="auto"/>
                                    <w:bottom w:val="none" w:sz="0" w:space="0" w:color="auto"/>
                                    <w:right w:val="none" w:sz="0" w:space="0" w:color="auto"/>
                                  </w:divBdr>
                                  <w:divsChild>
                                    <w:div w:id="1997226780">
                                      <w:marLeft w:val="0"/>
                                      <w:marRight w:val="0"/>
                                      <w:marTop w:val="0"/>
                                      <w:marBottom w:val="0"/>
                                      <w:divBdr>
                                        <w:top w:val="none" w:sz="0" w:space="0" w:color="auto"/>
                                        <w:left w:val="none" w:sz="0" w:space="0" w:color="auto"/>
                                        <w:bottom w:val="none" w:sz="0" w:space="0" w:color="auto"/>
                                        <w:right w:val="none" w:sz="0" w:space="0" w:color="auto"/>
                                      </w:divBdr>
                                      <w:divsChild>
                                        <w:div w:id="1942251554">
                                          <w:marLeft w:val="0"/>
                                          <w:marRight w:val="0"/>
                                          <w:marTop w:val="0"/>
                                          <w:marBottom w:val="0"/>
                                          <w:divBdr>
                                            <w:top w:val="none" w:sz="0" w:space="0" w:color="auto"/>
                                            <w:left w:val="none" w:sz="0" w:space="0" w:color="auto"/>
                                            <w:bottom w:val="none" w:sz="0" w:space="0" w:color="auto"/>
                                            <w:right w:val="none" w:sz="0" w:space="0" w:color="auto"/>
                                          </w:divBdr>
                                          <w:divsChild>
                                            <w:div w:id="42291659">
                                              <w:marLeft w:val="0"/>
                                              <w:marRight w:val="0"/>
                                              <w:marTop w:val="0"/>
                                              <w:marBottom w:val="0"/>
                                              <w:divBdr>
                                                <w:top w:val="none" w:sz="0" w:space="0" w:color="auto"/>
                                                <w:left w:val="none" w:sz="0" w:space="0" w:color="auto"/>
                                                <w:bottom w:val="none" w:sz="0" w:space="0" w:color="auto"/>
                                                <w:right w:val="none" w:sz="0" w:space="0" w:color="auto"/>
                                              </w:divBdr>
                                              <w:divsChild>
                                                <w:div w:id="693308053">
                                                  <w:marLeft w:val="0"/>
                                                  <w:marRight w:val="0"/>
                                                  <w:marTop w:val="300"/>
                                                  <w:marBottom w:val="300"/>
                                                  <w:divBdr>
                                                    <w:top w:val="none" w:sz="0" w:space="0" w:color="auto"/>
                                                    <w:left w:val="none" w:sz="0" w:space="0" w:color="auto"/>
                                                    <w:bottom w:val="none" w:sz="0" w:space="0" w:color="auto"/>
                                                    <w:right w:val="none" w:sz="0" w:space="0" w:color="auto"/>
                                                  </w:divBdr>
                                                  <w:divsChild>
                                                    <w:div w:id="1185903028">
                                                      <w:marLeft w:val="0"/>
                                                      <w:marRight w:val="0"/>
                                                      <w:marTop w:val="0"/>
                                                      <w:marBottom w:val="0"/>
                                                      <w:divBdr>
                                                        <w:top w:val="none" w:sz="0" w:space="0" w:color="auto"/>
                                                        <w:left w:val="none" w:sz="0" w:space="0" w:color="auto"/>
                                                        <w:bottom w:val="none" w:sz="0" w:space="0" w:color="auto"/>
                                                        <w:right w:val="none" w:sz="0" w:space="0" w:color="auto"/>
                                                      </w:divBdr>
                                                      <w:divsChild>
                                                        <w:div w:id="445272041">
                                                          <w:marLeft w:val="0"/>
                                                          <w:marRight w:val="0"/>
                                                          <w:marTop w:val="0"/>
                                                          <w:marBottom w:val="0"/>
                                                          <w:divBdr>
                                                            <w:top w:val="none" w:sz="0" w:space="0" w:color="auto"/>
                                                            <w:left w:val="none" w:sz="0" w:space="0" w:color="auto"/>
                                                            <w:bottom w:val="none" w:sz="0" w:space="0" w:color="auto"/>
                                                            <w:right w:val="none" w:sz="0" w:space="0" w:color="auto"/>
                                                          </w:divBdr>
                                                          <w:divsChild>
                                                            <w:div w:id="1872692618">
                                                              <w:marLeft w:val="0"/>
                                                              <w:marRight w:val="0"/>
                                                              <w:marTop w:val="0"/>
                                                              <w:marBottom w:val="0"/>
                                                              <w:divBdr>
                                                                <w:top w:val="none" w:sz="0" w:space="0" w:color="auto"/>
                                                                <w:left w:val="none" w:sz="0" w:space="0" w:color="auto"/>
                                                                <w:bottom w:val="none" w:sz="0" w:space="0" w:color="auto"/>
                                                                <w:right w:val="none" w:sz="0" w:space="0" w:color="auto"/>
                                                              </w:divBdr>
                                                              <w:divsChild>
                                                                <w:div w:id="2144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390800">
      <w:bodyDiv w:val="1"/>
      <w:marLeft w:val="0"/>
      <w:marRight w:val="0"/>
      <w:marTop w:val="0"/>
      <w:marBottom w:val="0"/>
      <w:divBdr>
        <w:top w:val="none" w:sz="0" w:space="0" w:color="auto"/>
        <w:left w:val="none" w:sz="0" w:space="0" w:color="auto"/>
        <w:bottom w:val="none" w:sz="0" w:space="0" w:color="auto"/>
        <w:right w:val="none" w:sz="0" w:space="0" w:color="auto"/>
      </w:divBdr>
      <w:divsChild>
        <w:div w:id="1827012977">
          <w:marLeft w:val="0"/>
          <w:marRight w:val="0"/>
          <w:marTop w:val="100"/>
          <w:marBottom w:val="100"/>
          <w:divBdr>
            <w:top w:val="none" w:sz="0" w:space="0" w:color="auto"/>
            <w:left w:val="none" w:sz="0" w:space="0" w:color="auto"/>
            <w:bottom w:val="none" w:sz="0" w:space="0" w:color="auto"/>
            <w:right w:val="none" w:sz="0" w:space="0" w:color="auto"/>
          </w:divBdr>
          <w:divsChild>
            <w:div w:id="171144403">
              <w:marLeft w:val="0"/>
              <w:marRight w:val="0"/>
              <w:marTop w:val="0"/>
              <w:marBottom w:val="0"/>
              <w:divBdr>
                <w:top w:val="none" w:sz="0" w:space="0" w:color="auto"/>
                <w:left w:val="none" w:sz="0" w:space="0" w:color="auto"/>
                <w:bottom w:val="none" w:sz="0" w:space="0" w:color="auto"/>
                <w:right w:val="none" w:sz="0" w:space="0" w:color="auto"/>
              </w:divBdr>
              <w:divsChild>
                <w:div w:id="1301571441">
                  <w:marLeft w:val="0"/>
                  <w:marRight w:val="0"/>
                  <w:marTop w:val="100"/>
                  <w:marBottom w:val="100"/>
                  <w:divBdr>
                    <w:top w:val="none" w:sz="0" w:space="0" w:color="auto"/>
                    <w:left w:val="none" w:sz="0" w:space="0" w:color="auto"/>
                    <w:bottom w:val="none" w:sz="0" w:space="0" w:color="auto"/>
                    <w:right w:val="none" w:sz="0" w:space="0" w:color="auto"/>
                  </w:divBdr>
                  <w:divsChild>
                    <w:div w:id="1990400664">
                      <w:marLeft w:val="0"/>
                      <w:marRight w:val="0"/>
                      <w:marTop w:val="0"/>
                      <w:marBottom w:val="0"/>
                      <w:divBdr>
                        <w:top w:val="none" w:sz="0" w:space="0" w:color="auto"/>
                        <w:left w:val="none" w:sz="0" w:space="0" w:color="auto"/>
                        <w:bottom w:val="none" w:sz="0" w:space="0" w:color="auto"/>
                        <w:right w:val="none" w:sz="0" w:space="0" w:color="auto"/>
                      </w:divBdr>
                      <w:divsChild>
                        <w:div w:id="1973055576">
                          <w:marLeft w:val="0"/>
                          <w:marRight w:val="0"/>
                          <w:marTop w:val="240"/>
                          <w:marBottom w:val="0"/>
                          <w:divBdr>
                            <w:top w:val="none" w:sz="0" w:space="0" w:color="auto"/>
                            <w:left w:val="none" w:sz="0" w:space="0" w:color="auto"/>
                            <w:bottom w:val="none" w:sz="0" w:space="0" w:color="auto"/>
                            <w:right w:val="none" w:sz="0" w:space="0" w:color="auto"/>
                          </w:divBdr>
                          <w:divsChild>
                            <w:div w:id="1756707323">
                              <w:marLeft w:val="0"/>
                              <w:marRight w:val="0"/>
                              <w:marTop w:val="300"/>
                              <w:marBottom w:val="300"/>
                              <w:divBdr>
                                <w:top w:val="single" w:sz="36" w:space="0" w:color="7F142B"/>
                                <w:left w:val="none" w:sz="0" w:space="0" w:color="auto"/>
                                <w:bottom w:val="none" w:sz="0" w:space="0" w:color="auto"/>
                                <w:right w:val="none" w:sz="0" w:space="0" w:color="auto"/>
                              </w:divBdr>
                              <w:divsChild>
                                <w:div w:id="594288545">
                                  <w:marLeft w:val="0"/>
                                  <w:marRight w:val="0"/>
                                  <w:marTop w:val="0"/>
                                  <w:marBottom w:val="0"/>
                                  <w:divBdr>
                                    <w:top w:val="none" w:sz="0" w:space="0" w:color="auto"/>
                                    <w:left w:val="none" w:sz="0" w:space="0" w:color="auto"/>
                                    <w:bottom w:val="none" w:sz="0" w:space="0" w:color="auto"/>
                                    <w:right w:val="none" w:sz="0" w:space="0" w:color="auto"/>
                                  </w:divBdr>
                                  <w:divsChild>
                                    <w:div w:id="142552832">
                                      <w:marLeft w:val="0"/>
                                      <w:marRight w:val="0"/>
                                      <w:marTop w:val="0"/>
                                      <w:marBottom w:val="0"/>
                                      <w:divBdr>
                                        <w:top w:val="none" w:sz="0" w:space="0" w:color="auto"/>
                                        <w:left w:val="none" w:sz="0" w:space="0" w:color="auto"/>
                                        <w:bottom w:val="none" w:sz="0" w:space="0" w:color="auto"/>
                                        <w:right w:val="none" w:sz="0" w:space="0" w:color="auto"/>
                                      </w:divBdr>
                                      <w:divsChild>
                                        <w:div w:id="603464026">
                                          <w:marLeft w:val="0"/>
                                          <w:marRight w:val="0"/>
                                          <w:marTop w:val="0"/>
                                          <w:marBottom w:val="0"/>
                                          <w:divBdr>
                                            <w:top w:val="none" w:sz="0" w:space="0" w:color="auto"/>
                                            <w:left w:val="none" w:sz="0" w:space="0" w:color="auto"/>
                                            <w:bottom w:val="none" w:sz="0" w:space="0" w:color="auto"/>
                                            <w:right w:val="none" w:sz="0" w:space="0" w:color="auto"/>
                                          </w:divBdr>
                                          <w:divsChild>
                                            <w:div w:id="1958484594">
                                              <w:marLeft w:val="0"/>
                                              <w:marRight w:val="0"/>
                                              <w:marTop w:val="0"/>
                                              <w:marBottom w:val="0"/>
                                              <w:divBdr>
                                                <w:top w:val="none" w:sz="0" w:space="0" w:color="auto"/>
                                                <w:left w:val="none" w:sz="0" w:space="0" w:color="auto"/>
                                                <w:bottom w:val="none" w:sz="0" w:space="0" w:color="auto"/>
                                                <w:right w:val="none" w:sz="0" w:space="0" w:color="auto"/>
                                              </w:divBdr>
                                              <w:divsChild>
                                                <w:div w:id="546992866">
                                                  <w:marLeft w:val="0"/>
                                                  <w:marRight w:val="0"/>
                                                  <w:marTop w:val="300"/>
                                                  <w:marBottom w:val="300"/>
                                                  <w:divBdr>
                                                    <w:top w:val="none" w:sz="0" w:space="0" w:color="auto"/>
                                                    <w:left w:val="none" w:sz="0" w:space="0" w:color="auto"/>
                                                    <w:bottom w:val="none" w:sz="0" w:space="0" w:color="auto"/>
                                                    <w:right w:val="none" w:sz="0" w:space="0" w:color="auto"/>
                                                  </w:divBdr>
                                                  <w:divsChild>
                                                    <w:div w:id="972248344">
                                                      <w:marLeft w:val="0"/>
                                                      <w:marRight w:val="0"/>
                                                      <w:marTop w:val="0"/>
                                                      <w:marBottom w:val="0"/>
                                                      <w:divBdr>
                                                        <w:top w:val="none" w:sz="0" w:space="0" w:color="auto"/>
                                                        <w:left w:val="none" w:sz="0" w:space="0" w:color="auto"/>
                                                        <w:bottom w:val="none" w:sz="0" w:space="0" w:color="auto"/>
                                                        <w:right w:val="none" w:sz="0" w:space="0" w:color="auto"/>
                                                      </w:divBdr>
                                                      <w:divsChild>
                                                        <w:div w:id="662202590">
                                                          <w:marLeft w:val="0"/>
                                                          <w:marRight w:val="0"/>
                                                          <w:marTop w:val="300"/>
                                                          <w:marBottom w:val="300"/>
                                                          <w:divBdr>
                                                            <w:top w:val="none" w:sz="0" w:space="0" w:color="auto"/>
                                                            <w:left w:val="none" w:sz="0" w:space="0" w:color="auto"/>
                                                            <w:bottom w:val="none" w:sz="0" w:space="0" w:color="auto"/>
                                                            <w:right w:val="none" w:sz="0" w:space="0" w:color="auto"/>
                                                          </w:divBdr>
                                                          <w:divsChild>
                                                            <w:div w:id="419907129">
                                                              <w:marLeft w:val="0"/>
                                                              <w:marRight w:val="0"/>
                                                              <w:marTop w:val="0"/>
                                                              <w:marBottom w:val="0"/>
                                                              <w:divBdr>
                                                                <w:top w:val="none" w:sz="0" w:space="0" w:color="auto"/>
                                                                <w:left w:val="none" w:sz="0" w:space="0" w:color="auto"/>
                                                                <w:bottom w:val="none" w:sz="0" w:space="0" w:color="auto"/>
                                                                <w:right w:val="none" w:sz="0" w:space="0" w:color="auto"/>
                                                              </w:divBdr>
                                                              <w:divsChild>
                                                                <w:div w:id="951326822">
                                                                  <w:marLeft w:val="0"/>
                                                                  <w:marRight w:val="0"/>
                                                                  <w:marTop w:val="0"/>
                                                                  <w:marBottom w:val="0"/>
                                                                  <w:divBdr>
                                                                    <w:top w:val="none" w:sz="0" w:space="0" w:color="auto"/>
                                                                    <w:left w:val="none" w:sz="0" w:space="0" w:color="auto"/>
                                                                    <w:bottom w:val="none" w:sz="0" w:space="0" w:color="auto"/>
                                                                    <w:right w:val="none" w:sz="0" w:space="0" w:color="auto"/>
                                                                  </w:divBdr>
                                                                  <w:divsChild>
                                                                    <w:div w:id="2894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4689489">
      <w:bodyDiv w:val="1"/>
      <w:marLeft w:val="0"/>
      <w:marRight w:val="0"/>
      <w:marTop w:val="0"/>
      <w:marBottom w:val="0"/>
      <w:divBdr>
        <w:top w:val="none" w:sz="0" w:space="0" w:color="auto"/>
        <w:left w:val="none" w:sz="0" w:space="0" w:color="auto"/>
        <w:bottom w:val="none" w:sz="0" w:space="0" w:color="auto"/>
        <w:right w:val="none" w:sz="0" w:space="0" w:color="auto"/>
      </w:divBdr>
    </w:div>
    <w:div w:id="1821993905">
      <w:bodyDiv w:val="1"/>
      <w:marLeft w:val="0"/>
      <w:marRight w:val="0"/>
      <w:marTop w:val="0"/>
      <w:marBottom w:val="0"/>
      <w:divBdr>
        <w:top w:val="none" w:sz="0" w:space="0" w:color="auto"/>
        <w:left w:val="none" w:sz="0" w:space="0" w:color="auto"/>
        <w:bottom w:val="none" w:sz="0" w:space="0" w:color="auto"/>
        <w:right w:val="none" w:sz="0" w:space="0" w:color="auto"/>
      </w:divBdr>
      <w:divsChild>
        <w:div w:id="1518494603">
          <w:marLeft w:val="0"/>
          <w:marRight w:val="0"/>
          <w:marTop w:val="100"/>
          <w:marBottom w:val="100"/>
          <w:divBdr>
            <w:top w:val="none" w:sz="0" w:space="0" w:color="auto"/>
            <w:left w:val="none" w:sz="0" w:space="0" w:color="auto"/>
            <w:bottom w:val="none" w:sz="0" w:space="0" w:color="auto"/>
            <w:right w:val="none" w:sz="0" w:space="0" w:color="auto"/>
          </w:divBdr>
          <w:divsChild>
            <w:div w:id="1485581938">
              <w:marLeft w:val="0"/>
              <w:marRight w:val="0"/>
              <w:marTop w:val="0"/>
              <w:marBottom w:val="0"/>
              <w:divBdr>
                <w:top w:val="none" w:sz="0" w:space="0" w:color="auto"/>
                <w:left w:val="none" w:sz="0" w:space="0" w:color="auto"/>
                <w:bottom w:val="none" w:sz="0" w:space="0" w:color="auto"/>
                <w:right w:val="none" w:sz="0" w:space="0" w:color="auto"/>
              </w:divBdr>
              <w:divsChild>
                <w:div w:id="1352147639">
                  <w:marLeft w:val="0"/>
                  <w:marRight w:val="0"/>
                  <w:marTop w:val="100"/>
                  <w:marBottom w:val="100"/>
                  <w:divBdr>
                    <w:top w:val="none" w:sz="0" w:space="0" w:color="auto"/>
                    <w:left w:val="none" w:sz="0" w:space="0" w:color="auto"/>
                    <w:bottom w:val="none" w:sz="0" w:space="0" w:color="auto"/>
                    <w:right w:val="none" w:sz="0" w:space="0" w:color="auto"/>
                  </w:divBdr>
                  <w:divsChild>
                    <w:div w:id="753667966">
                      <w:marLeft w:val="0"/>
                      <w:marRight w:val="0"/>
                      <w:marTop w:val="0"/>
                      <w:marBottom w:val="0"/>
                      <w:divBdr>
                        <w:top w:val="none" w:sz="0" w:space="0" w:color="auto"/>
                        <w:left w:val="none" w:sz="0" w:space="0" w:color="auto"/>
                        <w:bottom w:val="none" w:sz="0" w:space="0" w:color="auto"/>
                        <w:right w:val="none" w:sz="0" w:space="0" w:color="auto"/>
                      </w:divBdr>
                      <w:divsChild>
                        <w:div w:id="1044259230">
                          <w:marLeft w:val="0"/>
                          <w:marRight w:val="0"/>
                          <w:marTop w:val="240"/>
                          <w:marBottom w:val="0"/>
                          <w:divBdr>
                            <w:top w:val="none" w:sz="0" w:space="0" w:color="auto"/>
                            <w:left w:val="none" w:sz="0" w:space="0" w:color="auto"/>
                            <w:bottom w:val="none" w:sz="0" w:space="0" w:color="auto"/>
                            <w:right w:val="none" w:sz="0" w:space="0" w:color="auto"/>
                          </w:divBdr>
                          <w:divsChild>
                            <w:div w:id="1353996563">
                              <w:marLeft w:val="0"/>
                              <w:marRight w:val="0"/>
                              <w:marTop w:val="300"/>
                              <w:marBottom w:val="300"/>
                              <w:divBdr>
                                <w:top w:val="single" w:sz="36" w:space="0" w:color="7F142B"/>
                                <w:left w:val="none" w:sz="0" w:space="0" w:color="auto"/>
                                <w:bottom w:val="none" w:sz="0" w:space="0" w:color="auto"/>
                                <w:right w:val="none" w:sz="0" w:space="0" w:color="auto"/>
                              </w:divBdr>
                              <w:divsChild>
                                <w:div w:id="1789472690">
                                  <w:marLeft w:val="0"/>
                                  <w:marRight w:val="0"/>
                                  <w:marTop w:val="0"/>
                                  <w:marBottom w:val="0"/>
                                  <w:divBdr>
                                    <w:top w:val="none" w:sz="0" w:space="0" w:color="auto"/>
                                    <w:left w:val="none" w:sz="0" w:space="0" w:color="auto"/>
                                    <w:bottom w:val="none" w:sz="0" w:space="0" w:color="auto"/>
                                    <w:right w:val="none" w:sz="0" w:space="0" w:color="auto"/>
                                  </w:divBdr>
                                  <w:divsChild>
                                    <w:div w:id="1518278223">
                                      <w:marLeft w:val="0"/>
                                      <w:marRight w:val="0"/>
                                      <w:marTop w:val="0"/>
                                      <w:marBottom w:val="0"/>
                                      <w:divBdr>
                                        <w:top w:val="none" w:sz="0" w:space="0" w:color="auto"/>
                                        <w:left w:val="none" w:sz="0" w:space="0" w:color="auto"/>
                                        <w:bottom w:val="none" w:sz="0" w:space="0" w:color="auto"/>
                                        <w:right w:val="none" w:sz="0" w:space="0" w:color="auto"/>
                                      </w:divBdr>
                                      <w:divsChild>
                                        <w:div w:id="2061514354">
                                          <w:marLeft w:val="0"/>
                                          <w:marRight w:val="0"/>
                                          <w:marTop w:val="0"/>
                                          <w:marBottom w:val="0"/>
                                          <w:divBdr>
                                            <w:top w:val="none" w:sz="0" w:space="0" w:color="auto"/>
                                            <w:left w:val="none" w:sz="0" w:space="0" w:color="auto"/>
                                            <w:bottom w:val="none" w:sz="0" w:space="0" w:color="auto"/>
                                            <w:right w:val="none" w:sz="0" w:space="0" w:color="auto"/>
                                          </w:divBdr>
                                          <w:divsChild>
                                            <w:div w:id="2067216731">
                                              <w:marLeft w:val="0"/>
                                              <w:marRight w:val="0"/>
                                              <w:marTop w:val="0"/>
                                              <w:marBottom w:val="0"/>
                                              <w:divBdr>
                                                <w:top w:val="none" w:sz="0" w:space="0" w:color="auto"/>
                                                <w:left w:val="none" w:sz="0" w:space="0" w:color="auto"/>
                                                <w:bottom w:val="none" w:sz="0" w:space="0" w:color="auto"/>
                                                <w:right w:val="none" w:sz="0" w:space="0" w:color="auto"/>
                                              </w:divBdr>
                                              <w:divsChild>
                                                <w:div w:id="836502004">
                                                  <w:marLeft w:val="0"/>
                                                  <w:marRight w:val="0"/>
                                                  <w:marTop w:val="300"/>
                                                  <w:marBottom w:val="300"/>
                                                  <w:divBdr>
                                                    <w:top w:val="none" w:sz="0" w:space="0" w:color="auto"/>
                                                    <w:left w:val="none" w:sz="0" w:space="0" w:color="auto"/>
                                                    <w:bottom w:val="none" w:sz="0" w:space="0" w:color="auto"/>
                                                    <w:right w:val="none" w:sz="0" w:space="0" w:color="auto"/>
                                                  </w:divBdr>
                                                  <w:divsChild>
                                                    <w:div w:id="117837526">
                                                      <w:marLeft w:val="0"/>
                                                      <w:marRight w:val="0"/>
                                                      <w:marTop w:val="0"/>
                                                      <w:marBottom w:val="0"/>
                                                      <w:divBdr>
                                                        <w:top w:val="none" w:sz="0" w:space="0" w:color="auto"/>
                                                        <w:left w:val="none" w:sz="0" w:space="0" w:color="auto"/>
                                                        <w:bottom w:val="none" w:sz="0" w:space="0" w:color="auto"/>
                                                        <w:right w:val="none" w:sz="0" w:space="0" w:color="auto"/>
                                                      </w:divBdr>
                                                      <w:divsChild>
                                                        <w:div w:id="293410127">
                                                          <w:marLeft w:val="0"/>
                                                          <w:marRight w:val="0"/>
                                                          <w:marTop w:val="300"/>
                                                          <w:marBottom w:val="300"/>
                                                          <w:divBdr>
                                                            <w:top w:val="none" w:sz="0" w:space="0" w:color="auto"/>
                                                            <w:left w:val="none" w:sz="0" w:space="0" w:color="auto"/>
                                                            <w:bottom w:val="none" w:sz="0" w:space="0" w:color="auto"/>
                                                            <w:right w:val="none" w:sz="0" w:space="0" w:color="auto"/>
                                                          </w:divBdr>
                                                          <w:divsChild>
                                                            <w:div w:id="1451164849">
                                                              <w:marLeft w:val="0"/>
                                                              <w:marRight w:val="0"/>
                                                              <w:marTop w:val="0"/>
                                                              <w:marBottom w:val="0"/>
                                                              <w:divBdr>
                                                                <w:top w:val="none" w:sz="0" w:space="0" w:color="auto"/>
                                                                <w:left w:val="none" w:sz="0" w:space="0" w:color="auto"/>
                                                                <w:bottom w:val="none" w:sz="0" w:space="0" w:color="auto"/>
                                                                <w:right w:val="none" w:sz="0" w:space="0" w:color="auto"/>
                                                              </w:divBdr>
                                                              <w:divsChild>
                                                                <w:div w:id="835802817">
                                                                  <w:marLeft w:val="0"/>
                                                                  <w:marRight w:val="0"/>
                                                                  <w:marTop w:val="0"/>
                                                                  <w:marBottom w:val="0"/>
                                                                  <w:divBdr>
                                                                    <w:top w:val="none" w:sz="0" w:space="0" w:color="auto"/>
                                                                    <w:left w:val="none" w:sz="0" w:space="0" w:color="auto"/>
                                                                    <w:bottom w:val="none" w:sz="0" w:space="0" w:color="auto"/>
                                                                    <w:right w:val="none" w:sz="0" w:space="0" w:color="auto"/>
                                                                  </w:divBdr>
                                                                  <w:divsChild>
                                                                    <w:div w:id="9158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9973470">
      <w:bodyDiv w:val="1"/>
      <w:marLeft w:val="0"/>
      <w:marRight w:val="0"/>
      <w:marTop w:val="0"/>
      <w:marBottom w:val="0"/>
      <w:divBdr>
        <w:top w:val="none" w:sz="0" w:space="0" w:color="auto"/>
        <w:left w:val="none" w:sz="0" w:space="0" w:color="auto"/>
        <w:bottom w:val="none" w:sz="0" w:space="0" w:color="auto"/>
        <w:right w:val="none" w:sz="0" w:space="0" w:color="auto"/>
      </w:divBdr>
    </w:div>
    <w:div w:id="1973709998">
      <w:bodyDiv w:val="1"/>
      <w:marLeft w:val="0"/>
      <w:marRight w:val="0"/>
      <w:marTop w:val="0"/>
      <w:marBottom w:val="0"/>
      <w:divBdr>
        <w:top w:val="none" w:sz="0" w:space="0" w:color="auto"/>
        <w:left w:val="none" w:sz="0" w:space="0" w:color="auto"/>
        <w:bottom w:val="none" w:sz="0" w:space="0" w:color="auto"/>
        <w:right w:val="none" w:sz="0" w:space="0" w:color="auto"/>
      </w:divBdr>
    </w:div>
    <w:div w:id="2018921164">
      <w:bodyDiv w:val="1"/>
      <w:marLeft w:val="0"/>
      <w:marRight w:val="0"/>
      <w:marTop w:val="0"/>
      <w:marBottom w:val="0"/>
      <w:divBdr>
        <w:top w:val="none" w:sz="0" w:space="0" w:color="auto"/>
        <w:left w:val="none" w:sz="0" w:space="0" w:color="auto"/>
        <w:bottom w:val="none" w:sz="0" w:space="0" w:color="auto"/>
        <w:right w:val="none" w:sz="0" w:space="0" w:color="auto"/>
      </w:divBdr>
      <w:divsChild>
        <w:div w:id="1947803927">
          <w:marLeft w:val="0"/>
          <w:marRight w:val="0"/>
          <w:marTop w:val="0"/>
          <w:marBottom w:val="0"/>
          <w:divBdr>
            <w:top w:val="none" w:sz="0" w:space="0" w:color="auto"/>
            <w:left w:val="none" w:sz="0" w:space="0" w:color="auto"/>
            <w:bottom w:val="none" w:sz="0" w:space="0" w:color="auto"/>
            <w:right w:val="none" w:sz="0" w:space="0" w:color="auto"/>
          </w:divBdr>
          <w:divsChild>
            <w:div w:id="710304211">
              <w:marLeft w:val="0"/>
              <w:marRight w:val="0"/>
              <w:marTop w:val="0"/>
              <w:marBottom w:val="0"/>
              <w:divBdr>
                <w:top w:val="none" w:sz="0" w:space="0" w:color="auto"/>
                <w:left w:val="none" w:sz="0" w:space="0" w:color="auto"/>
                <w:bottom w:val="none" w:sz="0" w:space="0" w:color="auto"/>
                <w:right w:val="none" w:sz="0" w:space="0" w:color="auto"/>
              </w:divBdr>
              <w:divsChild>
                <w:div w:id="398207457">
                  <w:marLeft w:val="0"/>
                  <w:marRight w:val="0"/>
                  <w:marTop w:val="0"/>
                  <w:marBottom w:val="0"/>
                  <w:divBdr>
                    <w:top w:val="none" w:sz="0" w:space="0" w:color="auto"/>
                    <w:left w:val="none" w:sz="0" w:space="0" w:color="auto"/>
                    <w:bottom w:val="none" w:sz="0" w:space="0" w:color="auto"/>
                    <w:right w:val="none" w:sz="0" w:space="0" w:color="auto"/>
                  </w:divBdr>
                  <w:divsChild>
                    <w:div w:id="23748255">
                      <w:marLeft w:val="0"/>
                      <w:marRight w:val="0"/>
                      <w:marTop w:val="0"/>
                      <w:marBottom w:val="0"/>
                      <w:divBdr>
                        <w:top w:val="none" w:sz="0" w:space="0" w:color="auto"/>
                        <w:left w:val="none" w:sz="0" w:space="0" w:color="auto"/>
                        <w:bottom w:val="none" w:sz="0" w:space="0" w:color="auto"/>
                        <w:right w:val="none" w:sz="0" w:space="0" w:color="auto"/>
                      </w:divBdr>
                      <w:divsChild>
                        <w:div w:id="1911695461">
                          <w:marLeft w:val="0"/>
                          <w:marRight w:val="0"/>
                          <w:marTop w:val="0"/>
                          <w:marBottom w:val="0"/>
                          <w:divBdr>
                            <w:top w:val="none" w:sz="0" w:space="0" w:color="auto"/>
                            <w:left w:val="none" w:sz="0" w:space="0" w:color="auto"/>
                            <w:bottom w:val="none" w:sz="0" w:space="0" w:color="auto"/>
                            <w:right w:val="none" w:sz="0" w:space="0" w:color="auto"/>
                          </w:divBdr>
                          <w:divsChild>
                            <w:div w:id="1239755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452">
      <w:bodyDiv w:val="1"/>
      <w:marLeft w:val="0"/>
      <w:marRight w:val="0"/>
      <w:marTop w:val="0"/>
      <w:marBottom w:val="0"/>
      <w:divBdr>
        <w:top w:val="none" w:sz="0" w:space="0" w:color="auto"/>
        <w:left w:val="none" w:sz="0" w:space="0" w:color="auto"/>
        <w:bottom w:val="none" w:sz="0" w:space="0" w:color="auto"/>
        <w:right w:val="none" w:sz="0" w:space="0" w:color="auto"/>
      </w:divBdr>
    </w:div>
    <w:div w:id="206952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ndija.gerge@l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B4640-5948-4E36-BE1F-710763B43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10</Pages>
  <Words>15835</Words>
  <Characters>9026</Characters>
  <Application>Microsoft Office Word</Application>
  <DocSecurity>0</DocSecurity>
  <Lines>75</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2011.gada 17.maija noteikumos Nr.364 “Kārtība, kādā licencē un uzrauga komersantus, kuri sniedz darbiekārtošanas pakalpojumus kuģa apkalpes komplektēšanā”</vt:lpstr>
      <vt:lpstr>Ministru kabineta noteikumu projekta "Grozījums Ministru kabineta 2014. gada 16. septembra noteikumos Nr. 553 "Latvijas Pētniecības un inovācijas stratēģiskās padomes nolikums"" sākotnējās ietekmes novērtējuma ziņojums (anotācija)</vt:lpstr>
    </vt:vector>
  </TitlesOfParts>
  <Company>Satiksmes ministrija</Company>
  <LinksUpToDate>false</LinksUpToDate>
  <CharactersWithSpaces>24812</CharactersWithSpaces>
  <SharedDoc>false</SharedDoc>
  <HLinks>
    <vt:vector size="12" baseType="variant">
      <vt:variant>
        <vt:i4>5963871</vt:i4>
      </vt:variant>
      <vt:variant>
        <vt:i4>3</vt:i4>
      </vt:variant>
      <vt:variant>
        <vt:i4>0</vt:i4>
      </vt:variant>
      <vt:variant>
        <vt:i4>5</vt:i4>
      </vt:variant>
      <vt:variant>
        <vt:lpwstr>https://likumi.lv/doc.php?id=18863</vt:lpwstr>
      </vt:variant>
      <vt:variant>
        <vt:lpwstr>p4</vt:lpwstr>
      </vt:variant>
      <vt:variant>
        <vt:i4>5963871</vt:i4>
      </vt:variant>
      <vt:variant>
        <vt:i4>0</vt:i4>
      </vt:variant>
      <vt:variant>
        <vt:i4>0</vt:i4>
      </vt:variant>
      <vt:variant>
        <vt:i4>5</vt:i4>
      </vt:variant>
      <vt:variant>
        <vt:lpwstr>https://likumi.lv/doc.php?id=18863</vt:lpwstr>
      </vt:variant>
      <vt:variant>
        <vt:lpwstr>p4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17.maija noteikumos Nr.364 “Kārtība, kādā licencē un uzrauga komersantus, kuri sniedz darbiekārtošanas pakalpojumus kuģa apkalpes komplektēšanā”</dc:title>
  <dc:subject>Sākotnējās ietekmes novērtējuma ziņojums (anotācija)</dc:subject>
  <dc:creator>Sendija Gerge-Lubeja</dc:creator>
  <cp:keywords/>
  <dc:description>Sendija Gerge-Lubeja, 67099402   sendija.gerge@lja.lv</dc:description>
  <cp:lastModifiedBy>Laima Rituma</cp:lastModifiedBy>
  <cp:revision>90</cp:revision>
  <cp:lastPrinted>2018-02-09T06:59:00Z</cp:lastPrinted>
  <dcterms:created xsi:type="dcterms:W3CDTF">2018-02-22T07:17:00Z</dcterms:created>
  <dcterms:modified xsi:type="dcterms:W3CDTF">2018-05-25T09:04:00Z</dcterms:modified>
</cp:coreProperties>
</file>