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EE" w:rsidRPr="00203DE4" w:rsidRDefault="00F80EEE" w:rsidP="00F80EEE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203DE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03DE4">
        <w:rPr>
          <w:sz w:val="28"/>
          <w:szCs w:val="28"/>
        </w:rPr>
        <w:t>pielikums</w:t>
      </w:r>
    </w:p>
    <w:p w:rsidR="00F80EEE" w:rsidRPr="00203DE4" w:rsidRDefault="00F80EEE" w:rsidP="00F80EEE">
      <w:pPr>
        <w:pStyle w:val="naislab"/>
        <w:spacing w:before="0" w:after="0"/>
        <w:rPr>
          <w:sz w:val="28"/>
          <w:szCs w:val="28"/>
        </w:rPr>
      </w:pPr>
      <w:r w:rsidRPr="00203DE4">
        <w:rPr>
          <w:sz w:val="28"/>
          <w:szCs w:val="28"/>
        </w:rPr>
        <w:t>Ministru kabineta</w:t>
      </w:r>
    </w:p>
    <w:p w:rsidR="00F80EEE" w:rsidRPr="00203DE4" w:rsidRDefault="00F80EEE" w:rsidP="00F80EEE">
      <w:pPr>
        <w:pStyle w:val="naislab"/>
        <w:spacing w:before="0" w:after="0"/>
        <w:rPr>
          <w:sz w:val="28"/>
          <w:szCs w:val="28"/>
        </w:rPr>
      </w:pPr>
      <w:r w:rsidRPr="00203DE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03DE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03DE4">
        <w:rPr>
          <w:sz w:val="28"/>
          <w:szCs w:val="28"/>
        </w:rPr>
        <w:t>gada __.__________</w:t>
      </w:r>
    </w:p>
    <w:p w:rsidR="00F80EEE" w:rsidRPr="00203DE4" w:rsidRDefault="00F80EEE" w:rsidP="00F80EEE">
      <w:pPr>
        <w:pStyle w:val="naislab"/>
        <w:spacing w:before="0" w:after="0"/>
        <w:rPr>
          <w:sz w:val="28"/>
          <w:szCs w:val="28"/>
        </w:rPr>
      </w:pPr>
      <w:r w:rsidRPr="00203DE4">
        <w:rPr>
          <w:sz w:val="28"/>
          <w:szCs w:val="28"/>
        </w:rPr>
        <w:t>noteikumiem Nr.____</w:t>
      </w:r>
    </w:p>
    <w:p w:rsidR="00F80EEE" w:rsidRDefault="00F80EEE" w:rsidP="00F80EEE">
      <w:pPr>
        <w:spacing w:after="0" w:line="240" w:lineRule="auto"/>
        <w:rPr>
          <w:rFonts w:ascii="inherit" w:hAnsi="inherit"/>
          <w:b/>
          <w:bCs/>
          <w:color w:val="000000"/>
        </w:rPr>
      </w:pPr>
    </w:p>
    <w:p w:rsidR="00F80EEE" w:rsidRDefault="00F80EEE" w:rsidP="00F80EEE">
      <w:pPr>
        <w:pStyle w:val="ti-grseq-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G</w:t>
      </w:r>
      <w:r w:rsidRPr="004B23A9">
        <w:rPr>
          <w:b/>
          <w:bCs/>
          <w:color w:val="000000"/>
          <w:sz w:val="28"/>
          <w:szCs w:val="28"/>
        </w:rPr>
        <w:t xml:space="preserve">aisa piesārņojuma samazināšanas </w:t>
      </w:r>
      <w:r w:rsidR="00AE323D">
        <w:rPr>
          <w:b/>
          <w:bCs/>
          <w:color w:val="000000"/>
          <w:sz w:val="28"/>
          <w:szCs w:val="28"/>
        </w:rPr>
        <w:t xml:space="preserve">rīcības </w:t>
      </w:r>
      <w:r w:rsidRPr="004B23A9">
        <w:rPr>
          <w:b/>
          <w:bCs/>
          <w:color w:val="000000"/>
          <w:sz w:val="28"/>
          <w:szCs w:val="28"/>
        </w:rPr>
        <w:t xml:space="preserve">plāna saturs </w:t>
      </w:r>
    </w:p>
    <w:p w:rsidR="00F80EEE" w:rsidRPr="004B23A9" w:rsidRDefault="00F80EEE" w:rsidP="00F80EEE">
      <w:pPr>
        <w:pStyle w:val="ti-grseq-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80EEE" w:rsidRPr="00332473" w:rsidRDefault="00F80EEE" w:rsidP="00F80EEE">
      <w:pPr>
        <w:pStyle w:val="ti-grseq-1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D13AAB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V</w:t>
      </w:r>
      <w:r w:rsidRPr="00332473">
        <w:rPr>
          <w:bCs/>
          <w:color w:val="000000"/>
          <w:sz w:val="28"/>
          <w:szCs w:val="28"/>
        </w:rPr>
        <w:t>alsts politika</w:t>
      </w:r>
      <w:r>
        <w:rPr>
          <w:bCs/>
          <w:color w:val="000000"/>
          <w:sz w:val="28"/>
          <w:szCs w:val="28"/>
        </w:rPr>
        <w:t xml:space="preserve"> un regulējums </w:t>
      </w:r>
      <w:r w:rsidRPr="00332473">
        <w:rPr>
          <w:bCs/>
          <w:color w:val="000000"/>
          <w:sz w:val="28"/>
          <w:szCs w:val="28"/>
        </w:rPr>
        <w:t xml:space="preserve">gaisa kvalitātes un piesārņojuma jomā, saskaņā ar kuru </w:t>
      </w:r>
      <w:r>
        <w:rPr>
          <w:bCs/>
          <w:color w:val="000000"/>
          <w:sz w:val="28"/>
          <w:szCs w:val="28"/>
        </w:rPr>
        <w:t>plāns</w:t>
      </w:r>
      <w:r w:rsidRPr="00332473">
        <w:rPr>
          <w:bCs/>
          <w:color w:val="000000"/>
          <w:sz w:val="28"/>
          <w:szCs w:val="28"/>
        </w:rPr>
        <w:t xml:space="preserve"> ir izstrādāt</w:t>
      </w:r>
      <w:r>
        <w:rPr>
          <w:bCs/>
          <w:color w:val="000000"/>
          <w:sz w:val="28"/>
          <w:szCs w:val="28"/>
        </w:rPr>
        <w:t>s</w:t>
      </w:r>
      <w:r w:rsidRPr="00332473">
        <w:rPr>
          <w:bCs/>
          <w:color w:val="000000"/>
          <w:sz w:val="28"/>
          <w:szCs w:val="28"/>
        </w:rPr>
        <w:t>, tostarp:</w:t>
      </w:r>
    </w:p>
    <w:p w:rsidR="00F80EEE" w:rsidRPr="00DE55E1" w:rsidRDefault="00F80EEE" w:rsidP="00F80EEE">
      <w:pPr>
        <w:pStyle w:val="ti-grseq-1"/>
        <w:numPr>
          <w:ilvl w:val="1"/>
          <w:numId w:val="1"/>
        </w:numPr>
        <w:spacing w:before="0" w:beforeAutospacing="0" w:after="0" w:afterAutospacing="0"/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gaisa piesārņojuma samazināšanas </w:t>
      </w:r>
      <w:r w:rsidRPr="00332473">
        <w:rPr>
          <w:bCs/>
          <w:color w:val="000000"/>
          <w:sz w:val="28"/>
          <w:szCs w:val="28"/>
        </w:rPr>
        <w:t>politikas prioritātes un to saistība ar prioritātēm, kas noteiktas citās attiecīgajās politikas jomās, ieskaitot klimata pārmaiņu un – attiecīgā gadījumā – lauksaimniecības, rūpniecības un transporta jomas;</w:t>
      </w:r>
    </w:p>
    <w:p w:rsidR="00F80EEE" w:rsidRPr="00DE55E1" w:rsidRDefault="00F80EEE" w:rsidP="00F80EEE">
      <w:pPr>
        <w:pStyle w:val="ti-grseq-1"/>
        <w:numPr>
          <w:ilvl w:val="1"/>
          <w:numId w:val="1"/>
        </w:numPr>
        <w:spacing w:before="0" w:beforeAutospacing="0" w:after="0" w:afterAutospacing="0"/>
        <w:ind w:left="0" w:firstLine="720"/>
        <w:jc w:val="both"/>
        <w:rPr>
          <w:bCs/>
          <w:color w:val="000000"/>
          <w:sz w:val="28"/>
          <w:szCs w:val="28"/>
        </w:rPr>
      </w:pPr>
      <w:r w:rsidRPr="00332473">
        <w:rPr>
          <w:bCs/>
          <w:color w:val="000000"/>
          <w:sz w:val="28"/>
          <w:szCs w:val="28"/>
        </w:rPr>
        <w:t>valsts, reģionālajām un vietējām iestādēm noteiktie pienākumi;</w:t>
      </w:r>
    </w:p>
    <w:p w:rsidR="00F80EEE" w:rsidRPr="00DE55E1" w:rsidRDefault="00F80EEE" w:rsidP="00F80EEE">
      <w:pPr>
        <w:pStyle w:val="ti-grseq-1"/>
        <w:numPr>
          <w:ilvl w:val="1"/>
          <w:numId w:val="1"/>
        </w:numPr>
        <w:spacing w:before="0" w:beforeAutospacing="0" w:after="0" w:afterAutospacing="0"/>
        <w:ind w:left="0" w:firstLine="720"/>
        <w:jc w:val="both"/>
        <w:rPr>
          <w:bCs/>
          <w:color w:val="000000"/>
          <w:sz w:val="28"/>
          <w:szCs w:val="28"/>
        </w:rPr>
      </w:pPr>
      <w:r w:rsidRPr="00332473">
        <w:rPr>
          <w:bCs/>
          <w:color w:val="000000"/>
          <w:sz w:val="28"/>
          <w:szCs w:val="28"/>
        </w:rPr>
        <w:t>progress, kas emisiju samazināšanā un gaisa kvalitātes uzlabošanā panākts ar pašreizējo politiku un pasākumiem, kā arī tas, ci</w:t>
      </w:r>
      <w:r>
        <w:rPr>
          <w:bCs/>
          <w:color w:val="000000"/>
          <w:sz w:val="28"/>
          <w:szCs w:val="28"/>
        </w:rPr>
        <w:t>k lielā mērā panākta atbilstība emisiju samazināšanas mērķiem un normatīvajos aktos par gaisa kvalitāti noteiktajiem gaisa kvalitātes normatīviem un ilgtermiņa mērķiem;</w:t>
      </w:r>
    </w:p>
    <w:p w:rsidR="00F80EEE" w:rsidRDefault="00F80EEE" w:rsidP="00F80EEE">
      <w:pPr>
        <w:pStyle w:val="ti-grseq-1"/>
        <w:numPr>
          <w:ilvl w:val="1"/>
          <w:numId w:val="1"/>
        </w:numPr>
        <w:spacing w:before="0" w:beforeAutospacing="0" w:after="0" w:afterAutospacing="0"/>
        <w:ind w:left="0" w:firstLine="720"/>
        <w:jc w:val="both"/>
        <w:rPr>
          <w:bCs/>
          <w:color w:val="000000"/>
          <w:sz w:val="28"/>
          <w:szCs w:val="28"/>
        </w:rPr>
      </w:pPr>
      <w:r w:rsidRPr="00332473">
        <w:rPr>
          <w:bCs/>
          <w:color w:val="000000"/>
          <w:sz w:val="28"/>
          <w:szCs w:val="28"/>
        </w:rPr>
        <w:t>prognozētā turpmākā attīstība</w:t>
      </w:r>
      <w:r>
        <w:rPr>
          <w:bCs/>
          <w:color w:val="000000"/>
          <w:sz w:val="28"/>
          <w:szCs w:val="28"/>
        </w:rPr>
        <w:t xml:space="preserve"> un atbilstība gaisa piesārņojuma emisiju samazināšanas mērķiem un normatīvajos aktos par gaisa kvalitāti noteiktajiem gaisa kvalitātes normatīviem un ilgtermiņa mērķiem, </w:t>
      </w:r>
      <w:r w:rsidRPr="00332473">
        <w:rPr>
          <w:bCs/>
          <w:color w:val="000000"/>
          <w:sz w:val="28"/>
          <w:szCs w:val="28"/>
        </w:rPr>
        <w:t>pieņemot, ka nemainās jau pieņemtā politika un pasākumi</w:t>
      </w:r>
      <w:r>
        <w:rPr>
          <w:bCs/>
          <w:color w:val="000000"/>
          <w:sz w:val="28"/>
          <w:szCs w:val="28"/>
        </w:rPr>
        <w:t>.</w:t>
      </w:r>
    </w:p>
    <w:p w:rsidR="00F80EEE" w:rsidRPr="00DE55E1" w:rsidRDefault="00F80EEE" w:rsidP="00F80EEE">
      <w:pPr>
        <w:pStyle w:val="ti-grseq-1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F80EEE" w:rsidRDefault="00F80EEE" w:rsidP="00F80EEE">
      <w:pPr>
        <w:pStyle w:val="ti-grseq-1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D13AAB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Iespējamā politika un pasākumi</w:t>
      </w:r>
      <w:r w:rsidRPr="00DE55E1">
        <w:rPr>
          <w:bCs/>
          <w:color w:val="000000"/>
          <w:sz w:val="28"/>
          <w:szCs w:val="28"/>
        </w:rPr>
        <w:t>, kur</w:t>
      </w:r>
      <w:r>
        <w:rPr>
          <w:bCs/>
          <w:color w:val="000000"/>
          <w:sz w:val="28"/>
          <w:szCs w:val="28"/>
        </w:rPr>
        <w:t>u veikšana</w:t>
      </w:r>
      <w:r w:rsidRPr="00DE55E1">
        <w:rPr>
          <w:bCs/>
          <w:color w:val="000000"/>
          <w:sz w:val="28"/>
          <w:szCs w:val="28"/>
        </w:rPr>
        <w:t xml:space="preserve"> tiek apsvērt</w:t>
      </w:r>
      <w:r>
        <w:rPr>
          <w:bCs/>
          <w:color w:val="000000"/>
          <w:sz w:val="28"/>
          <w:szCs w:val="28"/>
        </w:rPr>
        <w:t>a</w:t>
      </w:r>
      <w:r w:rsidRPr="00DE55E1">
        <w:rPr>
          <w:bCs/>
          <w:color w:val="000000"/>
          <w:sz w:val="28"/>
          <w:szCs w:val="28"/>
        </w:rPr>
        <w:t xml:space="preserve">, lai izpildītu emisiju samazināšanas </w:t>
      </w:r>
      <w:r>
        <w:rPr>
          <w:bCs/>
          <w:color w:val="000000"/>
          <w:sz w:val="28"/>
          <w:szCs w:val="28"/>
        </w:rPr>
        <w:t>mērķus un starpmērķus</w:t>
      </w:r>
      <w:r w:rsidRPr="00DE55E1">
        <w:rPr>
          <w:bCs/>
          <w:color w:val="000000"/>
          <w:sz w:val="28"/>
          <w:szCs w:val="28"/>
        </w:rPr>
        <w:t xml:space="preserve"> un lai turpmāk uzlabotu gaisa kvalitāti, kā arī šo risinājumu analīze (arī analīzes metode)</w:t>
      </w:r>
      <w:r>
        <w:rPr>
          <w:bCs/>
          <w:color w:val="000000"/>
          <w:sz w:val="28"/>
          <w:szCs w:val="28"/>
        </w:rPr>
        <w:t>.</w:t>
      </w:r>
      <w:r w:rsidRPr="00DE55E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Iespējamās </w:t>
      </w:r>
      <w:r w:rsidRPr="00DE55E1">
        <w:rPr>
          <w:bCs/>
          <w:color w:val="000000"/>
          <w:sz w:val="28"/>
          <w:szCs w:val="28"/>
        </w:rPr>
        <w:t>politikas un pasākumu individuālā vai kopējā ietekme uz emisiju samazināšanu, gaisa kvalitāti un vidi un ar iepri</w:t>
      </w:r>
      <w:r>
        <w:rPr>
          <w:bCs/>
          <w:color w:val="000000"/>
          <w:sz w:val="28"/>
          <w:szCs w:val="28"/>
        </w:rPr>
        <w:t>ekšminēto saistītā nenoteiktība.</w:t>
      </w:r>
    </w:p>
    <w:p w:rsidR="00F80EEE" w:rsidRDefault="00F80EEE" w:rsidP="00F80EEE">
      <w:pPr>
        <w:pStyle w:val="ti-grseq-1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</w:p>
    <w:p w:rsidR="00F80EEE" w:rsidRDefault="00F80EEE" w:rsidP="00F80EEE">
      <w:pPr>
        <w:pStyle w:val="ti-grseq-1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 P</w:t>
      </w:r>
      <w:r w:rsidRPr="00332473">
        <w:rPr>
          <w:bCs/>
          <w:color w:val="000000"/>
          <w:sz w:val="28"/>
          <w:szCs w:val="28"/>
        </w:rPr>
        <w:t xml:space="preserve">asākumi </w:t>
      </w:r>
      <w:r>
        <w:rPr>
          <w:bCs/>
          <w:color w:val="000000"/>
          <w:sz w:val="28"/>
          <w:szCs w:val="28"/>
        </w:rPr>
        <w:t>un politika, ko plānots pieņemt, lai sasniegtu emisiju samazināšanas mērķus un starpmērķus,</w:t>
      </w:r>
      <w:r w:rsidRPr="00332473">
        <w:rPr>
          <w:bCs/>
          <w:color w:val="000000"/>
          <w:sz w:val="28"/>
          <w:szCs w:val="28"/>
        </w:rPr>
        <w:t xml:space="preserve"> tostarp</w:t>
      </w:r>
      <w:r>
        <w:rPr>
          <w:bCs/>
          <w:color w:val="000000"/>
          <w:sz w:val="28"/>
          <w:szCs w:val="28"/>
        </w:rPr>
        <w:t>, katra plānotā pasākuma</w:t>
      </w:r>
      <w:r w:rsidRPr="00332473">
        <w:rPr>
          <w:bCs/>
          <w:color w:val="000000"/>
          <w:sz w:val="28"/>
          <w:szCs w:val="28"/>
        </w:rPr>
        <w:t xml:space="preserve"> pieņemšanas, īstenošanas un pārskatīšanas laika grafiks un</w:t>
      </w:r>
      <w:r>
        <w:rPr>
          <w:bCs/>
          <w:color w:val="000000"/>
          <w:sz w:val="28"/>
          <w:szCs w:val="28"/>
        </w:rPr>
        <w:t xml:space="preserve"> </w:t>
      </w:r>
      <w:r w:rsidRPr="00332473">
        <w:rPr>
          <w:bCs/>
          <w:color w:val="000000"/>
          <w:sz w:val="28"/>
          <w:szCs w:val="28"/>
        </w:rPr>
        <w:t>iestādes</w:t>
      </w:r>
      <w:r>
        <w:rPr>
          <w:bCs/>
          <w:color w:val="000000"/>
          <w:sz w:val="28"/>
          <w:szCs w:val="28"/>
        </w:rPr>
        <w:t>, kas ir atbildīgas par pasākumu īstenošanu.</w:t>
      </w:r>
    </w:p>
    <w:p w:rsidR="00F80EEE" w:rsidRPr="00332473" w:rsidRDefault="00F80EEE" w:rsidP="00F80EEE">
      <w:pPr>
        <w:pStyle w:val="ti-grseq-1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</w:p>
    <w:p w:rsidR="00F80EEE" w:rsidRDefault="00F80EEE" w:rsidP="00F80EEE">
      <w:pPr>
        <w:pStyle w:val="ti-grseq-1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="00D13AAB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Ja tiek piemērots šo noteikumu 4. punkts, sniedz </w:t>
      </w:r>
      <w:r w:rsidRPr="00332473">
        <w:rPr>
          <w:bCs/>
          <w:color w:val="000000"/>
          <w:sz w:val="28"/>
          <w:szCs w:val="28"/>
        </w:rPr>
        <w:t>skaidrojum</w:t>
      </w:r>
      <w:r>
        <w:rPr>
          <w:bCs/>
          <w:color w:val="000000"/>
          <w:sz w:val="28"/>
          <w:szCs w:val="28"/>
        </w:rPr>
        <w:t>u</w:t>
      </w:r>
      <w:r w:rsidR="00D13AAB">
        <w:rPr>
          <w:bCs/>
          <w:color w:val="000000"/>
          <w:sz w:val="28"/>
          <w:szCs w:val="28"/>
        </w:rPr>
        <w:t xml:space="preserve"> par to, kāpēc 2025. </w:t>
      </w:r>
      <w:r w:rsidRPr="00332473">
        <w:rPr>
          <w:bCs/>
          <w:color w:val="000000"/>
          <w:sz w:val="28"/>
          <w:szCs w:val="28"/>
        </w:rPr>
        <w:t>gadam noteiktos indikatīvos emisiju līmeņus nevar sasniegt, neveicot pasākumus</w:t>
      </w:r>
      <w:r>
        <w:rPr>
          <w:bCs/>
          <w:color w:val="000000"/>
          <w:sz w:val="28"/>
          <w:szCs w:val="28"/>
        </w:rPr>
        <w:t>, kas rada nesamērīgas izmaksas.</w:t>
      </w:r>
    </w:p>
    <w:p w:rsidR="00F80EEE" w:rsidRPr="00332473" w:rsidRDefault="00F80EEE" w:rsidP="00F80EEE">
      <w:pPr>
        <w:pStyle w:val="ti-grseq-1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</w:p>
    <w:p w:rsidR="00F80EEE" w:rsidRDefault="00F80EEE" w:rsidP="00F80EEE">
      <w:pPr>
        <w:pStyle w:val="ti-grseq-1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</w:t>
      </w:r>
      <w:r w:rsidR="00D13AAB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Ja tiek piemērota kāda no šo noteikumu III nodaļā minētajām atkāpēm, sniedz</w:t>
      </w:r>
      <w:r w:rsidRPr="0033247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informāciju par atkāpju piemērošanu</w:t>
      </w:r>
      <w:r w:rsidRPr="00332473">
        <w:rPr>
          <w:bCs/>
          <w:color w:val="000000"/>
          <w:sz w:val="28"/>
          <w:szCs w:val="28"/>
        </w:rPr>
        <w:t xml:space="preserve"> un </w:t>
      </w:r>
      <w:r>
        <w:rPr>
          <w:bCs/>
          <w:color w:val="000000"/>
          <w:sz w:val="28"/>
          <w:szCs w:val="28"/>
        </w:rPr>
        <w:t>to, kādu</w:t>
      </w:r>
      <w:r w:rsidRPr="00332473">
        <w:rPr>
          <w:bCs/>
          <w:color w:val="000000"/>
          <w:sz w:val="28"/>
          <w:szCs w:val="28"/>
        </w:rPr>
        <w:t xml:space="preserve"> ietekmi uz vidi</w:t>
      </w:r>
      <w:r>
        <w:rPr>
          <w:bCs/>
          <w:color w:val="000000"/>
          <w:sz w:val="28"/>
          <w:szCs w:val="28"/>
        </w:rPr>
        <w:t xml:space="preserve"> tas rada.</w:t>
      </w:r>
    </w:p>
    <w:p w:rsidR="00F80EEE" w:rsidRPr="00332473" w:rsidRDefault="00F80EEE" w:rsidP="00F80EEE">
      <w:pPr>
        <w:pStyle w:val="ti-grseq-1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</w:p>
    <w:p w:rsidR="00F80EEE" w:rsidRDefault="00F80EEE" w:rsidP="00F80EEE">
      <w:pPr>
        <w:pStyle w:val="ti-grseq-1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 N</w:t>
      </w:r>
      <w:r w:rsidRPr="00332473">
        <w:rPr>
          <w:bCs/>
          <w:color w:val="000000"/>
          <w:sz w:val="28"/>
          <w:szCs w:val="28"/>
        </w:rPr>
        <w:t>ovērtējums par to, kā izvēlētā politika un pasākumi nodrošina saskaņotību ar citās attiecīgajās politikas jomās izvei</w:t>
      </w:r>
      <w:r>
        <w:rPr>
          <w:bCs/>
          <w:color w:val="000000"/>
          <w:sz w:val="28"/>
          <w:szCs w:val="28"/>
        </w:rPr>
        <w:t>dotajiem plāniem un programmām.</w:t>
      </w:r>
    </w:p>
    <w:p w:rsidR="00F80EEE" w:rsidRDefault="00F80EEE" w:rsidP="00F80EEE">
      <w:pPr>
        <w:pStyle w:val="ti-grseq-1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</w:p>
    <w:p w:rsidR="00F80EEE" w:rsidRDefault="00F80EEE" w:rsidP="00F80EEE">
      <w:pPr>
        <w:pStyle w:val="ti-grseq-1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7.</w:t>
      </w:r>
      <w:r w:rsidR="00D13AAB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Ja tiek veikta rīcības plāna aktualizēšana atbilstoši šo noteikumu 7. punktam, sniedz </w:t>
      </w:r>
      <w:r w:rsidRPr="00332473">
        <w:rPr>
          <w:bCs/>
          <w:color w:val="000000"/>
          <w:sz w:val="28"/>
          <w:szCs w:val="28"/>
        </w:rPr>
        <w:t>šādu informāciju:</w:t>
      </w:r>
    </w:p>
    <w:p w:rsidR="00F80EEE" w:rsidRDefault="00F80EEE" w:rsidP="00F80EEE">
      <w:pPr>
        <w:pStyle w:val="ti-grseq-1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7.1.</w:t>
      </w:r>
      <w:r w:rsidR="00D13AAB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novērtējums par progresu, kas panākts, </w:t>
      </w:r>
      <w:r w:rsidRPr="00135503">
        <w:rPr>
          <w:bCs/>
          <w:color w:val="000000"/>
          <w:sz w:val="28"/>
          <w:szCs w:val="28"/>
        </w:rPr>
        <w:t>īstenojot rīcības plānā iekļautos</w:t>
      </w:r>
      <w:r>
        <w:rPr>
          <w:bCs/>
          <w:color w:val="000000"/>
          <w:sz w:val="28"/>
          <w:szCs w:val="28"/>
        </w:rPr>
        <w:t xml:space="preserve"> pasākumus, kā arī informācija par panākto</w:t>
      </w:r>
      <w:r w:rsidRPr="00332473">
        <w:rPr>
          <w:bCs/>
          <w:color w:val="000000"/>
          <w:sz w:val="28"/>
          <w:szCs w:val="28"/>
        </w:rPr>
        <w:t xml:space="preserve"> emisiju un piesārņojuma koncentrācijas samazināšan</w:t>
      </w:r>
      <w:r>
        <w:rPr>
          <w:bCs/>
          <w:color w:val="000000"/>
          <w:sz w:val="28"/>
          <w:szCs w:val="28"/>
        </w:rPr>
        <w:t>os</w:t>
      </w:r>
      <w:r w:rsidRPr="00332473">
        <w:rPr>
          <w:bCs/>
          <w:color w:val="000000"/>
          <w:sz w:val="28"/>
          <w:szCs w:val="28"/>
        </w:rPr>
        <w:t>;</w:t>
      </w:r>
    </w:p>
    <w:p w:rsidR="00F80EEE" w:rsidRPr="00962006" w:rsidRDefault="00F80EEE" w:rsidP="00F80EEE">
      <w:pPr>
        <w:pStyle w:val="ti-grseq-1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7.2.</w:t>
      </w:r>
      <w:r w:rsidR="00D13AAB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informāciju par</w:t>
      </w:r>
      <w:r w:rsidRPr="00332473">
        <w:rPr>
          <w:bCs/>
          <w:color w:val="000000"/>
          <w:sz w:val="28"/>
          <w:szCs w:val="28"/>
        </w:rPr>
        <w:t xml:space="preserve"> būtisk</w:t>
      </w:r>
      <w:r>
        <w:rPr>
          <w:bCs/>
          <w:color w:val="000000"/>
          <w:sz w:val="28"/>
          <w:szCs w:val="28"/>
        </w:rPr>
        <w:t>ām</w:t>
      </w:r>
      <w:r w:rsidRPr="00332473">
        <w:rPr>
          <w:bCs/>
          <w:color w:val="000000"/>
          <w:sz w:val="28"/>
          <w:szCs w:val="28"/>
        </w:rPr>
        <w:t xml:space="preserve"> izmaiņ</w:t>
      </w:r>
      <w:r>
        <w:rPr>
          <w:bCs/>
          <w:color w:val="000000"/>
          <w:sz w:val="28"/>
          <w:szCs w:val="28"/>
        </w:rPr>
        <w:t>ām</w:t>
      </w:r>
      <w:r w:rsidRPr="00332473">
        <w:rPr>
          <w:bCs/>
          <w:color w:val="000000"/>
          <w:sz w:val="28"/>
          <w:szCs w:val="28"/>
        </w:rPr>
        <w:t xml:space="preserve"> attiecībā uz </w:t>
      </w:r>
      <w:r>
        <w:rPr>
          <w:bCs/>
          <w:color w:val="000000"/>
          <w:sz w:val="28"/>
          <w:szCs w:val="28"/>
        </w:rPr>
        <w:t xml:space="preserve">plānoto </w:t>
      </w:r>
      <w:r w:rsidRPr="00332473">
        <w:rPr>
          <w:bCs/>
          <w:color w:val="000000"/>
          <w:sz w:val="28"/>
          <w:szCs w:val="28"/>
        </w:rPr>
        <w:t>politiku, p</w:t>
      </w:r>
      <w:r>
        <w:rPr>
          <w:bCs/>
          <w:color w:val="000000"/>
          <w:sz w:val="28"/>
          <w:szCs w:val="28"/>
        </w:rPr>
        <w:t>lānā iekļautajiem pasākumiem, to finansēšanas avotiem</w:t>
      </w:r>
      <w:r w:rsidRPr="00332473">
        <w:rPr>
          <w:bCs/>
          <w:color w:val="000000"/>
          <w:sz w:val="28"/>
          <w:szCs w:val="28"/>
        </w:rPr>
        <w:t xml:space="preserve"> va</w:t>
      </w:r>
      <w:r>
        <w:rPr>
          <w:bCs/>
          <w:color w:val="000000"/>
          <w:sz w:val="28"/>
          <w:szCs w:val="28"/>
        </w:rPr>
        <w:t>i īstenošanas laika grafiku, kā arī ar rīcības plāna izstrādi saistītajiem novērtējumiem (piemēram, dažādi emisiju un emisiju prognožu aprēķini).</w:t>
      </w:r>
    </w:p>
    <w:p w:rsidR="005E6689" w:rsidRDefault="005E6689"/>
    <w:p w:rsidR="001C20BE" w:rsidRDefault="001C20BE"/>
    <w:p w:rsidR="001C20BE" w:rsidRPr="00AE5B40" w:rsidRDefault="001C20BE" w:rsidP="001C20BE">
      <w:pPr>
        <w:spacing w:before="120" w:after="0" w:line="240" w:lineRule="auto"/>
        <w:jc w:val="both"/>
        <w:rPr>
          <w:rFonts w:eastAsia="Calibri" w:cs="Calibri"/>
          <w:sz w:val="28"/>
          <w:szCs w:val="28"/>
          <w:lang w:val="en-US"/>
        </w:rPr>
      </w:pPr>
      <w:r w:rsidRPr="00AE5B40">
        <w:rPr>
          <w:rFonts w:eastAsia="Calibri" w:cs="Calibri"/>
          <w:sz w:val="28"/>
          <w:szCs w:val="28"/>
          <w:lang w:val="en-US"/>
        </w:rPr>
        <w:t xml:space="preserve">Vides </w:t>
      </w:r>
      <w:proofErr w:type="spellStart"/>
      <w:r w:rsidRPr="00AE5B40">
        <w:rPr>
          <w:rFonts w:eastAsia="Calibri" w:cs="Calibri"/>
          <w:sz w:val="28"/>
          <w:szCs w:val="28"/>
          <w:lang w:val="en-US"/>
        </w:rPr>
        <w:t>aizsardzības</w:t>
      </w:r>
      <w:proofErr w:type="spellEnd"/>
      <w:r w:rsidRPr="00AE5B40">
        <w:rPr>
          <w:rFonts w:eastAsia="Calibri" w:cs="Calibri"/>
          <w:sz w:val="28"/>
          <w:szCs w:val="28"/>
          <w:lang w:val="en-US"/>
        </w:rPr>
        <w:t xml:space="preserve"> </w:t>
      </w:r>
      <w:proofErr w:type="gramStart"/>
      <w:r w:rsidRPr="00AE5B40">
        <w:rPr>
          <w:rFonts w:eastAsia="Calibri" w:cs="Calibri"/>
          <w:sz w:val="28"/>
          <w:szCs w:val="28"/>
          <w:lang w:val="en-US"/>
        </w:rPr>
        <w:t>un</w:t>
      </w:r>
      <w:proofErr w:type="gramEnd"/>
      <w:r w:rsidRPr="00AE5B40">
        <w:rPr>
          <w:rFonts w:eastAsia="Calibri" w:cs="Calibri"/>
          <w:sz w:val="28"/>
          <w:szCs w:val="28"/>
          <w:lang w:val="en-US"/>
        </w:rPr>
        <w:t xml:space="preserve"> </w:t>
      </w:r>
      <w:proofErr w:type="spellStart"/>
      <w:r w:rsidRPr="00AE5B40">
        <w:rPr>
          <w:rFonts w:eastAsia="Calibri" w:cs="Calibri"/>
          <w:sz w:val="28"/>
          <w:szCs w:val="28"/>
          <w:lang w:val="en-US"/>
        </w:rPr>
        <w:t>reģionālās</w:t>
      </w:r>
      <w:proofErr w:type="spellEnd"/>
      <w:r w:rsidRPr="00AE5B40">
        <w:rPr>
          <w:rFonts w:eastAsia="Calibri" w:cs="Calibri"/>
          <w:sz w:val="28"/>
          <w:szCs w:val="28"/>
          <w:lang w:val="en-US"/>
        </w:rPr>
        <w:t xml:space="preserve"> </w:t>
      </w:r>
      <w:proofErr w:type="spellStart"/>
      <w:r w:rsidRPr="00AE5B40">
        <w:rPr>
          <w:rFonts w:eastAsia="Calibri" w:cs="Calibri"/>
          <w:sz w:val="28"/>
          <w:szCs w:val="28"/>
          <w:lang w:val="en-US"/>
        </w:rPr>
        <w:t>attīstības</w:t>
      </w:r>
      <w:proofErr w:type="spellEnd"/>
      <w:r w:rsidRPr="00AE5B40">
        <w:rPr>
          <w:rFonts w:eastAsia="Calibri" w:cs="Calibri"/>
          <w:sz w:val="28"/>
          <w:szCs w:val="28"/>
          <w:lang w:val="en-US"/>
        </w:rPr>
        <w:t xml:space="preserve"> </w:t>
      </w:r>
      <w:proofErr w:type="spellStart"/>
      <w:r w:rsidRPr="00AE5B40">
        <w:rPr>
          <w:rFonts w:eastAsia="Calibri" w:cs="Calibri"/>
          <w:sz w:val="28"/>
          <w:szCs w:val="28"/>
          <w:lang w:val="en-US"/>
        </w:rPr>
        <w:t>ministrs</w:t>
      </w:r>
      <w:proofErr w:type="spellEnd"/>
      <w:r w:rsidRPr="00AE5B40">
        <w:rPr>
          <w:rFonts w:eastAsia="Calibri" w:cs="Calibri"/>
          <w:sz w:val="28"/>
          <w:szCs w:val="28"/>
          <w:lang w:val="en-US"/>
        </w:rPr>
        <w:tab/>
      </w:r>
      <w:r w:rsidRPr="00AE5B40">
        <w:rPr>
          <w:rFonts w:eastAsia="Calibri" w:cs="Calibri"/>
          <w:sz w:val="28"/>
          <w:szCs w:val="28"/>
          <w:lang w:val="en-US"/>
        </w:rPr>
        <w:tab/>
      </w:r>
      <w:r w:rsidRPr="00AE5B40">
        <w:rPr>
          <w:rFonts w:eastAsia="Calibri" w:cs="Calibri"/>
          <w:sz w:val="28"/>
          <w:szCs w:val="28"/>
          <w:lang w:val="en-US"/>
        </w:rPr>
        <w:tab/>
        <w:t xml:space="preserve"> K. </w:t>
      </w:r>
      <w:proofErr w:type="spellStart"/>
      <w:r w:rsidRPr="00AE5B40">
        <w:rPr>
          <w:rFonts w:eastAsia="Calibri" w:cs="Calibri"/>
          <w:sz w:val="28"/>
          <w:szCs w:val="28"/>
          <w:lang w:val="en-US"/>
        </w:rPr>
        <w:t>Gerhards</w:t>
      </w:r>
      <w:proofErr w:type="spellEnd"/>
      <w:r w:rsidRPr="00AE5B40">
        <w:rPr>
          <w:rFonts w:eastAsia="Calibri" w:cs="Calibri"/>
          <w:sz w:val="28"/>
          <w:szCs w:val="28"/>
          <w:lang w:val="en-US"/>
        </w:rPr>
        <w:t xml:space="preserve"> </w:t>
      </w:r>
    </w:p>
    <w:p w:rsidR="001C20BE" w:rsidRDefault="001C20BE">
      <w:bookmarkStart w:id="0" w:name="_GoBack"/>
      <w:bookmarkEnd w:id="0"/>
    </w:p>
    <w:sectPr w:rsidR="001C20BE" w:rsidSect="00AE5B40">
      <w:headerReference w:type="default" r:id="rId7"/>
      <w:footerReference w:type="default" r:id="rId8"/>
      <w:footerReference w:type="first" r:id="rId9"/>
      <w:type w:val="continuous"/>
      <w:pgSz w:w="11907" w:h="16840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BD" w:rsidRDefault="00622FBD" w:rsidP="00F80EEE">
      <w:pPr>
        <w:spacing w:after="0" w:line="240" w:lineRule="auto"/>
      </w:pPr>
      <w:r>
        <w:separator/>
      </w:r>
    </w:p>
  </w:endnote>
  <w:endnote w:type="continuationSeparator" w:id="0">
    <w:p w:rsidR="00622FBD" w:rsidRDefault="00622FBD" w:rsidP="00F8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E9" w:rsidRPr="00AE5B40" w:rsidRDefault="00AE5B40" w:rsidP="00AE5B40">
    <w:pPr>
      <w:spacing w:after="0" w:line="240" w:lineRule="auto"/>
      <w:jc w:val="both"/>
      <w:rPr>
        <w:bCs/>
        <w:sz w:val="20"/>
        <w:szCs w:val="20"/>
      </w:rPr>
    </w:pPr>
    <w:r w:rsidRPr="00AE5B40">
      <w:rPr>
        <w:sz w:val="20"/>
        <w:szCs w:val="20"/>
      </w:rPr>
      <w:t>VARAMnotp2_170518_NEC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E9" w:rsidRPr="0036798C" w:rsidRDefault="005051A9" w:rsidP="0036798C">
    <w:pPr>
      <w:spacing w:after="0" w:line="240" w:lineRule="auto"/>
      <w:jc w:val="both"/>
      <w:rPr>
        <w:bCs/>
        <w:sz w:val="20"/>
        <w:szCs w:val="20"/>
      </w:rPr>
    </w:pPr>
    <w:r w:rsidRPr="00AE5B40">
      <w:rPr>
        <w:sz w:val="20"/>
        <w:szCs w:val="20"/>
      </w:rPr>
      <w:t>VARAMnot</w:t>
    </w:r>
    <w:r w:rsidR="00B74EDC" w:rsidRPr="00AE5B40">
      <w:rPr>
        <w:sz w:val="20"/>
        <w:szCs w:val="20"/>
      </w:rPr>
      <w:t>p2</w:t>
    </w:r>
    <w:r w:rsidRPr="00AE5B40">
      <w:rPr>
        <w:sz w:val="20"/>
        <w:szCs w:val="20"/>
      </w:rPr>
      <w:t>_</w:t>
    </w:r>
    <w:r w:rsidR="00AE5B40" w:rsidRPr="00AE5B40">
      <w:rPr>
        <w:sz w:val="20"/>
        <w:szCs w:val="20"/>
      </w:rPr>
      <w:t>1705</w:t>
    </w:r>
    <w:r w:rsidR="00B74EDC" w:rsidRPr="00AE5B40">
      <w:rPr>
        <w:sz w:val="20"/>
        <w:szCs w:val="20"/>
      </w:rPr>
      <w:t>18</w:t>
    </w:r>
    <w:r w:rsidRPr="00AE5B40">
      <w:rPr>
        <w:sz w:val="20"/>
        <w:szCs w:val="20"/>
      </w:rPr>
      <w:t>_NEC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BD" w:rsidRDefault="00622FBD" w:rsidP="00F80EEE">
      <w:pPr>
        <w:spacing w:after="0" w:line="240" w:lineRule="auto"/>
      </w:pPr>
      <w:r>
        <w:separator/>
      </w:r>
    </w:p>
  </w:footnote>
  <w:footnote w:type="continuationSeparator" w:id="0">
    <w:p w:rsidR="00622FBD" w:rsidRDefault="00622FBD" w:rsidP="00F8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E9" w:rsidRDefault="005051A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6108">
      <w:rPr>
        <w:noProof/>
      </w:rPr>
      <w:t>2</w:t>
    </w:r>
    <w:r>
      <w:rPr>
        <w:noProof/>
      </w:rPr>
      <w:fldChar w:fldCharType="end"/>
    </w:r>
  </w:p>
  <w:p w:rsidR="00CF6CE9" w:rsidRDefault="006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292F"/>
    <w:multiLevelType w:val="multilevel"/>
    <w:tmpl w:val="61E06B4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E"/>
    <w:rsid w:val="001511DB"/>
    <w:rsid w:val="001C20BE"/>
    <w:rsid w:val="002359B8"/>
    <w:rsid w:val="002A5698"/>
    <w:rsid w:val="005051A9"/>
    <w:rsid w:val="005E6689"/>
    <w:rsid w:val="00622FBD"/>
    <w:rsid w:val="00716108"/>
    <w:rsid w:val="007210B5"/>
    <w:rsid w:val="0083102B"/>
    <w:rsid w:val="00871A7B"/>
    <w:rsid w:val="00A700B0"/>
    <w:rsid w:val="00AE323D"/>
    <w:rsid w:val="00AE5B40"/>
    <w:rsid w:val="00B74EDC"/>
    <w:rsid w:val="00CC429F"/>
    <w:rsid w:val="00CE258A"/>
    <w:rsid w:val="00D13AAB"/>
    <w:rsid w:val="00DC4DB2"/>
    <w:rsid w:val="00EB3998"/>
    <w:rsid w:val="00EC02A9"/>
    <w:rsid w:val="00EE7A93"/>
    <w:rsid w:val="00F64F9E"/>
    <w:rsid w:val="00F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5802F6-60C1-4F07-A130-BC78B777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EE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0E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EE"/>
    <w:rPr>
      <w:rFonts w:ascii="Times New Roman" w:eastAsia="Times New Roman" w:hAnsi="Times New Roman" w:cs="Times New Roman"/>
      <w:sz w:val="24"/>
      <w:szCs w:val="24"/>
    </w:rPr>
  </w:style>
  <w:style w:type="paragraph" w:customStyle="1" w:styleId="ti-grseq-1">
    <w:name w:val="ti-grseq-1"/>
    <w:basedOn w:val="Normal"/>
    <w:rsid w:val="00F80EEE"/>
    <w:pPr>
      <w:spacing w:before="100" w:beforeAutospacing="1" w:after="100" w:afterAutospacing="1" w:line="240" w:lineRule="auto"/>
    </w:pPr>
    <w:rPr>
      <w:lang w:eastAsia="lv-LV"/>
    </w:rPr>
  </w:style>
  <w:style w:type="paragraph" w:customStyle="1" w:styleId="naislab">
    <w:name w:val="naislab"/>
    <w:basedOn w:val="Normal"/>
    <w:rsid w:val="00F80EEE"/>
    <w:pPr>
      <w:spacing w:before="75" w:after="75" w:line="240" w:lineRule="auto"/>
      <w:jc w:val="right"/>
    </w:pPr>
    <w:rPr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80E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1821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kopējo gaisu piesārņojošo vielu emisiju samazināšanu un uzskaiti</vt:lpstr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kopējo gaisu piesārņojošo vielu emisiju samazināšanu un uzskaiti</dc:title>
  <dc:subject>2.pielikums</dc:subject>
  <dc:creator>Lana Maslova</dc:creator>
  <cp:keywords/>
  <dc:description>lana.maslova@varam.gov.lv, 67026586</dc:description>
  <cp:lastModifiedBy>Lana Maslova</cp:lastModifiedBy>
  <cp:revision>4</cp:revision>
  <dcterms:created xsi:type="dcterms:W3CDTF">2018-05-17T10:01:00Z</dcterms:created>
  <dcterms:modified xsi:type="dcterms:W3CDTF">2018-05-18T06:42:00Z</dcterms:modified>
</cp:coreProperties>
</file>