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7EFF" w14:textId="77777777" w:rsidR="00A61FDE" w:rsidRPr="00200359" w:rsidRDefault="00A61FDE" w:rsidP="00A61FDE">
      <w:pPr>
        <w:pStyle w:val="naislab"/>
        <w:spacing w:before="0" w:after="0"/>
        <w:rPr>
          <w:sz w:val="28"/>
          <w:szCs w:val="28"/>
        </w:rPr>
      </w:pPr>
      <w:r w:rsidRPr="00200359">
        <w:rPr>
          <w:sz w:val="28"/>
          <w:szCs w:val="28"/>
        </w:rPr>
        <w:t>3. pielikums</w:t>
      </w:r>
    </w:p>
    <w:p w14:paraId="5038C3AB" w14:textId="77777777" w:rsidR="00A61FDE" w:rsidRPr="00200359" w:rsidRDefault="00A61FDE" w:rsidP="00A61FDE">
      <w:pPr>
        <w:pStyle w:val="naislab"/>
        <w:spacing w:before="0" w:after="0"/>
        <w:rPr>
          <w:sz w:val="28"/>
          <w:szCs w:val="28"/>
        </w:rPr>
      </w:pPr>
      <w:r w:rsidRPr="00200359">
        <w:rPr>
          <w:sz w:val="28"/>
          <w:szCs w:val="28"/>
        </w:rPr>
        <w:t>Ministru kabineta</w:t>
      </w:r>
    </w:p>
    <w:p w14:paraId="2CB75874" w14:textId="77777777" w:rsidR="00A61FDE" w:rsidRPr="00200359" w:rsidRDefault="00A61FDE" w:rsidP="00A61FDE">
      <w:pPr>
        <w:pStyle w:val="naislab"/>
        <w:spacing w:before="0" w:after="0"/>
        <w:rPr>
          <w:sz w:val="28"/>
          <w:szCs w:val="28"/>
        </w:rPr>
      </w:pPr>
      <w:r w:rsidRPr="00200359">
        <w:rPr>
          <w:sz w:val="28"/>
          <w:szCs w:val="28"/>
        </w:rPr>
        <w:t>2018. gada __.__________</w:t>
      </w:r>
    </w:p>
    <w:p w14:paraId="10C9321C" w14:textId="77777777" w:rsidR="00A61FDE" w:rsidRPr="00200359" w:rsidRDefault="00A61FDE" w:rsidP="00A61FDE">
      <w:pPr>
        <w:pStyle w:val="naislab"/>
        <w:spacing w:before="0" w:after="0"/>
        <w:rPr>
          <w:sz w:val="28"/>
          <w:szCs w:val="28"/>
        </w:rPr>
      </w:pPr>
      <w:r w:rsidRPr="00200359">
        <w:rPr>
          <w:sz w:val="28"/>
          <w:szCs w:val="28"/>
        </w:rPr>
        <w:t>noteikumiem Nr.____</w:t>
      </w:r>
    </w:p>
    <w:p w14:paraId="11941917" w14:textId="77777777" w:rsidR="00A61FDE" w:rsidRPr="00200359" w:rsidRDefault="00A61FDE" w:rsidP="00A61FDE">
      <w:pPr>
        <w:spacing w:after="0" w:line="240" w:lineRule="auto"/>
        <w:jc w:val="right"/>
        <w:rPr>
          <w:sz w:val="28"/>
          <w:szCs w:val="28"/>
          <w:lang w:eastAsia="lv-LV"/>
        </w:rPr>
      </w:pPr>
    </w:p>
    <w:p w14:paraId="799354AE" w14:textId="31769C7C" w:rsidR="00A61FDE" w:rsidRPr="00200359" w:rsidRDefault="00A61FDE" w:rsidP="00A61FDE">
      <w:pPr>
        <w:pStyle w:val="ti-tbl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200359">
        <w:rPr>
          <w:b/>
          <w:color w:val="000000"/>
          <w:sz w:val="28"/>
          <w:szCs w:val="28"/>
        </w:rPr>
        <w:t xml:space="preserve">Emisiju ziņojumu un prognožu sagatavošanas </w:t>
      </w:r>
      <w:r w:rsidR="00046DB9">
        <w:rPr>
          <w:b/>
          <w:color w:val="000000"/>
          <w:sz w:val="28"/>
          <w:szCs w:val="28"/>
        </w:rPr>
        <w:t xml:space="preserve">prasības un </w:t>
      </w:r>
      <w:r w:rsidRPr="00200359">
        <w:rPr>
          <w:b/>
          <w:color w:val="000000"/>
          <w:sz w:val="28"/>
          <w:szCs w:val="28"/>
        </w:rPr>
        <w:t>termiņi</w:t>
      </w:r>
    </w:p>
    <w:p w14:paraId="2424826F" w14:textId="77777777" w:rsidR="00A61FDE" w:rsidRPr="00200359" w:rsidRDefault="00A61FDE" w:rsidP="00A61FD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TableGrid"/>
        <w:tblW w:w="5152" w:type="pct"/>
        <w:tblLayout w:type="fixed"/>
        <w:tblLook w:val="04A0" w:firstRow="1" w:lastRow="0" w:firstColumn="1" w:lastColumn="0" w:noHBand="0" w:noVBand="1"/>
      </w:tblPr>
      <w:tblGrid>
        <w:gridCol w:w="421"/>
        <w:gridCol w:w="1702"/>
        <w:gridCol w:w="1984"/>
        <w:gridCol w:w="1700"/>
        <w:gridCol w:w="1844"/>
        <w:gridCol w:w="1700"/>
      </w:tblGrid>
      <w:tr w:rsidR="00A61FDE" w:rsidRPr="00667A27" w14:paraId="2C99ECCA" w14:textId="77777777" w:rsidTr="00667A27">
        <w:tc>
          <w:tcPr>
            <w:tcW w:w="225" w:type="pct"/>
          </w:tcPr>
          <w:p w14:paraId="27ACB378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lv-LV"/>
              </w:rPr>
            </w:pPr>
            <w:r w:rsidRPr="00667A27">
              <w:rPr>
                <w:b/>
                <w:bCs/>
                <w:color w:val="000000"/>
                <w:lang w:val="lv-LV"/>
              </w:rPr>
              <w:t>Nr.</w:t>
            </w:r>
          </w:p>
        </w:tc>
        <w:tc>
          <w:tcPr>
            <w:tcW w:w="910" w:type="pct"/>
          </w:tcPr>
          <w:p w14:paraId="276DBF96" w14:textId="28CCC935" w:rsidR="00A61FDE" w:rsidRPr="00667A27" w:rsidRDefault="00357366" w:rsidP="00357366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667A27">
              <w:rPr>
                <w:b/>
                <w:bCs/>
                <w:color w:val="000000"/>
                <w:lang w:val="lv-LV"/>
              </w:rPr>
              <w:t>Sagatavojamā informācija</w:t>
            </w:r>
          </w:p>
        </w:tc>
        <w:tc>
          <w:tcPr>
            <w:tcW w:w="1061" w:type="pct"/>
          </w:tcPr>
          <w:p w14:paraId="385BB1CA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667A27">
              <w:rPr>
                <w:b/>
                <w:bCs/>
                <w:color w:val="000000"/>
                <w:lang w:val="lv-LV"/>
              </w:rPr>
              <w:t>Piesārņojošās vielas</w:t>
            </w:r>
          </w:p>
        </w:tc>
        <w:tc>
          <w:tcPr>
            <w:tcW w:w="909" w:type="pct"/>
          </w:tcPr>
          <w:p w14:paraId="30C0531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667A27">
              <w:rPr>
                <w:b/>
                <w:bCs/>
                <w:color w:val="000000"/>
                <w:lang w:val="lv-LV"/>
              </w:rPr>
              <w:t>Laika rindas</w:t>
            </w:r>
          </w:p>
        </w:tc>
        <w:tc>
          <w:tcPr>
            <w:tcW w:w="986" w:type="pct"/>
          </w:tcPr>
          <w:p w14:paraId="5D41A3B4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lv-LV"/>
              </w:rPr>
            </w:pPr>
            <w:r w:rsidRPr="00667A27">
              <w:rPr>
                <w:b/>
                <w:bCs/>
                <w:color w:val="000000"/>
                <w:lang w:val="lv-LV"/>
              </w:rPr>
              <w:t>Ziņojuma sagatavošanas biežums</w:t>
            </w:r>
          </w:p>
        </w:tc>
        <w:tc>
          <w:tcPr>
            <w:tcW w:w="909" w:type="pct"/>
          </w:tcPr>
          <w:p w14:paraId="3A320942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lv-LV"/>
              </w:rPr>
            </w:pPr>
            <w:r w:rsidRPr="00667A27">
              <w:rPr>
                <w:b/>
                <w:bCs/>
                <w:color w:val="000000"/>
                <w:lang w:val="lv-LV"/>
              </w:rPr>
              <w:t>Ziņošanas datums</w:t>
            </w:r>
          </w:p>
        </w:tc>
      </w:tr>
      <w:tr w:rsidR="00A61FDE" w:rsidRPr="00667A27" w14:paraId="7D4BF8F4" w14:textId="77777777" w:rsidTr="00667A27">
        <w:tc>
          <w:tcPr>
            <w:tcW w:w="225" w:type="pct"/>
            <w:vMerge w:val="restart"/>
          </w:tcPr>
          <w:p w14:paraId="281DC39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1.</w:t>
            </w:r>
          </w:p>
        </w:tc>
        <w:tc>
          <w:tcPr>
            <w:tcW w:w="910" w:type="pct"/>
            <w:vMerge w:val="restart"/>
          </w:tcPr>
          <w:p w14:paraId="18E6741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Ziņojums par valsts kopējām emisijām</w:t>
            </w:r>
            <w:r w:rsidRPr="00667A27">
              <w:rPr>
                <w:color w:val="000000"/>
                <w:vertAlign w:val="superscript"/>
                <w:lang w:val="lv-LV"/>
              </w:rPr>
              <w:t xml:space="preserve"> (1)</w:t>
            </w:r>
            <w:r w:rsidRPr="00667A27">
              <w:rPr>
                <w:color w:val="000000"/>
                <w:lang w:val="lv-LV"/>
              </w:rPr>
              <w:t xml:space="preserve"> </w:t>
            </w:r>
            <w:r w:rsidRPr="00667A27">
              <w:rPr>
                <w:color w:val="000000"/>
                <w:vertAlign w:val="superscript"/>
                <w:lang w:val="lv-LV"/>
              </w:rPr>
              <w:t>(2)</w:t>
            </w:r>
          </w:p>
        </w:tc>
        <w:tc>
          <w:tcPr>
            <w:tcW w:w="1061" w:type="pct"/>
          </w:tcPr>
          <w:p w14:paraId="5C017611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667A27">
              <w:rPr>
                <w:lang w:val="lv-LV"/>
              </w:rPr>
              <w:t>- SO</w:t>
            </w:r>
            <w:r w:rsidRPr="00667A27">
              <w:rPr>
                <w:vertAlign w:val="subscript"/>
                <w:lang w:val="lv-LV"/>
              </w:rPr>
              <w:t>2</w:t>
            </w:r>
            <w:r w:rsidRPr="00667A27">
              <w:rPr>
                <w:lang w:val="lv-LV"/>
              </w:rPr>
              <w:t xml:space="preserve">, NOx, </w:t>
            </w:r>
            <w:proofErr w:type="spellStart"/>
            <w:r w:rsidR="00203B17" w:rsidRPr="00667A27">
              <w:rPr>
                <w:lang w:val="lv-LV"/>
              </w:rPr>
              <w:t>nemetāna</w:t>
            </w:r>
            <w:proofErr w:type="spellEnd"/>
            <w:r w:rsidR="00203B17" w:rsidRPr="00667A27">
              <w:rPr>
                <w:lang w:val="lv-LV"/>
              </w:rPr>
              <w:t xml:space="preserve"> </w:t>
            </w:r>
            <w:r w:rsidRPr="00667A27">
              <w:rPr>
                <w:lang w:val="lv-LV"/>
              </w:rPr>
              <w:t>gaistošie organiskie savienojumi, NH</w:t>
            </w:r>
            <w:r w:rsidRPr="00667A27">
              <w:rPr>
                <w:vertAlign w:val="subscript"/>
                <w:lang w:val="lv-LV"/>
              </w:rPr>
              <w:t>3</w:t>
            </w:r>
            <w:r w:rsidRPr="00667A27">
              <w:rPr>
                <w:lang w:val="lv-LV"/>
              </w:rPr>
              <w:t>, CO.</w:t>
            </w:r>
          </w:p>
          <w:p w14:paraId="3F1B5BD8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667A27">
              <w:rPr>
                <w:lang w:val="lv-LV"/>
              </w:rPr>
              <w:t>- smagie metāli (kadmijs, dzīvsudrabs un svins)</w:t>
            </w:r>
          </w:p>
          <w:p w14:paraId="179F3601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667A27">
              <w:rPr>
                <w:lang w:val="lv-LV"/>
              </w:rPr>
              <w:t xml:space="preserve">- noturīgie organiskie piesārņotāji (kopā </w:t>
            </w:r>
            <w:proofErr w:type="spellStart"/>
            <w:r w:rsidRPr="00667A27">
              <w:rPr>
                <w:lang w:val="lv-LV"/>
              </w:rPr>
              <w:t>policikliskie</w:t>
            </w:r>
            <w:proofErr w:type="spellEnd"/>
            <w:r w:rsidRPr="00667A27">
              <w:rPr>
                <w:lang w:val="lv-LV"/>
              </w:rPr>
              <w:t xml:space="preserve"> aromātiskie ogļūdeņraži, </w:t>
            </w:r>
            <w:proofErr w:type="spellStart"/>
            <w:r w:rsidRPr="00667A27">
              <w:rPr>
                <w:lang w:val="lv-LV"/>
              </w:rPr>
              <w:t>benzo</w:t>
            </w:r>
            <w:proofErr w:type="spellEnd"/>
            <w:r w:rsidRPr="00667A27">
              <w:rPr>
                <w:lang w:val="lv-LV"/>
              </w:rPr>
              <w:t>(a)</w:t>
            </w:r>
            <w:proofErr w:type="spellStart"/>
            <w:r w:rsidRPr="00667A27">
              <w:rPr>
                <w:lang w:val="lv-LV"/>
              </w:rPr>
              <w:t>pirēns</w:t>
            </w:r>
            <w:proofErr w:type="spellEnd"/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lang w:val="lv-LV"/>
              </w:rPr>
              <w:t>benzo</w:t>
            </w:r>
            <w:proofErr w:type="spellEnd"/>
            <w:r w:rsidRPr="00667A27">
              <w:rPr>
                <w:lang w:val="lv-LV"/>
              </w:rPr>
              <w:t>(b)</w:t>
            </w:r>
            <w:proofErr w:type="spellStart"/>
            <w:r w:rsidRPr="00667A27">
              <w:rPr>
                <w:lang w:val="lv-LV"/>
              </w:rPr>
              <w:t>fluorantēns</w:t>
            </w:r>
            <w:proofErr w:type="spellEnd"/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lang w:val="lv-LV"/>
              </w:rPr>
              <w:t>benzo</w:t>
            </w:r>
            <w:proofErr w:type="spellEnd"/>
            <w:r w:rsidRPr="00667A27">
              <w:rPr>
                <w:lang w:val="lv-LV"/>
              </w:rPr>
              <w:t>(k)</w:t>
            </w:r>
            <w:proofErr w:type="spellStart"/>
            <w:r w:rsidRPr="00667A27">
              <w:rPr>
                <w:lang w:val="lv-LV"/>
              </w:rPr>
              <w:t>fluorantēns</w:t>
            </w:r>
            <w:proofErr w:type="spellEnd"/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lang w:val="lv-LV"/>
              </w:rPr>
              <w:t>indeno</w:t>
            </w:r>
            <w:proofErr w:type="spellEnd"/>
            <w:r w:rsidRPr="00667A27">
              <w:rPr>
                <w:lang w:val="lv-LV"/>
              </w:rPr>
              <w:t>(1,2,3-c,d)</w:t>
            </w:r>
            <w:proofErr w:type="spellStart"/>
            <w:r w:rsidRPr="00667A27">
              <w:rPr>
                <w:lang w:val="lv-LV"/>
              </w:rPr>
              <w:t>pirēns</w:t>
            </w:r>
            <w:proofErr w:type="spellEnd"/>
            <w:r w:rsidRPr="00667A27">
              <w:rPr>
                <w:lang w:val="lv-LV"/>
              </w:rPr>
              <w:t>, dioksīni/</w:t>
            </w:r>
            <w:proofErr w:type="spellStart"/>
            <w:r w:rsidRPr="00667A27">
              <w:rPr>
                <w:lang w:val="lv-LV"/>
              </w:rPr>
              <w:t>furāni</w:t>
            </w:r>
            <w:proofErr w:type="spellEnd"/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lang w:val="lv-LV"/>
              </w:rPr>
              <w:t>polihlorbifenili</w:t>
            </w:r>
            <w:proofErr w:type="spellEnd"/>
            <w:r w:rsidRPr="00667A27">
              <w:rPr>
                <w:lang w:val="lv-LV"/>
              </w:rPr>
              <w:t xml:space="preserve"> heksahlorbenzols)</w:t>
            </w:r>
          </w:p>
        </w:tc>
        <w:tc>
          <w:tcPr>
            <w:tcW w:w="909" w:type="pct"/>
          </w:tcPr>
          <w:p w14:paraId="51E7713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par laikposmu no 1990. gada līdz ziņošanas gadam mīnus 2 gadi (X – 2)</w:t>
            </w:r>
          </w:p>
        </w:tc>
        <w:tc>
          <w:tcPr>
            <w:tcW w:w="986" w:type="pct"/>
            <w:vMerge w:val="restart"/>
          </w:tcPr>
          <w:p w14:paraId="36F05029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Reizi gadā</w:t>
            </w:r>
          </w:p>
        </w:tc>
        <w:tc>
          <w:tcPr>
            <w:tcW w:w="909" w:type="pct"/>
            <w:vMerge w:val="restart"/>
          </w:tcPr>
          <w:p w14:paraId="3C3FF94E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 xml:space="preserve">15. februāris </w:t>
            </w:r>
            <w:r w:rsidRPr="00667A27">
              <w:rPr>
                <w:color w:val="000000"/>
                <w:vertAlign w:val="superscript"/>
                <w:lang w:val="lv-LV"/>
              </w:rPr>
              <w:t>(4)</w:t>
            </w:r>
          </w:p>
        </w:tc>
      </w:tr>
      <w:tr w:rsidR="00A61FDE" w:rsidRPr="00667A27" w14:paraId="52BC3163" w14:textId="77777777" w:rsidTr="00667A27">
        <w:tc>
          <w:tcPr>
            <w:tcW w:w="225" w:type="pct"/>
            <w:vMerge/>
          </w:tcPr>
          <w:p w14:paraId="669A9DC0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  <w:tc>
          <w:tcPr>
            <w:tcW w:w="910" w:type="pct"/>
            <w:vMerge/>
          </w:tcPr>
          <w:p w14:paraId="54A2CB5B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1061" w:type="pct"/>
          </w:tcPr>
          <w:p w14:paraId="04603E86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- PM</w:t>
            </w:r>
            <w:r w:rsidRPr="00667A27">
              <w:rPr>
                <w:color w:val="000000"/>
                <w:vertAlign w:val="subscript"/>
                <w:lang w:val="lv-LV"/>
              </w:rPr>
              <w:t>2,5</w:t>
            </w:r>
            <w:r w:rsidRPr="00667A27">
              <w:rPr>
                <w:color w:val="000000"/>
                <w:lang w:val="lv-LV"/>
              </w:rPr>
              <w:t xml:space="preserve"> un PM</w:t>
            </w:r>
            <w:r w:rsidRPr="00667A27">
              <w:rPr>
                <w:color w:val="000000"/>
                <w:vertAlign w:val="subscript"/>
                <w:lang w:val="lv-LV"/>
              </w:rPr>
              <w:t>10</w:t>
            </w:r>
            <w:r w:rsidRPr="00667A27">
              <w:rPr>
                <w:color w:val="000000"/>
                <w:vertAlign w:val="superscript"/>
                <w:lang w:val="lv-LV"/>
              </w:rPr>
              <w:t>(3)</w:t>
            </w:r>
            <w:r w:rsidRPr="00667A27">
              <w:rPr>
                <w:color w:val="000000"/>
                <w:lang w:val="lv-LV"/>
              </w:rPr>
              <w:t xml:space="preserve"> un, ja pieejams, kvēpi un kopējās suspendētās daļiņas</w:t>
            </w:r>
          </w:p>
        </w:tc>
        <w:tc>
          <w:tcPr>
            <w:tcW w:w="909" w:type="pct"/>
          </w:tcPr>
          <w:p w14:paraId="7B4B53B2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par laikposmu no 2000. gada līdz ziņošanas gadam mīnus 2 gadi (X – 2)</w:t>
            </w:r>
          </w:p>
        </w:tc>
        <w:tc>
          <w:tcPr>
            <w:tcW w:w="986" w:type="pct"/>
            <w:vMerge/>
          </w:tcPr>
          <w:p w14:paraId="13D6DCA3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909" w:type="pct"/>
            <w:vMerge/>
          </w:tcPr>
          <w:p w14:paraId="34DB0E31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A61FDE" w:rsidRPr="00667A27" w14:paraId="59BC3904" w14:textId="77777777" w:rsidTr="00667A27">
        <w:tc>
          <w:tcPr>
            <w:tcW w:w="225" w:type="pct"/>
            <w:vMerge/>
          </w:tcPr>
          <w:p w14:paraId="18BF76AA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  <w:tc>
          <w:tcPr>
            <w:tcW w:w="910" w:type="pct"/>
            <w:vMerge/>
          </w:tcPr>
          <w:p w14:paraId="0438071E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1061" w:type="pct"/>
          </w:tcPr>
          <w:p w14:paraId="7475B594" w14:textId="77777777" w:rsidR="00A61FDE" w:rsidRPr="00667A27" w:rsidRDefault="00A61FDE" w:rsidP="002576F7">
            <w:pPr>
              <w:spacing w:after="0" w:line="240" w:lineRule="auto"/>
              <w:jc w:val="both"/>
              <w:rPr>
                <w:lang w:val="lv-LV"/>
              </w:rPr>
            </w:pPr>
            <w:r w:rsidRPr="00667A27">
              <w:rPr>
                <w:lang w:val="lv-LV"/>
              </w:rPr>
              <w:t>Ja pieejams, tad ziņojumā iekļauj arī datus par:</w:t>
            </w:r>
          </w:p>
          <w:p w14:paraId="62C3EAF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- smagajiem metāliem (arsēnu, hromu, varu, niķeli, selēnu un cinku un to savienojumiem)</w:t>
            </w:r>
          </w:p>
        </w:tc>
        <w:tc>
          <w:tcPr>
            <w:tcW w:w="909" w:type="pct"/>
          </w:tcPr>
          <w:p w14:paraId="111B18C6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par laikposmu no 1990. gada līdz ziņošanas gadam mīnus 2 gad</w:t>
            </w:r>
            <w:bookmarkStart w:id="0" w:name="_GoBack"/>
            <w:bookmarkEnd w:id="0"/>
            <w:r w:rsidRPr="00667A27">
              <w:rPr>
                <w:color w:val="000000"/>
                <w:lang w:val="lv-LV"/>
              </w:rPr>
              <w:t>i (X – 2)</w:t>
            </w:r>
          </w:p>
        </w:tc>
        <w:tc>
          <w:tcPr>
            <w:tcW w:w="986" w:type="pct"/>
            <w:vMerge/>
          </w:tcPr>
          <w:p w14:paraId="57921921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909" w:type="pct"/>
            <w:vMerge/>
          </w:tcPr>
          <w:p w14:paraId="1ADADF7B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A61FDE" w:rsidRPr="00667A27" w14:paraId="6C167BAD" w14:textId="77777777" w:rsidTr="00667A27">
        <w:tc>
          <w:tcPr>
            <w:tcW w:w="225" w:type="pct"/>
          </w:tcPr>
          <w:p w14:paraId="24E4254C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lastRenderedPageBreak/>
              <w:t>2.</w:t>
            </w:r>
          </w:p>
        </w:tc>
        <w:tc>
          <w:tcPr>
            <w:tcW w:w="910" w:type="pct"/>
          </w:tcPr>
          <w:p w14:paraId="5F779C17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lang w:val="lv-LV"/>
              </w:rPr>
              <w:t xml:space="preserve">Emisiju prognozes 2020., 2030. un 2050. gadam </w:t>
            </w:r>
            <w:r w:rsidRPr="00667A27">
              <w:rPr>
                <w:vertAlign w:val="superscript"/>
                <w:lang w:val="lv-LV"/>
              </w:rPr>
              <w:t>(</w:t>
            </w:r>
            <w:r w:rsidRPr="00667A27">
              <w:rPr>
                <w:rStyle w:val="super"/>
                <w:vertAlign w:val="superscript"/>
                <w:lang w:val="lv-LV"/>
              </w:rPr>
              <w:t>1</w:t>
            </w:r>
            <w:r w:rsidRPr="00667A27">
              <w:rPr>
                <w:vertAlign w:val="superscript"/>
                <w:lang w:val="lv-LV"/>
              </w:rPr>
              <w:t>)</w:t>
            </w:r>
            <w:r w:rsidRPr="00667A27">
              <w:rPr>
                <w:lang w:val="lv-LV"/>
              </w:rPr>
              <w:t>  </w:t>
            </w:r>
          </w:p>
        </w:tc>
        <w:tc>
          <w:tcPr>
            <w:tcW w:w="1061" w:type="pct"/>
          </w:tcPr>
          <w:p w14:paraId="0AAC0323" w14:textId="77777777" w:rsidR="00A61FDE" w:rsidRPr="00667A27" w:rsidRDefault="00A61FDE" w:rsidP="002576F7">
            <w:pPr>
              <w:spacing w:after="0" w:line="240" w:lineRule="auto"/>
              <w:rPr>
                <w:lang w:val="lv-LV"/>
              </w:rPr>
            </w:pPr>
            <w:r w:rsidRPr="00667A27">
              <w:rPr>
                <w:lang w:val="lv-LV"/>
              </w:rPr>
              <w:t>- SO</w:t>
            </w:r>
            <w:r w:rsidRPr="00667A27">
              <w:rPr>
                <w:vertAlign w:val="subscript"/>
                <w:lang w:val="lv-LV"/>
              </w:rPr>
              <w:t>2</w:t>
            </w:r>
            <w:r w:rsidRPr="00667A27">
              <w:rPr>
                <w:lang w:val="lv-LV"/>
              </w:rPr>
              <w:t>, NO</w:t>
            </w:r>
            <w:r w:rsidRPr="00667A27">
              <w:rPr>
                <w:vertAlign w:val="subscript"/>
                <w:lang w:val="lv-LV"/>
              </w:rPr>
              <w:t>x</w:t>
            </w:r>
            <w:r w:rsidRPr="00667A27">
              <w:rPr>
                <w:lang w:val="lv-LV"/>
              </w:rPr>
              <w:t>, NH</w:t>
            </w:r>
            <w:r w:rsidRPr="00667A27">
              <w:rPr>
                <w:vertAlign w:val="subscript"/>
                <w:lang w:val="lv-LV"/>
              </w:rPr>
              <w:t>3</w:t>
            </w:r>
            <w:r w:rsidRPr="00667A27">
              <w:rPr>
                <w:lang w:val="lv-LV"/>
              </w:rPr>
              <w:t xml:space="preserve">, </w:t>
            </w:r>
            <w:proofErr w:type="spellStart"/>
            <w:r w:rsidR="00203B17" w:rsidRPr="00667A27">
              <w:rPr>
                <w:lang w:val="lv-LV"/>
              </w:rPr>
              <w:t>nemetāna</w:t>
            </w:r>
            <w:proofErr w:type="spellEnd"/>
            <w:r w:rsidR="00203B17" w:rsidRPr="00667A27">
              <w:rPr>
                <w:lang w:val="lv-LV"/>
              </w:rPr>
              <w:t xml:space="preserve"> </w:t>
            </w:r>
            <w:r w:rsidRPr="00667A27">
              <w:rPr>
                <w:lang w:val="lv-LV"/>
              </w:rPr>
              <w:t>gaistošie organiskie savienojumi, PM</w:t>
            </w:r>
            <w:r w:rsidRPr="00667A27">
              <w:rPr>
                <w:vertAlign w:val="subscript"/>
                <w:lang w:val="lv-LV"/>
              </w:rPr>
              <w:t>2,5</w:t>
            </w:r>
            <w:r w:rsidRPr="00667A27">
              <w:rPr>
                <w:lang w:val="lv-LV"/>
              </w:rPr>
              <w:t xml:space="preserve"> un, ja pieejams, kvēpi.</w:t>
            </w:r>
          </w:p>
          <w:p w14:paraId="040114F5" w14:textId="77777777" w:rsidR="00A61FDE" w:rsidRPr="00667A27" w:rsidRDefault="00A61FDE" w:rsidP="002576F7">
            <w:pPr>
              <w:spacing w:after="0"/>
              <w:rPr>
                <w:lang w:val="lv-LV"/>
              </w:rPr>
            </w:pPr>
          </w:p>
        </w:tc>
        <w:tc>
          <w:tcPr>
            <w:tcW w:w="909" w:type="pct"/>
          </w:tcPr>
          <w:p w14:paraId="388DBA2B" w14:textId="77777777" w:rsidR="00A61FDE" w:rsidRPr="00667A27" w:rsidRDefault="00A61FDE" w:rsidP="002576F7">
            <w:pPr>
              <w:pStyle w:val="tbl-txt"/>
              <w:spacing w:before="60" w:beforeAutospacing="0" w:after="6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par 2020., 2025. un 2030. prognožu gadu un, ja iespējams, par 2040. un 2050. prognožu gadu</w:t>
            </w:r>
          </w:p>
          <w:p w14:paraId="302BE22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986" w:type="pct"/>
          </w:tcPr>
          <w:p w14:paraId="1E90E165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Reizi divos gados sākot no 2017. gada</w:t>
            </w:r>
          </w:p>
        </w:tc>
        <w:tc>
          <w:tcPr>
            <w:tcW w:w="909" w:type="pct"/>
          </w:tcPr>
          <w:p w14:paraId="37239BA3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15. marts</w:t>
            </w:r>
          </w:p>
        </w:tc>
      </w:tr>
      <w:tr w:rsidR="00A61FDE" w:rsidRPr="00667A27" w14:paraId="359D2D04" w14:textId="77777777" w:rsidTr="00667A27">
        <w:tc>
          <w:tcPr>
            <w:tcW w:w="225" w:type="pct"/>
          </w:tcPr>
          <w:p w14:paraId="35939648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3.</w:t>
            </w:r>
          </w:p>
        </w:tc>
        <w:tc>
          <w:tcPr>
            <w:tcW w:w="910" w:type="pct"/>
          </w:tcPr>
          <w:p w14:paraId="79F91A80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lang w:val="lv-LV"/>
              </w:rPr>
              <w:t>Kartes, kurās datus par gaisu piesārņojošo vielu emisiju attēlo pa ģeogrāfiskā sadalījuma vienībām</w:t>
            </w:r>
            <w:r w:rsidRPr="00667A27">
              <w:rPr>
                <w:vertAlign w:val="superscript"/>
                <w:lang w:val="lv-LV"/>
              </w:rPr>
              <w:t xml:space="preserve"> (</w:t>
            </w:r>
            <w:r w:rsidRPr="00667A27">
              <w:rPr>
                <w:rStyle w:val="super"/>
                <w:vertAlign w:val="superscript"/>
                <w:lang w:val="lv-LV"/>
              </w:rPr>
              <w:t>1</w:t>
            </w:r>
            <w:r w:rsidRPr="00667A27">
              <w:rPr>
                <w:vertAlign w:val="superscript"/>
                <w:lang w:val="lv-LV"/>
              </w:rPr>
              <w:t>)</w:t>
            </w:r>
            <w:r w:rsidRPr="00667A27">
              <w:rPr>
                <w:lang w:val="lv-LV"/>
              </w:rPr>
              <w:t>  </w:t>
            </w:r>
          </w:p>
        </w:tc>
        <w:tc>
          <w:tcPr>
            <w:tcW w:w="1061" w:type="pct"/>
          </w:tcPr>
          <w:p w14:paraId="647A923D" w14:textId="77777777" w:rsidR="00A61FDE" w:rsidRPr="00667A27" w:rsidRDefault="00A61FDE" w:rsidP="002576F7">
            <w:pPr>
              <w:spacing w:after="0" w:line="240" w:lineRule="auto"/>
              <w:rPr>
                <w:color w:val="000000"/>
                <w:vertAlign w:val="subscript"/>
                <w:lang w:val="lv-LV"/>
              </w:rPr>
            </w:pPr>
            <w:r w:rsidRPr="00667A27">
              <w:rPr>
                <w:lang w:val="lv-LV"/>
              </w:rPr>
              <w:t>- SO</w:t>
            </w:r>
            <w:r w:rsidRPr="00667A27">
              <w:rPr>
                <w:vertAlign w:val="subscript"/>
                <w:lang w:val="lv-LV"/>
              </w:rPr>
              <w:t>2</w:t>
            </w:r>
            <w:r w:rsidRPr="00667A27">
              <w:rPr>
                <w:lang w:val="lv-LV"/>
              </w:rPr>
              <w:t xml:space="preserve">, NOx, </w:t>
            </w:r>
            <w:proofErr w:type="spellStart"/>
            <w:r w:rsidR="00203B17" w:rsidRPr="00667A27">
              <w:rPr>
                <w:lang w:val="lv-LV"/>
              </w:rPr>
              <w:t>nemetāna</w:t>
            </w:r>
            <w:proofErr w:type="spellEnd"/>
            <w:r w:rsidR="00203B17" w:rsidRPr="00667A27">
              <w:rPr>
                <w:lang w:val="lv-LV"/>
              </w:rPr>
              <w:t xml:space="preserve"> </w:t>
            </w:r>
            <w:r w:rsidRPr="00667A27">
              <w:rPr>
                <w:lang w:val="lv-LV"/>
              </w:rPr>
              <w:t>gaistošie organiskie savienojumi, NH</w:t>
            </w:r>
            <w:r w:rsidRPr="00667A27">
              <w:rPr>
                <w:vertAlign w:val="subscript"/>
                <w:lang w:val="lv-LV"/>
              </w:rPr>
              <w:t>3</w:t>
            </w:r>
            <w:r w:rsidRPr="00667A27">
              <w:rPr>
                <w:lang w:val="lv-LV"/>
              </w:rPr>
              <w:t xml:space="preserve">, CO, </w:t>
            </w:r>
            <w:r w:rsidRPr="00667A27">
              <w:rPr>
                <w:color w:val="000000"/>
                <w:lang w:val="lv-LV"/>
              </w:rPr>
              <w:t>PM</w:t>
            </w:r>
            <w:r w:rsidRPr="00667A27">
              <w:rPr>
                <w:color w:val="000000"/>
                <w:vertAlign w:val="subscript"/>
                <w:lang w:val="lv-LV"/>
              </w:rPr>
              <w:t>2,5</w:t>
            </w:r>
            <w:r w:rsidRPr="00667A27">
              <w:rPr>
                <w:color w:val="000000"/>
                <w:lang w:val="lv-LV"/>
              </w:rPr>
              <w:t xml:space="preserve"> un PM</w:t>
            </w:r>
            <w:r w:rsidRPr="00667A27">
              <w:rPr>
                <w:color w:val="000000"/>
                <w:vertAlign w:val="subscript"/>
                <w:lang w:val="lv-LV"/>
              </w:rPr>
              <w:t>10;</w:t>
            </w:r>
          </w:p>
          <w:p w14:paraId="4D49242C" w14:textId="77777777" w:rsidR="00A61FDE" w:rsidRPr="00667A27" w:rsidRDefault="00A61FDE" w:rsidP="002576F7">
            <w:pPr>
              <w:spacing w:after="0" w:line="240" w:lineRule="auto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- smagie metāli (kadmijs, dzīvsudrabs un svins);</w:t>
            </w:r>
          </w:p>
          <w:p w14:paraId="09FD890D" w14:textId="77777777" w:rsidR="00A61FDE" w:rsidRPr="00667A27" w:rsidRDefault="00A61FDE" w:rsidP="002576F7">
            <w:pPr>
              <w:spacing w:after="0" w:line="240" w:lineRule="auto"/>
              <w:jc w:val="both"/>
              <w:rPr>
                <w:lang w:val="lv-LV"/>
              </w:rPr>
            </w:pPr>
            <w:r w:rsidRPr="00667A27">
              <w:rPr>
                <w:color w:val="000000"/>
                <w:lang w:val="lv-LV"/>
              </w:rPr>
              <w:t xml:space="preserve">- </w:t>
            </w:r>
            <w:r w:rsidRPr="00667A27">
              <w:rPr>
                <w:lang w:val="lv-LV"/>
              </w:rPr>
              <w:t xml:space="preserve">noturīgi organiskie piesārņotāji (kopā </w:t>
            </w:r>
            <w:proofErr w:type="spellStart"/>
            <w:r w:rsidRPr="00667A27">
              <w:rPr>
                <w:lang w:val="lv-LV"/>
              </w:rPr>
              <w:t>policikliskie</w:t>
            </w:r>
            <w:proofErr w:type="spellEnd"/>
            <w:r w:rsidRPr="00667A27">
              <w:rPr>
                <w:lang w:val="lv-LV"/>
              </w:rPr>
              <w:t xml:space="preserve"> aromātiskie ogļūdeņraži, </w:t>
            </w:r>
            <w:r w:rsidRPr="00667A27">
              <w:rPr>
                <w:color w:val="000000"/>
                <w:lang w:val="lv-LV"/>
              </w:rPr>
              <w:t>heksahlorbenzols</w:t>
            </w:r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color w:val="000000"/>
                <w:lang w:val="lv-LV"/>
              </w:rPr>
              <w:t>polihlorbifenili</w:t>
            </w:r>
            <w:proofErr w:type="spellEnd"/>
            <w:r w:rsidRPr="00667A27">
              <w:rPr>
                <w:lang w:val="lv-LV"/>
              </w:rPr>
              <w:t>, dioksīni/</w:t>
            </w:r>
            <w:proofErr w:type="spellStart"/>
            <w:r w:rsidRPr="00667A27">
              <w:rPr>
                <w:lang w:val="lv-LV"/>
              </w:rPr>
              <w:t>furāni</w:t>
            </w:r>
            <w:proofErr w:type="spellEnd"/>
            <w:r w:rsidRPr="00667A27">
              <w:rPr>
                <w:lang w:val="lv-LV"/>
              </w:rPr>
              <w:t>);</w:t>
            </w:r>
          </w:p>
          <w:p w14:paraId="5E7F5BC3" w14:textId="77777777" w:rsidR="00A61FDE" w:rsidRPr="00667A27" w:rsidRDefault="00A61FDE" w:rsidP="002576F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667A27">
              <w:rPr>
                <w:lang w:val="lv-LV"/>
              </w:rPr>
              <w:t>- kvēpi, ja pieejams.</w:t>
            </w:r>
          </w:p>
          <w:p w14:paraId="56F02FD7" w14:textId="77777777" w:rsidR="00A61FDE" w:rsidRPr="00667A27" w:rsidRDefault="00A61FDE" w:rsidP="002576F7">
            <w:pPr>
              <w:rPr>
                <w:vanish/>
                <w:color w:val="000000"/>
                <w:lang w:val="lv-LV"/>
              </w:rPr>
            </w:pPr>
          </w:p>
          <w:p w14:paraId="57682970" w14:textId="77777777" w:rsidR="00A61FDE" w:rsidRPr="00667A27" w:rsidRDefault="00A61FDE" w:rsidP="002576F7">
            <w:pPr>
              <w:rPr>
                <w:vanish/>
                <w:color w:val="000000"/>
                <w:lang w:val="lv-LV"/>
              </w:rPr>
            </w:pPr>
          </w:p>
          <w:p w14:paraId="520AA1D3" w14:textId="77777777" w:rsidR="00A61FDE" w:rsidRPr="00667A27" w:rsidRDefault="00A61FDE" w:rsidP="002576F7">
            <w:pPr>
              <w:spacing w:after="0"/>
              <w:rPr>
                <w:lang w:val="lv-LV"/>
              </w:rPr>
            </w:pPr>
          </w:p>
        </w:tc>
        <w:tc>
          <w:tcPr>
            <w:tcW w:w="909" w:type="pct"/>
          </w:tcPr>
          <w:p w14:paraId="7CEF0A51" w14:textId="77777777" w:rsidR="00A61FDE" w:rsidRPr="00667A27" w:rsidRDefault="00A61FDE" w:rsidP="002576F7">
            <w:pPr>
              <w:pStyle w:val="tbl-txt"/>
              <w:spacing w:before="60" w:beforeAutospacing="0" w:after="6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par ziņošanas gadu mīnus 2 gadi (X – 2)</w:t>
            </w:r>
          </w:p>
          <w:p w14:paraId="796BD07D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986" w:type="pct"/>
          </w:tcPr>
          <w:p w14:paraId="382A5069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Reizi četros gados sākot no 2017. gada</w:t>
            </w:r>
          </w:p>
        </w:tc>
        <w:tc>
          <w:tcPr>
            <w:tcW w:w="909" w:type="pct"/>
          </w:tcPr>
          <w:p w14:paraId="4A5B8F81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1. maijs</w:t>
            </w:r>
            <w:r w:rsidRPr="00667A27">
              <w:rPr>
                <w:lang w:val="lv-LV"/>
              </w:rPr>
              <w:t> </w:t>
            </w:r>
            <w:r w:rsidRPr="00667A27">
              <w:rPr>
                <w:vertAlign w:val="superscript"/>
                <w:lang w:val="lv-LV"/>
              </w:rPr>
              <w:t>(</w:t>
            </w:r>
            <w:r w:rsidRPr="00667A27">
              <w:rPr>
                <w:rStyle w:val="super"/>
                <w:vertAlign w:val="superscript"/>
                <w:lang w:val="lv-LV"/>
              </w:rPr>
              <w:t>4</w:t>
            </w:r>
            <w:r w:rsidRPr="00667A27">
              <w:rPr>
                <w:vertAlign w:val="superscript"/>
                <w:lang w:val="lv-LV"/>
              </w:rPr>
              <w:t>)</w:t>
            </w:r>
          </w:p>
        </w:tc>
      </w:tr>
      <w:tr w:rsidR="00A61FDE" w:rsidRPr="00667A27" w14:paraId="4CD4C82E" w14:textId="77777777" w:rsidTr="00667A27">
        <w:tc>
          <w:tcPr>
            <w:tcW w:w="225" w:type="pct"/>
          </w:tcPr>
          <w:p w14:paraId="69D4D488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4.</w:t>
            </w:r>
          </w:p>
        </w:tc>
        <w:tc>
          <w:tcPr>
            <w:tcW w:w="910" w:type="pct"/>
          </w:tcPr>
          <w:p w14:paraId="24EA5CB2" w14:textId="534E6DC3" w:rsid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lang w:val="lv-LV"/>
              </w:rPr>
              <w:t xml:space="preserve">Ziņojums par lielo stacionāro avotu radītajām emisijām </w:t>
            </w:r>
            <w:r w:rsidRPr="00667A27">
              <w:rPr>
                <w:vertAlign w:val="superscript"/>
                <w:lang w:val="lv-LV"/>
              </w:rPr>
              <w:t>(</w:t>
            </w:r>
            <w:r w:rsidRPr="00667A27">
              <w:rPr>
                <w:rStyle w:val="super"/>
                <w:vertAlign w:val="superscript"/>
                <w:lang w:val="lv-LV"/>
              </w:rPr>
              <w:t>1</w:t>
            </w:r>
            <w:r w:rsidRPr="00667A27">
              <w:rPr>
                <w:vertAlign w:val="superscript"/>
                <w:lang w:val="lv-LV"/>
              </w:rPr>
              <w:t>)</w:t>
            </w:r>
            <w:r w:rsidRPr="00667A27">
              <w:rPr>
                <w:lang w:val="lv-LV"/>
              </w:rPr>
              <w:t>  </w:t>
            </w:r>
          </w:p>
          <w:p w14:paraId="11485FFA" w14:textId="77777777" w:rsidR="00667A27" w:rsidRPr="00667A27" w:rsidRDefault="00667A27" w:rsidP="00667A27">
            <w:pPr>
              <w:rPr>
                <w:lang w:eastAsia="lv-LV"/>
              </w:rPr>
            </w:pPr>
          </w:p>
          <w:p w14:paraId="51129C4E" w14:textId="77777777" w:rsidR="00667A27" w:rsidRPr="00667A27" w:rsidRDefault="00667A27" w:rsidP="00667A27">
            <w:pPr>
              <w:rPr>
                <w:lang w:eastAsia="lv-LV"/>
              </w:rPr>
            </w:pPr>
          </w:p>
          <w:p w14:paraId="60958A44" w14:textId="77777777" w:rsidR="00667A27" w:rsidRPr="00667A27" w:rsidRDefault="00667A27" w:rsidP="00667A27">
            <w:pPr>
              <w:rPr>
                <w:lang w:eastAsia="lv-LV"/>
              </w:rPr>
            </w:pPr>
          </w:p>
          <w:p w14:paraId="154C885D" w14:textId="77777777" w:rsidR="00667A27" w:rsidRPr="00667A27" w:rsidRDefault="00667A27" w:rsidP="00667A27">
            <w:pPr>
              <w:rPr>
                <w:lang w:eastAsia="lv-LV"/>
              </w:rPr>
            </w:pPr>
          </w:p>
          <w:p w14:paraId="1949BCF4" w14:textId="77777777" w:rsidR="00667A27" w:rsidRPr="00667A27" w:rsidRDefault="00667A27" w:rsidP="00667A27">
            <w:pPr>
              <w:rPr>
                <w:lang w:eastAsia="lv-LV"/>
              </w:rPr>
            </w:pPr>
          </w:p>
          <w:p w14:paraId="5E3218DE" w14:textId="77777777" w:rsidR="00667A27" w:rsidRPr="00667A27" w:rsidRDefault="00667A27" w:rsidP="00667A27">
            <w:pPr>
              <w:rPr>
                <w:lang w:eastAsia="lv-LV"/>
              </w:rPr>
            </w:pPr>
          </w:p>
          <w:p w14:paraId="2C6FAA70" w14:textId="77777777" w:rsidR="00667A27" w:rsidRPr="00667A27" w:rsidRDefault="00667A27" w:rsidP="00667A27">
            <w:pPr>
              <w:rPr>
                <w:lang w:eastAsia="lv-LV"/>
              </w:rPr>
            </w:pPr>
          </w:p>
          <w:p w14:paraId="01F7A50F" w14:textId="77777777" w:rsidR="00667A27" w:rsidRPr="00667A27" w:rsidRDefault="00667A27" w:rsidP="00667A27">
            <w:pPr>
              <w:rPr>
                <w:lang w:eastAsia="lv-LV"/>
              </w:rPr>
            </w:pPr>
          </w:p>
          <w:p w14:paraId="02D5A3D1" w14:textId="52EA4F79" w:rsidR="00A61FDE" w:rsidRPr="00667A27" w:rsidRDefault="00A61FDE" w:rsidP="00667A27">
            <w:pPr>
              <w:jc w:val="center"/>
              <w:rPr>
                <w:lang w:eastAsia="lv-LV"/>
              </w:rPr>
            </w:pPr>
          </w:p>
        </w:tc>
        <w:tc>
          <w:tcPr>
            <w:tcW w:w="1061" w:type="pct"/>
          </w:tcPr>
          <w:p w14:paraId="4DF2D2BC" w14:textId="77777777" w:rsidR="00A61FDE" w:rsidRPr="00667A27" w:rsidRDefault="00A61FDE" w:rsidP="002576F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667A27">
              <w:rPr>
                <w:lang w:val="lv-LV"/>
              </w:rPr>
              <w:t>- SO</w:t>
            </w:r>
            <w:r w:rsidRPr="00667A27">
              <w:rPr>
                <w:vertAlign w:val="subscript"/>
                <w:lang w:val="lv-LV"/>
              </w:rPr>
              <w:t>2</w:t>
            </w:r>
            <w:r w:rsidRPr="00667A27">
              <w:rPr>
                <w:lang w:val="lv-LV"/>
              </w:rPr>
              <w:t xml:space="preserve">, NOx, </w:t>
            </w:r>
            <w:proofErr w:type="spellStart"/>
            <w:r w:rsidR="00203B17" w:rsidRPr="00667A27">
              <w:rPr>
                <w:lang w:val="lv-LV"/>
              </w:rPr>
              <w:t>nemetāna</w:t>
            </w:r>
            <w:proofErr w:type="spellEnd"/>
            <w:r w:rsidR="00203B17" w:rsidRPr="00667A27">
              <w:rPr>
                <w:lang w:val="lv-LV"/>
              </w:rPr>
              <w:t xml:space="preserve"> </w:t>
            </w:r>
            <w:r w:rsidRPr="00667A27">
              <w:rPr>
                <w:lang w:val="lv-LV"/>
              </w:rPr>
              <w:t>gaistošie organiskie savienojumi, NH</w:t>
            </w:r>
            <w:r w:rsidRPr="00667A27">
              <w:rPr>
                <w:vertAlign w:val="subscript"/>
                <w:lang w:val="lv-LV"/>
              </w:rPr>
              <w:t>3</w:t>
            </w:r>
            <w:r w:rsidRPr="00667A27">
              <w:rPr>
                <w:lang w:val="lv-LV"/>
              </w:rPr>
              <w:t xml:space="preserve">, CO, </w:t>
            </w:r>
            <w:r w:rsidRPr="00667A27">
              <w:rPr>
                <w:color w:val="000000"/>
                <w:lang w:val="lv-LV"/>
              </w:rPr>
              <w:t>PM</w:t>
            </w:r>
            <w:r w:rsidRPr="00667A27">
              <w:rPr>
                <w:color w:val="000000"/>
                <w:vertAlign w:val="subscript"/>
                <w:lang w:val="lv-LV"/>
              </w:rPr>
              <w:t>2,5</w:t>
            </w:r>
            <w:r w:rsidRPr="00667A27">
              <w:rPr>
                <w:color w:val="000000"/>
                <w:lang w:val="lv-LV"/>
              </w:rPr>
              <w:t xml:space="preserve"> un PM</w:t>
            </w:r>
            <w:r w:rsidRPr="00667A27">
              <w:rPr>
                <w:color w:val="000000"/>
                <w:vertAlign w:val="subscript"/>
                <w:lang w:val="lv-LV"/>
              </w:rPr>
              <w:t>10</w:t>
            </w:r>
            <w:r w:rsidRPr="00667A27">
              <w:rPr>
                <w:color w:val="000000"/>
                <w:lang w:val="lv-LV"/>
              </w:rPr>
              <w:t>;</w:t>
            </w:r>
          </w:p>
          <w:p w14:paraId="778B475E" w14:textId="77777777" w:rsidR="00A61FDE" w:rsidRPr="00667A27" w:rsidRDefault="00A61FDE" w:rsidP="002576F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- smagie metāli (kadmijs, dzīvsudrabs un svins);</w:t>
            </w:r>
          </w:p>
          <w:p w14:paraId="353DCF85" w14:textId="77777777" w:rsidR="00A61FDE" w:rsidRPr="00667A27" w:rsidRDefault="00A61FDE" w:rsidP="002576F7">
            <w:pPr>
              <w:spacing w:after="0" w:line="240" w:lineRule="auto"/>
              <w:jc w:val="both"/>
              <w:rPr>
                <w:lang w:val="lv-LV"/>
              </w:rPr>
            </w:pPr>
            <w:r w:rsidRPr="00667A27">
              <w:rPr>
                <w:color w:val="000000"/>
                <w:lang w:val="lv-LV"/>
              </w:rPr>
              <w:t xml:space="preserve">- </w:t>
            </w:r>
            <w:r w:rsidRPr="00667A27">
              <w:rPr>
                <w:lang w:val="lv-LV"/>
              </w:rPr>
              <w:t xml:space="preserve">noturīgi organiskie piesārņotāji (kopā </w:t>
            </w:r>
            <w:proofErr w:type="spellStart"/>
            <w:r w:rsidRPr="00667A27">
              <w:rPr>
                <w:lang w:val="lv-LV"/>
              </w:rPr>
              <w:t>policikliskie</w:t>
            </w:r>
            <w:proofErr w:type="spellEnd"/>
            <w:r w:rsidRPr="00667A27">
              <w:rPr>
                <w:lang w:val="lv-LV"/>
              </w:rPr>
              <w:t xml:space="preserve"> aromātiskie ogļūdeņraži, </w:t>
            </w:r>
            <w:r w:rsidRPr="00667A27">
              <w:rPr>
                <w:color w:val="000000"/>
                <w:lang w:val="lv-LV"/>
              </w:rPr>
              <w:t>heksahlorbenzols</w:t>
            </w:r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color w:val="000000"/>
                <w:lang w:val="lv-LV"/>
              </w:rPr>
              <w:t>polihlorbifenili</w:t>
            </w:r>
            <w:proofErr w:type="spellEnd"/>
            <w:r w:rsidRPr="00667A27">
              <w:rPr>
                <w:lang w:val="lv-LV"/>
              </w:rPr>
              <w:t>, dioksīni/</w:t>
            </w:r>
            <w:proofErr w:type="spellStart"/>
            <w:r w:rsidRPr="00667A27">
              <w:rPr>
                <w:lang w:val="lv-LV"/>
              </w:rPr>
              <w:t>furāni</w:t>
            </w:r>
            <w:proofErr w:type="spellEnd"/>
            <w:r w:rsidRPr="00667A27">
              <w:rPr>
                <w:lang w:val="lv-LV"/>
              </w:rPr>
              <w:t>);</w:t>
            </w:r>
          </w:p>
          <w:p w14:paraId="1F4EEA39" w14:textId="77777777" w:rsidR="00A61FDE" w:rsidRPr="00667A27" w:rsidRDefault="00A61FDE" w:rsidP="002576F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667A27">
              <w:rPr>
                <w:lang w:val="lv-LV"/>
              </w:rPr>
              <w:lastRenderedPageBreak/>
              <w:t>- kvēpi, ja pieejams.</w:t>
            </w:r>
          </w:p>
        </w:tc>
        <w:tc>
          <w:tcPr>
            <w:tcW w:w="909" w:type="pct"/>
          </w:tcPr>
          <w:p w14:paraId="317C5C6F" w14:textId="77777777" w:rsidR="00A61FDE" w:rsidRPr="00667A27" w:rsidRDefault="00A61FDE" w:rsidP="002576F7">
            <w:pPr>
              <w:pStyle w:val="tbl-txt"/>
              <w:spacing w:before="60" w:beforeAutospacing="0" w:after="6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lastRenderedPageBreak/>
              <w:t>par ziņošanas gadu mīnus 2 gadi (X–2)</w:t>
            </w:r>
          </w:p>
          <w:p w14:paraId="0AF2CBFE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986" w:type="pct"/>
          </w:tcPr>
          <w:p w14:paraId="1F88958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Reizi četros gados sākot no 2017. gada</w:t>
            </w:r>
          </w:p>
        </w:tc>
        <w:tc>
          <w:tcPr>
            <w:tcW w:w="909" w:type="pct"/>
          </w:tcPr>
          <w:p w14:paraId="55DE50F6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1. maijs</w:t>
            </w:r>
            <w:r w:rsidRPr="00667A27">
              <w:rPr>
                <w:lang w:val="lv-LV"/>
              </w:rPr>
              <w:t> </w:t>
            </w:r>
            <w:r w:rsidRPr="00667A27">
              <w:rPr>
                <w:vertAlign w:val="superscript"/>
                <w:lang w:val="lv-LV"/>
              </w:rPr>
              <w:t>(</w:t>
            </w:r>
            <w:r w:rsidRPr="00667A27">
              <w:rPr>
                <w:rStyle w:val="super"/>
                <w:vertAlign w:val="superscript"/>
                <w:lang w:val="lv-LV"/>
              </w:rPr>
              <w:t>4</w:t>
            </w:r>
            <w:r w:rsidRPr="00667A27">
              <w:rPr>
                <w:vertAlign w:val="superscript"/>
                <w:lang w:val="lv-LV"/>
              </w:rPr>
              <w:t>)</w:t>
            </w:r>
          </w:p>
        </w:tc>
      </w:tr>
      <w:tr w:rsidR="00A61FDE" w:rsidRPr="00667A27" w14:paraId="78D47771" w14:textId="77777777" w:rsidTr="00667A27">
        <w:tc>
          <w:tcPr>
            <w:tcW w:w="225" w:type="pct"/>
          </w:tcPr>
          <w:p w14:paraId="1A106C3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5.</w:t>
            </w:r>
          </w:p>
        </w:tc>
        <w:tc>
          <w:tcPr>
            <w:tcW w:w="910" w:type="pct"/>
          </w:tcPr>
          <w:p w14:paraId="03157712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Informatīvais pārskata ziņojums</w:t>
            </w:r>
          </w:p>
        </w:tc>
        <w:tc>
          <w:tcPr>
            <w:tcW w:w="1061" w:type="pct"/>
          </w:tcPr>
          <w:p w14:paraId="69859A45" w14:textId="77777777" w:rsidR="00A61FDE" w:rsidRPr="00667A27" w:rsidRDefault="00A61FDE" w:rsidP="002576F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667A27">
              <w:rPr>
                <w:lang w:val="lv-LV"/>
              </w:rPr>
              <w:t>- SO</w:t>
            </w:r>
            <w:r w:rsidRPr="00667A27">
              <w:rPr>
                <w:vertAlign w:val="subscript"/>
                <w:lang w:val="lv-LV"/>
              </w:rPr>
              <w:t>2</w:t>
            </w:r>
            <w:r w:rsidRPr="00667A27">
              <w:rPr>
                <w:lang w:val="lv-LV"/>
              </w:rPr>
              <w:t xml:space="preserve">, NOx, </w:t>
            </w:r>
            <w:proofErr w:type="spellStart"/>
            <w:r w:rsidR="00203B17" w:rsidRPr="00667A27">
              <w:rPr>
                <w:lang w:val="lv-LV"/>
              </w:rPr>
              <w:t>nemetāna</w:t>
            </w:r>
            <w:proofErr w:type="spellEnd"/>
            <w:r w:rsidR="00203B17" w:rsidRPr="00667A27">
              <w:rPr>
                <w:lang w:val="lv-LV"/>
              </w:rPr>
              <w:t xml:space="preserve"> </w:t>
            </w:r>
            <w:r w:rsidRPr="00667A27">
              <w:rPr>
                <w:lang w:val="lv-LV"/>
              </w:rPr>
              <w:t>gaistošie organiskie savienojumi, NH</w:t>
            </w:r>
            <w:r w:rsidRPr="00667A27">
              <w:rPr>
                <w:vertAlign w:val="subscript"/>
                <w:lang w:val="lv-LV"/>
              </w:rPr>
              <w:t>3</w:t>
            </w:r>
            <w:r w:rsidRPr="00667A27">
              <w:rPr>
                <w:lang w:val="lv-LV"/>
              </w:rPr>
              <w:t xml:space="preserve">, CO, </w:t>
            </w:r>
            <w:r w:rsidRPr="00667A27">
              <w:rPr>
                <w:color w:val="000000"/>
                <w:lang w:val="lv-LV"/>
              </w:rPr>
              <w:t>PM</w:t>
            </w:r>
            <w:r w:rsidRPr="00667A27">
              <w:rPr>
                <w:color w:val="000000"/>
                <w:vertAlign w:val="subscript"/>
                <w:lang w:val="lv-LV"/>
              </w:rPr>
              <w:t>2,5</w:t>
            </w:r>
            <w:r w:rsidRPr="00667A27">
              <w:rPr>
                <w:color w:val="000000"/>
                <w:lang w:val="lv-LV"/>
              </w:rPr>
              <w:t xml:space="preserve"> un PM</w:t>
            </w:r>
            <w:r w:rsidRPr="00667A27">
              <w:rPr>
                <w:color w:val="000000"/>
                <w:vertAlign w:val="subscript"/>
                <w:lang w:val="lv-LV"/>
              </w:rPr>
              <w:t>10</w:t>
            </w:r>
            <w:r w:rsidRPr="00667A27">
              <w:rPr>
                <w:color w:val="000000"/>
                <w:lang w:val="lv-LV"/>
              </w:rPr>
              <w:t>;</w:t>
            </w:r>
          </w:p>
          <w:p w14:paraId="457C33C4" w14:textId="77777777" w:rsidR="00A61FDE" w:rsidRPr="00667A27" w:rsidRDefault="00A61FDE" w:rsidP="002576F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- smagie metāli (kadmijs, dzīvsudrabs un svins) un kvēpi;</w:t>
            </w:r>
          </w:p>
          <w:p w14:paraId="48DAC9DC" w14:textId="77777777" w:rsidR="00A61FDE" w:rsidRPr="00667A27" w:rsidRDefault="00A61FDE" w:rsidP="002576F7">
            <w:pPr>
              <w:spacing w:after="0" w:line="240" w:lineRule="auto"/>
              <w:jc w:val="both"/>
              <w:rPr>
                <w:lang w:val="lv-LV"/>
              </w:rPr>
            </w:pPr>
            <w:r w:rsidRPr="00667A27">
              <w:rPr>
                <w:color w:val="000000"/>
                <w:lang w:val="lv-LV"/>
              </w:rPr>
              <w:t xml:space="preserve">- </w:t>
            </w:r>
            <w:r w:rsidRPr="00667A27">
              <w:rPr>
                <w:lang w:val="lv-LV"/>
              </w:rPr>
              <w:t xml:space="preserve">noturīgi organiskie piesārņotāji (kopā </w:t>
            </w:r>
            <w:proofErr w:type="spellStart"/>
            <w:r w:rsidRPr="00667A27">
              <w:rPr>
                <w:lang w:val="lv-LV"/>
              </w:rPr>
              <w:t>policikliskie</w:t>
            </w:r>
            <w:proofErr w:type="spellEnd"/>
            <w:r w:rsidRPr="00667A27">
              <w:rPr>
                <w:lang w:val="lv-LV"/>
              </w:rPr>
              <w:t xml:space="preserve"> aromātiskie ogļūdeņraži, </w:t>
            </w:r>
            <w:proofErr w:type="spellStart"/>
            <w:r w:rsidRPr="00667A27">
              <w:rPr>
                <w:lang w:val="lv-LV"/>
              </w:rPr>
              <w:t>benzo</w:t>
            </w:r>
            <w:proofErr w:type="spellEnd"/>
            <w:r w:rsidRPr="00667A27">
              <w:rPr>
                <w:lang w:val="lv-LV"/>
              </w:rPr>
              <w:t>(a)</w:t>
            </w:r>
            <w:proofErr w:type="spellStart"/>
            <w:r w:rsidRPr="00667A27">
              <w:rPr>
                <w:lang w:val="lv-LV"/>
              </w:rPr>
              <w:t>pirēns</w:t>
            </w:r>
            <w:proofErr w:type="spellEnd"/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lang w:val="lv-LV"/>
              </w:rPr>
              <w:t>benzo</w:t>
            </w:r>
            <w:proofErr w:type="spellEnd"/>
            <w:r w:rsidRPr="00667A27">
              <w:rPr>
                <w:lang w:val="lv-LV"/>
              </w:rPr>
              <w:t>(b)</w:t>
            </w:r>
            <w:proofErr w:type="spellStart"/>
            <w:r w:rsidRPr="00667A27">
              <w:rPr>
                <w:lang w:val="lv-LV"/>
              </w:rPr>
              <w:t>fluorantēns</w:t>
            </w:r>
            <w:proofErr w:type="spellEnd"/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lang w:val="lv-LV"/>
              </w:rPr>
              <w:t>benzo</w:t>
            </w:r>
            <w:proofErr w:type="spellEnd"/>
            <w:r w:rsidRPr="00667A27">
              <w:rPr>
                <w:lang w:val="lv-LV"/>
              </w:rPr>
              <w:t>(k)</w:t>
            </w:r>
            <w:proofErr w:type="spellStart"/>
            <w:r w:rsidRPr="00667A27">
              <w:rPr>
                <w:lang w:val="lv-LV"/>
              </w:rPr>
              <w:t>fluorantēns</w:t>
            </w:r>
            <w:proofErr w:type="spellEnd"/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lang w:val="lv-LV"/>
              </w:rPr>
              <w:t>indeno</w:t>
            </w:r>
            <w:proofErr w:type="spellEnd"/>
            <w:r w:rsidRPr="00667A27">
              <w:rPr>
                <w:lang w:val="lv-LV"/>
              </w:rPr>
              <w:t>(1,2,3-c,d)</w:t>
            </w:r>
            <w:proofErr w:type="spellStart"/>
            <w:r w:rsidRPr="00667A27">
              <w:rPr>
                <w:lang w:val="lv-LV"/>
              </w:rPr>
              <w:t>pirēns</w:t>
            </w:r>
            <w:proofErr w:type="spellEnd"/>
            <w:r w:rsidRPr="00667A27">
              <w:rPr>
                <w:lang w:val="lv-LV"/>
              </w:rPr>
              <w:t>, dioksīni/</w:t>
            </w:r>
            <w:proofErr w:type="spellStart"/>
            <w:r w:rsidRPr="00667A27">
              <w:rPr>
                <w:lang w:val="lv-LV"/>
              </w:rPr>
              <w:t>furāni</w:t>
            </w:r>
            <w:proofErr w:type="spellEnd"/>
            <w:r w:rsidRPr="00667A27">
              <w:rPr>
                <w:lang w:val="lv-LV"/>
              </w:rPr>
              <w:t xml:space="preserve">, </w:t>
            </w:r>
            <w:proofErr w:type="spellStart"/>
            <w:r w:rsidRPr="00667A27">
              <w:rPr>
                <w:color w:val="000000"/>
                <w:lang w:val="lv-LV"/>
              </w:rPr>
              <w:t>polihlorbifenili</w:t>
            </w:r>
            <w:proofErr w:type="spellEnd"/>
            <w:r w:rsidRPr="00667A27">
              <w:rPr>
                <w:lang w:val="lv-LV"/>
              </w:rPr>
              <w:t xml:space="preserve">, </w:t>
            </w:r>
            <w:r w:rsidRPr="00667A27">
              <w:rPr>
                <w:color w:val="000000"/>
                <w:lang w:val="lv-LV"/>
              </w:rPr>
              <w:t>heksahlorbenzols</w:t>
            </w:r>
            <w:r w:rsidRPr="00667A27">
              <w:rPr>
                <w:lang w:val="lv-LV"/>
              </w:rPr>
              <w:t>);</w:t>
            </w:r>
          </w:p>
          <w:p w14:paraId="0C7EC6BB" w14:textId="77777777" w:rsidR="00A61FDE" w:rsidRPr="00667A27" w:rsidRDefault="00A61FDE" w:rsidP="002576F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667A27">
              <w:rPr>
                <w:lang w:val="lv-LV"/>
              </w:rPr>
              <w:t>- ja pieejams, smagie metāli (</w:t>
            </w:r>
            <w:r w:rsidRPr="00667A27">
              <w:rPr>
                <w:color w:val="000000"/>
                <w:lang w:val="lv-LV"/>
              </w:rPr>
              <w:t>arsēns, hroms, varš, niķelis, selēns un cinks un to savienojumiem</w:t>
            </w:r>
            <w:r w:rsidRPr="00667A27">
              <w:rPr>
                <w:lang w:val="lv-LV"/>
              </w:rPr>
              <w:t>) un kopējais suspendēto daļiņu apjoms.</w:t>
            </w:r>
          </w:p>
        </w:tc>
        <w:tc>
          <w:tcPr>
            <w:tcW w:w="909" w:type="pct"/>
          </w:tcPr>
          <w:p w14:paraId="769AA42F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 xml:space="preserve">par laikposmu no 1990. gada (kopējām suspendētajām daļiņām – no 2000. gada) līdz ziņošanas gadam mīnus 2 gadi (X – 2) </w:t>
            </w:r>
            <w:r w:rsidRPr="00667A27">
              <w:rPr>
                <w:lang w:val="lv-LV"/>
              </w:rPr>
              <w:t>atkarībā no piesārņojošās vielas</w:t>
            </w:r>
          </w:p>
        </w:tc>
        <w:tc>
          <w:tcPr>
            <w:tcW w:w="986" w:type="pct"/>
          </w:tcPr>
          <w:p w14:paraId="25999E61" w14:textId="77777777" w:rsidR="00A61FDE" w:rsidRPr="00667A27" w:rsidRDefault="00A61FDE" w:rsidP="002576F7">
            <w:pPr>
              <w:pStyle w:val="tbl-txt"/>
              <w:spacing w:before="60" w:beforeAutospacing="0" w:after="60" w:afterAutospacing="0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Reizi gadā</w:t>
            </w:r>
          </w:p>
          <w:p w14:paraId="115DBA18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909" w:type="pct"/>
          </w:tcPr>
          <w:p w14:paraId="53B8EFCD" w14:textId="77777777" w:rsidR="00A61FDE" w:rsidRPr="00667A27" w:rsidRDefault="00A61FDE" w:rsidP="002576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67A27">
              <w:rPr>
                <w:color w:val="000000"/>
                <w:lang w:val="lv-LV"/>
              </w:rPr>
              <w:t>15. marts</w:t>
            </w:r>
          </w:p>
        </w:tc>
      </w:tr>
    </w:tbl>
    <w:p w14:paraId="09F72071" w14:textId="77777777" w:rsidR="00A61FDE" w:rsidRPr="002D7AF5" w:rsidRDefault="00A61FDE" w:rsidP="00A61FDE">
      <w:pPr>
        <w:spacing w:before="240" w:after="60"/>
        <w:rPr>
          <w:sz w:val="28"/>
          <w:szCs w:val="28"/>
        </w:rPr>
      </w:pPr>
      <w:r w:rsidRPr="002D7AF5">
        <w:rPr>
          <w:sz w:val="28"/>
          <w:szCs w:val="28"/>
        </w:rPr>
        <w:t>Piezīmes.</w:t>
      </w:r>
    </w:p>
    <w:p w14:paraId="68A4423A" w14:textId="77777777" w:rsidR="00A61FDE" w:rsidRPr="002D7AF5" w:rsidRDefault="00A61FDE" w:rsidP="00A61FDE">
      <w:pPr>
        <w:pStyle w:val="no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7AF5">
        <w:rPr>
          <w:sz w:val="28"/>
          <w:szCs w:val="28"/>
        </w:rPr>
        <w:t>(</w:t>
      </w:r>
      <w:r w:rsidRPr="002D7AF5">
        <w:rPr>
          <w:rStyle w:val="super"/>
          <w:sz w:val="28"/>
          <w:szCs w:val="28"/>
          <w:vertAlign w:val="superscript"/>
        </w:rPr>
        <w:t>1</w:t>
      </w:r>
      <w:r w:rsidRPr="002D7AF5">
        <w:rPr>
          <w:sz w:val="28"/>
          <w:szCs w:val="28"/>
        </w:rPr>
        <w:t>)  Emisijas tiek atspoguļotas atbilstoši emisijas avotu kategorijām, kas noteiktas atbilstoši Ženēvas konvencijas ietvaros ziņošanā izmantotajai nomenklatūrai.</w:t>
      </w:r>
    </w:p>
    <w:p w14:paraId="008D873C" w14:textId="77777777" w:rsidR="00A61FDE" w:rsidRPr="002D7AF5" w:rsidRDefault="00A61FDE" w:rsidP="00A61FDE">
      <w:pPr>
        <w:pStyle w:val="no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7AF5">
        <w:rPr>
          <w:sz w:val="28"/>
          <w:szCs w:val="28"/>
        </w:rPr>
        <w:t>(</w:t>
      </w:r>
      <w:r w:rsidRPr="002D7AF5">
        <w:rPr>
          <w:rStyle w:val="super"/>
          <w:sz w:val="28"/>
          <w:szCs w:val="28"/>
          <w:vertAlign w:val="superscript"/>
        </w:rPr>
        <w:t>2</w:t>
      </w:r>
      <w:r w:rsidRPr="002D7AF5">
        <w:rPr>
          <w:sz w:val="28"/>
          <w:szCs w:val="28"/>
        </w:rPr>
        <w:t xml:space="preserve">)  Par dabiskajām emisijām ziņo saskaņā ar metodēm, kas noteiktas Ženēvas konvencijā un emisiju </w:t>
      </w:r>
      <w:r w:rsidRPr="002D7AF5">
        <w:rPr>
          <w:rStyle w:val="italic"/>
          <w:iCs/>
          <w:sz w:val="28"/>
          <w:szCs w:val="28"/>
        </w:rPr>
        <w:t>aprēķinu vadlīnijās</w:t>
      </w:r>
      <w:r w:rsidRPr="002D7AF5">
        <w:rPr>
          <w:sz w:val="28"/>
          <w:szCs w:val="28"/>
        </w:rPr>
        <w:t>. Tās neiekļauj valsts kopējās emisijās un par tām ziņo atsevišķi.</w:t>
      </w:r>
    </w:p>
    <w:p w14:paraId="5089CC4E" w14:textId="77777777" w:rsidR="00A61FDE" w:rsidRPr="002D7AF5" w:rsidRDefault="00A61FDE" w:rsidP="00A61FDE">
      <w:pPr>
        <w:pStyle w:val="no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7AF5">
        <w:rPr>
          <w:sz w:val="28"/>
          <w:szCs w:val="28"/>
        </w:rPr>
        <w:t>(</w:t>
      </w:r>
      <w:r w:rsidRPr="002D7AF5">
        <w:rPr>
          <w:rStyle w:val="super"/>
          <w:sz w:val="28"/>
          <w:szCs w:val="28"/>
          <w:vertAlign w:val="superscript"/>
        </w:rPr>
        <w:t>3</w:t>
      </w:r>
      <w:r w:rsidRPr="002D7AF5">
        <w:rPr>
          <w:sz w:val="28"/>
          <w:szCs w:val="28"/>
        </w:rPr>
        <w:t>)  “PM</w:t>
      </w:r>
      <w:r w:rsidRPr="002D7AF5">
        <w:rPr>
          <w:rStyle w:val="sub"/>
          <w:sz w:val="28"/>
          <w:szCs w:val="28"/>
          <w:vertAlign w:val="subscript"/>
        </w:rPr>
        <w:t>10</w:t>
      </w:r>
      <w:r w:rsidRPr="002D7AF5">
        <w:rPr>
          <w:sz w:val="28"/>
          <w:szCs w:val="28"/>
        </w:rPr>
        <w:t>” ir daļiņas, kuru aerodinamiskais diametrs ir vienāds ar vai mazāks par 10 mikrometriem (</w:t>
      </w:r>
      <w:proofErr w:type="spellStart"/>
      <w:r w:rsidRPr="002D7AF5">
        <w:rPr>
          <w:sz w:val="28"/>
          <w:szCs w:val="28"/>
        </w:rPr>
        <w:t>μm</w:t>
      </w:r>
      <w:proofErr w:type="spellEnd"/>
      <w:r w:rsidRPr="002D7AF5">
        <w:rPr>
          <w:sz w:val="28"/>
          <w:szCs w:val="28"/>
        </w:rPr>
        <w:t>).</w:t>
      </w:r>
    </w:p>
    <w:p w14:paraId="470F9DE7" w14:textId="0CFF0E66" w:rsidR="005E6689" w:rsidRPr="002D7AF5" w:rsidRDefault="00A61FDE" w:rsidP="00046DB9">
      <w:pPr>
        <w:pStyle w:val="no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7AF5">
        <w:rPr>
          <w:sz w:val="28"/>
          <w:szCs w:val="28"/>
        </w:rPr>
        <w:t>(</w:t>
      </w:r>
      <w:r w:rsidRPr="002D7AF5">
        <w:rPr>
          <w:rStyle w:val="super"/>
          <w:sz w:val="28"/>
          <w:szCs w:val="28"/>
          <w:vertAlign w:val="superscript"/>
        </w:rPr>
        <w:t>4</w:t>
      </w:r>
      <w:r w:rsidRPr="002D7AF5">
        <w:rPr>
          <w:sz w:val="28"/>
          <w:szCs w:val="28"/>
        </w:rPr>
        <w:t>)  Ja iesniegtie dati ir kļūdaini, dati ir jāiesniedz atkārtoti ne vēlāk kā četru nedēļu laikā, izskaidrojot veiktās izmaiņas.</w:t>
      </w:r>
    </w:p>
    <w:p w14:paraId="02514032" w14:textId="77777777" w:rsidR="002D7AF5" w:rsidRPr="002D7AF5" w:rsidRDefault="002D7AF5" w:rsidP="002D7AF5">
      <w:pPr>
        <w:pStyle w:val="note"/>
        <w:shd w:val="clear" w:color="auto" w:fill="FFFFFF"/>
        <w:spacing w:after="0"/>
        <w:jc w:val="both"/>
        <w:rPr>
          <w:sz w:val="28"/>
          <w:szCs w:val="28"/>
        </w:rPr>
      </w:pPr>
    </w:p>
    <w:p w14:paraId="45E3820C" w14:textId="02186821" w:rsidR="002D7AF5" w:rsidRPr="002D7AF5" w:rsidRDefault="002D7AF5" w:rsidP="002D7AF5">
      <w:pPr>
        <w:pStyle w:val="no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7AF5">
        <w:rPr>
          <w:sz w:val="28"/>
          <w:szCs w:val="28"/>
        </w:rPr>
        <w:t>Vides aizsardzības un reģionālās attīstības ministrs</w:t>
      </w:r>
      <w:r w:rsidRPr="002D7AF5">
        <w:rPr>
          <w:sz w:val="28"/>
          <w:szCs w:val="28"/>
        </w:rPr>
        <w:tab/>
      </w:r>
      <w:r w:rsidRPr="002D7AF5">
        <w:rPr>
          <w:sz w:val="28"/>
          <w:szCs w:val="28"/>
        </w:rPr>
        <w:tab/>
      </w:r>
      <w:r w:rsidRPr="002D7AF5">
        <w:rPr>
          <w:sz w:val="28"/>
          <w:szCs w:val="28"/>
        </w:rPr>
        <w:tab/>
        <w:t xml:space="preserve"> K. Gerhards</w:t>
      </w:r>
    </w:p>
    <w:sectPr w:rsidR="002D7AF5" w:rsidRPr="002D7AF5" w:rsidSect="00D25441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20" w:h="16840"/>
      <w:pgMar w:top="851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F2AB9" w14:textId="77777777" w:rsidR="005B3B3E" w:rsidRDefault="005B3B3E" w:rsidP="003E6EE7">
      <w:pPr>
        <w:spacing w:after="0" w:line="240" w:lineRule="auto"/>
      </w:pPr>
      <w:r>
        <w:separator/>
      </w:r>
    </w:p>
  </w:endnote>
  <w:endnote w:type="continuationSeparator" w:id="0">
    <w:p w14:paraId="07882A8C" w14:textId="77777777" w:rsidR="005B3B3E" w:rsidRDefault="005B3B3E" w:rsidP="003E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85A22" w14:textId="12AB105A" w:rsidR="003E6EE7" w:rsidRPr="003E6EE7" w:rsidRDefault="003E6EE7" w:rsidP="003E6EE7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VARAMnotp3_</w:t>
    </w:r>
    <w:r w:rsidR="00357366">
      <w:rPr>
        <w:sz w:val="20"/>
        <w:szCs w:val="20"/>
      </w:rPr>
      <w:t>1705</w:t>
    </w:r>
    <w:r>
      <w:rPr>
        <w:sz w:val="20"/>
        <w:szCs w:val="20"/>
      </w:rPr>
      <w:t>18_NEC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C19C" w14:textId="6EFF7456" w:rsidR="003E6EE7" w:rsidRPr="003E6EE7" w:rsidRDefault="003E6EE7" w:rsidP="003E6EE7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VARAMnotp3_</w:t>
    </w:r>
    <w:r w:rsidR="00667A27">
      <w:rPr>
        <w:sz w:val="20"/>
        <w:szCs w:val="20"/>
      </w:rPr>
      <w:t>1705</w:t>
    </w:r>
    <w:r>
      <w:rPr>
        <w:sz w:val="20"/>
        <w:szCs w:val="20"/>
      </w:rPr>
      <w:t>18_NEC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B16F" w14:textId="77777777" w:rsidR="005B3B3E" w:rsidRDefault="005B3B3E" w:rsidP="003E6EE7">
      <w:pPr>
        <w:spacing w:after="0" w:line="240" w:lineRule="auto"/>
      </w:pPr>
      <w:r>
        <w:separator/>
      </w:r>
    </w:p>
  </w:footnote>
  <w:footnote w:type="continuationSeparator" w:id="0">
    <w:p w14:paraId="15ED200D" w14:textId="77777777" w:rsidR="005B3B3E" w:rsidRDefault="005B3B3E" w:rsidP="003E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1C752" w14:textId="3BFDF35D" w:rsidR="00046DB9" w:rsidRDefault="00046DB9" w:rsidP="00046DB9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DEF6" w14:textId="6E56B576" w:rsidR="00046DB9" w:rsidRDefault="00046DB9">
    <w:pPr>
      <w:pStyle w:val="Header"/>
      <w:jc w:val="center"/>
    </w:pPr>
  </w:p>
  <w:p w14:paraId="30DD992B" w14:textId="77777777" w:rsidR="00046DB9" w:rsidRDefault="00046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DE"/>
    <w:rsid w:val="00042B56"/>
    <w:rsid w:val="00043E62"/>
    <w:rsid w:val="00046DB9"/>
    <w:rsid w:val="000A29BF"/>
    <w:rsid w:val="00200359"/>
    <w:rsid w:val="00203B17"/>
    <w:rsid w:val="002A5698"/>
    <w:rsid w:val="002D7AF5"/>
    <w:rsid w:val="00357366"/>
    <w:rsid w:val="003739AD"/>
    <w:rsid w:val="003E6EE7"/>
    <w:rsid w:val="005B3B3E"/>
    <w:rsid w:val="005E6689"/>
    <w:rsid w:val="00622397"/>
    <w:rsid w:val="00667A27"/>
    <w:rsid w:val="006D0021"/>
    <w:rsid w:val="007711D0"/>
    <w:rsid w:val="00813A0B"/>
    <w:rsid w:val="009E64A8"/>
    <w:rsid w:val="00A61FDE"/>
    <w:rsid w:val="00A72FFB"/>
    <w:rsid w:val="00B62268"/>
    <w:rsid w:val="00CE258A"/>
    <w:rsid w:val="00D14D87"/>
    <w:rsid w:val="00D25441"/>
    <w:rsid w:val="00D40E7F"/>
    <w:rsid w:val="00E02B3E"/>
    <w:rsid w:val="00F6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8C566"/>
  <w15:chartTrackingRefBased/>
  <w15:docId w15:val="{F82022CF-810C-4589-BB40-CDC83576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D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FDE"/>
    <w:pPr>
      <w:spacing w:after="0" w:line="240" w:lineRule="auto"/>
    </w:pPr>
    <w:rPr>
      <w:rFonts w:ascii="Times New Roman" w:eastAsia="Calibri" w:hAnsi="Times New Roman" w:cs="TimesNewRomanPSM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rsid w:val="00A61FDE"/>
  </w:style>
  <w:style w:type="character" w:customStyle="1" w:styleId="super">
    <w:name w:val="super"/>
    <w:basedOn w:val="DefaultParagraphFont"/>
    <w:rsid w:val="00A61FDE"/>
  </w:style>
  <w:style w:type="paragraph" w:customStyle="1" w:styleId="note">
    <w:name w:val="note"/>
    <w:basedOn w:val="Normal"/>
    <w:rsid w:val="00A61FDE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ti-tbl">
    <w:name w:val="ti-tbl"/>
    <w:basedOn w:val="Normal"/>
    <w:rsid w:val="00A61FDE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tbl-txt">
    <w:name w:val="tbl-txt"/>
    <w:basedOn w:val="Normal"/>
    <w:rsid w:val="00A61FDE"/>
    <w:pPr>
      <w:spacing w:before="100" w:beforeAutospacing="1" w:after="100" w:afterAutospacing="1" w:line="240" w:lineRule="auto"/>
    </w:pPr>
    <w:rPr>
      <w:lang w:eastAsia="lv-LV"/>
    </w:rPr>
  </w:style>
  <w:style w:type="character" w:customStyle="1" w:styleId="sub">
    <w:name w:val="sub"/>
    <w:basedOn w:val="DefaultParagraphFont"/>
    <w:rsid w:val="00A61FDE"/>
  </w:style>
  <w:style w:type="paragraph" w:styleId="NormalWeb">
    <w:name w:val="Normal (Web)"/>
    <w:basedOn w:val="Normal"/>
    <w:uiPriority w:val="99"/>
    <w:unhideWhenUsed/>
    <w:rsid w:val="00A61FDE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naislab">
    <w:name w:val="naislab"/>
    <w:basedOn w:val="Normal"/>
    <w:rsid w:val="00A61FDE"/>
    <w:pPr>
      <w:spacing w:before="75" w:after="75" w:line="240" w:lineRule="auto"/>
      <w:jc w:val="right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E6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E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kopējo gaisu piesārņojošo vielu emisiju samazināšanu un uzskaiti</vt:lpstr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kopējo gaisu piesārņojošo vielu emisiju samazināšanu un uzskaiti</dc:title>
  <dc:subject>3.pielikums</dc:subject>
  <dc:creator>Lana Maslova</dc:creator>
  <cp:keywords/>
  <dc:description>lana.maslova@varam.gov.lv, 67026586</dc:description>
  <cp:lastModifiedBy>Lana Maslova</cp:lastModifiedBy>
  <cp:revision>3</cp:revision>
  <dcterms:created xsi:type="dcterms:W3CDTF">2018-05-17T10:02:00Z</dcterms:created>
  <dcterms:modified xsi:type="dcterms:W3CDTF">2018-05-18T06:43:00Z</dcterms:modified>
</cp:coreProperties>
</file>