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A7" w:rsidRPr="00CA06ED" w:rsidRDefault="003B4CA7" w:rsidP="003B4CA7">
      <w:pPr>
        <w:pStyle w:val="naislab"/>
        <w:spacing w:before="0" w:after="0"/>
        <w:rPr>
          <w:sz w:val="28"/>
          <w:szCs w:val="28"/>
        </w:rPr>
      </w:pPr>
      <w:r w:rsidRPr="00CA06ED">
        <w:rPr>
          <w:sz w:val="28"/>
          <w:szCs w:val="28"/>
        </w:rPr>
        <w:t>4. pielikums</w:t>
      </w:r>
    </w:p>
    <w:p w:rsidR="003B4CA7" w:rsidRPr="00CA06ED" w:rsidRDefault="003B4CA7" w:rsidP="003B4CA7">
      <w:pPr>
        <w:pStyle w:val="naislab"/>
        <w:spacing w:before="0" w:after="0"/>
        <w:rPr>
          <w:sz w:val="28"/>
          <w:szCs w:val="28"/>
        </w:rPr>
      </w:pPr>
      <w:r w:rsidRPr="00CA06ED">
        <w:rPr>
          <w:sz w:val="28"/>
          <w:szCs w:val="28"/>
        </w:rPr>
        <w:t>Ministru kabineta</w:t>
      </w:r>
    </w:p>
    <w:p w:rsidR="003B4CA7" w:rsidRPr="00CA06ED" w:rsidRDefault="003B4CA7" w:rsidP="003B4CA7">
      <w:pPr>
        <w:pStyle w:val="naislab"/>
        <w:spacing w:before="0" w:after="0"/>
        <w:rPr>
          <w:sz w:val="28"/>
          <w:szCs w:val="28"/>
        </w:rPr>
      </w:pPr>
      <w:r w:rsidRPr="00CA06ED">
        <w:rPr>
          <w:sz w:val="28"/>
          <w:szCs w:val="28"/>
        </w:rPr>
        <w:t>2018. gada __.__________</w:t>
      </w:r>
    </w:p>
    <w:p w:rsidR="003B4CA7" w:rsidRPr="00CA06ED" w:rsidRDefault="003B4CA7" w:rsidP="003B4CA7">
      <w:pPr>
        <w:pStyle w:val="naislab"/>
        <w:spacing w:before="0" w:after="0"/>
        <w:rPr>
          <w:sz w:val="28"/>
          <w:szCs w:val="28"/>
        </w:rPr>
      </w:pPr>
      <w:r w:rsidRPr="00CA06ED">
        <w:rPr>
          <w:sz w:val="28"/>
          <w:szCs w:val="28"/>
        </w:rPr>
        <w:t>noteikumiem Nr.____</w:t>
      </w:r>
    </w:p>
    <w:p w:rsidR="003B4CA7" w:rsidRPr="00CA06ED" w:rsidRDefault="003B4CA7" w:rsidP="003B4CA7">
      <w:pPr>
        <w:pStyle w:val="ti-grseq-1"/>
        <w:shd w:val="clear" w:color="auto" w:fill="FFFFFF"/>
        <w:spacing w:before="240" w:beforeAutospacing="0" w:after="120" w:afterAutospacing="0"/>
        <w:jc w:val="center"/>
        <w:rPr>
          <w:b/>
          <w:bCs/>
          <w:color w:val="000000"/>
          <w:sz w:val="28"/>
          <w:szCs w:val="28"/>
        </w:rPr>
      </w:pPr>
      <w:r w:rsidRPr="00CA06ED">
        <w:rPr>
          <w:b/>
          <w:sz w:val="28"/>
          <w:szCs w:val="28"/>
        </w:rPr>
        <w:t>Prasības emisiju ziņojumu un prognožu sagatavošanai</w:t>
      </w:r>
    </w:p>
    <w:p w:rsidR="003B4CA7" w:rsidRPr="00CA06ED" w:rsidRDefault="003B4CA7" w:rsidP="003B4CA7">
      <w:pPr>
        <w:pStyle w:val="ti-grseq-1"/>
        <w:shd w:val="clear" w:color="auto" w:fill="FFFFFF"/>
        <w:spacing w:before="240" w:beforeAutospacing="0" w:after="120" w:afterAutospacing="0"/>
        <w:ind w:left="1080"/>
        <w:jc w:val="center"/>
        <w:rPr>
          <w:b/>
          <w:color w:val="000000"/>
          <w:sz w:val="28"/>
          <w:szCs w:val="28"/>
        </w:rPr>
      </w:pPr>
      <w:r w:rsidRPr="00CA06ED">
        <w:rPr>
          <w:b/>
          <w:color w:val="000000"/>
          <w:sz w:val="28"/>
          <w:szCs w:val="28"/>
        </w:rPr>
        <w:t>I. Ziņojums par valsts kopējām emisijām</w:t>
      </w:r>
    </w:p>
    <w:p w:rsidR="003B4CA7" w:rsidRPr="00CA06ED" w:rsidRDefault="003B4CA7" w:rsidP="003B4CA7">
      <w:pPr>
        <w:pStyle w:val="ti-grseq-1"/>
        <w:shd w:val="clear" w:color="auto" w:fill="FFFFFF"/>
        <w:spacing w:before="0" w:beforeAutospacing="0" w:after="0" w:afterAutospacing="0"/>
        <w:ind w:firstLine="709"/>
        <w:jc w:val="both"/>
        <w:rPr>
          <w:color w:val="000000"/>
          <w:sz w:val="28"/>
          <w:szCs w:val="28"/>
        </w:rPr>
      </w:pPr>
      <w:r w:rsidRPr="00CA06ED">
        <w:rPr>
          <w:color w:val="000000"/>
          <w:sz w:val="28"/>
          <w:szCs w:val="28"/>
        </w:rPr>
        <w:tab/>
        <w:t>1.</w:t>
      </w:r>
      <w:r w:rsidRPr="00CA06ED">
        <w:rPr>
          <w:color w:val="000000"/>
          <w:sz w:val="28"/>
          <w:szCs w:val="28"/>
        </w:rPr>
        <w:tab/>
        <w:t>Emisiju ziņojumam jābūt pārredzamam, konsekventam, salīdzināmam, pilnīgam un precīzam.</w:t>
      </w:r>
    </w:p>
    <w:p w:rsidR="003B4CA7" w:rsidRPr="00CA06ED" w:rsidRDefault="003B4CA7" w:rsidP="003B4CA7">
      <w:pPr>
        <w:pStyle w:val="ti-grseq-1"/>
        <w:shd w:val="clear" w:color="auto" w:fill="FFFFFF"/>
        <w:spacing w:before="0" w:beforeAutospacing="0" w:after="0" w:afterAutospacing="0"/>
        <w:ind w:firstLine="709"/>
        <w:jc w:val="both"/>
        <w:rPr>
          <w:color w:val="000000"/>
          <w:sz w:val="28"/>
          <w:szCs w:val="28"/>
        </w:rPr>
      </w:pPr>
      <w:r w:rsidRPr="00CA06ED">
        <w:rPr>
          <w:color w:val="000000"/>
          <w:sz w:val="28"/>
          <w:szCs w:val="28"/>
        </w:rPr>
        <w:tab/>
        <w:t>2.</w:t>
      </w:r>
      <w:r w:rsidRPr="00CA06ED">
        <w:rPr>
          <w:color w:val="000000"/>
          <w:sz w:val="28"/>
          <w:szCs w:val="28"/>
        </w:rPr>
        <w:tab/>
        <w:t>Emisijas no galvenajām avotu kategorijām aprēķina saskaņā ar emisiju</w:t>
      </w:r>
      <w:r w:rsidR="000E7EF4" w:rsidRPr="00CA06ED">
        <w:rPr>
          <w:color w:val="000000"/>
          <w:sz w:val="28"/>
          <w:szCs w:val="28"/>
        </w:rPr>
        <w:t xml:space="preserve"> ziņošanas un</w:t>
      </w:r>
      <w:r w:rsidRPr="00CA06ED">
        <w:rPr>
          <w:color w:val="000000"/>
          <w:sz w:val="28"/>
          <w:szCs w:val="28"/>
        </w:rPr>
        <w:t xml:space="preserve"> aprēķinu vadlīnijās definētām metodēm, cenšoties izmantot otrā līmeņa vai augstāka līmeņa (detalizētākas) metodes. Var izmantot arī citas zinātniski pamatotas un saderīgas metodes, ja ar minētajām metodēm iegūst precīzāk</w:t>
      </w:r>
      <w:r w:rsidR="002A60E7" w:rsidRPr="00CA06ED">
        <w:rPr>
          <w:color w:val="000000"/>
          <w:sz w:val="28"/>
          <w:szCs w:val="28"/>
        </w:rPr>
        <w:t>us</w:t>
      </w:r>
      <w:r w:rsidRPr="00CA06ED">
        <w:rPr>
          <w:color w:val="000000"/>
          <w:sz w:val="28"/>
          <w:szCs w:val="28"/>
        </w:rPr>
        <w:t xml:space="preserve"> ap</w:t>
      </w:r>
      <w:r w:rsidR="002A60E7" w:rsidRPr="00CA06ED">
        <w:rPr>
          <w:color w:val="000000"/>
          <w:sz w:val="28"/>
          <w:szCs w:val="28"/>
        </w:rPr>
        <w:t xml:space="preserve">rēķinus </w:t>
      </w:r>
      <w:r w:rsidRPr="00CA06ED">
        <w:rPr>
          <w:color w:val="000000"/>
          <w:sz w:val="28"/>
          <w:szCs w:val="28"/>
        </w:rPr>
        <w:t xml:space="preserve">nekā ar emisiju </w:t>
      </w:r>
      <w:r w:rsidR="000E7EF4" w:rsidRPr="00CA06ED">
        <w:rPr>
          <w:color w:val="000000"/>
          <w:sz w:val="28"/>
          <w:szCs w:val="28"/>
        </w:rPr>
        <w:t xml:space="preserve">ziņošanas un </w:t>
      </w:r>
      <w:r w:rsidRPr="00CA06ED">
        <w:rPr>
          <w:color w:val="000000"/>
          <w:sz w:val="28"/>
          <w:szCs w:val="28"/>
        </w:rPr>
        <w:t>aprēķinu vadlīnijās norādītajām standarta metodēm.</w:t>
      </w:r>
    </w:p>
    <w:p w:rsidR="003B4CA7" w:rsidRPr="00CA06ED" w:rsidRDefault="003B4CA7" w:rsidP="003B4CA7">
      <w:pPr>
        <w:pStyle w:val="ti-grseq-1"/>
        <w:shd w:val="clear" w:color="auto" w:fill="FFFFFF"/>
        <w:spacing w:before="0" w:beforeAutospacing="0" w:after="0" w:afterAutospacing="0"/>
        <w:ind w:firstLine="709"/>
        <w:jc w:val="both"/>
        <w:rPr>
          <w:color w:val="000000"/>
          <w:sz w:val="28"/>
          <w:szCs w:val="28"/>
        </w:rPr>
      </w:pPr>
      <w:r w:rsidRPr="00CA06ED">
        <w:rPr>
          <w:color w:val="000000"/>
          <w:sz w:val="28"/>
          <w:szCs w:val="28"/>
        </w:rPr>
        <w:tab/>
        <w:t>3.</w:t>
      </w:r>
      <w:r w:rsidRPr="00CA06ED">
        <w:rPr>
          <w:color w:val="000000"/>
          <w:sz w:val="28"/>
          <w:szCs w:val="28"/>
        </w:rPr>
        <w:tab/>
        <w:t>Veicot transporta sektora emisijas aprēķinus, ņem vērā Centrālās Statistikas pārvaldes sagatavoto energobilanci, kas iesniegta Eiropas Savienības Statistikas birojam.</w:t>
      </w:r>
    </w:p>
    <w:p w:rsidR="003B4CA7" w:rsidRPr="00CA06ED" w:rsidRDefault="003B4CA7" w:rsidP="003B4CA7">
      <w:pPr>
        <w:pStyle w:val="ti-grseq-1"/>
        <w:shd w:val="clear" w:color="auto" w:fill="FFFFFF"/>
        <w:spacing w:before="0" w:beforeAutospacing="0" w:after="0" w:afterAutospacing="0"/>
        <w:ind w:firstLine="709"/>
        <w:jc w:val="both"/>
        <w:rPr>
          <w:color w:val="000000"/>
          <w:sz w:val="28"/>
          <w:szCs w:val="28"/>
        </w:rPr>
      </w:pPr>
      <w:r w:rsidRPr="00CA06ED">
        <w:rPr>
          <w:color w:val="000000"/>
          <w:sz w:val="28"/>
          <w:szCs w:val="28"/>
        </w:rPr>
        <w:tab/>
        <w:t>4.</w:t>
      </w:r>
      <w:r w:rsidRPr="00CA06ED">
        <w:rPr>
          <w:color w:val="000000"/>
          <w:sz w:val="28"/>
          <w:szCs w:val="28"/>
        </w:rPr>
        <w:tab/>
        <w:t>Autotransporta emisijas aprēķina, pamatojoties uz informāciju par pārdotajām degvielām. Papildus var veikt aprēķinus, pamatojoties uz datiem par izmantotajām degvielām vai nobrauktajiem kilometriem valstī.</w:t>
      </w:r>
    </w:p>
    <w:p w:rsidR="003B4CA7" w:rsidRPr="00CA06ED" w:rsidRDefault="003B4CA7" w:rsidP="003B4CA7">
      <w:pPr>
        <w:pStyle w:val="ti-grseq-1"/>
        <w:shd w:val="clear" w:color="auto" w:fill="FFFFFF"/>
        <w:spacing w:before="0" w:beforeAutospacing="0" w:after="0" w:afterAutospacing="0"/>
        <w:ind w:firstLine="709"/>
        <w:jc w:val="both"/>
        <w:rPr>
          <w:color w:val="000000"/>
          <w:sz w:val="28"/>
          <w:szCs w:val="28"/>
        </w:rPr>
      </w:pPr>
      <w:r w:rsidRPr="00CA06ED">
        <w:rPr>
          <w:color w:val="000000"/>
          <w:sz w:val="28"/>
          <w:szCs w:val="28"/>
        </w:rPr>
        <w:tab/>
        <w:t>5.</w:t>
      </w:r>
      <w:r w:rsidRPr="00CA06ED">
        <w:rPr>
          <w:color w:val="000000"/>
          <w:sz w:val="28"/>
          <w:szCs w:val="28"/>
        </w:rPr>
        <w:tab/>
      </w:r>
      <w:r w:rsidRPr="00CA06ED">
        <w:rPr>
          <w:sz w:val="28"/>
          <w:szCs w:val="28"/>
        </w:rPr>
        <w:t>Emisijas tiek atspoguļotas atbilstoši emisijas avotu kategorijām un vienībās, kas noteiktas atbilstoši Ženēvas konvencijas ietvaros ziņošanā izmantotajai nomenklatūrai.</w:t>
      </w:r>
    </w:p>
    <w:p w:rsidR="00D50AEA" w:rsidRPr="00CA06ED" w:rsidRDefault="00D50AEA" w:rsidP="00D50AEA">
      <w:pPr>
        <w:pStyle w:val="ti-grseq-1"/>
        <w:shd w:val="clear" w:color="auto" w:fill="FFFFFF"/>
        <w:spacing w:before="240" w:beforeAutospacing="0" w:after="120" w:afterAutospacing="0"/>
        <w:jc w:val="center"/>
        <w:rPr>
          <w:b/>
          <w:bCs/>
          <w:color w:val="000000"/>
          <w:sz w:val="28"/>
          <w:szCs w:val="28"/>
        </w:rPr>
      </w:pPr>
      <w:r w:rsidRPr="00CA06ED">
        <w:rPr>
          <w:rStyle w:val="bold"/>
          <w:rFonts w:ascii="inherit" w:hAnsi="inherit"/>
          <w:b/>
          <w:bCs/>
          <w:color w:val="000000"/>
          <w:sz w:val="28"/>
          <w:szCs w:val="28"/>
        </w:rPr>
        <w:t>II. Informatīvais pārskata ziņojums</w:t>
      </w:r>
    </w:p>
    <w:p w:rsidR="00D50AEA" w:rsidRPr="00CA06ED" w:rsidRDefault="00D50AEA" w:rsidP="00D50AEA">
      <w:pPr>
        <w:pStyle w:val="Normal1"/>
        <w:shd w:val="clear" w:color="auto" w:fill="FFFFFF"/>
        <w:spacing w:before="0" w:beforeAutospacing="0" w:after="0" w:afterAutospacing="0"/>
        <w:ind w:firstLine="851"/>
        <w:jc w:val="both"/>
        <w:rPr>
          <w:color w:val="000000"/>
          <w:sz w:val="28"/>
          <w:szCs w:val="28"/>
        </w:rPr>
      </w:pPr>
      <w:r w:rsidRPr="00CA06ED">
        <w:rPr>
          <w:color w:val="000000"/>
          <w:sz w:val="28"/>
          <w:szCs w:val="28"/>
        </w:rPr>
        <w:t xml:space="preserve">Informatīvo pārskata ziņojumu sagatavo saskaņā ar emisiju ziņošanas un aprēķinu vadlīnijām, izmantojot vadlīnijās paredzēto pārskata ziņojuma veidni. </w:t>
      </w:r>
    </w:p>
    <w:p w:rsidR="00D50AEA" w:rsidRPr="00CA06ED" w:rsidRDefault="00D50AEA" w:rsidP="00D50AEA">
      <w:pPr>
        <w:pStyle w:val="Normal1"/>
        <w:shd w:val="clear" w:color="auto" w:fill="FFFFFF"/>
        <w:spacing w:before="0" w:beforeAutospacing="0" w:after="0" w:afterAutospacing="0"/>
        <w:ind w:firstLine="851"/>
        <w:jc w:val="both"/>
        <w:rPr>
          <w:color w:val="000000"/>
          <w:sz w:val="28"/>
          <w:szCs w:val="28"/>
        </w:rPr>
      </w:pPr>
      <w:r w:rsidRPr="00CA06ED">
        <w:rPr>
          <w:color w:val="000000"/>
          <w:sz w:val="28"/>
          <w:szCs w:val="28"/>
        </w:rPr>
        <w:t>Pārskata ziņojumā iekļauj vismaz šādu informāciju:</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 xml:space="preserve">ziņojuma kopsavilkumu; </w:t>
      </w:r>
    </w:p>
    <w:p w:rsidR="00D50AEA" w:rsidRPr="00CA06ED" w:rsidRDefault="00BE0AE7"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 xml:space="preserve">ziņojuma par valsts kopējām emisijām </w:t>
      </w:r>
      <w:r w:rsidR="00D50AEA" w:rsidRPr="00CA06ED">
        <w:rPr>
          <w:color w:val="000000"/>
          <w:sz w:val="28"/>
          <w:szCs w:val="28"/>
        </w:rPr>
        <w:t>sagatavošanas institucionālās kārtības aprakstu;</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aprakstu par galvenajām emisiju avotu kategorijām valsts līmenī;</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konkrēto metožu, pieņēmumu, emisijas faktoru un darbības datu aprakstu, atsauces un informācijas avotus, kā arī to izvēles pamatojumu;</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 xml:space="preserve">informāciju par </w:t>
      </w:r>
      <w:r w:rsidR="00636966" w:rsidRPr="00CA06ED">
        <w:rPr>
          <w:color w:val="000000"/>
          <w:sz w:val="28"/>
          <w:szCs w:val="28"/>
        </w:rPr>
        <w:t>neprecizitātēm</w:t>
      </w:r>
      <w:r w:rsidRPr="00CA06ED">
        <w:rPr>
          <w:color w:val="000000"/>
          <w:sz w:val="28"/>
          <w:szCs w:val="28"/>
        </w:rPr>
        <w:t>, kvalitātes nodrošināšanu un verifikāciju;</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pārrēķinus un plānotos uzlabojumus;</w:t>
      </w:r>
    </w:p>
    <w:p w:rsidR="008B6940" w:rsidRPr="00CA06ED" w:rsidRDefault="00BA6C63"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 xml:space="preserve">šī pielikuma III nodaļā minēto </w:t>
      </w:r>
      <w:r w:rsidR="007F7256" w:rsidRPr="00CA06ED">
        <w:rPr>
          <w:color w:val="000000"/>
          <w:sz w:val="28"/>
          <w:szCs w:val="28"/>
        </w:rPr>
        <w:t xml:space="preserve">informāciju un aprakstu </w:t>
      </w:r>
      <w:r w:rsidR="008B6940" w:rsidRPr="00CA06ED">
        <w:rPr>
          <w:color w:val="000000"/>
          <w:sz w:val="28"/>
          <w:szCs w:val="28"/>
        </w:rPr>
        <w:t>par sagatavotajiem emisiju prognožu aprēķiniem un izdarītajiem pieņēmumiem;</w:t>
      </w:r>
    </w:p>
    <w:p w:rsidR="007F7256" w:rsidRPr="00CA06ED" w:rsidRDefault="007F7256"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par sagatavotajām emisiju kartēm un lielo stacionāro avotu radīto emisiju ziņojumu, kas izstrādāts atbilstoši šo noteikumu 2</w:t>
      </w:r>
      <w:r w:rsidR="004F4902" w:rsidRPr="00CA06ED">
        <w:rPr>
          <w:color w:val="000000"/>
          <w:sz w:val="28"/>
          <w:szCs w:val="28"/>
        </w:rPr>
        <w:t>8</w:t>
      </w:r>
      <w:r w:rsidRPr="00CA06ED">
        <w:rPr>
          <w:color w:val="000000"/>
          <w:sz w:val="28"/>
          <w:szCs w:val="28"/>
        </w:rPr>
        <w:t>.</w:t>
      </w:r>
      <w:r w:rsidR="00CF6B4D" w:rsidRPr="00CA06ED">
        <w:rPr>
          <w:color w:val="000000"/>
          <w:sz w:val="28"/>
          <w:szCs w:val="28"/>
        </w:rPr>
        <w:t>3</w:t>
      </w:r>
      <w:r w:rsidRPr="00CA06ED">
        <w:rPr>
          <w:color w:val="000000"/>
          <w:sz w:val="28"/>
          <w:szCs w:val="28"/>
        </w:rPr>
        <w:t>. un 2</w:t>
      </w:r>
      <w:r w:rsidR="004F4902" w:rsidRPr="00CA06ED">
        <w:rPr>
          <w:color w:val="000000"/>
          <w:sz w:val="28"/>
          <w:szCs w:val="28"/>
        </w:rPr>
        <w:t>8</w:t>
      </w:r>
      <w:r w:rsidRPr="00CA06ED">
        <w:rPr>
          <w:color w:val="000000"/>
          <w:sz w:val="28"/>
          <w:szCs w:val="28"/>
        </w:rPr>
        <w:t>.</w:t>
      </w:r>
      <w:r w:rsidR="00CF6B4D" w:rsidRPr="00CA06ED">
        <w:rPr>
          <w:color w:val="000000"/>
          <w:sz w:val="28"/>
          <w:szCs w:val="28"/>
        </w:rPr>
        <w:t>4</w:t>
      </w:r>
      <w:r w:rsidRPr="00CA06ED">
        <w:rPr>
          <w:color w:val="000000"/>
          <w:sz w:val="28"/>
          <w:szCs w:val="28"/>
        </w:rPr>
        <w:t>. </w:t>
      </w:r>
      <w:r w:rsidR="008B6940" w:rsidRPr="00CA06ED">
        <w:rPr>
          <w:color w:val="000000"/>
          <w:sz w:val="28"/>
          <w:szCs w:val="28"/>
        </w:rPr>
        <w:t>apakš</w:t>
      </w:r>
      <w:r w:rsidRPr="00CA06ED">
        <w:rPr>
          <w:color w:val="000000"/>
          <w:sz w:val="28"/>
          <w:szCs w:val="28"/>
        </w:rPr>
        <w:t>punktam;</w:t>
      </w:r>
    </w:p>
    <w:p w:rsidR="00D50AEA" w:rsidRPr="00CA06ED" w:rsidRDefault="00D50AEA" w:rsidP="00D50AEA">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color w:val="000000"/>
          <w:sz w:val="28"/>
          <w:szCs w:val="28"/>
        </w:rPr>
        <w:t xml:space="preserve">ja nepieciešams, informāciju par šo noteikumu </w:t>
      </w:r>
      <w:r w:rsidRPr="00CA06ED">
        <w:rPr>
          <w:sz w:val="28"/>
          <w:szCs w:val="28"/>
        </w:rPr>
        <w:t xml:space="preserve">šo noteikumu </w:t>
      </w:r>
      <w:r w:rsidR="004F4902" w:rsidRPr="00CA06ED">
        <w:rPr>
          <w:sz w:val="28"/>
          <w:szCs w:val="28"/>
        </w:rPr>
        <w:t>17</w:t>
      </w:r>
      <w:r w:rsidRPr="00CA06ED">
        <w:rPr>
          <w:sz w:val="28"/>
          <w:szCs w:val="28"/>
        </w:rPr>
        <w:t xml:space="preserve">., </w:t>
      </w:r>
      <w:r w:rsidR="004F4902" w:rsidRPr="00CA06ED">
        <w:rPr>
          <w:sz w:val="28"/>
          <w:szCs w:val="28"/>
        </w:rPr>
        <w:t>18</w:t>
      </w:r>
      <w:r w:rsidRPr="00CA06ED">
        <w:rPr>
          <w:sz w:val="28"/>
          <w:szCs w:val="28"/>
        </w:rPr>
        <w:t xml:space="preserve">., </w:t>
      </w:r>
      <w:r w:rsidR="004F4902" w:rsidRPr="00CA06ED">
        <w:rPr>
          <w:sz w:val="28"/>
          <w:szCs w:val="28"/>
        </w:rPr>
        <w:t>19</w:t>
      </w:r>
      <w:r w:rsidRPr="00CA06ED">
        <w:rPr>
          <w:sz w:val="28"/>
          <w:szCs w:val="28"/>
        </w:rPr>
        <w:t xml:space="preserve">. vai </w:t>
      </w:r>
      <w:r w:rsidR="004F4902" w:rsidRPr="00CA06ED">
        <w:rPr>
          <w:sz w:val="28"/>
          <w:szCs w:val="28"/>
        </w:rPr>
        <w:t>20</w:t>
      </w:r>
      <w:r w:rsidRPr="00CA06ED">
        <w:rPr>
          <w:sz w:val="28"/>
          <w:szCs w:val="28"/>
        </w:rPr>
        <w:t>. punktā minēto atkāpju izmantošanu</w:t>
      </w:r>
      <w:r w:rsidRPr="00CA06ED">
        <w:rPr>
          <w:color w:val="000000"/>
          <w:sz w:val="28"/>
          <w:szCs w:val="28"/>
        </w:rPr>
        <w:t>;</w:t>
      </w:r>
    </w:p>
    <w:p w:rsidR="00BE0AE7" w:rsidRPr="00CA06ED" w:rsidRDefault="00D50AEA" w:rsidP="007F7256">
      <w:pPr>
        <w:pStyle w:val="Normal1"/>
        <w:numPr>
          <w:ilvl w:val="0"/>
          <w:numId w:val="1"/>
        </w:numPr>
        <w:shd w:val="clear" w:color="auto" w:fill="FFFFFF"/>
        <w:spacing w:before="0" w:beforeAutospacing="0" w:after="0" w:afterAutospacing="0"/>
        <w:ind w:left="0" w:firstLine="851"/>
        <w:jc w:val="both"/>
        <w:rPr>
          <w:color w:val="000000"/>
          <w:sz w:val="28"/>
          <w:szCs w:val="28"/>
        </w:rPr>
      </w:pPr>
      <w:r w:rsidRPr="00CA06ED">
        <w:rPr>
          <w:sz w:val="28"/>
          <w:szCs w:val="28"/>
        </w:rPr>
        <w:lastRenderedPageBreak/>
        <w:t xml:space="preserve">ja atbilstoši šo noteikumu </w:t>
      </w:r>
      <w:r w:rsidR="00CF6B4D" w:rsidRPr="00CA06ED">
        <w:rPr>
          <w:sz w:val="28"/>
          <w:szCs w:val="28"/>
        </w:rPr>
        <w:t>1</w:t>
      </w:r>
      <w:r w:rsidR="004F4902" w:rsidRPr="00CA06ED">
        <w:rPr>
          <w:sz w:val="28"/>
          <w:szCs w:val="28"/>
        </w:rPr>
        <w:t>6</w:t>
      </w:r>
      <w:r w:rsidRPr="00CA06ED">
        <w:rPr>
          <w:sz w:val="28"/>
          <w:szCs w:val="28"/>
        </w:rPr>
        <w:t>. punktam kādai no gaisu piesārņojošajām vielām netiek nodrošināta atbilstība 2025. gada starpmērķim</w:t>
      </w:r>
      <w:r w:rsidRPr="00CA06ED">
        <w:rPr>
          <w:color w:val="000000"/>
          <w:sz w:val="28"/>
          <w:szCs w:val="28"/>
        </w:rPr>
        <w:t>, sniedz informāciju par iemesliem, kāpēc nav iespējams nodrošināt atbilstību 2025. gadam noteiktajam starpmērķim, kā arī pasākumiem, ar kuriem tuvinās emisiju samazināšanas mērķiem</w:t>
      </w:r>
    </w:p>
    <w:p w:rsidR="003B4CA7" w:rsidRPr="00CA06ED" w:rsidRDefault="003B4CA7" w:rsidP="003B4CA7">
      <w:pPr>
        <w:pStyle w:val="ti-grseq-1"/>
        <w:shd w:val="clear" w:color="auto" w:fill="FFFFFF"/>
        <w:spacing w:before="240" w:beforeAutospacing="0" w:after="120" w:afterAutospacing="0"/>
        <w:jc w:val="center"/>
        <w:rPr>
          <w:b/>
          <w:bCs/>
          <w:color w:val="000000"/>
          <w:sz w:val="28"/>
          <w:szCs w:val="28"/>
        </w:rPr>
      </w:pPr>
      <w:r w:rsidRPr="00CA06ED">
        <w:rPr>
          <w:rStyle w:val="bold"/>
          <w:rFonts w:ascii="inherit" w:hAnsi="inherit"/>
          <w:b/>
          <w:bCs/>
          <w:color w:val="000000"/>
          <w:sz w:val="28"/>
          <w:szCs w:val="28"/>
        </w:rPr>
        <w:t>II</w:t>
      </w:r>
      <w:r w:rsidR="00D50AEA" w:rsidRPr="00CA06ED">
        <w:rPr>
          <w:rStyle w:val="bold"/>
          <w:rFonts w:ascii="inherit" w:hAnsi="inherit"/>
          <w:b/>
          <w:bCs/>
          <w:color w:val="000000"/>
          <w:sz w:val="28"/>
          <w:szCs w:val="28"/>
        </w:rPr>
        <w:t>I</w:t>
      </w:r>
      <w:r w:rsidRPr="00CA06ED">
        <w:rPr>
          <w:rStyle w:val="bold"/>
          <w:rFonts w:ascii="inherit" w:hAnsi="inherit"/>
          <w:b/>
          <w:bCs/>
          <w:color w:val="000000"/>
          <w:sz w:val="28"/>
          <w:szCs w:val="28"/>
        </w:rPr>
        <w:t>. Emisiju prognozes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 Emisiju prognozēm jābūt pārredzamām, konsekventām, salīdzināmām, pilnīgām un precīzām, un tām jāietver vismaz šādus elementus: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1.1. skaidras norādes par pieņemto un plānoto politiku un pasākumiem, kas ietverti prognozēs;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1.2. attiecīgā gadījumā – saistībā ar prognozēm veiktas jutīguma analīzes rezultāti;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1.3. metožu, modeļu, pamata pieņēmumu un galveno ievadparametru un izvadparametru apraksts.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xml:space="preserve">2. Emisiju prognozes aprēķina un apkopo pa attiecīgajām avotu nozarēm. Par katru piesārņojošo vielu saskaņā ar </w:t>
      </w:r>
      <w:r w:rsidRPr="00CA06ED">
        <w:rPr>
          <w:color w:val="000000"/>
          <w:sz w:val="28"/>
          <w:szCs w:val="28"/>
        </w:rPr>
        <w:t xml:space="preserve">emisiju </w:t>
      </w:r>
      <w:r w:rsidR="000E7EF4" w:rsidRPr="00CA06ED">
        <w:rPr>
          <w:color w:val="000000"/>
          <w:sz w:val="28"/>
          <w:szCs w:val="28"/>
        </w:rPr>
        <w:t xml:space="preserve">ziņošanas un </w:t>
      </w:r>
      <w:r w:rsidRPr="00CA06ED">
        <w:rPr>
          <w:color w:val="000000"/>
          <w:sz w:val="28"/>
          <w:szCs w:val="28"/>
        </w:rPr>
        <w:t xml:space="preserve">aprēķinu vadlīnijās </w:t>
      </w:r>
      <w:r w:rsidRPr="00CA06ED">
        <w:rPr>
          <w:bCs/>
          <w:color w:val="000000"/>
          <w:sz w:val="28"/>
          <w:szCs w:val="28"/>
        </w:rPr>
        <w:t>sniegtiem norādījumiem norāda prognozes “ar pasākumiem” (pieņemtie pasākumi) un – attiecīgā gadījumā – prognozes “ar papildus pasākumiem” (plānotie pasākumi).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3. Emisiju prognozēs izmantotajiem pieņēmumiem jāsaskan ar tiem pieņēmumiem, kas izdarīti sagatavojot ikgadējo siltumnīcefekta gāzu emisiju pārskatu un siltumnīcefekta gāzu emisiju prognozes atbilstoši normatīvajiem aktiem par siltumnīcefekta gāzu inventarizācijas un prognožu sagatavošanas nacionālās sistēmas izveidošanu un uzturēšanu sniegto informāciju.</w:t>
      </w:r>
    </w:p>
    <w:p w:rsidR="003B4CA7" w:rsidRPr="00CA06ED" w:rsidRDefault="003B4CA7" w:rsidP="003B4CA7">
      <w:pPr>
        <w:pStyle w:val="Normal1"/>
        <w:shd w:val="clear" w:color="auto" w:fill="FFFFFF"/>
        <w:spacing w:before="0" w:beforeAutospacing="0" w:after="0" w:afterAutospacing="0"/>
        <w:ind w:left="851"/>
        <w:jc w:val="both"/>
        <w:rPr>
          <w:color w:val="000000"/>
          <w:sz w:val="28"/>
          <w:szCs w:val="28"/>
        </w:rPr>
      </w:pPr>
    </w:p>
    <w:p w:rsidR="003B4CA7" w:rsidRPr="00CA06ED" w:rsidRDefault="003B4CA7" w:rsidP="003B4CA7">
      <w:pPr>
        <w:pStyle w:val="ti-grseq-1"/>
        <w:shd w:val="clear" w:color="auto" w:fill="FFFFFF"/>
        <w:spacing w:before="240" w:beforeAutospacing="0" w:after="120" w:afterAutospacing="0"/>
        <w:jc w:val="center"/>
        <w:rPr>
          <w:b/>
          <w:sz w:val="28"/>
          <w:szCs w:val="28"/>
        </w:rPr>
      </w:pPr>
      <w:r w:rsidRPr="00CA06ED">
        <w:rPr>
          <w:rStyle w:val="bold"/>
          <w:rFonts w:ascii="inherit" w:hAnsi="inherit"/>
          <w:b/>
          <w:bCs/>
          <w:color w:val="000000"/>
          <w:sz w:val="28"/>
          <w:szCs w:val="28"/>
        </w:rPr>
        <w:t>IV. </w:t>
      </w:r>
      <w:r w:rsidRPr="00CA06ED">
        <w:rPr>
          <w:b/>
          <w:sz w:val="28"/>
          <w:szCs w:val="28"/>
        </w:rPr>
        <w:t xml:space="preserve">Koriģētie emisiju ziņojumi, kas tiek sagatavoti atbilstoši šo noteikumu </w:t>
      </w:r>
      <w:r w:rsidR="004F4902" w:rsidRPr="00CA06ED">
        <w:rPr>
          <w:b/>
          <w:sz w:val="28"/>
          <w:szCs w:val="28"/>
        </w:rPr>
        <w:t>17</w:t>
      </w:r>
      <w:r w:rsidRPr="00CA06ED">
        <w:rPr>
          <w:b/>
          <w:sz w:val="28"/>
          <w:szCs w:val="28"/>
        </w:rPr>
        <w:t>. punktam</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 Eiropas Komisijai adresētajā priekšlikumā, kas sagatavots atbilstoši šo noteikumu 25. punktam iekļauj vismaz šādus apstiprinošus dokumentus: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1.1. pierādījums, ka attiecīgie emisiju samazināšanas mērķi ir pārsniegti;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1.2. pierādījums par to, cik lielā mērā emisiju pārskata koriģēšana samazina pārsniegto daudzumu un sekmē atbilstību attiecīgajam emisiju samazināšanas mērķim;</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1.3. novērtējums par to, vai un kad paredzēts sasniegt emisiju samazināšanas mērķus, pamatojoties uz nekoriģētām emisiju prognozēm;</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1.4. pierādījums, ka emisiju datu koriģēšana atbilst vienam vai vairākiem šādiem trīs nosacījumiem (vajadzības gadījumā var iekļaut atsauci uz attiecīgajām iepriekš veiktām korekcijām):</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1.4.1. attiecībā uz jaunām emisiju avotu kategorijām:</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xml:space="preserve">- pierādījums, ka jaunā emisiju avota kategorija ir atzīta zinātniskajā literatūrā un/vai emisiju </w:t>
      </w:r>
      <w:r w:rsidR="000E7EF4" w:rsidRPr="00CA06ED">
        <w:rPr>
          <w:bCs/>
          <w:color w:val="000000"/>
          <w:sz w:val="28"/>
          <w:szCs w:val="28"/>
        </w:rPr>
        <w:t xml:space="preserve">ziņošanas un </w:t>
      </w:r>
      <w:r w:rsidRPr="00CA06ED">
        <w:rPr>
          <w:bCs/>
          <w:color w:val="000000"/>
          <w:sz w:val="28"/>
          <w:szCs w:val="28"/>
        </w:rPr>
        <w:t>aprēķinu vadlīnijās;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lastRenderedPageBreak/>
        <w:t>- pierādījums, ka šī avota kategorija nav iekļauta attiecīgajā vēsturisko emisiju pārskatā tad, kad tika noteikti emisiju samazināšanas mērķi;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pierādījums, ka emisijas no jaunas avotu kategorijas neļauj izpildīt emisiju samazināšanas mērķus, ko papildina detalizēts metožu apraksts, dati par emisijām un emisijas faktori, kas ļauj izdarīt minēto secinājumu.</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1.4.2. attiecībā uz ievērojami atšķirīgiem emisijas faktoriem, ko izmanto konkrētu avotu kategoriju emisiju noteikšanai: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sākotnējo emisijas faktoru apraksts, kurā ietverts arī detalizēts apraksts par emisijas faktoru noteikšanā izmantoto zinātnisko pamatojumu;</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pierādījums, ka sākotnējie emisijas faktori ir izmantoti laikā, kad tika noteikti emisiju samazināšanas mērķi;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atjaunināto emisijas faktoru apraksts, kurā ietverta arī detalizēta informācija par emisijas faktora noteikšanā izmantoto zinātnisko pamatojumu;</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emisiju aplēšu salīdzinājums, kas veikts, izmantojot sākotnējos un atjauninātos emisijas faktorus, un kas apliecina, ka emisijas faktoru maiņa neļauj izpildīt emisiju samazināšanas mērķus;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pamatojums lēmumam par to, vai emisijas faktoru izmaiņas ir būtiskas.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1.4.3. attiecībā uz ievērojami atšķirīgām metodēm, ko izmanto konkrētu avotu kategoriju emisiju noteikšanai: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sākotnēji izmantoto metožu apraksts, kurā ietverta arī detalizēta informācija par emisijas faktora noteikšanā izmantoto zinātnisko pamatojumu;</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pierādījums, ka sākotnējās metodes ir izmantotas emisiju samazinājumu noteikšanai laikā, kad tika paredzēti šie samazinājumi;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izmantoto atjaunināto metožu apraksts, kurā ietverts arī detalizēts apraksts par metožu noteikšanā izmantoto zinātnisko pamatojumu vai atsauci;</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emisiju aplēšu salīdzinājums, kas veikts, izmantojot sākotnējās un atjauninātās metodes, un kas apliecina, ka metožu maiņa neļauj izpildīt emisiju samazināšanas mērķus;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 pamatojums lēmumam par to, vai metožu izmaiņas ir būtiskas.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r w:rsidRPr="00CA06ED">
        <w:rPr>
          <w:bCs/>
          <w:color w:val="000000"/>
          <w:sz w:val="28"/>
          <w:szCs w:val="28"/>
        </w:rPr>
        <w:t>2. Koriģētās emisijas pārrēķina, lai – ciktāl iespējams – nodrošinātu laika rindu konsekvenci par katru gadu, kad tiek piemērotas korekcijas.</w:t>
      </w:r>
    </w:p>
    <w:p w:rsidR="003B4CA7" w:rsidRPr="00CA06ED" w:rsidRDefault="003B4CA7" w:rsidP="003B4CA7">
      <w:pPr>
        <w:pStyle w:val="ti-grseq-1"/>
        <w:shd w:val="clear" w:color="auto" w:fill="FFFFFF"/>
        <w:spacing w:before="0" w:beforeAutospacing="0" w:after="0" w:afterAutospacing="0"/>
        <w:ind w:firstLine="851"/>
        <w:jc w:val="both"/>
        <w:rPr>
          <w:bCs/>
          <w:color w:val="000000"/>
          <w:sz w:val="28"/>
          <w:szCs w:val="28"/>
        </w:rPr>
      </w:pPr>
    </w:p>
    <w:p w:rsidR="003B4CA7" w:rsidRPr="00CA06ED" w:rsidRDefault="003B4CA7" w:rsidP="003B4CA7">
      <w:pPr>
        <w:pStyle w:val="ti-grseq-1"/>
        <w:shd w:val="clear" w:color="auto" w:fill="FFFFFF"/>
        <w:spacing w:before="0" w:beforeAutospacing="0" w:after="0" w:afterAutospacing="0"/>
        <w:ind w:firstLine="851"/>
        <w:jc w:val="both"/>
        <w:rPr>
          <w:sz w:val="28"/>
          <w:szCs w:val="28"/>
        </w:rPr>
      </w:pPr>
      <w:r w:rsidRPr="00CA06ED">
        <w:rPr>
          <w:bCs/>
          <w:sz w:val="28"/>
          <w:szCs w:val="28"/>
        </w:rPr>
        <w:t>3. </w:t>
      </w:r>
      <w:r w:rsidRPr="00CA06ED">
        <w:rPr>
          <w:sz w:val="28"/>
          <w:szCs w:val="28"/>
        </w:rPr>
        <w:t xml:space="preserve"> Sākot no 2025. gada gadījumā, ja emisijas faktori vai metodika, kas tiek izmantota, lai noteiktu emisijas no konkrētu kategoriju avotiem, būtiski atšķiras no tiem, kādi tika izmantoti Eiropas Savienības tiesību aktu gaisa piesārņojuma ierobežošanai tā avotā</w:t>
      </w:r>
      <w:r w:rsidRPr="00CA06ED">
        <w:rPr>
          <w:sz w:val="28"/>
          <w:szCs w:val="28"/>
          <w:vertAlign w:val="superscript"/>
        </w:rPr>
        <w:t>*</w:t>
      </w:r>
      <w:r w:rsidRPr="00CA06ED">
        <w:rPr>
          <w:sz w:val="28"/>
          <w:szCs w:val="28"/>
        </w:rPr>
        <w:t xml:space="preserve">, konkrētu normu vai standartu īstenošanas rezultātā, emisiju korekcijas var veikt, ja tiek ievēroti šādi  papildu nosacījumus: </w:t>
      </w:r>
    </w:p>
    <w:p w:rsidR="003B4CA7" w:rsidRPr="00CA06ED" w:rsidRDefault="003B4CA7" w:rsidP="003B4CA7">
      <w:pPr>
        <w:pStyle w:val="ti-grseq-1"/>
        <w:shd w:val="clear" w:color="auto" w:fill="FFFFFF"/>
        <w:spacing w:before="0" w:beforeAutospacing="0" w:after="0" w:afterAutospacing="0"/>
        <w:ind w:firstLine="851"/>
        <w:jc w:val="both"/>
        <w:rPr>
          <w:sz w:val="28"/>
          <w:szCs w:val="28"/>
        </w:rPr>
      </w:pPr>
      <w:r w:rsidRPr="00CA06ED">
        <w:rPr>
          <w:sz w:val="28"/>
          <w:szCs w:val="28"/>
        </w:rPr>
        <w:t>- veic izvērtējumu par rīcībām un kontrolēm, kas veiktas, lai ieviestu Eiropas Savienības tiesību aktus gaisa piesārņojuma ierobežošanai tā avotā un pierāda, ka būtiski atšķirīgo emisijas faktoru rašanās iemesls nav minēto tiesību aktu īstenošana vai izpilde Latvijā;</w:t>
      </w:r>
    </w:p>
    <w:p w:rsidR="003B4CA7" w:rsidRPr="00CA06ED" w:rsidRDefault="003B4CA7" w:rsidP="003B4CA7">
      <w:pPr>
        <w:pStyle w:val="ti-grseq-1"/>
        <w:shd w:val="clear" w:color="auto" w:fill="FFFFFF"/>
        <w:spacing w:before="0" w:beforeAutospacing="0" w:after="0" w:afterAutospacing="0"/>
        <w:ind w:firstLine="851"/>
        <w:jc w:val="both"/>
        <w:rPr>
          <w:bCs/>
          <w:sz w:val="28"/>
          <w:szCs w:val="28"/>
        </w:rPr>
      </w:pPr>
      <w:r w:rsidRPr="00CA06ED">
        <w:rPr>
          <w:sz w:val="28"/>
          <w:szCs w:val="28"/>
        </w:rPr>
        <w:t>- informē Eiropas Komisiju par būtisko atšķirību emisijas f</w:t>
      </w:r>
      <w:r w:rsidR="00595F5A" w:rsidRPr="00CA06ED">
        <w:rPr>
          <w:sz w:val="28"/>
          <w:szCs w:val="28"/>
        </w:rPr>
        <w:t>aktoros.</w:t>
      </w:r>
    </w:p>
    <w:p w:rsidR="003B4CA7" w:rsidRPr="00CA06ED" w:rsidRDefault="003B4CA7" w:rsidP="003B4CA7">
      <w:pPr>
        <w:spacing w:after="0" w:line="240" w:lineRule="auto"/>
        <w:ind w:firstLine="709"/>
        <w:jc w:val="both"/>
        <w:rPr>
          <w:sz w:val="28"/>
          <w:szCs w:val="28"/>
        </w:rPr>
      </w:pPr>
    </w:p>
    <w:p w:rsidR="003B4CA7" w:rsidRPr="00CA06ED" w:rsidRDefault="003B4CA7" w:rsidP="003B4CA7">
      <w:pPr>
        <w:tabs>
          <w:tab w:val="left" w:pos="285"/>
          <w:tab w:val="left" w:pos="6580"/>
        </w:tabs>
        <w:spacing w:after="0" w:line="240" w:lineRule="auto"/>
        <w:rPr>
          <w:sz w:val="28"/>
          <w:szCs w:val="28"/>
          <w:lang w:eastAsia="lv-LV"/>
        </w:rPr>
      </w:pPr>
      <w:r w:rsidRPr="00CA06ED">
        <w:rPr>
          <w:sz w:val="28"/>
          <w:szCs w:val="28"/>
          <w:lang w:eastAsia="lv-LV"/>
        </w:rPr>
        <w:lastRenderedPageBreak/>
        <w:t>Piezīme.</w:t>
      </w:r>
    </w:p>
    <w:p w:rsidR="003B4CA7" w:rsidRPr="00CA06ED" w:rsidRDefault="003B4CA7" w:rsidP="003B4CA7">
      <w:pPr>
        <w:tabs>
          <w:tab w:val="left" w:pos="285"/>
          <w:tab w:val="left" w:pos="6580"/>
        </w:tabs>
        <w:spacing w:after="0" w:line="240" w:lineRule="auto"/>
        <w:rPr>
          <w:sz w:val="28"/>
          <w:szCs w:val="28"/>
        </w:rPr>
      </w:pPr>
      <w:r w:rsidRPr="00CA06ED">
        <w:rPr>
          <w:sz w:val="28"/>
          <w:szCs w:val="28"/>
        </w:rPr>
        <w:t>* Eiropas Savienības tiesību akti, kuru mērķis ir samazināt gaisu piesārņojošo vielu emisijas, veicot mazināšanas pasākumus to avotā</w:t>
      </w:r>
      <w:r w:rsidR="00595F5A" w:rsidRPr="00CA06ED">
        <w:rPr>
          <w:sz w:val="28"/>
          <w:szCs w:val="28"/>
        </w:rPr>
        <w:t>.</w:t>
      </w:r>
    </w:p>
    <w:p w:rsidR="005E6689" w:rsidRDefault="005E6689"/>
    <w:p w:rsidR="00CA06ED" w:rsidRDefault="00CA06ED" w:rsidP="00CA06ED"/>
    <w:p w:rsidR="00CA06ED" w:rsidRPr="00290A29" w:rsidRDefault="00CA06ED" w:rsidP="00CA06ED">
      <w:pPr>
        <w:spacing w:before="120" w:after="0" w:line="240" w:lineRule="auto"/>
        <w:jc w:val="both"/>
        <w:rPr>
          <w:rFonts w:eastAsia="Calibri" w:cs="Calibri"/>
          <w:sz w:val="28"/>
          <w:szCs w:val="28"/>
          <w:lang w:val="en-US"/>
        </w:rPr>
      </w:pPr>
      <w:r w:rsidRPr="00290A29">
        <w:rPr>
          <w:rFonts w:eastAsia="Calibri" w:cs="Calibri"/>
          <w:sz w:val="28"/>
          <w:szCs w:val="28"/>
          <w:lang w:val="en-US"/>
        </w:rPr>
        <w:t>Vides aizsardzības un reģionālās attīstības ministrs</w:t>
      </w:r>
      <w:r w:rsidRPr="00290A29">
        <w:rPr>
          <w:rFonts w:eastAsia="Calibri" w:cs="Calibri"/>
          <w:sz w:val="28"/>
          <w:szCs w:val="28"/>
          <w:lang w:val="en-US"/>
        </w:rPr>
        <w:tab/>
      </w:r>
      <w:r w:rsidRPr="00290A29">
        <w:rPr>
          <w:rFonts w:eastAsia="Calibri" w:cs="Calibri"/>
          <w:sz w:val="28"/>
          <w:szCs w:val="28"/>
          <w:lang w:val="en-US"/>
        </w:rPr>
        <w:tab/>
      </w:r>
      <w:r w:rsidRPr="00290A29">
        <w:rPr>
          <w:rFonts w:eastAsia="Calibri" w:cs="Calibri"/>
          <w:sz w:val="28"/>
          <w:szCs w:val="28"/>
          <w:lang w:val="en-US"/>
        </w:rPr>
        <w:tab/>
        <w:t xml:space="preserve"> K. Gerhards </w:t>
      </w:r>
    </w:p>
    <w:p w:rsidR="00CA06ED" w:rsidRDefault="00CA06ED">
      <w:bookmarkStart w:id="0" w:name="_GoBack"/>
      <w:bookmarkEnd w:id="0"/>
    </w:p>
    <w:sectPr w:rsidR="00CA06ED" w:rsidSect="0054285D">
      <w:headerReference w:type="default" r:id="rId8"/>
      <w:footerReference w:type="default" r:id="rId9"/>
      <w:footerReference w:type="first" r:id="rId10"/>
      <w:type w:val="continuous"/>
      <w:pgSz w:w="11907" w:h="16840"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02" w:rsidRDefault="00B30802" w:rsidP="00906CE8">
      <w:pPr>
        <w:spacing w:after="0" w:line="240" w:lineRule="auto"/>
      </w:pPr>
      <w:r>
        <w:separator/>
      </w:r>
    </w:p>
  </w:endnote>
  <w:endnote w:type="continuationSeparator" w:id="0">
    <w:p w:rsidR="00B30802" w:rsidRDefault="00B30802" w:rsidP="009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9" w:rsidRPr="0033467C" w:rsidRDefault="0033467C" w:rsidP="0033467C">
    <w:pPr>
      <w:spacing w:after="0" w:line="240" w:lineRule="auto"/>
      <w:jc w:val="both"/>
      <w:rPr>
        <w:bCs/>
        <w:sz w:val="20"/>
        <w:szCs w:val="20"/>
      </w:rPr>
    </w:pPr>
    <w:r w:rsidRPr="003A2533">
      <w:rPr>
        <w:sz w:val="20"/>
        <w:szCs w:val="20"/>
      </w:rPr>
      <w:t>VARAMnotp4_</w:t>
    </w:r>
    <w:r w:rsidR="0054285D" w:rsidRPr="003A2533">
      <w:rPr>
        <w:sz w:val="20"/>
        <w:szCs w:val="20"/>
      </w:rPr>
      <w:t>1705</w:t>
    </w:r>
    <w:r w:rsidRPr="003A2533">
      <w:rPr>
        <w:sz w:val="20"/>
        <w:szCs w:val="20"/>
      </w:rPr>
      <w:t>18_NEC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9" w:rsidRPr="0033467C" w:rsidRDefault="0033467C" w:rsidP="0033467C">
    <w:pPr>
      <w:spacing w:after="0" w:line="240" w:lineRule="auto"/>
      <w:jc w:val="both"/>
      <w:rPr>
        <w:bCs/>
        <w:sz w:val="20"/>
        <w:szCs w:val="20"/>
      </w:rPr>
    </w:pPr>
    <w:r w:rsidRPr="009B79BA">
      <w:rPr>
        <w:sz w:val="20"/>
        <w:szCs w:val="20"/>
      </w:rPr>
      <w:t>VARAMnotp4_</w:t>
    </w:r>
    <w:r w:rsidR="009B79BA" w:rsidRPr="009B79BA">
      <w:rPr>
        <w:sz w:val="20"/>
        <w:szCs w:val="20"/>
      </w:rPr>
      <w:t>1705</w:t>
    </w:r>
    <w:r w:rsidRPr="009B79BA">
      <w:rPr>
        <w:sz w:val="20"/>
        <w:szCs w:val="20"/>
      </w:rPr>
      <w:t>18_NEC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02" w:rsidRDefault="00B30802" w:rsidP="00906CE8">
      <w:pPr>
        <w:spacing w:after="0" w:line="240" w:lineRule="auto"/>
      </w:pPr>
      <w:r>
        <w:separator/>
      </w:r>
    </w:p>
  </w:footnote>
  <w:footnote w:type="continuationSeparator" w:id="0">
    <w:p w:rsidR="00B30802" w:rsidRDefault="00B30802" w:rsidP="0090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9" w:rsidRDefault="002C1B4A">
    <w:pPr>
      <w:pStyle w:val="Header"/>
      <w:jc w:val="center"/>
    </w:pPr>
    <w:r>
      <w:fldChar w:fldCharType="begin"/>
    </w:r>
    <w:r>
      <w:instrText xml:space="preserve"> PAGE   \* MERGEFORMAT </w:instrText>
    </w:r>
    <w:r>
      <w:fldChar w:fldCharType="separate"/>
    </w:r>
    <w:r w:rsidR="003A2533">
      <w:rPr>
        <w:noProof/>
      </w:rPr>
      <w:t>4</w:t>
    </w:r>
    <w:r>
      <w:rPr>
        <w:noProof/>
      </w:rPr>
      <w:fldChar w:fldCharType="end"/>
    </w:r>
  </w:p>
  <w:p w:rsidR="00CF6CE9" w:rsidRDefault="00B3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F0F0B"/>
    <w:multiLevelType w:val="hybridMultilevel"/>
    <w:tmpl w:val="A0D468B2"/>
    <w:lvl w:ilvl="0" w:tplc="4C2A54E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A7"/>
    <w:rsid w:val="00002B58"/>
    <w:rsid w:val="000E7EF4"/>
    <w:rsid w:val="00141622"/>
    <w:rsid w:val="001F480D"/>
    <w:rsid w:val="00273137"/>
    <w:rsid w:val="002A5698"/>
    <w:rsid w:val="002A60E7"/>
    <w:rsid w:val="002C1B4A"/>
    <w:rsid w:val="0033467C"/>
    <w:rsid w:val="003A2533"/>
    <w:rsid w:val="003B4CA7"/>
    <w:rsid w:val="00415B0D"/>
    <w:rsid w:val="00474183"/>
    <w:rsid w:val="004F4902"/>
    <w:rsid w:val="0054285D"/>
    <w:rsid w:val="00547A07"/>
    <w:rsid w:val="00595F5A"/>
    <w:rsid w:val="005E6689"/>
    <w:rsid w:val="00636966"/>
    <w:rsid w:val="00711AD7"/>
    <w:rsid w:val="007A05D4"/>
    <w:rsid w:val="007C21DD"/>
    <w:rsid w:val="007F7256"/>
    <w:rsid w:val="008106DE"/>
    <w:rsid w:val="0084294E"/>
    <w:rsid w:val="008B6940"/>
    <w:rsid w:val="008E57D3"/>
    <w:rsid w:val="00906CE8"/>
    <w:rsid w:val="009843DE"/>
    <w:rsid w:val="009919DA"/>
    <w:rsid w:val="009B79BA"/>
    <w:rsid w:val="00B30802"/>
    <w:rsid w:val="00BA6C63"/>
    <w:rsid w:val="00BE0AE7"/>
    <w:rsid w:val="00C41133"/>
    <w:rsid w:val="00CA06ED"/>
    <w:rsid w:val="00CE258A"/>
    <w:rsid w:val="00CF6B4D"/>
    <w:rsid w:val="00D32527"/>
    <w:rsid w:val="00D50AEA"/>
    <w:rsid w:val="00EE3AE6"/>
    <w:rsid w:val="00F04020"/>
    <w:rsid w:val="00F462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9502D-5288-4B96-988A-8E5B6F20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A7"/>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CA7"/>
    <w:rPr>
      <w:rFonts w:ascii="Times New Roman" w:eastAsia="Times New Roman" w:hAnsi="Times New Roman" w:cs="Times New Roman"/>
      <w:sz w:val="24"/>
      <w:szCs w:val="24"/>
    </w:rPr>
  </w:style>
  <w:style w:type="paragraph" w:customStyle="1" w:styleId="ti-grseq-1">
    <w:name w:val="ti-grseq-1"/>
    <w:basedOn w:val="Normal"/>
    <w:rsid w:val="003B4CA7"/>
    <w:pPr>
      <w:spacing w:before="100" w:beforeAutospacing="1" w:after="100" w:afterAutospacing="1" w:line="240" w:lineRule="auto"/>
    </w:pPr>
    <w:rPr>
      <w:lang w:eastAsia="lv-LV"/>
    </w:rPr>
  </w:style>
  <w:style w:type="paragraph" w:customStyle="1" w:styleId="Normal1">
    <w:name w:val="Normal1"/>
    <w:basedOn w:val="Normal"/>
    <w:rsid w:val="003B4CA7"/>
    <w:pPr>
      <w:spacing w:before="100" w:beforeAutospacing="1" w:after="100" w:afterAutospacing="1" w:line="240" w:lineRule="auto"/>
    </w:pPr>
    <w:rPr>
      <w:lang w:eastAsia="lv-LV"/>
    </w:rPr>
  </w:style>
  <w:style w:type="character" w:customStyle="1" w:styleId="bold">
    <w:name w:val="bold"/>
    <w:basedOn w:val="DefaultParagraphFont"/>
    <w:rsid w:val="003B4CA7"/>
  </w:style>
  <w:style w:type="paragraph" w:customStyle="1" w:styleId="naislab">
    <w:name w:val="naislab"/>
    <w:basedOn w:val="Normal"/>
    <w:rsid w:val="003B4CA7"/>
    <w:pPr>
      <w:spacing w:before="75" w:after="75" w:line="240" w:lineRule="auto"/>
      <w:jc w:val="right"/>
    </w:pPr>
    <w:rPr>
      <w:lang w:eastAsia="lv-LV"/>
    </w:rPr>
  </w:style>
  <w:style w:type="paragraph" w:styleId="Footer">
    <w:name w:val="footer"/>
    <w:basedOn w:val="Normal"/>
    <w:link w:val="FooterChar"/>
    <w:uiPriority w:val="99"/>
    <w:unhideWhenUsed/>
    <w:rsid w:val="00906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6CE8"/>
    <w:rPr>
      <w:rFonts w:ascii="Times New Roman" w:eastAsia="Times New Roman" w:hAnsi="Times New Roman" w:cs="Times New Roman"/>
      <w:sz w:val="24"/>
      <w:szCs w:val="24"/>
    </w:rPr>
  </w:style>
  <w:style w:type="paragraph" w:styleId="ListParagraph">
    <w:name w:val="List Paragraph"/>
    <w:basedOn w:val="Normal"/>
    <w:uiPriority w:val="34"/>
    <w:qFormat/>
    <w:rsid w:val="00BE0AE7"/>
    <w:pPr>
      <w:ind w:left="720"/>
      <w:contextualSpacing/>
    </w:pPr>
  </w:style>
  <w:style w:type="paragraph" w:styleId="BalloonText">
    <w:name w:val="Balloon Text"/>
    <w:basedOn w:val="Normal"/>
    <w:link w:val="BalloonTextChar"/>
    <w:uiPriority w:val="99"/>
    <w:semiHidden/>
    <w:unhideWhenUsed/>
    <w:rsid w:val="00B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8541-1591-4992-BBFA-1D72C8B2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Noteikumi par valsts kopējo gaisu piesārņojošo vielu emisiju samazināšanu un uzskaiti</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kopējo gaisu piesārņojošo vielu emisiju samazināšanu un uzskaiti</dc:title>
  <dc:subject>4.pielikums</dc:subject>
  <dc:creator>Lana Maslova</dc:creator>
  <cp:keywords/>
  <dc:description>lana.maslova@varam.gov.lv; 67026586</dc:description>
  <cp:lastModifiedBy>students</cp:lastModifiedBy>
  <cp:revision>2</cp:revision>
  <cp:lastPrinted>2018-04-04T11:26:00Z</cp:lastPrinted>
  <dcterms:created xsi:type="dcterms:W3CDTF">2018-05-17T10:15:00Z</dcterms:created>
  <dcterms:modified xsi:type="dcterms:W3CDTF">2018-05-17T10:15:00Z</dcterms:modified>
</cp:coreProperties>
</file>