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5D8" w:rsidRPr="00003586" w:rsidRDefault="00FB65D8" w:rsidP="0029687B">
      <w:pPr>
        <w:pStyle w:val="Bezatstarpm"/>
        <w:jc w:val="center"/>
        <w:rPr>
          <w:b/>
          <w:bCs/>
          <w:sz w:val="28"/>
        </w:rPr>
      </w:pPr>
      <w:r w:rsidRPr="00003586">
        <w:rPr>
          <w:b/>
          <w:sz w:val="28"/>
        </w:rPr>
        <w:t>Ministru kabineta noteikumu projekt</w:t>
      </w:r>
      <w:r w:rsidR="00672E96">
        <w:rPr>
          <w:b/>
          <w:sz w:val="28"/>
        </w:rPr>
        <w:t>a</w:t>
      </w:r>
      <w:r w:rsidRPr="00003586">
        <w:rPr>
          <w:b/>
          <w:sz w:val="28"/>
        </w:rPr>
        <w:t xml:space="preserve"> „</w:t>
      </w:r>
      <w:r w:rsidR="0029687B" w:rsidRPr="0029687B">
        <w:rPr>
          <w:b/>
          <w:sz w:val="28"/>
        </w:rPr>
        <w:t>Grozījumi Ministru kabineta 2012.</w:t>
      </w:r>
      <w:r w:rsidR="004D6B90">
        <w:rPr>
          <w:b/>
          <w:sz w:val="28"/>
        </w:rPr>
        <w:t> </w:t>
      </w:r>
      <w:r w:rsidR="0029687B" w:rsidRPr="0029687B">
        <w:rPr>
          <w:b/>
          <w:sz w:val="28"/>
        </w:rPr>
        <w:t>gada 17. aprīļa noteikumos Nr. 275</w:t>
      </w:r>
      <w:r w:rsidR="00442C9C">
        <w:rPr>
          <w:b/>
          <w:sz w:val="28"/>
        </w:rPr>
        <w:t xml:space="preserve"> </w:t>
      </w:r>
      <w:r w:rsidR="0029687B" w:rsidRPr="0029687B">
        <w:rPr>
          <w:b/>
          <w:sz w:val="28"/>
        </w:rPr>
        <w:t>„Prasības tādu dzīvnieku izcelsmes blakusproduktu un atvasinātu produktu apritei, kas nav paredzēti cilvēku patēriņam”</w:t>
      </w:r>
      <w:r w:rsidRPr="00003586">
        <w:rPr>
          <w:b/>
          <w:sz w:val="28"/>
        </w:rPr>
        <w:t>”</w:t>
      </w:r>
    </w:p>
    <w:p w:rsidR="00FB65D8" w:rsidRPr="00003586" w:rsidRDefault="00FB65D8" w:rsidP="00FB65D8">
      <w:pPr>
        <w:pStyle w:val="Bezatstarpm"/>
        <w:jc w:val="center"/>
        <w:rPr>
          <w:b/>
          <w:bCs/>
          <w:sz w:val="28"/>
        </w:rPr>
      </w:pPr>
      <w:r w:rsidRPr="00003586">
        <w:rPr>
          <w:b/>
          <w:bCs/>
          <w:sz w:val="28"/>
        </w:rPr>
        <w:t>sākotnējās ietekmes novērtējuma ziņojums (anotācija)</w:t>
      </w:r>
    </w:p>
    <w:p w:rsidR="00A035B4" w:rsidRPr="000A242C" w:rsidRDefault="00A035B4" w:rsidP="00FB65D8">
      <w:pPr>
        <w:pStyle w:val="Bezatstarpm"/>
        <w:jc w:val="center"/>
        <w:rPr>
          <w:bCs/>
        </w:rPr>
      </w:pPr>
    </w:p>
    <w:tbl>
      <w:tblPr>
        <w:tblStyle w:val="Reatabula"/>
        <w:tblW w:w="4785" w:type="pct"/>
        <w:tblLayout w:type="fixed"/>
        <w:tblLook w:val="04A0" w:firstRow="1" w:lastRow="0" w:firstColumn="1" w:lastColumn="0" w:noHBand="0" w:noVBand="1"/>
      </w:tblPr>
      <w:tblGrid>
        <w:gridCol w:w="562"/>
        <w:gridCol w:w="1843"/>
        <w:gridCol w:w="6266"/>
      </w:tblGrid>
      <w:tr w:rsidR="00A035B4" w:rsidRPr="00D46E60" w:rsidTr="00461EE3">
        <w:tc>
          <w:tcPr>
            <w:tcW w:w="5000" w:type="pct"/>
            <w:gridSpan w:val="3"/>
          </w:tcPr>
          <w:p w:rsidR="00A035B4" w:rsidRPr="00A035B4" w:rsidRDefault="00A035B4" w:rsidP="00236DC9">
            <w:pPr>
              <w:jc w:val="center"/>
              <w:rPr>
                <w:rFonts w:ascii="Times New Roman" w:hAnsi="Times New Roman" w:cs="Times New Roman"/>
                <w:b/>
                <w:bCs/>
                <w:sz w:val="24"/>
                <w:szCs w:val="24"/>
                <w:lang w:eastAsia="lv-LV"/>
              </w:rPr>
            </w:pPr>
            <w:r w:rsidRPr="00A035B4">
              <w:rPr>
                <w:rFonts w:ascii="Times New Roman" w:hAnsi="Times New Roman" w:cs="Times New Roman"/>
                <w:b/>
                <w:bCs/>
                <w:sz w:val="24"/>
                <w:szCs w:val="24"/>
                <w:lang w:eastAsia="lv-LV"/>
              </w:rPr>
              <w:t>Tiesību akta projekta anotācijas kopsavilkums</w:t>
            </w:r>
          </w:p>
        </w:tc>
      </w:tr>
      <w:tr w:rsidR="00A035B4" w:rsidRPr="00D46E60" w:rsidTr="00671CF0">
        <w:tc>
          <w:tcPr>
            <w:tcW w:w="1387" w:type="pct"/>
            <w:gridSpan w:val="2"/>
          </w:tcPr>
          <w:p w:rsidR="00A035B4" w:rsidRPr="00A035B4" w:rsidRDefault="00A035B4" w:rsidP="00236DC9">
            <w:pPr>
              <w:jc w:val="both"/>
              <w:rPr>
                <w:rFonts w:ascii="Times New Roman" w:hAnsi="Times New Roman" w:cs="Times New Roman"/>
                <w:sz w:val="24"/>
                <w:szCs w:val="24"/>
                <w:highlight w:val="yellow"/>
                <w:lang w:eastAsia="lv-LV"/>
              </w:rPr>
            </w:pPr>
            <w:r w:rsidRPr="00A035B4">
              <w:rPr>
                <w:rFonts w:ascii="Times New Roman" w:hAnsi="Times New Roman" w:cs="Times New Roman"/>
                <w:sz w:val="24"/>
                <w:szCs w:val="24"/>
              </w:rPr>
              <w:t>Mērķis, risinājums un projekta spēkā stāšanās laiks (500 zīmes bez atstarpēm)</w:t>
            </w:r>
          </w:p>
        </w:tc>
        <w:tc>
          <w:tcPr>
            <w:tcW w:w="3613" w:type="pct"/>
          </w:tcPr>
          <w:p w:rsidR="00A035B4" w:rsidRPr="00741B80" w:rsidRDefault="008D56DD" w:rsidP="00040EA9">
            <w:pPr>
              <w:jc w:val="both"/>
              <w:rPr>
                <w:rFonts w:ascii="Times New Roman" w:hAnsi="Times New Roman" w:cs="Times New Roman"/>
                <w:sz w:val="24"/>
                <w:szCs w:val="24"/>
                <w:lang w:eastAsia="lv-LV"/>
              </w:rPr>
            </w:pPr>
            <w:r w:rsidRPr="008D56DD">
              <w:rPr>
                <w:rFonts w:ascii="Times New Roman" w:hAnsi="Times New Roman" w:cs="Times New Roman"/>
                <w:sz w:val="24"/>
              </w:rPr>
              <w:t>Projekts šo jomu neskar.</w:t>
            </w:r>
          </w:p>
        </w:tc>
      </w:tr>
      <w:tr w:rsidR="00FB65D8" w:rsidRPr="000A242C" w:rsidTr="00461EE3">
        <w:tc>
          <w:tcPr>
            <w:tcW w:w="5000" w:type="pct"/>
            <w:gridSpan w:val="3"/>
          </w:tcPr>
          <w:p w:rsidR="00FB65D8" w:rsidRPr="00A035B4" w:rsidRDefault="00FB65D8" w:rsidP="00F62526">
            <w:pPr>
              <w:pStyle w:val="Bezatstarpm"/>
              <w:jc w:val="center"/>
              <w:rPr>
                <w:b/>
              </w:rPr>
            </w:pPr>
            <w:r w:rsidRPr="00A035B4">
              <w:rPr>
                <w:b/>
              </w:rPr>
              <w:t>I. Tiesību akta projekta izstrādes nepieciešamība</w:t>
            </w:r>
          </w:p>
        </w:tc>
      </w:tr>
      <w:tr w:rsidR="00FB65D8" w:rsidRPr="000A242C" w:rsidTr="00671CF0">
        <w:tc>
          <w:tcPr>
            <w:tcW w:w="324" w:type="pct"/>
          </w:tcPr>
          <w:p w:rsidR="00FB65D8" w:rsidRPr="000A242C" w:rsidRDefault="00FB65D8" w:rsidP="00F62526">
            <w:pPr>
              <w:pStyle w:val="Bezatstarpm"/>
            </w:pPr>
            <w:r w:rsidRPr="000A242C">
              <w:t>1.</w:t>
            </w:r>
          </w:p>
        </w:tc>
        <w:tc>
          <w:tcPr>
            <w:tcW w:w="1063" w:type="pct"/>
          </w:tcPr>
          <w:p w:rsidR="00FB65D8" w:rsidRPr="000A242C" w:rsidRDefault="00FB65D8" w:rsidP="00F62526">
            <w:pPr>
              <w:pStyle w:val="Bezatstarpm"/>
            </w:pPr>
            <w:r w:rsidRPr="000A242C">
              <w:t>Pamatojums</w:t>
            </w:r>
          </w:p>
        </w:tc>
        <w:tc>
          <w:tcPr>
            <w:tcW w:w="3613" w:type="pct"/>
          </w:tcPr>
          <w:p w:rsidR="00FB65D8" w:rsidRPr="000A242C" w:rsidRDefault="0022273A" w:rsidP="00040EA9">
            <w:pPr>
              <w:pStyle w:val="Bezatstarpm"/>
              <w:jc w:val="both"/>
            </w:pPr>
            <w:r w:rsidRPr="0022273A">
              <w:t xml:space="preserve">Veterinārmedicīnas likuma </w:t>
            </w:r>
            <w:r w:rsidR="00040EA9" w:rsidRPr="00040EA9">
              <w:t>42.</w:t>
            </w:r>
            <w:r w:rsidR="00040EA9" w:rsidRPr="00040EA9">
              <w:rPr>
                <w:vertAlign w:val="superscript"/>
              </w:rPr>
              <w:t>1</w:t>
            </w:r>
            <w:r w:rsidR="00040EA9">
              <w:t xml:space="preserve"> panta otr</w:t>
            </w:r>
            <w:r w:rsidR="004D6B90">
              <w:t>ā</w:t>
            </w:r>
            <w:r w:rsidR="00040EA9">
              <w:t xml:space="preserve"> daļa</w:t>
            </w:r>
          </w:p>
        </w:tc>
      </w:tr>
      <w:tr w:rsidR="00FB65D8" w:rsidRPr="00A25835" w:rsidTr="00671CF0">
        <w:tc>
          <w:tcPr>
            <w:tcW w:w="324" w:type="pct"/>
          </w:tcPr>
          <w:p w:rsidR="00FB65D8" w:rsidRPr="000A242C" w:rsidRDefault="00FB65D8" w:rsidP="00F62526">
            <w:pPr>
              <w:pStyle w:val="Bezatstarpm"/>
            </w:pPr>
            <w:r w:rsidRPr="000A242C">
              <w:t>2.</w:t>
            </w:r>
          </w:p>
        </w:tc>
        <w:tc>
          <w:tcPr>
            <w:tcW w:w="1063" w:type="pct"/>
          </w:tcPr>
          <w:p w:rsidR="00823C7D" w:rsidRDefault="00FB65D8" w:rsidP="00F62526">
            <w:pPr>
              <w:pStyle w:val="Bezatstarpm"/>
              <w:jc w:val="both"/>
            </w:pPr>
            <w:r w:rsidRPr="000A242C">
              <w:t>Pašreizējā situācija un problēmas, kuru risināšanai tiesību akta projekts izstrādāts, tiesiskā regulējuma mērķis un būtība</w:t>
            </w:r>
          </w:p>
          <w:p w:rsidR="00823C7D" w:rsidRPr="00823C7D" w:rsidRDefault="00823C7D" w:rsidP="00823C7D">
            <w:pPr>
              <w:rPr>
                <w:lang w:eastAsia="lv-LV"/>
              </w:rPr>
            </w:pPr>
          </w:p>
          <w:p w:rsidR="00823C7D" w:rsidRPr="00823C7D" w:rsidRDefault="00823C7D" w:rsidP="00823C7D">
            <w:pPr>
              <w:rPr>
                <w:lang w:eastAsia="lv-LV"/>
              </w:rPr>
            </w:pPr>
          </w:p>
          <w:p w:rsidR="00823C7D" w:rsidRPr="00823C7D" w:rsidRDefault="00823C7D" w:rsidP="00823C7D">
            <w:pPr>
              <w:rPr>
                <w:lang w:eastAsia="lv-LV"/>
              </w:rPr>
            </w:pPr>
          </w:p>
          <w:p w:rsidR="00823C7D" w:rsidRPr="00823C7D" w:rsidRDefault="00823C7D" w:rsidP="00823C7D">
            <w:pPr>
              <w:rPr>
                <w:lang w:eastAsia="lv-LV"/>
              </w:rPr>
            </w:pPr>
          </w:p>
          <w:p w:rsidR="00823C7D" w:rsidRPr="00823C7D" w:rsidRDefault="00823C7D" w:rsidP="00823C7D">
            <w:pPr>
              <w:rPr>
                <w:lang w:eastAsia="lv-LV"/>
              </w:rPr>
            </w:pPr>
          </w:p>
          <w:p w:rsidR="00823C7D" w:rsidRPr="00823C7D" w:rsidRDefault="00823C7D" w:rsidP="00823C7D">
            <w:pPr>
              <w:rPr>
                <w:lang w:eastAsia="lv-LV"/>
              </w:rPr>
            </w:pPr>
          </w:p>
          <w:p w:rsidR="00823C7D" w:rsidRPr="00823C7D" w:rsidRDefault="00823C7D" w:rsidP="00823C7D">
            <w:pPr>
              <w:rPr>
                <w:lang w:eastAsia="lv-LV"/>
              </w:rPr>
            </w:pPr>
          </w:p>
          <w:p w:rsidR="00823C7D" w:rsidRPr="00823C7D" w:rsidRDefault="00823C7D" w:rsidP="00823C7D">
            <w:pPr>
              <w:rPr>
                <w:lang w:eastAsia="lv-LV"/>
              </w:rPr>
            </w:pPr>
          </w:p>
          <w:p w:rsidR="00823C7D" w:rsidRPr="00823C7D" w:rsidRDefault="00823C7D" w:rsidP="00823C7D">
            <w:pPr>
              <w:rPr>
                <w:lang w:eastAsia="lv-LV"/>
              </w:rPr>
            </w:pPr>
          </w:p>
          <w:p w:rsidR="00823C7D" w:rsidRPr="00823C7D" w:rsidRDefault="00823C7D" w:rsidP="00823C7D">
            <w:pPr>
              <w:rPr>
                <w:lang w:eastAsia="lv-LV"/>
              </w:rPr>
            </w:pPr>
          </w:p>
          <w:p w:rsidR="00823C7D" w:rsidRPr="00823C7D" w:rsidRDefault="00823C7D" w:rsidP="00823C7D">
            <w:pPr>
              <w:rPr>
                <w:lang w:eastAsia="lv-LV"/>
              </w:rPr>
            </w:pPr>
          </w:p>
          <w:p w:rsidR="00823C7D" w:rsidRPr="00823C7D" w:rsidRDefault="00823C7D" w:rsidP="00823C7D">
            <w:pPr>
              <w:rPr>
                <w:lang w:eastAsia="lv-LV"/>
              </w:rPr>
            </w:pPr>
          </w:p>
          <w:p w:rsidR="00823C7D" w:rsidRPr="00823C7D" w:rsidRDefault="00823C7D" w:rsidP="00823C7D">
            <w:pPr>
              <w:rPr>
                <w:lang w:eastAsia="lv-LV"/>
              </w:rPr>
            </w:pPr>
          </w:p>
          <w:p w:rsidR="00823C7D" w:rsidRPr="00823C7D" w:rsidRDefault="00823C7D" w:rsidP="00823C7D">
            <w:pPr>
              <w:rPr>
                <w:lang w:eastAsia="lv-LV"/>
              </w:rPr>
            </w:pPr>
          </w:p>
          <w:p w:rsidR="00823C7D" w:rsidRPr="00823C7D" w:rsidRDefault="00823C7D" w:rsidP="00823C7D">
            <w:pPr>
              <w:rPr>
                <w:lang w:eastAsia="lv-LV"/>
              </w:rPr>
            </w:pPr>
          </w:p>
          <w:p w:rsidR="00823C7D" w:rsidRPr="00823C7D" w:rsidRDefault="00823C7D" w:rsidP="00823C7D">
            <w:pPr>
              <w:rPr>
                <w:lang w:eastAsia="lv-LV"/>
              </w:rPr>
            </w:pPr>
          </w:p>
          <w:p w:rsidR="00823C7D" w:rsidRDefault="00823C7D" w:rsidP="00823C7D">
            <w:pPr>
              <w:rPr>
                <w:lang w:eastAsia="lv-LV"/>
              </w:rPr>
            </w:pPr>
          </w:p>
          <w:p w:rsidR="00823C7D" w:rsidRPr="00823C7D" w:rsidRDefault="00823C7D" w:rsidP="00823C7D">
            <w:pPr>
              <w:rPr>
                <w:lang w:eastAsia="lv-LV"/>
              </w:rPr>
            </w:pPr>
          </w:p>
          <w:p w:rsidR="00823C7D" w:rsidRPr="00823C7D" w:rsidRDefault="00823C7D" w:rsidP="00823C7D">
            <w:pPr>
              <w:rPr>
                <w:lang w:eastAsia="lv-LV"/>
              </w:rPr>
            </w:pPr>
          </w:p>
          <w:p w:rsidR="00823C7D" w:rsidRPr="00823C7D" w:rsidRDefault="00823C7D" w:rsidP="00823C7D">
            <w:pPr>
              <w:rPr>
                <w:lang w:eastAsia="lv-LV"/>
              </w:rPr>
            </w:pPr>
          </w:p>
          <w:p w:rsidR="00823C7D" w:rsidRPr="00823C7D" w:rsidRDefault="00823C7D" w:rsidP="00823C7D">
            <w:pPr>
              <w:rPr>
                <w:lang w:eastAsia="lv-LV"/>
              </w:rPr>
            </w:pPr>
          </w:p>
          <w:p w:rsidR="00823C7D" w:rsidRPr="00823C7D" w:rsidRDefault="00823C7D" w:rsidP="00823C7D">
            <w:pPr>
              <w:rPr>
                <w:lang w:eastAsia="lv-LV"/>
              </w:rPr>
            </w:pPr>
          </w:p>
          <w:p w:rsidR="00823C7D" w:rsidRPr="00823C7D" w:rsidRDefault="00823C7D" w:rsidP="00823C7D">
            <w:pPr>
              <w:rPr>
                <w:lang w:eastAsia="lv-LV"/>
              </w:rPr>
            </w:pPr>
          </w:p>
          <w:p w:rsidR="00823C7D" w:rsidRDefault="00823C7D" w:rsidP="00823C7D">
            <w:pPr>
              <w:rPr>
                <w:lang w:eastAsia="lv-LV"/>
              </w:rPr>
            </w:pPr>
          </w:p>
          <w:p w:rsidR="00823C7D" w:rsidRPr="00823C7D" w:rsidRDefault="00823C7D" w:rsidP="00823C7D">
            <w:pPr>
              <w:rPr>
                <w:lang w:eastAsia="lv-LV"/>
              </w:rPr>
            </w:pPr>
          </w:p>
          <w:p w:rsidR="00823C7D" w:rsidRPr="00823C7D" w:rsidRDefault="00823C7D" w:rsidP="00823C7D">
            <w:pPr>
              <w:rPr>
                <w:lang w:eastAsia="lv-LV"/>
              </w:rPr>
            </w:pPr>
          </w:p>
          <w:p w:rsidR="00823C7D" w:rsidRDefault="00823C7D" w:rsidP="00823C7D">
            <w:pPr>
              <w:rPr>
                <w:lang w:eastAsia="lv-LV"/>
              </w:rPr>
            </w:pPr>
          </w:p>
          <w:p w:rsidR="00FB65D8" w:rsidRPr="00823C7D" w:rsidRDefault="00FB65D8" w:rsidP="00823C7D">
            <w:pPr>
              <w:jc w:val="center"/>
              <w:rPr>
                <w:lang w:eastAsia="lv-LV"/>
              </w:rPr>
            </w:pPr>
          </w:p>
        </w:tc>
        <w:tc>
          <w:tcPr>
            <w:tcW w:w="3613" w:type="pct"/>
          </w:tcPr>
          <w:p w:rsidR="00040EA9" w:rsidRDefault="00040EA9" w:rsidP="00040EA9">
            <w:pPr>
              <w:pStyle w:val="Bezatstarpm"/>
              <w:jc w:val="both"/>
            </w:pPr>
            <w:r>
              <w:t>Patlaban spēkā ir</w:t>
            </w:r>
            <w:r w:rsidR="003A52E7">
              <w:t xml:space="preserve"> </w:t>
            </w:r>
            <w:r>
              <w:t>Ministru kabineta 2012.</w:t>
            </w:r>
            <w:r w:rsidR="00C04A4F">
              <w:t xml:space="preserve"> </w:t>
            </w:r>
            <w:r>
              <w:t>gada 17.</w:t>
            </w:r>
            <w:r w:rsidR="00C04A4F">
              <w:t xml:space="preserve"> </w:t>
            </w:r>
            <w:r>
              <w:t>aprīļa noteikumi Nr.275 „Prasības tādu dzīvnieku izcelsmes blakusproduktu un atvasinātu produktu apritei, kas nav paredzēti cilvēku patēriņam”” (turpmāk – noteikumi Nr.275)</w:t>
            </w:r>
            <w:r w:rsidR="003A52E7">
              <w:t>.</w:t>
            </w:r>
          </w:p>
          <w:p w:rsidR="00040EA9" w:rsidRDefault="00C04A4F" w:rsidP="00040EA9">
            <w:pPr>
              <w:pStyle w:val="Bezatstarpm"/>
              <w:jc w:val="both"/>
            </w:pPr>
            <w:r>
              <w:t xml:space="preserve">Komisijas 2017. gada 12. jūlija Regula </w:t>
            </w:r>
            <w:r w:rsidR="00040EA9">
              <w:t>(ES) 2017/1262, ar ko Regulu (ES) Nr. 142/2011 groza attiecībā uz lauksaimniecības dzīvnieku kūtsmēsliem, kurus izmanto par kurināmo dedzināšanas iekārtās</w:t>
            </w:r>
            <w:r w:rsidR="004D6B90">
              <w:t>,</w:t>
            </w:r>
            <w:r>
              <w:t xml:space="preserve"> </w:t>
            </w:r>
            <w:r w:rsidRPr="00C04A4F">
              <w:t>(turpmāk – Regula 2017/1262)</w:t>
            </w:r>
            <w:r>
              <w:t xml:space="preserve"> reglamentē visu veidu lauksaimniecības dzīvnieku kūtsmēslu izmantošanu par kurināmo. Lauksaimniecības dzīvnieku kūtsmēsli </w:t>
            </w:r>
            <w:r w:rsidR="0029687B">
              <w:t>ir</w:t>
            </w:r>
            <w:r>
              <w:t xml:space="preserve"> ilgtspējīgs dedzināšanas iekārtu kurināmā avots, </w:t>
            </w:r>
            <w:r w:rsidR="004D6B90">
              <w:t>ja vien</w:t>
            </w:r>
            <w:r>
              <w:t xml:space="preserve"> dedzināšanas process atbilst konkrētām prasībām, kuru mērķis ir efektīvi samazināt nelabvēlīgo ietekmi uz dzīvnieku un cilvēku veselību un vidi, kādu rada kūtsmēslu izmantošana par kurināmo.</w:t>
            </w:r>
          </w:p>
          <w:p w:rsidR="00A216CA" w:rsidRDefault="008D56DD" w:rsidP="00040EA9">
            <w:pPr>
              <w:pStyle w:val="Bezatstarpm"/>
              <w:jc w:val="both"/>
            </w:pPr>
            <w:r>
              <w:t>A</w:t>
            </w:r>
            <w:r w:rsidR="00A4202F">
              <w:t xml:space="preserve">r </w:t>
            </w:r>
            <w:r w:rsidR="00A4202F" w:rsidRPr="00A4202F">
              <w:t>Regul</w:t>
            </w:r>
            <w:r>
              <w:t>as</w:t>
            </w:r>
            <w:r w:rsidR="00A4202F" w:rsidRPr="00A4202F">
              <w:t xml:space="preserve"> 2017/1262</w:t>
            </w:r>
            <w:r w:rsidR="00A4202F">
              <w:t xml:space="preserve"> </w:t>
            </w:r>
            <w:r>
              <w:t xml:space="preserve">1. pantu </w:t>
            </w:r>
            <w:r w:rsidR="00380304">
              <w:t>Eiropas Komisijas 2011.</w:t>
            </w:r>
            <w:r w:rsidR="00A11EB4">
              <w:t xml:space="preserve"> </w:t>
            </w:r>
            <w:r w:rsidR="00380304">
              <w:t>gada 25.</w:t>
            </w:r>
            <w:r w:rsidR="00A11EB4">
              <w:t xml:space="preserve"> </w:t>
            </w:r>
            <w:r w:rsidR="00380304">
              <w:t xml:space="preserve">februāra Regulas (ES) Nr.142/2011, ar kuru īsteno Eiropas Parlamenta un Padomes Regulu (EK) Nr.1069/2009, ar ko nosaka veselības aizsardzības noteikumus attiecībā uz dzīvnieku izcelsmes blakusproduktiem un atvasinātajiem produktiem, </w:t>
            </w:r>
            <w:proofErr w:type="gramStart"/>
            <w:r w:rsidR="00380304">
              <w:t>kuri nav</w:t>
            </w:r>
            <w:proofErr w:type="gramEnd"/>
            <w:r w:rsidR="00380304">
              <w:t xml:space="preserve"> paredzēti cilvēku patēriņam, un īsteno Padomes Direktīvu 97/78/EK attiecībā uz dažiem paraugiem un precēm, kam uz robežas neveic veterinārās pārbaudes atbilstīgi minētajai direktīvai</w:t>
            </w:r>
            <w:r w:rsidR="004D6B90">
              <w:t>,</w:t>
            </w:r>
            <w:r w:rsidR="00380304">
              <w:t xml:space="preserve"> (turpmāk – </w:t>
            </w:r>
            <w:r w:rsidR="00671CF0">
              <w:t>R</w:t>
            </w:r>
            <w:r w:rsidR="00380304">
              <w:t>egula 142/2011) 6. panta 8.</w:t>
            </w:r>
            <w:r w:rsidR="004D6B90">
              <w:t> </w:t>
            </w:r>
            <w:r w:rsidR="00380304">
              <w:t xml:space="preserve">punkts </w:t>
            </w:r>
            <w:r>
              <w:t>izteikts jaunā redakcijā</w:t>
            </w:r>
            <w:r w:rsidR="00A4202F">
              <w:t xml:space="preserve">. </w:t>
            </w:r>
            <w:r w:rsidR="0014429E">
              <w:t>B</w:t>
            </w:r>
            <w:r w:rsidR="00873472">
              <w:t>lakusproduktu apritē iesaistīt</w:t>
            </w:r>
            <w:r w:rsidR="0014429E">
              <w:t>ai</w:t>
            </w:r>
            <w:r w:rsidR="00873472">
              <w:t xml:space="preserve"> persona</w:t>
            </w:r>
            <w:r w:rsidR="0014429E">
              <w:t>i</w:t>
            </w:r>
            <w:r w:rsidR="00873472">
              <w:t>, kam</w:t>
            </w:r>
            <w:r w:rsidR="0014429E">
              <w:t xml:space="preserve"> pieder</w:t>
            </w:r>
            <w:r w:rsidR="00873472">
              <w:t xml:space="preserve"> </w:t>
            </w:r>
            <w:r w:rsidR="0014429E">
              <w:t xml:space="preserve">dedzināšanas iekārta, kurā par kurināmo izmanto lauksaimniecības dzīvnieku kūtsmēslus, ir jāsaņem </w:t>
            </w:r>
            <w:r w:rsidR="009606A5">
              <w:t xml:space="preserve">atzinums </w:t>
            </w:r>
            <w:r w:rsidR="0014429E">
              <w:t xml:space="preserve">no </w:t>
            </w:r>
            <w:r w:rsidR="00A216CA">
              <w:t>Valsts vides dienest</w:t>
            </w:r>
            <w:r w:rsidR="0014429E">
              <w:t xml:space="preserve">a. Šāds </w:t>
            </w:r>
            <w:r w:rsidR="009606A5">
              <w:t>atzinums sniedz apstiprinājumu tam</w:t>
            </w:r>
            <w:r w:rsidR="00873472" w:rsidRPr="0029687B">
              <w:t xml:space="preserve">, ka iekārta </w:t>
            </w:r>
            <w:r w:rsidR="00A216CA" w:rsidRPr="00A216CA">
              <w:t xml:space="preserve">atbilst prasībām, kas noteiktas </w:t>
            </w:r>
            <w:r w:rsidR="00671CF0">
              <w:t>R</w:t>
            </w:r>
            <w:r w:rsidR="00A216CA" w:rsidRPr="00A216CA">
              <w:t xml:space="preserve">egulas 142/2011 </w:t>
            </w:r>
            <w:r w:rsidR="0014429E" w:rsidRPr="0014429E">
              <w:t>III pielikuma V nodaļas B daļas 3., 4. un 5. punktā</w:t>
            </w:r>
            <w:r w:rsidR="009606A5">
              <w:t>.</w:t>
            </w:r>
            <w:r w:rsidR="00EB691A">
              <w:t xml:space="preserve"> Ņemot vērā minēto, noteikumu Nr. 275 3.</w:t>
            </w:r>
            <w:r w:rsidR="00EB691A" w:rsidRPr="00EB691A">
              <w:rPr>
                <w:vertAlign w:val="superscript"/>
              </w:rPr>
              <w:t>1</w:t>
            </w:r>
            <w:r w:rsidR="004D6B90">
              <w:t> </w:t>
            </w:r>
            <w:r w:rsidR="000C060D">
              <w:t>punktā jānosaka, ka Valsts vides dienests sniedz atzinumu arī par tādu dedzināšanas iekārtu atbilstību, kurās par kurināmo izmanto lauksaimniecības dzīvnieku kūtsmēslus.</w:t>
            </w:r>
          </w:p>
          <w:p w:rsidR="008D56DD" w:rsidRDefault="004E7388" w:rsidP="008D56DD">
            <w:pPr>
              <w:pStyle w:val="Bezatstarpm"/>
              <w:jc w:val="both"/>
            </w:pPr>
            <w:r w:rsidRPr="004E7388">
              <w:t xml:space="preserve">Šobrīd blakusproduktu apritē iesaistītās personas blakusproduktiem, ko transportē Latvijas teritorijā, </w:t>
            </w:r>
            <w:r w:rsidR="004D6B90">
              <w:t xml:space="preserve">to </w:t>
            </w:r>
            <w:r w:rsidRPr="004E7388">
              <w:t xml:space="preserve">pārvadāšanas laikā </w:t>
            </w:r>
            <w:r w:rsidR="004D6B90" w:rsidRPr="004E7388">
              <w:t xml:space="preserve">nodrošina </w:t>
            </w:r>
            <w:r w:rsidRPr="004E7388">
              <w:t xml:space="preserve">pievienotu dzīvnieku izcelsmes </w:t>
            </w:r>
            <w:r w:rsidRPr="004E7388">
              <w:lastRenderedPageBreak/>
              <w:t xml:space="preserve">blakusproduktu un pārstrādātu produktu pavaddokumentu atbilstoši noteikumu Nr.275 19.2. apakšpunktā un 1.pielikumā noteiktajām prasībām </w:t>
            </w:r>
            <w:r w:rsidR="008D56DD">
              <w:t>(papīra formā vai elektronisku), bet blakusproduktiem, ko transportē no Latvijas teritorijas uz Eiropas Savienības dalībvalstīm</w:t>
            </w:r>
            <w:r w:rsidR="004D6B90">
              <w:t>,</w:t>
            </w:r>
            <w:r w:rsidR="008D56DD">
              <w:t xml:space="preserve"> nodrošina tirdzniecības dokumentu atbilstoši </w:t>
            </w:r>
            <w:r w:rsidR="00671CF0">
              <w:t>R</w:t>
            </w:r>
            <w:r w:rsidR="008D56DD">
              <w:t xml:space="preserve">egulas 142/2011 17. pantā noteiktajām prasībām. Lai samazinātu administratīvo slogu un dažādu formu (ar atšķirīgām prasībām) dokumentu aizpildīšanu, nepieciešams noteikt, ka </w:t>
            </w:r>
            <w:r w:rsidR="008D56DD" w:rsidRPr="008D56DD">
              <w:t xml:space="preserve">Latvijas teritorijā un no Latvijas teritorijas uz Eiropas Savienības dalībvalstīm </w:t>
            </w:r>
            <w:r w:rsidR="004D6B90" w:rsidRPr="008D56DD">
              <w:t>transportē</w:t>
            </w:r>
            <w:r w:rsidR="004D6B90">
              <w:t>jamu</w:t>
            </w:r>
            <w:r w:rsidR="004D6B90" w:rsidRPr="008D56DD">
              <w:t xml:space="preserve"> </w:t>
            </w:r>
            <w:r w:rsidR="008D56DD" w:rsidRPr="008D56DD">
              <w:t xml:space="preserve">blakusproduktu apritē iesaistītā persona nodrošina tirdzniecības dokumentu atbilstoši </w:t>
            </w:r>
            <w:r w:rsidR="00671CF0">
              <w:t>R</w:t>
            </w:r>
            <w:r w:rsidR="008D56DD" w:rsidRPr="008D56DD">
              <w:t>egulas 142/2011 17. pantā noteiktām prasībām</w:t>
            </w:r>
            <w:r w:rsidR="00A234F5">
              <w:t xml:space="preserve">. </w:t>
            </w:r>
            <w:r w:rsidR="00FB7D3D" w:rsidRPr="00FB7D3D">
              <w:t>Š</w:t>
            </w:r>
            <w:r w:rsidR="00FB7D3D">
              <w:t>āda prasība stāsies spēkā</w:t>
            </w:r>
            <w:r w:rsidR="00FB7D3D" w:rsidRPr="00FB7D3D">
              <w:t xml:space="preserve"> 2019. gada 1. janvārī.</w:t>
            </w:r>
          </w:p>
          <w:p w:rsidR="00380304" w:rsidRDefault="004D6B90" w:rsidP="008D56DD">
            <w:pPr>
              <w:pStyle w:val="Bezatstarpm"/>
              <w:jc w:val="both"/>
            </w:pPr>
            <w:r>
              <w:t>Tā kā</w:t>
            </w:r>
            <w:r w:rsidR="00A234F5">
              <w:t xml:space="preserve"> </w:t>
            </w:r>
            <w:r w:rsidR="00A234F5" w:rsidRPr="00A234F5">
              <w:t>bīstamo kravu apriti</w:t>
            </w:r>
            <w:r w:rsidR="00A234F5">
              <w:t xml:space="preserve"> reglamentē Bīstamo kravu aprites likums un </w:t>
            </w:r>
            <w:r w:rsidR="00A234F5" w:rsidRPr="005B0188">
              <w:t>Eiropas valstu nolīgum</w:t>
            </w:r>
            <w:r w:rsidR="00A234F5">
              <w:t>s</w:t>
            </w:r>
            <w:r w:rsidR="00A234F5" w:rsidRPr="005B0188">
              <w:t xml:space="preserve"> par bīstamo kravu starptautiskajiem pārvadājumiem ar autotransportu (ADR)</w:t>
            </w:r>
            <w:r w:rsidR="00A234F5">
              <w:t xml:space="preserve">, kuros ir noteiktas </w:t>
            </w:r>
            <w:r w:rsidR="00A234F5" w:rsidRPr="00A234F5">
              <w:t>prasības dzīvnieku izcelsmes infekciozo vielu saturošu kravu aprit</w:t>
            </w:r>
            <w:r w:rsidR="00A234F5">
              <w:t>e</w:t>
            </w:r>
            <w:r w:rsidR="00A234F5" w:rsidRPr="00A234F5">
              <w:t xml:space="preserve">i, </w:t>
            </w:r>
            <w:r w:rsidR="00380304">
              <w:t xml:space="preserve">ir lietderīgi noteikumu Nr.275 20.punktu svītrot, jo </w:t>
            </w:r>
            <w:r w:rsidR="00A234F5">
              <w:t>dzīvnieku izcelsmes blakusproduktu apriti reglamentē</w:t>
            </w:r>
            <w:r w:rsidR="00380304">
              <w:t>:</w:t>
            </w:r>
          </w:p>
          <w:p w:rsidR="00380304" w:rsidRDefault="00380304" w:rsidP="00380304">
            <w:pPr>
              <w:pStyle w:val="Bezatstarpm"/>
              <w:jc w:val="both"/>
            </w:pPr>
            <w:r>
              <w:t>1) Eiropas Parlamenta un Padomes 2009.</w:t>
            </w:r>
            <w:r w:rsidR="00623EDF">
              <w:t xml:space="preserve"> </w:t>
            </w:r>
            <w:r>
              <w:t>gada 21.</w:t>
            </w:r>
            <w:r w:rsidR="00623EDF">
              <w:t xml:space="preserve"> </w:t>
            </w:r>
            <w:r>
              <w:t xml:space="preserve">oktobra Regula (EK) Nr.1069/2009, ar ko nosaka veselības aizsardzības noteikumus attiecībā uz dzīvnieku izcelsmes blakusproduktiem un atvasinātajiem produktiem, </w:t>
            </w:r>
            <w:proofErr w:type="gramStart"/>
            <w:r>
              <w:t>kuri nav</w:t>
            </w:r>
            <w:proofErr w:type="gramEnd"/>
            <w:r>
              <w:t xml:space="preserve"> paredzēti cilvēku patēriņam, un ar ko atceļ Regulu (EK) Nr.1774/2002 (Dzīvnieku izcelsmes blakus</w:t>
            </w:r>
            <w:r w:rsidR="00623EDF">
              <w:t>produktu regula)</w:t>
            </w:r>
            <w:r>
              <w:t>;</w:t>
            </w:r>
          </w:p>
          <w:p w:rsidR="00A234F5" w:rsidRDefault="00380304" w:rsidP="00380304">
            <w:pPr>
              <w:pStyle w:val="Bezatstarpm"/>
              <w:jc w:val="both"/>
            </w:pPr>
            <w:r>
              <w:t xml:space="preserve">2) </w:t>
            </w:r>
            <w:r w:rsidR="00671CF0">
              <w:t>R</w:t>
            </w:r>
            <w:r>
              <w:t>egula 142/2011.</w:t>
            </w:r>
          </w:p>
          <w:p w:rsidR="004B5D20" w:rsidRPr="004A5ECD" w:rsidRDefault="004B5D20" w:rsidP="00442C9C">
            <w:pPr>
              <w:pStyle w:val="Bezatstarpm"/>
              <w:jc w:val="both"/>
            </w:pPr>
            <w:r w:rsidRPr="00471086">
              <w:t xml:space="preserve">Ņemot vērā minēto, </w:t>
            </w:r>
            <w:r>
              <w:t xml:space="preserve">ir </w:t>
            </w:r>
            <w:r w:rsidR="004D6B90">
              <w:t>sagatavo</w:t>
            </w:r>
            <w:r>
              <w:t>ti Ministru ka</w:t>
            </w:r>
            <w:r w:rsidR="00665123">
              <w:t>b</w:t>
            </w:r>
            <w:r>
              <w:t xml:space="preserve">ineta </w:t>
            </w:r>
            <w:r w:rsidRPr="00471086">
              <w:t>noteikum</w:t>
            </w:r>
            <w:r>
              <w:t>i „</w:t>
            </w:r>
            <w:r w:rsidR="00442C9C">
              <w:t>Grozījumi Ministru kabineta 2012. gada 17. aprīļa noteikumos Nr. 275 „Prasības tādu dzīvnieku izcelsmes blakusproduktu un atvasinātu produktu apritei, kas nav paredzēti cilvēku patēriņam”</w:t>
            </w:r>
            <w:r w:rsidRPr="004A5ECD">
              <w:t>”</w:t>
            </w:r>
            <w:r w:rsidR="00FF4060" w:rsidRPr="004A5ECD">
              <w:t xml:space="preserve"> (turpmāk – noteikumu projekts)</w:t>
            </w:r>
            <w:r w:rsidRPr="004A5ECD">
              <w:t>, k</w:t>
            </w:r>
            <w:r w:rsidR="008617C7" w:rsidRPr="004A5ECD">
              <w:t>as</w:t>
            </w:r>
            <w:r w:rsidRPr="004A5ECD">
              <w:t xml:space="preserve"> </w:t>
            </w:r>
            <w:r w:rsidR="004D6B90">
              <w:t>paredz</w:t>
            </w:r>
            <w:r w:rsidR="00442C9C">
              <w:t>, ka</w:t>
            </w:r>
            <w:r w:rsidRPr="004A5ECD">
              <w:t>:</w:t>
            </w:r>
          </w:p>
          <w:p w:rsidR="00FB6366" w:rsidRPr="004A5ECD" w:rsidRDefault="00FB6366" w:rsidP="00442C9C">
            <w:pPr>
              <w:pStyle w:val="Bezatstarpm"/>
              <w:jc w:val="both"/>
            </w:pPr>
            <w:r w:rsidRPr="004A5ECD">
              <w:t xml:space="preserve">1) </w:t>
            </w:r>
            <w:r w:rsidR="00442C9C">
              <w:t xml:space="preserve">Valsts vides dienests ir </w:t>
            </w:r>
            <w:r w:rsidR="00671CF0">
              <w:t>R</w:t>
            </w:r>
            <w:r w:rsidR="00442C9C">
              <w:t>egulas 142/2011 6. panta 8. punktā minētā kompetentā iestāde, kas sniedz a</w:t>
            </w:r>
            <w:r w:rsidR="006E39B6">
              <w:t>tzinumu par atbilstību prasībām</w:t>
            </w:r>
            <w:r w:rsidR="00A15CFD" w:rsidRPr="004A5ECD">
              <w:t>;</w:t>
            </w:r>
          </w:p>
          <w:p w:rsidR="00DC6603" w:rsidRPr="004A5ECD" w:rsidRDefault="00FB6366">
            <w:pPr>
              <w:pStyle w:val="Bezatstarpm"/>
              <w:jc w:val="both"/>
            </w:pPr>
            <w:r w:rsidRPr="004A5ECD">
              <w:t xml:space="preserve">2) </w:t>
            </w:r>
            <w:r w:rsidR="006E39B6" w:rsidRPr="00442C9C">
              <w:t xml:space="preserve">blakusproduktu apritē iesaistītā persona </w:t>
            </w:r>
            <w:r w:rsidR="00442C9C" w:rsidRPr="00442C9C">
              <w:t xml:space="preserve">Latvijas teritorijā un no Latvijas teritorijas uz Eiropas Savienības dalībvalstīm </w:t>
            </w:r>
            <w:r w:rsidR="004D6B90">
              <w:t>t</w:t>
            </w:r>
            <w:r w:rsidR="004D6B90" w:rsidRPr="00442C9C">
              <w:t>ransportē</w:t>
            </w:r>
            <w:r w:rsidR="004D6B90">
              <w:t>jamiem b</w:t>
            </w:r>
            <w:r w:rsidR="004D6B90" w:rsidRPr="00442C9C">
              <w:t xml:space="preserve">lakusproduktiem nodrošina </w:t>
            </w:r>
            <w:r w:rsidR="00442C9C" w:rsidRPr="00442C9C">
              <w:t xml:space="preserve">tirdzniecības dokumentu atbilstoši </w:t>
            </w:r>
            <w:r w:rsidR="00671CF0">
              <w:t>R</w:t>
            </w:r>
            <w:r w:rsidR="00442C9C" w:rsidRPr="00442C9C">
              <w:t>egulas 142/2011 17. pantā noteikt</w:t>
            </w:r>
            <w:r w:rsidR="004D6B90">
              <w:t>aj</w:t>
            </w:r>
            <w:r w:rsidR="00442C9C" w:rsidRPr="00442C9C">
              <w:t>ām prasībām</w:t>
            </w:r>
            <w:r w:rsidR="004D6B90">
              <w:t>, tāpēc</w:t>
            </w:r>
            <w:r w:rsidR="006E39B6">
              <w:t xml:space="preserve"> ir </w:t>
            </w:r>
            <w:r w:rsidR="00442C9C">
              <w:t>s</w:t>
            </w:r>
            <w:r w:rsidR="00442C9C" w:rsidRPr="00B25007">
              <w:rPr>
                <w:rFonts w:eastAsia="Calibri"/>
              </w:rPr>
              <w:t>vītro</w:t>
            </w:r>
            <w:r w:rsidR="00442C9C">
              <w:rPr>
                <w:rFonts w:eastAsia="Calibri"/>
              </w:rPr>
              <w:t>jams noteikumu 20.punkts</w:t>
            </w:r>
            <w:r w:rsidR="006E39B6">
              <w:rPr>
                <w:rFonts w:eastAsia="Calibri"/>
              </w:rPr>
              <w:t xml:space="preserve"> un 1.pielikums</w:t>
            </w:r>
            <w:r w:rsidR="00A15CFD" w:rsidRPr="004A5ECD">
              <w:t>.</w:t>
            </w:r>
          </w:p>
        </w:tc>
      </w:tr>
      <w:tr w:rsidR="00FB65D8" w:rsidRPr="000A242C" w:rsidTr="00671CF0">
        <w:tc>
          <w:tcPr>
            <w:tcW w:w="324" w:type="pct"/>
          </w:tcPr>
          <w:p w:rsidR="00FB65D8" w:rsidRPr="000A242C" w:rsidRDefault="00FB65D8" w:rsidP="00F62526">
            <w:pPr>
              <w:pStyle w:val="Bezatstarpm"/>
            </w:pPr>
            <w:r w:rsidRPr="000A242C">
              <w:lastRenderedPageBreak/>
              <w:t>3.</w:t>
            </w:r>
          </w:p>
        </w:tc>
        <w:tc>
          <w:tcPr>
            <w:tcW w:w="1063" w:type="pct"/>
          </w:tcPr>
          <w:p w:rsidR="00FB65D8" w:rsidRPr="000A242C" w:rsidRDefault="00FB65D8" w:rsidP="00F62526">
            <w:pPr>
              <w:pStyle w:val="Bezatstarpm"/>
              <w:jc w:val="both"/>
            </w:pPr>
            <w:r w:rsidRPr="000A242C">
              <w:t>Projekta izstrādē iesaistītās institūcijas</w:t>
            </w:r>
            <w:r w:rsidR="00A035B4" w:rsidRPr="00EB5171">
              <w:t xml:space="preserve"> un publiskas personas kapitālsabiedrības</w:t>
            </w:r>
          </w:p>
        </w:tc>
        <w:tc>
          <w:tcPr>
            <w:tcW w:w="3613" w:type="pct"/>
          </w:tcPr>
          <w:p w:rsidR="00FB65D8" w:rsidRPr="000A242C" w:rsidRDefault="00FB65D8" w:rsidP="00246BAC">
            <w:pPr>
              <w:pStyle w:val="Bezatstarpm"/>
            </w:pPr>
            <w:r>
              <w:t>Pārtikas un veterinārais dienests</w:t>
            </w:r>
            <w:r w:rsidR="008617C7">
              <w:t xml:space="preserve"> </w:t>
            </w:r>
          </w:p>
        </w:tc>
      </w:tr>
      <w:tr w:rsidR="00FB65D8" w:rsidRPr="000A242C" w:rsidTr="00671CF0">
        <w:tc>
          <w:tcPr>
            <w:tcW w:w="324" w:type="pct"/>
          </w:tcPr>
          <w:p w:rsidR="00FB65D8" w:rsidRPr="000A242C" w:rsidRDefault="00FB65D8" w:rsidP="00F62526">
            <w:pPr>
              <w:pStyle w:val="Bezatstarpm"/>
            </w:pPr>
            <w:r w:rsidRPr="000A242C">
              <w:t>4.</w:t>
            </w:r>
          </w:p>
        </w:tc>
        <w:tc>
          <w:tcPr>
            <w:tcW w:w="1063" w:type="pct"/>
          </w:tcPr>
          <w:p w:rsidR="00FB65D8" w:rsidRPr="000A242C" w:rsidRDefault="00FB65D8" w:rsidP="00F62526">
            <w:pPr>
              <w:pStyle w:val="Bezatstarpm"/>
            </w:pPr>
            <w:r w:rsidRPr="000A242C">
              <w:t>Cita informācija</w:t>
            </w:r>
          </w:p>
        </w:tc>
        <w:tc>
          <w:tcPr>
            <w:tcW w:w="3613" w:type="pct"/>
          </w:tcPr>
          <w:p w:rsidR="00FB65D8" w:rsidRPr="000A242C" w:rsidRDefault="00FB65D8" w:rsidP="00F62526">
            <w:pPr>
              <w:pStyle w:val="Bezatstarpm"/>
            </w:pPr>
            <w:r w:rsidRPr="000A242C">
              <w:t>Nav</w:t>
            </w:r>
            <w:r w:rsidR="004D6B90">
              <w:t>.</w:t>
            </w:r>
            <w:r w:rsidRPr="000A242C">
              <w:t xml:space="preserve"> </w:t>
            </w:r>
          </w:p>
        </w:tc>
      </w:tr>
      <w:tr w:rsidR="00FB65D8" w:rsidRPr="000A242C" w:rsidTr="00461EE3">
        <w:tc>
          <w:tcPr>
            <w:tcW w:w="5000" w:type="pct"/>
            <w:gridSpan w:val="3"/>
          </w:tcPr>
          <w:p w:rsidR="00FB65D8" w:rsidRPr="00891139" w:rsidRDefault="00FB65D8" w:rsidP="00F62526">
            <w:pPr>
              <w:pStyle w:val="Bezatstarpm"/>
              <w:jc w:val="center"/>
              <w:rPr>
                <w:b/>
              </w:rPr>
            </w:pPr>
            <w:r w:rsidRPr="00891139">
              <w:rPr>
                <w:b/>
              </w:rPr>
              <w:t>II. Tiesību akta projekta ietekme uz sabiedrību, tautsaimniecības attīstību un administratīvo slogu</w:t>
            </w:r>
          </w:p>
        </w:tc>
      </w:tr>
      <w:tr w:rsidR="00FB65D8" w:rsidRPr="00A25835" w:rsidTr="00671CF0">
        <w:tc>
          <w:tcPr>
            <w:tcW w:w="324" w:type="pct"/>
          </w:tcPr>
          <w:p w:rsidR="00FB65D8" w:rsidRPr="000A242C" w:rsidRDefault="00FB65D8" w:rsidP="00F62526">
            <w:pPr>
              <w:pStyle w:val="Bezatstarpm"/>
            </w:pPr>
            <w:r w:rsidRPr="000A242C">
              <w:lastRenderedPageBreak/>
              <w:t>1.</w:t>
            </w:r>
          </w:p>
        </w:tc>
        <w:tc>
          <w:tcPr>
            <w:tcW w:w="1063" w:type="pct"/>
          </w:tcPr>
          <w:p w:rsidR="00FB65D8" w:rsidRPr="000A242C" w:rsidRDefault="00FB65D8" w:rsidP="00F62526">
            <w:pPr>
              <w:pStyle w:val="Bezatstarpm"/>
              <w:jc w:val="both"/>
            </w:pPr>
            <w:r w:rsidRPr="000A242C">
              <w:t>Sabiedrības mērķgrupas, kuras tiesiskais regulējums ietekmē vai varētu ietekmēt</w:t>
            </w:r>
          </w:p>
        </w:tc>
        <w:tc>
          <w:tcPr>
            <w:tcW w:w="3613" w:type="pct"/>
          </w:tcPr>
          <w:p w:rsidR="00FB65D8" w:rsidRPr="000A242C" w:rsidRDefault="00486708">
            <w:pPr>
              <w:pStyle w:val="Bezatstarpm"/>
              <w:jc w:val="both"/>
            </w:pPr>
            <w:r w:rsidRPr="00486708">
              <w:t xml:space="preserve">Noteikumu projekta tiesiskais regulējums attieksies uz </w:t>
            </w:r>
            <w:r w:rsidR="00450B9C" w:rsidRPr="00450B9C">
              <w:t>P</w:t>
            </w:r>
            <w:r w:rsidR="00450B9C">
              <w:t>ārtikas un veterinār</w:t>
            </w:r>
            <w:r w:rsidR="00EE65F6">
              <w:t>o</w:t>
            </w:r>
            <w:r w:rsidR="00450B9C">
              <w:t xml:space="preserve"> dienest</w:t>
            </w:r>
            <w:r w:rsidR="002F0B22">
              <w:t>u</w:t>
            </w:r>
            <w:r w:rsidR="00450B9C" w:rsidRPr="00450B9C">
              <w:t xml:space="preserve">, Valsts </w:t>
            </w:r>
            <w:r w:rsidR="00395E8B">
              <w:t>vides</w:t>
            </w:r>
            <w:r w:rsidR="00450B9C" w:rsidRPr="00450B9C">
              <w:t xml:space="preserve"> dienest</w:t>
            </w:r>
            <w:r w:rsidR="002F0B22">
              <w:t>u</w:t>
            </w:r>
            <w:r w:rsidR="00395E8B">
              <w:t xml:space="preserve"> un </w:t>
            </w:r>
            <w:r w:rsidR="00395E8B" w:rsidRPr="00395E8B">
              <w:t>blakusproduktu apritē iesaistītā</w:t>
            </w:r>
            <w:r w:rsidR="00395E8B">
              <w:t>m</w:t>
            </w:r>
            <w:r w:rsidR="00395E8B" w:rsidRPr="00395E8B">
              <w:t xml:space="preserve"> person</w:t>
            </w:r>
            <w:r w:rsidR="00395E8B">
              <w:t>ām</w:t>
            </w:r>
            <w:r w:rsidRPr="00486708">
              <w:t>. Latvijā 201</w:t>
            </w:r>
            <w:r w:rsidR="00461EE3">
              <w:t>8</w:t>
            </w:r>
            <w:r w:rsidRPr="00486708">
              <w:t>.</w:t>
            </w:r>
            <w:r>
              <w:t xml:space="preserve"> </w:t>
            </w:r>
            <w:r w:rsidRPr="00486708">
              <w:t xml:space="preserve">gada </w:t>
            </w:r>
            <w:r w:rsidRPr="009C3649">
              <w:t xml:space="preserve">1. </w:t>
            </w:r>
            <w:r w:rsidR="00EE65F6" w:rsidRPr="009C3649">
              <w:t>j</w:t>
            </w:r>
            <w:r w:rsidR="008617C7">
              <w:t>an</w:t>
            </w:r>
            <w:r w:rsidR="00461EE3">
              <w:t>vārī</w:t>
            </w:r>
            <w:r w:rsidRPr="009C3649">
              <w:t xml:space="preserve"> </w:t>
            </w:r>
            <w:r w:rsidR="00246BAC" w:rsidRPr="00246BAC">
              <w:t xml:space="preserve">PVD </w:t>
            </w:r>
            <w:r w:rsidR="00562943">
              <w:t>bija</w:t>
            </w:r>
            <w:r w:rsidR="00562943" w:rsidRPr="009C3649">
              <w:t xml:space="preserve"> </w:t>
            </w:r>
            <w:r w:rsidR="00246BAC" w:rsidRPr="00246BAC">
              <w:t xml:space="preserve">reģistrētas vai atzītas </w:t>
            </w:r>
            <w:r w:rsidR="00246BAC">
              <w:t>642</w:t>
            </w:r>
            <w:r w:rsidR="00EE79E9">
              <w:t> </w:t>
            </w:r>
            <w:r w:rsidR="00395E8B" w:rsidRPr="00395E8B">
              <w:t>blakusproduktu apritē iesaistīt</w:t>
            </w:r>
            <w:r w:rsidR="00395E8B">
              <w:t>as</w:t>
            </w:r>
            <w:r w:rsidR="00395E8B" w:rsidRPr="00395E8B">
              <w:t xml:space="preserve"> person</w:t>
            </w:r>
            <w:r w:rsidR="00395E8B">
              <w:t>as</w:t>
            </w:r>
            <w:r w:rsidR="00116ADC">
              <w:t>,</w:t>
            </w:r>
            <w:r w:rsidR="00395E8B">
              <w:t xml:space="preserve"> </w:t>
            </w:r>
            <w:r w:rsidR="004D6B90">
              <w:t>bet nav reģistrētas vai atzītas</w:t>
            </w:r>
            <w:r w:rsidR="004D6B90" w:rsidRPr="00395E8B">
              <w:t xml:space="preserve"> </w:t>
            </w:r>
            <w:r w:rsidR="00395E8B" w:rsidRPr="00395E8B">
              <w:t>dedzināšanas iekārt</w:t>
            </w:r>
            <w:r w:rsidR="00395E8B">
              <w:t>as</w:t>
            </w:r>
            <w:r w:rsidR="00395E8B" w:rsidRPr="00395E8B">
              <w:t>, kurās par kurināmo izmanto kūtsmēslus</w:t>
            </w:r>
            <w:r w:rsidR="00395E8B">
              <w:t>.</w:t>
            </w:r>
          </w:p>
        </w:tc>
      </w:tr>
      <w:tr w:rsidR="00FB65D8" w:rsidRPr="000A242C" w:rsidTr="00671CF0">
        <w:tc>
          <w:tcPr>
            <w:tcW w:w="324" w:type="pct"/>
          </w:tcPr>
          <w:p w:rsidR="00FB65D8" w:rsidRPr="000A242C" w:rsidRDefault="00FB65D8" w:rsidP="00F62526">
            <w:pPr>
              <w:pStyle w:val="Bezatstarpm"/>
            </w:pPr>
            <w:r w:rsidRPr="000A242C">
              <w:t>2.</w:t>
            </w:r>
          </w:p>
        </w:tc>
        <w:tc>
          <w:tcPr>
            <w:tcW w:w="1063" w:type="pct"/>
          </w:tcPr>
          <w:p w:rsidR="00FB65D8" w:rsidRPr="000A242C" w:rsidRDefault="00FB65D8" w:rsidP="00F62526">
            <w:pPr>
              <w:pStyle w:val="Bezatstarpm"/>
              <w:jc w:val="both"/>
            </w:pPr>
            <w:r w:rsidRPr="000A242C">
              <w:t>Tiesiskā regulējuma ietekme uz tautsaimniecību un administratīvo slogu</w:t>
            </w:r>
          </w:p>
        </w:tc>
        <w:tc>
          <w:tcPr>
            <w:tcW w:w="3613" w:type="pct"/>
          </w:tcPr>
          <w:p w:rsidR="00483498" w:rsidRDefault="00212631" w:rsidP="00246BAC">
            <w:pPr>
              <w:pStyle w:val="Bezatstarpm"/>
              <w:jc w:val="both"/>
            </w:pPr>
            <w:r w:rsidRPr="00741B80">
              <w:t>Regulējums tieši un būtiski neietekmē uzņēmējdarbības vidi</w:t>
            </w:r>
            <w:r w:rsidR="008617C7">
              <w:t> –</w:t>
            </w:r>
            <w:r w:rsidRPr="00741B80">
              <w:t xml:space="preserve"> mazos</w:t>
            </w:r>
            <w:r w:rsidR="008617C7">
              <w:t xml:space="preserve"> un</w:t>
            </w:r>
            <w:r w:rsidRPr="00741B80">
              <w:t xml:space="preserve"> vidējos uzņēmumus, mikrouzņēmumus un </w:t>
            </w:r>
            <w:proofErr w:type="spellStart"/>
            <w:r w:rsidRPr="00741B80">
              <w:t>jaun</w:t>
            </w:r>
            <w:r w:rsidR="008617C7">
              <w:t>veidotus</w:t>
            </w:r>
            <w:proofErr w:type="spellEnd"/>
            <w:r w:rsidR="008617C7">
              <w:t xml:space="preserve"> </w:t>
            </w:r>
            <w:r w:rsidRPr="00741B80">
              <w:t xml:space="preserve">uzņēmumus, </w:t>
            </w:r>
            <w:r w:rsidR="008617C7">
              <w:t>ne</w:t>
            </w:r>
            <w:r w:rsidRPr="00741B80">
              <w:t xml:space="preserve"> arī konkurenci </w:t>
            </w:r>
            <w:r w:rsidR="00246BAC">
              <w:t>dzīvnieku izcelsmes blakusproduktu aprites</w:t>
            </w:r>
            <w:r w:rsidRPr="00741B80">
              <w:t xml:space="preserve"> jomā, vidi un nevalstisko organizāciju darbību</w:t>
            </w:r>
            <w:r w:rsidR="008617C7">
              <w:t>, tāpēc</w:t>
            </w:r>
            <w:r w:rsidRPr="00741B80">
              <w:t xml:space="preserve"> uz šīm jomām tas nav attiecināms. </w:t>
            </w:r>
          </w:p>
          <w:p w:rsidR="00B65239" w:rsidRPr="009C3649" w:rsidRDefault="00B65239" w:rsidP="00246BAC">
            <w:pPr>
              <w:pStyle w:val="Bezatstarpm"/>
              <w:jc w:val="both"/>
            </w:pPr>
          </w:p>
        </w:tc>
      </w:tr>
      <w:tr w:rsidR="00FB65D8" w:rsidRPr="000A242C" w:rsidTr="00671CF0">
        <w:tc>
          <w:tcPr>
            <w:tcW w:w="324" w:type="pct"/>
          </w:tcPr>
          <w:p w:rsidR="00FB65D8" w:rsidRPr="000A242C" w:rsidRDefault="00FB65D8" w:rsidP="00F62526">
            <w:pPr>
              <w:pStyle w:val="Bezatstarpm"/>
            </w:pPr>
            <w:r w:rsidRPr="000A242C">
              <w:t>3.</w:t>
            </w:r>
          </w:p>
        </w:tc>
        <w:tc>
          <w:tcPr>
            <w:tcW w:w="1063" w:type="pct"/>
          </w:tcPr>
          <w:p w:rsidR="00FB65D8" w:rsidRPr="000A242C" w:rsidRDefault="00FB65D8" w:rsidP="00F62526">
            <w:pPr>
              <w:pStyle w:val="Bezatstarpm"/>
              <w:jc w:val="both"/>
            </w:pPr>
            <w:r w:rsidRPr="000A242C">
              <w:t>Administratīvo izmaksu monetārs novērtējums</w:t>
            </w:r>
          </w:p>
        </w:tc>
        <w:tc>
          <w:tcPr>
            <w:tcW w:w="3613" w:type="pct"/>
          </w:tcPr>
          <w:p w:rsidR="00FB65D8" w:rsidRPr="000A242C" w:rsidRDefault="00CA1E2C" w:rsidP="00C1141E">
            <w:pPr>
              <w:pStyle w:val="Bezatstarpm"/>
              <w:jc w:val="both"/>
            </w:pPr>
            <w:r w:rsidRPr="00586762">
              <w:t xml:space="preserve">Projektā ietvertajam tiesiskajam regulējumam nav ietekmes uz administratīvajām izmaksām (naudas izteiksmē), un tas nerada papildu administratīvo slogu, jo administratīvās izmaksas (naudas izteiksmē) gada laikā mērķgrupai, ko veido fiziskas personas, nepārsniedz 200 </w:t>
            </w:r>
            <w:proofErr w:type="spellStart"/>
            <w:r w:rsidRPr="00561CF6">
              <w:rPr>
                <w:i/>
              </w:rPr>
              <w:t>euro</w:t>
            </w:r>
            <w:proofErr w:type="spellEnd"/>
            <w:r w:rsidRPr="00586762">
              <w:t xml:space="preserve">, bet mērķgrupai, ko veido juridiskas personas, – 2000 </w:t>
            </w:r>
            <w:proofErr w:type="spellStart"/>
            <w:r w:rsidRPr="00561CF6">
              <w:rPr>
                <w:i/>
              </w:rPr>
              <w:t>euro</w:t>
            </w:r>
            <w:proofErr w:type="spellEnd"/>
            <w:r w:rsidRPr="00586762">
              <w:t>.</w:t>
            </w:r>
            <w:r w:rsidR="008A7303" w:rsidRPr="00B65239">
              <w:t xml:space="preserve"> Sabiedrības mērķgrupām </w:t>
            </w:r>
            <w:r w:rsidR="008A7303">
              <w:t xml:space="preserve">noteikumu </w:t>
            </w:r>
            <w:r w:rsidR="008A7303" w:rsidRPr="00B65239">
              <w:t>projekta tiesiskais regulējums nemaina tiesības un pienākumus.</w:t>
            </w:r>
          </w:p>
        </w:tc>
      </w:tr>
      <w:tr w:rsidR="00465772" w:rsidRPr="000A242C" w:rsidTr="00671CF0">
        <w:tc>
          <w:tcPr>
            <w:tcW w:w="324" w:type="pct"/>
          </w:tcPr>
          <w:p w:rsidR="00465772" w:rsidRPr="000A242C" w:rsidRDefault="00465772" w:rsidP="00465772">
            <w:pPr>
              <w:pStyle w:val="Bezatstarpm"/>
            </w:pPr>
            <w:r w:rsidRPr="00EB5171">
              <w:t>4.</w:t>
            </w:r>
          </w:p>
        </w:tc>
        <w:tc>
          <w:tcPr>
            <w:tcW w:w="1063" w:type="pct"/>
          </w:tcPr>
          <w:p w:rsidR="00465772" w:rsidRPr="000A242C" w:rsidRDefault="00465772" w:rsidP="00465772">
            <w:pPr>
              <w:pStyle w:val="Bezatstarpm"/>
              <w:jc w:val="both"/>
            </w:pPr>
            <w:r w:rsidRPr="00EB5171">
              <w:t>Atbilstības izmaksu monetārs novērtējums</w:t>
            </w:r>
          </w:p>
        </w:tc>
        <w:tc>
          <w:tcPr>
            <w:tcW w:w="3613" w:type="pct"/>
          </w:tcPr>
          <w:p w:rsidR="00CA4039" w:rsidRPr="00A11EB4" w:rsidRDefault="00C74641">
            <w:pPr>
              <w:pStyle w:val="Bezatstarpm"/>
              <w:jc w:val="both"/>
            </w:pPr>
            <w:r>
              <w:t xml:space="preserve">Noteikumu projekts paredz </w:t>
            </w:r>
            <w:r w:rsidR="00A13598">
              <w:t xml:space="preserve">prasību </w:t>
            </w:r>
            <w:r w:rsidR="00A13598" w:rsidRPr="00A13598">
              <w:t>blakusproduktu apritē iesaistīt</w:t>
            </w:r>
            <w:r w:rsidR="004D6B90">
              <w:t>ai</w:t>
            </w:r>
            <w:r w:rsidR="00A13598" w:rsidRPr="00A13598">
              <w:t xml:space="preserve"> persona</w:t>
            </w:r>
            <w:r w:rsidR="00A13598">
              <w:t>i</w:t>
            </w:r>
            <w:r w:rsidR="00A13598" w:rsidRPr="00A13598">
              <w:t xml:space="preserve"> </w:t>
            </w:r>
            <w:r w:rsidR="00A13598">
              <w:t>b</w:t>
            </w:r>
            <w:r w:rsidR="00A13598" w:rsidRPr="00A13598">
              <w:t>lakusproduktiem, ko transportē Latvijas teritorijā un no Latvijas teritorijas uz Eiropas Savienības dalībvalstīm</w:t>
            </w:r>
            <w:r w:rsidR="00A13598">
              <w:t>,</w:t>
            </w:r>
            <w:r w:rsidR="00A13598" w:rsidRPr="00A13598">
              <w:t xml:space="preserve"> </w:t>
            </w:r>
            <w:r w:rsidR="004D6B90" w:rsidRPr="00A13598">
              <w:t>nodrošin</w:t>
            </w:r>
            <w:r w:rsidR="004D6B90">
              <w:t>āt</w:t>
            </w:r>
            <w:r w:rsidR="004D6B90" w:rsidRPr="00A13598">
              <w:t xml:space="preserve"> </w:t>
            </w:r>
            <w:proofErr w:type="gramStart"/>
            <w:r w:rsidR="00A13598" w:rsidRPr="00A13598">
              <w:t xml:space="preserve">tirdzniecības dokumentu atbilstoši </w:t>
            </w:r>
            <w:r w:rsidR="00A13598">
              <w:t>R</w:t>
            </w:r>
            <w:r w:rsidR="00A13598" w:rsidRPr="00A13598">
              <w:t>egulas</w:t>
            </w:r>
            <w:proofErr w:type="gramEnd"/>
            <w:r w:rsidR="00A13598" w:rsidRPr="00A13598">
              <w:t xml:space="preserve"> 142/2011 17. pantā noteiktām prasībām</w:t>
            </w:r>
            <w:r w:rsidR="00A13598">
              <w:t xml:space="preserve">. </w:t>
            </w:r>
            <w:r w:rsidR="00E801FA" w:rsidRPr="00CA4039">
              <w:t xml:space="preserve">No noteikumu projektā ietvertā regulējuma jaunas </w:t>
            </w:r>
            <w:r w:rsidR="00E801FA">
              <w:t>atbilstības</w:t>
            </w:r>
            <w:r w:rsidR="00E801FA" w:rsidRPr="00CA4039">
              <w:t xml:space="preserve"> izmaksas neveidosies, bet saistībā ar noteikumu projektā paredzēto </w:t>
            </w:r>
            <w:r w:rsidR="00E801FA">
              <w:t xml:space="preserve">tikai vienas formas tirdzniecības dokumenta nodrošināšanu </w:t>
            </w:r>
            <w:r w:rsidR="00E801FA" w:rsidRPr="00CA4039">
              <w:t>administratīvās izmaksas varētu</w:t>
            </w:r>
            <w:r w:rsidR="00E801FA">
              <w:t xml:space="preserve"> pat </w:t>
            </w:r>
            <w:r w:rsidR="00E801FA" w:rsidRPr="00CA4039">
              <w:t>samazināties</w:t>
            </w:r>
            <w:r w:rsidR="00E801FA">
              <w:t xml:space="preserve">, </w:t>
            </w:r>
            <w:r w:rsidR="00E801FA" w:rsidRPr="00593140">
              <w:t>jo noteikumu projektā minētajam subje</w:t>
            </w:r>
            <w:r w:rsidR="00E801FA">
              <w:t>ktu lokam saskaņā ar spēkā esošo</w:t>
            </w:r>
            <w:r w:rsidR="008A7303">
              <w:t xml:space="preserve"> </w:t>
            </w:r>
            <w:r w:rsidR="00E801FA" w:rsidRPr="004E7388">
              <w:t>noteikum</w:t>
            </w:r>
            <w:r w:rsidR="00E801FA">
              <w:t>u</w:t>
            </w:r>
            <w:r w:rsidR="00E801FA" w:rsidRPr="004E7388">
              <w:t xml:space="preserve"> Nr.275 </w:t>
            </w:r>
            <w:r w:rsidR="00E801FA" w:rsidRPr="00593140">
              <w:t xml:space="preserve">prasībām arī pašlaik ir noteikts pienākums </w:t>
            </w:r>
            <w:r w:rsidR="008A7303">
              <w:t>blakusproduktiem, ko transportē no Latvijas teritorijas uz Eiropas Savienības dalībvalstīm</w:t>
            </w:r>
            <w:r w:rsidR="00A37192">
              <w:t>,</w:t>
            </w:r>
            <w:r w:rsidR="008A7303">
              <w:t xml:space="preserve"> </w:t>
            </w:r>
            <w:r w:rsidR="004D6B90">
              <w:t xml:space="preserve">nodrošināt </w:t>
            </w:r>
            <w:r w:rsidR="008A7303">
              <w:t xml:space="preserve">tirdzniecības dokumentu atbilstoši Regulas 142/2011 17. pantā noteiktajām  prasībām. </w:t>
            </w:r>
            <w:r w:rsidR="008A7303" w:rsidRPr="00A13598">
              <w:t xml:space="preserve"> </w:t>
            </w:r>
          </w:p>
        </w:tc>
      </w:tr>
      <w:tr w:rsidR="00FB65D8" w:rsidRPr="000A242C" w:rsidTr="00671CF0">
        <w:tc>
          <w:tcPr>
            <w:tcW w:w="324" w:type="pct"/>
          </w:tcPr>
          <w:p w:rsidR="00FB65D8" w:rsidRPr="000A242C" w:rsidRDefault="00B85AE0" w:rsidP="00B85AE0">
            <w:pPr>
              <w:pStyle w:val="Bezatstarpm"/>
            </w:pPr>
            <w:r>
              <w:t>5</w:t>
            </w:r>
            <w:r w:rsidR="00FB65D8" w:rsidRPr="000A242C">
              <w:t>.</w:t>
            </w:r>
          </w:p>
        </w:tc>
        <w:tc>
          <w:tcPr>
            <w:tcW w:w="1063" w:type="pct"/>
          </w:tcPr>
          <w:p w:rsidR="00FB65D8" w:rsidRPr="000A242C" w:rsidRDefault="00FB65D8" w:rsidP="00F62526">
            <w:pPr>
              <w:pStyle w:val="Bezatstarpm"/>
            </w:pPr>
            <w:r w:rsidRPr="000A242C">
              <w:t>Cita informācija</w:t>
            </w:r>
          </w:p>
        </w:tc>
        <w:tc>
          <w:tcPr>
            <w:tcW w:w="3613" w:type="pct"/>
          </w:tcPr>
          <w:p w:rsidR="00FB65D8" w:rsidRPr="000A242C" w:rsidRDefault="00FB65D8" w:rsidP="00F62526">
            <w:pPr>
              <w:pStyle w:val="Bezatstarpm"/>
            </w:pPr>
            <w:r>
              <w:t>Nav</w:t>
            </w:r>
            <w:r w:rsidR="00CD43A3">
              <w:t>.</w:t>
            </w:r>
          </w:p>
        </w:tc>
      </w:tr>
    </w:tbl>
    <w:p w:rsidR="00FB65D8" w:rsidRDefault="00FB65D8" w:rsidP="00FB65D8">
      <w:pPr>
        <w:pStyle w:val="Bezatstarpm"/>
        <w:rPr>
          <w:i/>
        </w:rPr>
      </w:pPr>
    </w:p>
    <w:tbl>
      <w:tblPr>
        <w:tblStyle w:val="Reatabula1"/>
        <w:tblW w:w="8960" w:type="dxa"/>
        <w:tblInd w:w="-34" w:type="dxa"/>
        <w:tblLook w:val="04A0" w:firstRow="1" w:lastRow="0" w:firstColumn="1" w:lastColumn="0" w:noHBand="0" w:noVBand="1"/>
      </w:tblPr>
      <w:tblGrid>
        <w:gridCol w:w="8960"/>
      </w:tblGrid>
      <w:tr w:rsidR="00723573" w:rsidRPr="00723573" w:rsidTr="00461EE3">
        <w:trPr>
          <w:trHeight w:val="227"/>
        </w:trPr>
        <w:tc>
          <w:tcPr>
            <w:tcW w:w="8960" w:type="dxa"/>
            <w:tcBorders>
              <w:top w:val="single" w:sz="4" w:space="0" w:color="auto"/>
              <w:left w:val="single" w:sz="4" w:space="0" w:color="auto"/>
              <w:bottom w:val="single" w:sz="4" w:space="0" w:color="auto"/>
              <w:right w:val="single" w:sz="4" w:space="0" w:color="auto"/>
            </w:tcBorders>
            <w:hideMark/>
          </w:tcPr>
          <w:p w:rsidR="00723573" w:rsidRPr="00723573" w:rsidRDefault="00723573" w:rsidP="00723573">
            <w:pPr>
              <w:jc w:val="center"/>
              <w:rPr>
                <w:rFonts w:ascii="Times New Roman" w:eastAsia="Times New Roman" w:hAnsi="Times New Roman"/>
                <w:sz w:val="24"/>
                <w:szCs w:val="24"/>
              </w:rPr>
            </w:pPr>
            <w:r w:rsidRPr="00723573">
              <w:rPr>
                <w:rFonts w:ascii="Times New Roman" w:eastAsia="Times New Roman" w:hAnsi="Times New Roman"/>
                <w:sz w:val="24"/>
                <w:szCs w:val="24"/>
              </w:rPr>
              <w:t> </w:t>
            </w:r>
            <w:r w:rsidRPr="00723573">
              <w:rPr>
                <w:rFonts w:ascii="Times New Roman" w:eastAsia="Times New Roman" w:hAnsi="Times New Roman"/>
                <w:b/>
                <w:bCs/>
                <w:sz w:val="24"/>
                <w:szCs w:val="24"/>
              </w:rPr>
              <w:t>III. Tiesību akta projekta ietekme uz valsts budžetu un pašvaldību budžetiem</w:t>
            </w:r>
          </w:p>
        </w:tc>
      </w:tr>
      <w:tr w:rsidR="00723573" w:rsidRPr="00723573" w:rsidTr="00461EE3">
        <w:trPr>
          <w:trHeight w:val="227"/>
        </w:trPr>
        <w:tc>
          <w:tcPr>
            <w:tcW w:w="8960" w:type="dxa"/>
            <w:tcBorders>
              <w:top w:val="single" w:sz="4" w:space="0" w:color="auto"/>
              <w:left w:val="single" w:sz="4" w:space="0" w:color="auto"/>
              <w:bottom w:val="single" w:sz="4" w:space="0" w:color="auto"/>
              <w:right w:val="single" w:sz="4" w:space="0" w:color="auto"/>
            </w:tcBorders>
            <w:hideMark/>
          </w:tcPr>
          <w:p w:rsidR="00723573" w:rsidRPr="00723573" w:rsidRDefault="00723573" w:rsidP="00723573">
            <w:pPr>
              <w:jc w:val="center"/>
              <w:rPr>
                <w:rFonts w:ascii="Times New Roman" w:eastAsia="Times New Roman" w:hAnsi="Times New Roman"/>
                <w:sz w:val="24"/>
                <w:szCs w:val="24"/>
              </w:rPr>
            </w:pPr>
            <w:r w:rsidRPr="00723573">
              <w:rPr>
                <w:rFonts w:ascii="Times New Roman" w:eastAsia="Times New Roman" w:hAnsi="Times New Roman"/>
                <w:bCs/>
                <w:sz w:val="24"/>
                <w:szCs w:val="24"/>
              </w:rPr>
              <w:t>Projekts šo jomu neskar.</w:t>
            </w:r>
          </w:p>
        </w:tc>
      </w:tr>
    </w:tbl>
    <w:p w:rsidR="00723573" w:rsidRDefault="00723573" w:rsidP="00FB65D8">
      <w:pPr>
        <w:pStyle w:val="Bezatstarpm"/>
      </w:pPr>
    </w:p>
    <w:tbl>
      <w:tblPr>
        <w:tblStyle w:val="Reatabula2"/>
        <w:tblW w:w="8960" w:type="dxa"/>
        <w:tblInd w:w="-34" w:type="dxa"/>
        <w:tblLook w:val="04A0" w:firstRow="1" w:lastRow="0" w:firstColumn="1" w:lastColumn="0" w:noHBand="0" w:noVBand="1"/>
      </w:tblPr>
      <w:tblGrid>
        <w:gridCol w:w="8960"/>
      </w:tblGrid>
      <w:tr w:rsidR="00723573" w:rsidRPr="00723573" w:rsidTr="00461EE3">
        <w:trPr>
          <w:trHeight w:val="227"/>
        </w:trPr>
        <w:tc>
          <w:tcPr>
            <w:tcW w:w="8960" w:type="dxa"/>
            <w:tcBorders>
              <w:top w:val="single" w:sz="4" w:space="0" w:color="auto"/>
              <w:left w:val="single" w:sz="4" w:space="0" w:color="auto"/>
              <w:bottom w:val="single" w:sz="4" w:space="0" w:color="auto"/>
              <w:right w:val="single" w:sz="4" w:space="0" w:color="auto"/>
            </w:tcBorders>
            <w:hideMark/>
          </w:tcPr>
          <w:p w:rsidR="00723573" w:rsidRPr="00723573" w:rsidRDefault="00723573" w:rsidP="00723573">
            <w:pPr>
              <w:jc w:val="center"/>
              <w:rPr>
                <w:rFonts w:ascii="Times New Roman" w:eastAsia="Times New Roman" w:hAnsi="Times New Roman"/>
                <w:sz w:val="24"/>
                <w:szCs w:val="24"/>
              </w:rPr>
            </w:pPr>
            <w:r w:rsidRPr="00723573">
              <w:rPr>
                <w:rFonts w:ascii="Times New Roman" w:eastAsia="Times New Roman" w:hAnsi="Times New Roman"/>
                <w:sz w:val="24"/>
                <w:szCs w:val="24"/>
              </w:rPr>
              <w:t> </w:t>
            </w:r>
            <w:r w:rsidRPr="00723573">
              <w:rPr>
                <w:rFonts w:ascii="Times New Roman" w:eastAsia="Times New Roman" w:hAnsi="Times New Roman"/>
                <w:b/>
                <w:bCs/>
                <w:sz w:val="24"/>
                <w:szCs w:val="24"/>
              </w:rPr>
              <w:t>IV. Tiesību akta projekta ietekme uz spēkā esošo tiesību normu sistēmu</w:t>
            </w:r>
          </w:p>
        </w:tc>
      </w:tr>
      <w:tr w:rsidR="00723573" w:rsidRPr="00723573" w:rsidTr="00461EE3">
        <w:trPr>
          <w:trHeight w:val="227"/>
        </w:trPr>
        <w:tc>
          <w:tcPr>
            <w:tcW w:w="8960" w:type="dxa"/>
            <w:tcBorders>
              <w:top w:val="single" w:sz="4" w:space="0" w:color="auto"/>
              <w:left w:val="single" w:sz="4" w:space="0" w:color="auto"/>
              <w:bottom w:val="single" w:sz="4" w:space="0" w:color="auto"/>
              <w:right w:val="single" w:sz="4" w:space="0" w:color="auto"/>
            </w:tcBorders>
            <w:hideMark/>
          </w:tcPr>
          <w:p w:rsidR="00723573" w:rsidRPr="00723573" w:rsidRDefault="00723573" w:rsidP="00723573">
            <w:pPr>
              <w:jc w:val="center"/>
              <w:rPr>
                <w:rFonts w:ascii="Times New Roman" w:eastAsia="Times New Roman" w:hAnsi="Times New Roman"/>
                <w:sz w:val="24"/>
                <w:szCs w:val="24"/>
              </w:rPr>
            </w:pPr>
            <w:r w:rsidRPr="00723573">
              <w:rPr>
                <w:rFonts w:ascii="Times New Roman" w:eastAsia="Times New Roman" w:hAnsi="Times New Roman"/>
                <w:bCs/>
                <w:sz w:val="24"/>
                <w:szCs w:val="24"/>
              </w:rPr>
              <w:t>Projekts šo jomu neskar.</w:t>
            </w:r>
          </w:p>
        </w:tc>
      </w:tr>
    </w:tbl>
    <w:p w:rsidR="00723573" w:rsidRDefault="00723573" w:rsidP="00FB65D8">
      <w:pPr>
        <w:pStyle w:val="Bezatstarpm"/>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91"/>
        <w:gridCol w:w="2400"/>
        <w:gridCol w:w="232"/>
        <w:gridCol w:w="1559"/>
        <w:gridCol w:w="1926"/>
        <w:gridCol w:w="2454"/>
        <w:gridCol w:w="15"/>
      </w:tblGrid>
      <w:tr w:rsidR="00132CC1" w:rsidRPr="00BF23C3" w:rsidTr="004E7388">
        <w:trPr>
          <w:gridAfter w:val="1"/>
          <w:wAfter w:w="8" w:type="pct"/>
        </w:trPr>
        <w:tc>
          <w:tcPr>
            <w:tcW w:w="4992" w:type="pct"/>
            <w:gridSpan w:val="6"/>
            <w:tcBorders>
              <w:top w:val="single" w:sz="4" w:space="0" w:color="auto"/>
              <w:left w:val="single" w:sz="4" w:space="0" w:color="auto"/>
              <w:bottom w:val="outset" w:sz="6" w:space="0" w:color="000000"/>
              <w:right w:val="single" w:sz="4" w:space="0" w:color="auto"/>
            </w:tcBorders>
          </w:tcPr>
          <w:p w:rsidR="00132CC1" w:rsidRPr="00D41213" w:rsidRDefault="00132CC1" w:rsidP="00167702">
            <w:pPr>
              <w:pStyle w:val="Bezatstarpm"/>
              <w:jc w:val="center"/>
              <w:rPr>
                <w:b/>
                <w:bCs/>
              </w:rPr>
            </w:pPr>
            <w:r w:rsidRPr="00D41213">
              <w:rPr>
                <w:b/>
                <w:bCs/>
              </w:rPr>
              <w:t>V. Tiesību akta projekta atbilstība Latvijas Republikas starptautiskajām saistībām</w:t>
            </w:r>
          </w:p>
        </w:tc>
      </w:tr>
      <w:tr w:rsidR="00132CC1" w:rsidRPr="00D41213" w:rsidTr="004E7388">
        <w:trPr>
          <w:gridAfter w:val="1"/>
          <w:wAfter w:w="8" w:type="pct"/>
        </w:trPr>
        <w:tc>
          <w:tcPr>
            <w:tcW w:w="270" w:type="pct"/>
            <w:tcBorders>
              <w:top w:val="outset" w:sz="6" w:space="0" w:color="000000"/>
              <w:left w:val="outset" w:sz="6" w:space="0" w:color="000000"/>
              <w:bottom w:val="outset" w:sz="6" w:space="0" w:color="000000"/>
              <w:right w:val="outset" w:sz="6" w:space="0" w:color="000000"/>
            </w:tcBorders>
          </w:tcPr>
          <w:p w:rsidR="00132CC1" w:rsidRPr="00D41213" w:rsidRDefault="00132CC1" w:rsidP="00167702">
            <w:pPr>
              <w:pStyle w:val="Bezatstarpm"/>
              <w:jc w:val="both"/>
            </w:pPr>
            <w:r w:rsidRPr="00D41213">
              <w:t>1.</w:t>
            </w:r>
          </w:p>
        </w:tc>
        <w:tc>
          <w:tcPr>
            <w:tcW w:w="1450" w:type="pct"/>
            <w:gridSpan w:val="2"/>
            <w:tcBorders>
              <w:top w:val="outset" w:sz="6" w:space="0" w:color="000000"/>
              <w:left w:val="outset" w:sz="6" w:space="0" w:color="000000"/>
              <w:bottom w:val="outset" w:sz="6" w:space="0" w:color="000000"/>
              <w:right w:val="outset" w:sz="6" w:space="0" w:color="000000"/>
            </w:tcBorders>
          </w:tcPr>
          <w:p w:rsidR="00132CC1" w:rsidRPr="00D41213" w:rsidRDefault="00132CC1" w:rsidP="00167702">
            <w:pPr>
              <w:pStyle w:val="Bezatstarpm"/>
              <w:jc w:val="both"/>
            </w:pPr>
            <w:r w:rsidRPr="00D41213">
              <w:t>Saistības pret Eiropas Savienību</w:t>
            </w:r>
          </w:p>
        </w:tc>
        <w:tc>
          <w:tcPr>
            <w:tcW w:w="3271" w:type="pct"/>
            <w:gridSpan w:val="3"/>
            <w:tcBorders>
              <w:top w:val="outset" w:sz="6" w:space="0" w:color="000000"/>
              <w:left w:val="outset" w:sz="6" w:space="0" w:color="000000"/>
              <w:bottom w:val="outset" w:sz="6" w:space="0" w:color="000000"/>
              <w:right w:val="outset" w:sz="6" w:space="0" w:color="000000"/>
            </w:tcBorders>
          </w:tcPr>
          <w:p w:rsidR="00C45851" w:rsidRPr="00D41213" w:rsidRDefault="00F8658A" w:rsidP="003A52E7">
            <w:pPr>
              <w:pStyle w:val="Bezatstarpm"/>
              <w:jc w:val="both"/>
            </w:pPr>
            <w:r>
              <w:t>K</w:t>
            </w:r>
            <w:r w:rsidRPr="00F8658A">
              <w:t>omisijas 2017. gada 12. jūlij</w:t>
            </w:r>
            <w:r>
              <w:t>a R</w:t>
            </w:r>
            <w:r w:rsidRPr="00F8658A">
              <w:t>egula (ES) 2017/1262, ar ko Regulu (ES) Nr. 142/2011 groza attiecībā uz lauksaimniecības dzīvnieku kūtsmēsliem, kurus izmanto par kurināmo dedzināšanas iekārtās</w:t>
            </w:r>
            <w:r w:rsidR="003A52E7">
              <w:t xml:space="preserve"> </w:t>
            </w:r>
            <w:r w:rsidR="003A52E7" w:rsidRPr="003A52E7">
              <w:t xml:space="preserve">(turpmāk – Regula </w:t>
            </w:r>
            <w:r w:rsidR="003A52E7">
              <w:t>2017</w:t>
            </w:r>
            <w:r w:rsidR="003A52E7" w:rsidRPr="003A52E7">
              <w:t>/</w:t>
            </w:r>
            <w:r w:rsidR="003A52E7">
              <w:t>1262</w:t>
            </w:r>
            <w:r w:rsidR="003A52E7" w:rsidRPr="003A52E7">
              <w:t>)</w:t>
            </w:r>
            <w:r w:rsidR="00C45851">
              <w:t>.</w:t>
            </w:r>
          </w:p>
        </w:tc>
      </w:tr>
      <w:tr w:rsidR="00132CC1" w:rsidRPr="00D41213" w:rsidTr="004E7388">
        <w:trPr>
          <w:gridAfter w:val="1"/>
          <w:wAfter w:w="8" w:type="pct"/>
        </w:trPr>
        <w:tc>
          <w:tcPr>
            <w:tcW w:w="270" w:type="pct"/>
            <w:tcBorders>
              <w:top w:val="outset" w:sz="6" w:space="0" w:color="000000"/>
              <w:left w:val="outset" w:sz="6" w:space="0" w:color="000000"/>
              <w:bottom w:val="outset" w:sz="6" w:space="0" w:color="000000"/>
              <w:right w:val="outset" w:sz="6" w:space="0" w:color="000000"/>
            </w:tcBorders>
          </w:tcPr>
          <w:p w:rsidR="00132CC1" w:rsidRPr="00D41213" w:rsidRDefault="00132CC1" w:rsidP="00167702">
            <w:pPr>
              <w:pStyle w:val="Bezatstarpm"/>
              <w:jc w:val="both"/>
            </w:pPr>
            <w:r w:rsidRPr="00D41213">
              <w:lastRenderedPageBreak/>
              <w:t>2.</w:t>
            </w:r>
          </w:p>
        </w:tc>
        <w:tc>
          <w:tcPr>
            <w:tcW w:w="1450" w:type="pct"/>
            <w:gridSpan w:val="2"/>
            <w:tcBorders>
              <w:top w:val="outset" w:sz="6" w:space="0" w:color="000000"/>
              <w:left w:val="outset" w:sz="6" w:space="0" w:color="000000"/>
              <w:bottom w:val="outset" w:sz="6" w:space="0" w:color="000000"/>
              <w:right w:val="outset" w:sz="6" w:space="0" w:color="000000"/>
            </w:tcBorders>
          </w:tcPr>
          <w:p w:rsidR="00132CC1" w:rsidRPr="00D41213" w:rsidRDefault="00132CC1" w:rsidP="00167702">
            <w:pPr>
              <w:pStyle w:val="Bezatstarpm"/>
              <w:jc w:val="both"/>
            </w:pPr>
            <w:r w:rsidRPr="00D41213">
              <w:t>Citas starptautiskās saistības</w:t>
            </w:r>
          </w:p>
        </w:tc>
        <w:tc>
          <w:tcPr>
            <w:tcW w:w="3271" w:type="pct"/>
            <w:gridSpan w:val="3"/>
            <w:tcBorders>
              <w:top w:val="outset" w:sz="6" w:space="0" w:color="000000"/>
              <w:left w:val="outset" w:sz="6" w:space="0" w:color="000000"/>
              <w:bottom w:val="outset" w:sz="6" w:space="0" w:color="000000"/>
              <w:right w:val="outset" w:sz="6" w:space="0" w:color="000000"/>
            </w:tcBorders>
          </w:tcPr>
          <w:p w:rsidR="00132CC1" w:rsidRPr="00D41213" w:rsidRDefault="00132CC1" w:rsidP="00167702">
            <w:pPr>
              <w:pStyle w:val="Bezatstarpm"/>
              <w:jc w:val="both"/>
            </w:pPr>
            <w:r w:rsidRPr="00D41213">
              <w:t>Projekts šo jomu neskar.</w:t>
            </w:r>
          </w:p>
        </w:tc>
      </w:tr>
      <w:tr w:rsidR="00132CC1" w:rsidRPr="00D41213" w:rsidTr="004E7388">
        <w:trPr>
          <w:gridAfter w:val="1"/>
          <w:wAfter w:w="8" w:type="pct"/>
        </w:trPr>
        <w:tc>
          <w:tcPr>
            <w:tcW w:w="270" w:type="pct"/>
            <w:tcBorders>
              <w:top w:val="outset" w:sz="6" w:space="0" w:color="000000"/>
              <w:left w:val="outset" w:sz="6" w:space="0" w:color="000000"/>
              <w:bottom w:val="outset" w:sz="6" w:space="0" w:color="000000"/>
              <w:right w:val="outset" w:sz="6" w:space="0" w:color="000000"/>
            </w:tcBorders>
          </w:tcPr>
          <w:p w:rsidR="00132CC1" w:rsidRPr="00D41213" w:rsidRDefault="00132CC1" w:rsidP="00167702">
            <w:pPr>
              <w:pStyle w:val="Bezatstarpm"/>
              <w:jc w:val="both"/>
            </w:pPr>
            <w:r w:rsidRPr="00D41213">
              <w:t>3.</w:t>
            </w:r>
          </w:p>
        </w:tc>
        <w:tc>
          <w:tcPr>
            <w:tcW w:w="1450" w:type="pct"/>
            <w:gridSpan w:val="2"/>
            <w:tcBorders>
              <w:top w:val="outset" w:sz="6" w:space="0" w:color="000000"/>
              <w:left w:val="outset" w:sz="6" w:space="0" w:color="000000"/>
              <w:bottom w:val="outset" w:sz="6" w:space="0" w:color="000000"/>
              <w:right w:val="outset" w:sz="6" w:space="0" w:color="000000"/>
            </w:tcBorders>
          </w:tcPr>
          <w:p w:rsidR="00132CC1" w:rsidRPr="00D41213" w:rsidRDefault="00132CC1" w:rsidP="00167702">
            <w:pPr>
              <w:pStyle w:val="Bezatstarpm"/>
              <w:jc w:val="both"/>
            </w:pPr>
            <w:r w:rsidRPr="00D41213">
              <w:t>Cita informācija</w:t>
            </w:r>
          </w:p>
        </w:tc>
        <w:tc>
          <w:tcPr>
            <w:tcW w:w="3271" w:type="pct"/>
            <w:gridSpan w:val="3"/>
            <w:tcBorders>
              <w:top w:val="outset" w:sz="6" w:space="0" w:color="000000"/>
              <w:left w:val="outset" w:sz="6" w:space="0" w:color="000000"/>
              <w:bottom w:val="outset" w:sz="6" w:space="0" w:color="000000"/>
              <w:right w:val="outset" w:sz="6" w:space="0" w:color="000000"/>
            </w:tcBorders>
          </w:tcPr>
          <w:p w:rsidR="00132CC1" w:rsidRPr="00D41213" w:rsidRDefault="00132CC1" w:rsidP="00167702">
            <w:pPr>
              <w:pStyle w:val="Bezatstarpm"/>
              <w:jc w:val="both"/>
            </w:pPr>
            <w:r w:rsidRPr="00D41213">
              <w:t>Nav</w:t>
            </w:r>
            <w:r w:rsidR="00552CA5">
              <w:t>.</w:t>
            </w:r>
          </w:p>
        </w:tc>
      </w:tr>
      <w:tr w:rsidR="00132CC1" w:rsidRPr="00D41213" w:rsidTr="004E738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523"/>
          <w:jc w:val="center"/>
        </w:trPr>
        <w:tc>
          <w:tcPr>
            <w:tcW w:w="5000" w:type="pct"/>
            <w:gridSpan w:val="7"/>
            <w:vAlign w:val="center"/>
          </w:tcPr>
          <w:p w:rsidR="00132CC1" w:rsidRPr="00D41213" w:rsidRDefault="00132CC1" w:rsidP="00167702">
            <w:pPr>
              <w:pStyle w:val="Bezatstarpm"/>
              <w:jc w:val="center"/>
              <w:rPr>
                <w:b/>
                <w:bCs/>
              </w:rPr>
            </w:pPr>
            <w:r w:rsidRPr="00D41213">
              <w:rPr>
                <w:b/>
                <w:bCs/>
              </w:rPr>
              <w:t>1.tabula</w:t>
            </w:r>
          </w:p>
          <w:p w:rsidR="00132CC1" w:rsidRPr="00D41213" w:rsidRDefault="00132CC1" w:rsidP="00167702">
            <w:pPr>
              <w:pStyle w:val="Bezatstarpm"/>
              <w:jc w:val="center"/>
              <w:rPr>
                <w:b/>
                <w:bCs/>
                <w:i/>
              </w:rPr>
            </w:pPr>
            <w:r w:rsidRPr="00D41213">
              <w:rPr>
                <w:b/>
                <w:bCs/>
              </w:rPr>
              <w:t>Tiesību akta projekta atbilstība ES tiesību aktiem</w:t>
            </w:r>
          </w:p>
        </w:tc>
      </w:tr>
      <w:tr w:rsidR="00132CC1" w:rsidRPr="00D41213" w:rsidTr="004E738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906"/>
          <w:jc w:val="center"/>
        </w:trPr>
        <w:tc>
          <w:tcPr>
            <w:tcW w:w="1592" w:type="pct"/>
            <w:gridSpan w:val="2"/>
          </w:tcPr>
          <w:p w:rsidR="00132CC1" w:rsidRPr="00D41213" w:rsidRDefault="00132CC1" w:rsidP="00167702">
            <w:pPr>
              <w:pStyle w:val="Bezatstarpm"/>
              <w:jc w:val="both"/>
            </w:pPr>
            <w:r w:rsidRPr="00D41213">
              <w:t>Attiecīgā ES tiesību akta datums, numurs un nosaukums</w:t>
            </w:r>
          </w:p>
        </w:tc>
        <w:tc>
          <w:tcPr>
            <w:tcW w:w="3408" w:type="pct"/>
            <w:gridSpan w:val="5"/>
          </w:tcPr>
          <w:p w:rsidR="00132CC1" w:rsidRDefault="003D12C6" w:rsidP="00167702">
            <w:pPr>
              <w:pStyle w:val="Bezatstarpm"/>
              <w:jc w:val="both"/>
            </w:pPr>
            <w:r w:rsidRPr="003D12C6">
              <w:t xml:space="preserve">Regula </w:t>
            </w:r>
            <w:r w:rsidR="003A52E7" w:rsidRPr="003A52E7">
              <w:t>2017/1262</w:t>
            </w:r>
          </w:p>
          <w:p w:rsidR="003D12C6" w:rsidRPr="00D41213" w:rsidRDefault="003D12C6" w:rsidP="003D12C6">
            <w:pPr>
              <w:pStyle w:val="Bezatstarpm"/>
              <w:jc w:val="both"/>
            </w:pPr>
          </w:p>
        </w:tc>
      </w:tr>
      <w:tr w:rsidR="00132CC1" w:rsidRPr="00D41213" w:rsidTr="004E738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92" w:type="pct"/>
            <w:gridSpan w:val="2"/>
            <w:vAlign w:val="center"/>
          </w:tcPr>
          <w:p w:rsidR="00132CC1" w:rsidRPr="00D41213" w:rsidRDefault="00132CC1" w:rsidP="00167702">
            <w:pPr>
              <w:pStyle w:val="Bezatstarpm"/>
              <w:jc w:val="center"/>
            </w:pPr>
            <w:r w:rsidRPr="00D41213">
              <w:t>A</w:t>
            </w:r>
          </w:p>
        </w:tc>
        <w:tc>
          <w:tcPr>
            <w:tcW w:w="987" w:type="pct"/>
            <w:gridSpan w:val="2"/>
            <w:vAlign w:val="center"/>
          </w:tcPr>
          <w:p w:rsidR="00132CC1" w:rsidRPr="00D41213" w:rsidRDefault="00132CC1" w:rsidP="00167702">
            <w:pPr>
              <w:pStyle w:val="Bezatstarpm"/>
              <w:jc w:val="center"/>
            </w:pPr>
            <w:r w:rsidRPr="00D41213">
              <w:t>B</w:t>
            </w:r>
          </w:p>
        </w:tc>
        <w:tc>
          <w:tcPr>
            <w:tcW w:w="1061" w:type="pct"/>
            <w:vAlign w:val="center"/>
          </w:tcPr>
          <w:p w:rsidR="00132CC1" w:rsidRPr="00D41213" w:rsidRDefault="00132CC1" w:rsidP="00167702">
            <w:pPr>
              <w:pStyle w:val="Bezatstarpm"/>
              <w:jc w:val="center"/>
            </w:pPr>
            <w:r w:rsidRPr="00D41213">
              <w:t>C</w:t>
            </w:r>
          </w:p>
        </w:tc>
        <w:tc>
          <w:tcPr>
            <w:tcW w:w="1360" w:type="pct"/>
            <w:gridSpan w:val="2"/>
            <w:vAlign w:val="center"/>
          </w:tcPr>
          <w:p w:rsidR="00132CC1" w:rsidRPr="00D41213" w:rsidRDefault="00132CC1" w:rsidP="00167702">
            <w:pPr>
              <w:pStyle w:val="Bezatstarpm"/>
              <w:jc w:val="center"/>
            </w:pPr>
            <w:r w:rsidRPr="00D41213">
              <w:t>D</w:t>
            </w:r>
          </w:p>
        </w:tc>
      </w:tr>
      <w:tr w:rsidR="00132CC1" w:rsidRPr="00A25835" w:rsidTr="004E738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92" w:type="pct"/>
            <w:gridSpan w:val="2"/>
          </w:tcPr>
          <w:p w:rsidR="00132CC1" w:rsidRPr="00D41213" w:rsidRDefault="00132CC1" w:rsidP="00167702">
            <w:pPr>
              <w:pStyle w:val="Bezatstarpm"/>
              <w:jc w:val="both"/>
            </w:pPr>
            <w:r w:rsidRPr="00D41213">
              <w:t>Attiecīgā ES tiesību akta panta numurs (uzskaitot katru tiesību akta vienību – pantu, daļu, punktu, apakšpunktu)</w:t>
            </w:r>
          </w:p>
        </w:tc>
        <w:tc>
          <w:tcPr>
            <w:tcW w:w="987" w:type="pct"/>
            <w:gridSpan w:val="2"/>
          </w:tcPr>
          <w:p w:rsidR="00132CC1" w:rsidRPr="00D41213" w:rsidRDefault="00132CC1" w:rsidP="00167702">
            <w:pPr>
              <w:pStyle w:val="Bezatstarpm"/>
              <w:jc w:val="both"/>
            </w:pPr>
            <w:r w:rsidRPr="00D41213">
              <w:t>Projekta vienība, kas pārņem vai ievieš katru šīs tabulas A ailē minēto ES tiesību akta vienību, vai tiesību akts, kur attiecīgā ES tiesību akta vienība pārņemta vai ieviesta</w:t>
            </w:r>
          </w:p>
        </w:tc>
        <w:tc>
          <w:tcPr>
            <w:tcW w:w="1061" w:type="pct"/>
          </w:tcPr>
          <w:p w:rsidR="00132CC1" w:rsidRPr="00D41213" w:rsidRDefault="00132CC1" w:rsidP="00167702">
            <w:pPr>
              <w:pStyle w:val="Bezatstarpm"/>
              <w:jc w:val="both"/>
            </w:pPr>
            <w:r w:rsidRPr="00D41213">
              <w:t>Informācija par to, vai šīs tabulas A ailē minētās ES tiesību akta vienības tiek pārņemtas vai ieviestas pilnībā vai daļēji.</w:t>
            </w:r>
          </w:p>
          <w:p w:rsidR="00132CC1" w:rsidRPr="00D41213" w:rsidRDefault="00132CC1" w:rsidP="00167702">
            <w:pPr>
              <w:pStyle w:val="Bezatstarpm"/>
              <w:jc w:val="both"/>
            </w:pPr>
            <w:r w:rsidRPr="00D41213">
              <w:t>Ja attiecīgā ES tiesību akta vienība tiek pārņemta vai ieviesta daļēji, sniedz attiecīgu skaidrojumu, kā arī precīzi norāda, kad un kādā veidā ES tiesību akta vienība tiks pārņemta vai ieviesta pilnībā.</w:t>
            </w:r>
          </w:p>
          <w:p w:rsidR="00132CC1" w:rsidRPr="00D41213" w:rsidRDefault="00132CC1" w:rsidP="00167702">
            <w:pPr>
              <w:pStyle w:val="Bezatstarpm"/>
              <w:jc w:val="both"/>
            </w:pPr>
            <w:r w:rsidRPr="00D41213">
              <w:t>Norāda institūciju, kas ir atbildīga par šo saistību izpildi pilnībā</w:t>
            </w:r>
          </w:p>
        </w:tc>
        <w:tc>
          <w:tcPr>
            <w:tcW w:w="1360" w:type="pct"/>
            <w:gridSpan w:val="2"/>
          </w:tcPr>
          <w:p w:rsidR="00132CC1" w:rsidRPr="00D41213" w:rsidRDefault="00132CC1" w:rsidP="00167702">
            <w:pPr>
              <w:pStyle w:val="Bezatstarpm"/>
              <w:jc w:val="both"/>
            </w:pPr>
            <w:r w:rsidRPr="00D41213">
              <w:t>Informācija par to, vai šīs tabulas B ailē minētās projekta vienības paredz stingrākas prasības nekā šīs tabulas A ailē minētās ES tiesību akta vienības.</w:t>
            </w:r>
          </w:p>
          <w:p w:rsidR="00132CC1" w:rsidRPr="00D41213" w:rsidRDefault="00132CC1" w:rsidP="00167702">
            <w:pPr>
              <w:pStyle w:val="Bezatstarpm"/>
              <w:jc w:val="both"/>
            </w:pPr>
            <w:r w:rsidRPr="00D41213">
              <w:t>Ja projekts satur stingrākas prasības nekā attiecīgais ES tiesību akts, norāda pamatojumu un samērīgumu.</w:t>
            </w:r>
          </w:p>
          <w:p w:rsidR="00132CC1" w:rsidRPr="00D41213" w:rsidRDefault="00132CC1" w:rsidP="00167702">
            <w:pPr>
              <w:pStyle w:val="Bezatstarpm"/>
              <w:jc w:val="both"/>
            </w:pPr>
            <w:r w:rsidRPr="00D41213">
              <w:t>Norāda iespējamās alternatīvas (t.sk. alternatīvas, kas neparedz tiesiskā regulējuma izstrādi) – kādos gadījumos būtu iespējams izvairīties no stingrāku prasību noteikšanas, nekā paredzēts attiecīgajos ES tiesību aktos</w:t>
            </w:r>
          </w:p>
        </w:tc>
      </w:tr>
      <w:tr w:rsidR="00132CC1" w:rsidRPr="00A25835" w:rsidTr="004E738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92" w:type="pct"/>
            <w:gridSpan w:val="2"/>
          </w:tcPr>
          <w:p w:rsidR="00132CC1" w:rsidRPr="004A5ECD" w:rsidRDefault="00FF4199" w:rsidP="00671CF0">
            <w:pPr>
              <w:pStyle w:val="Bezatstarpm"/>
              <w:jc w:val="both"/>
            </w:pPr>
            <w:r w:rsidRPr="004A5ECD">
              <w:t>Regula</w:t>
            </w:r>
            <w:r w:rsidR="00D64091">
              <w:t>s</w:t>
            </w:r>
            <w:r w:rsidR="00EE79E9">
              <w:t> </w:t>
            </w:r>
            <w:r w:rsidR="003A52E7" w:rsidRPr="003A52E7">
              <w:t>2017/1262 1. pants</w:t>
            </w:r>
          </w:p>
        </w:tc>
        <w:tc>
          <w:tcPr>
            <w:tcW w:w="987" w:type="pct"/>
            <w:gridSpan w:val="2"/>
          </w:tcPr>
          <w:p w:rsidR="00132CC1" w:rsidRPr="00D41213" w:rsidRDefault="003353DA" w:rsidP="00561CF6">
            <w:pPr>
              <w:pStyle w:val="Bezatstarpm"/>
              <w:jc w:val="both"/>
            </w:pPr>
            <w:r>
              <w:t>1. </w:t>
            </w:r>
            <w:r w:rsidR="004A5ECD" w:rsidRPr="004A5ECD">
              <w:t>punkt</w:t>
            </w:r>
            <w:r w:rsidR="004A5ECD">
              <w:t>s</w:t>
            </w:r>
          </w:p>
        </w:tc>
        <w:tc>
          <w:tcPr>
            <w:tcW w:w="1061" w:type="pct"/>
          </w:tcPr>
          <w:p w:rsidR="00132CC1" w:rsidRPr="004A5ECD" w:rsidRDefault="00132CC1" w:rsidP="003A52E7">
            <w:pPr>
              <w:pStyle w:val="Bezatstarpm"/>
              <w:jc w:val="both"/>
            </w:pPr>
            <w:r w:rsidRPr="004A5ECD">
              <w:t>ES tiesību akta vienība tiek ieviesta pilnībā.</w:t>
            </w:r>
            <w:r w:rsidR="0066321B" w:rsidRPr="004A5ECD">
              <w:t xml:space="preserve"> </w:t>
            </w:r>
          </w:p>
        </w:tc>
        <w:tc>
          <w:tcPr>
            <w:tcW w:w="1360" w:type="pct"/>
            <w:gridSpan w:val="2"/>
          </w:tcPr>
          <w:p w:rsidR="00132CC1" w:rsidRPr="004A5ECD" w:rsidRDefault="00132CC1" w:rsidP="00167702">
            <w:pPr>
              <w:pStyle w:val="Bezatstarpm"/>
              <w:jc w:val="both"/>
            </w:pPr>
            <w:r w:rsidRPr="004A5ECD">
              <w:t>Attiecīgais noteikumu projekta punkts neparedz stingrākas prasības kā ES tiesību aktā.</w:t>
            </w:r>
            <w:r w:rsidR="0066321B" w:rsidRPr="004A5ECD">
              <w:t xml:space="preserve"> </w:t>
            </w:r>
          </w:p>
        </w:tc>
      </w:tr>
      <w:tr w:rsidR="00132CC1" w:rsidRPr="00D41213" w:rsidTr="004E738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81"/>
          <w:jc w:val="center"/>
        </w:trPr>
        <w:tc>
          <w:tcPr>
            <w:tcW w:w="1592" w:type="pct"/>
            <w:gridSpan w:val="2"/>
            <w:vAlign w:val="center"/>
          </w:tcPr>
          <w:p w:rsidR="00132CC1" w:rsidRPr="00D41213" w:rsidRDefault="00132CC1" w:rsidP="00167702">
            <w:pPr>
              <w:pStyle w:val="Bezatstarpm"/>
              <w:jc w:val="both"/>
            </w:pPr>
            <w:proofErr w:type="gramStart"/>
            <w:r w:rsidRPr="00D41213">
              <w:t>Kā</w:t>
            </w:r>
            <w:proofErr w:type="gramEnd"/>
            <w:r w:rsidRPr="00D41213">
              <w:t xml:space="preserve"> ir izmantota ES tiesību aktā paredzētā rīcības brīvība dalībvalstij pārņemt vai ieviest noteiktas ES tiesību akta normas. Kādēļ?</w:t>
            </w:r>
          </w:p>
        </w:tc>
        <w:tc>
          <w:tcPr>
            <w:tcW w:w="3408" w:type="pct"/>
            <w:gridSpan w:val="5"/>
          </w:tcPr>
          <w:p w:rsidR="00132CC1" w:rsidRPr="00D41213" w:rsidRDefault="00132CC1" w:rsidP="00167702">
            <w:pPr>
              <w:pStyle w:val="Bezatstarpm"/>
              <w:jc w:val="both"/>
            </w:pPr>
            <w:r>
              <w:t>Projekts šo jomu neskar.</w:t>
            </w:r>
          </w:p>
        </w:tc>
      </w:tr>
      <w:tr w:rsidR="00132CC1" w:rsidRPr="00D41213" w:rsidTr="004E738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6"/>
          <w:jc w:val="center"/>
        </w:trPr>
        <w:tc>
          <w:tcPr>
            <w:tcW w:w="1592" w:type="pct"/>
            <w:gridSpan w:val="2"/>
            <w:vAlign w:val="center"/>
          </w:tcPr>
          <w:p w:rsidR="00132CC1" w:rsidRPr="00D41213" w:rsidRDefault="00132CC1" w:rsidP="00167702">
            <w:pPr>
              <w:pStyle w:val="Bezatstarpm"/>
              <w:jc w:val="both"/>
              <w:rPr>
                <w:i/>
              </w:rPr>
            </w:pPr>
            <w:r w:rsidRPr="00D41213">
              <w:t xml:space="preserve">Saistības sniegt paziņojumu ES institūcijām un ES dalībvalstīm atbilstoši normatīvajiem aktiem, kas regulē informācijas sniegšanu par tehnisko noteikumu, valsts atbalsta piešķiršanas un finanšu </w:t>
            </w:r>
            <w:r w:rsidRPr="00D41213">
              <w:lastRenderedPageBreak/>
              <w:t>noteikumu (attiecībā uz monetāro politiku) projektiem</w:t>
            </w:r>
          </w:p>
        </w:tc>
        <w:tc>
          <w:tcPr>
            <w:tcW w:w="3408" w:type="pct"/>
            <w:gridSpan w:val="5"/>
          </w:tcPr>
          <w:p w:rsidR="00132CC1" w:rsidRPr="00D41213" w:rsidRDefault="00132CC1" w:rsidP="00167702">
            <w:pPr>
              <w:pStyle w:val="Bezatstarpm"/>
              <w:jc w:val="both"/>
            </w:pPr>
            <w:r>
              <w:lastRenderedPageBreak/>
              <w:t>P</w:t>
            </w:r>
            <w:r w:rsidRPr="00D41213">
              <w:t>rojekts šo jomu neskar.</w:t>
            </w:r>
          </w:p>
        </w:tc>
      </w:tr>
      <w:tr w:rsidR="00132CC1" w:rsidRPr="00D41213" w:rsidTr="004E738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7"/>
          <w:jc w:val="center"/>
        </w:trPr>
        <w:tc>
          <w:tcPr>
            <w:tcW w:w="1592" w:type="pct"/>
            <w:gridSpan w:val="2"/>
          </w:tcPr>
          <w:p w:rsidR="00132CC1" w:rsidRPr="00D41213" w:rsidRDefault="00132CC1" w:rsidP="00167702">
            <w:pPr>
              <w:pStyle w:val="Bezatstarpm"/>
              <w:jc w:val="both"/>
            </w:pPr>
            <w:r w:rsidRPr="00D41213">
              <w:t>Cita informācija</w:t>
            </w:r>
          </w:p>
        </w:tc>
        <w:tc>
          <w:tcPr>
            <w:tcW w:w="3408" w:type="pct"/>
            <w:gridSpan w:val="5"/>
          </w:tcPr>
          <w:p w:rsidR="00132CC1" w:rsidRPr="00D41213" w:rsidRDefault="00132CC1" w:rsidP="00167702">
            <w:pPr>
              <w:pStyle w:val="Bezatstarpm"/>
              <w:jc w:val="both"/>
            </w:pPr>
            <w:r w:rsidRPr="00D41213">
              <w:t>Nav.</w:t>
            </w:r>
          </w:p>
        </w:tc>
      </w:tr>
    </w:tbl>
    <w:p w:rsidR="00FB65D8" w:rsidRDefault="00FB65D8" w:rsidP="00FB65D8">
      <w:pPr>
        <w:pStyle w:val="Bezatstarpm"/>
        <w:rPr>
          <w:i/>
        </w:rPr>
      </w:pPr>
    </w:p>
    <w:p w:rsidR="00FB65D8" w:rsidRDefault="00FB65D8" w:rsidP="00FB65D8">
      <w:pPr>
        <w:pStyle w:val="Bezatstarpm"/>
        <w:rPr>
          <w:i/>
        </w:rPr>
      </w:pPr>
    </w:p>
    <w:tbl>
      <w:tblPr>
        <w:tblStyle w:val="Reatabula"/>
        <w:tblW w:w="8926" w:type="dxa"/>
        <w:tblLook w:val="04A0" w:firstRow="1" w:lastRow="0" w:firstColumn="1" w:lastColumn="0" w:noHBand="0" w:noVBand="1"/>
      </w:tblPr>
      <w:tblGrid>
        <w:gridCol w:w="562"/>
        <w:gridCol w:w="4111"/>
        <w:gridCol w:w="4253"/>
      </w:tblGrid>
      <w:tr w:rsidR="00FB65D8" w:rsidRPr="00A25835" w:rsidTr="00461EE3">
        <w:tc>
          <w:tcPr>
            <w:tcW w:w="8926" w:type="dxa"/>
            <w:gridSpan w:val="3"/>
          </w:tcPr>
          <w:p w:rsidR="00FB65D8" w:rsidRPr="00891139" w:rsidRDefault="00FB65D8" w:rsidP="00F62526">
            <w:pPr>
              <w:pStyle w:val="Bezatstarpm"/>
              <w:jc w:val="center"/>
              <w:rPr>
                <w:b/>
              </w:rPr>
            </w:pPr>
            <w:r>
              <w:rPr>
                <w:b/>
              </w:rPr>
              <w:t>VI</w:t>
            </w:r>
            <w:r w:rsidRPr="00891139">
              <w:rPr>
                <w:b/>
              </w:rPr>
              <w:t xml:space="preserve">. </w:t>
            </w:r>
            <w:r>
              <w:rPr>
                <w:b/>
              </w:rPr>
              <w:t>Sabiedrības līdzdalība un komunikācijas aktivitātes</w:t>
            </w:r>
          </w:p>
        </w:tc>
      </w:tr>
      <w:tr w:rsidR="00FB65D8" w:rsidRPr="00352F64" w:rsidTr="00461EE3">
        <w:tc>
          <w:tcPr>
            <w:tcW w:w="562" w:type="dxa"/>
          </w:tcPr>
          <w:p w:rsidR="00FB65D8" w:rsidRPr="000A242C" w:rsidRDefault="00FB65D8" w:rsidP="00F62526">
            <w:pPr>
              <w:pStyle w:val="Bezatstarpm"/>
            </w:pPr>
            <w:r w:rsidRPr="000A242C">
              <w:t>1.</w:t>
            </w:r>
          </w:p>
        </w:tc>
        <w:tc>
          <w:tcPr>
            <w:tcW w:w="4111" w:type="dxa"/>
          </w:tcPr>
          <w:p w:rsidR="00FB65D8" w:rsidRPr="000A242C" w:rsidRDefault="00FB65D8" w:rsidP="00F62526">
            <w:pPr>
              <w:pStyle w:val="Bezatstarpm"/>
              <w:jc w:val="both"/>
            </w:pPr>
            <w:r>
              <w:t>Plānotās sabiedrības līdzdalības un komunikācijas aktivitātes saistībā ar projektu</w:t>
            </w:r>
          </w:p>
        </w:tc>
        <w:tc>
          <w:tcPr>
            <w:tcW w:w="4253" w:type="dxa"/>
          </w:tcPr>
          <w:p w:rsidR="00FB65D8" w:rsidRPr="00245083" w:rsidRDefault="005C54FF" w:rsidP="00151855">
            <w:pPr>
              <w:jc w:val="both"/>
              <w:rPr>
                <w:rFonts w:ascii="Times New Roman" w:eastAsia="Times New Roman" w:hAnsi="Times New Roman" w:cs="Times New Roman"/>
                <w:sz w:val="24"/>
                <w:szCs w:val="24"/>
              </w:rPr>
            </w:pPr>
            <w:r w:rsidRPr="00245083">
              <w:rPr>
                <w:rFonts w:ascii="Times New Roman" w:hAnsi="Times New Roman" w:cs="Times New Roman"/>
                <w:sz w:val="24"/>
                <w:szCs w:val="24"/>
              </w:rPr>
              <w:t xml:space="preserve">Noteikumu projekts </w:t>
            </w:r>
            <w:r w:rsidR="003A52E7">
              <w:rPr>
                <w:rFonts w:ascii="Times New Roman" w:hAnsi="Times New Roman" w:cs="Times New Roman"/>
                <w:sz w:val="24"/>
                <w:szCs w:val="24"/>
              </w:rPr>
              <w:t>tik</w:t>
            </w:r>
            <w:r w:rsidR="00151855">
              <w:rPr>
                <w:rFonts w:ascii="Times New Roman" w:hAnsi="Times New Roman" w:cs="Times New Roman"/>
                <w:sz w:val="24"/>
                <w:szCs w:val="24"/>
              </w:rPr>
              <w:t>a</w:t>
            </w:r>
            <w:r w:rsidRPr="00245083">
              <w:rPr>
                <w:rFonts w:ascii="Times New Roman" w:hAnsi="Times New Roman" w:cs="Times New Roman"/>
                <w:sz w:val="24"/>
                <w:szCs w:val="24"/>
              </w:rPr>
              <w:t xml:space="preserve"> </w:t>
            </w:r>
            <w:r w:rsidR="00245083" w:rsidRPr="00245083">
              <w:rPr>
                <w:rFonts w:ascii="Times New Roman" w:eastAsia="Times New Roman" w:hAnsi="Times New Roman" w:cs="Times New Roman"/>
                <w:sz w:val="24"/>
                <w:szCs w:val="24"/>
              </w:rPr>
              <w:t xml:space="preserve">ievietots Zemkopības ministrijas tīmekļa vietnē </w:t>
            </w:r>
            <w:hyperlink r:id="rId8" w:history="1">
              <w:r w:rsidR="00245083" w:rsidRPr="00245083">
                <w:rPr>
                  <w:rStyle w:val="Hipersaite"/>
                  <w:rFonts w:ascii="Times New Roman" w:eastAsia="Times New Roman" w:hAnsi="Times New Roman" w:cs="Times New Roman"/>
                  <w:sz w:val="24"/>
                  <w:szCs w:val="24"/>
                </w:rPr>
                <w:t>www.zm.gov.lv</w:t>
              </w:r>
            </w:hyperlink>
            <w:r w:rsidR="00245083" w:rsidRPr="00245083">
              <w:rPr>
                <w:rStyle w:val="Hipersaite"/>
                <w:rFonts w:ascii="Times New Roman" w:eastAsia="Times New Roman" w:hAnsi="Times New Roman" w:cs="Times New Roman"/>
                <w:sz w:val="24"/>
                <w:szCs w:val="24"/>
              </w:rPr>
              <w:t xml:space="preserve">. </w:t>
            </w:r>
          </w:p>
        </w:tc>
      </w:tr>
      <w:tr w:rsidR="00FB65D8" w:rsidRPr="00A25835" w:rsidTr="00461EE3">
        <w:tc>
          <w:tcPr>
            <w:tcW w:w="562" w:type="dxa"/>
          </w:tcPr>
          <w:p w:rsidR="00FB65D8" w:rsidRPr="00C2213E" w:rsidRDefault="00FB65D8" w:rsidP="00F62526">
            <w:pPr>
              <w:pStyle w:val="Bezatstarpm"/>
            </w:pPr>
            <w:r w:rsidRPr="00C2213E">
              <w:t>2.</w:t>
            </w:r>
          </w:p>
        </w:tc>
        <w:tc>
          <w:tcPr>
            <w:tcW w:w="4111" w:type="dxa"/>
          </w:tcPr>
          <w:p w:rsidR="00FB65D8" w:rsidRPr="00C2213E" w:rsidRDefault="00FB65D8" w:rsidP="00F62526">
            <w:pPr>
              <w:pStyle w:val="Bezatstarpm"/>
              <w:jc w:val="both"/>
            </w:pPr>
            <w:r>
              <w:t>Sabiedrības līdzdalība projekta izstrādē</w:t>
            </w:r>
          </w:p>
        </w:tc>
        <w:tc>
          <w:tcPr>
            <w:tcW w:w="4253" w:type="dxa"/>
          </w:tcPr>
          <w:p w:rsidR="00FB65D8" w:rsidRPr="00C2213E" w:rsidRDefault="00047F67" w:rsidP="00151855">
            <w:pPr>
              <w:pStyle w:val="Bezatstarpm"/>
              <w:jc w:val="both"/>
            </w:pPr>
            <w:r w:rsidRPr="00245083">
              <w:rPr>
                <w:rFonts w:ascii="TimesNewRomanPSMT" w:hAnsi="TimesNewRomanPSMT" w:cs="TimesNewRomanPSMT"/>
              </w:rPr>
              <w:t>Noteikumu projekts elektroniski tik</w:t>
            </w:r>
            <w:r w:rsidR="00151855">
              <w:rPr>
                <w:rFonts w:ascii="TimesNewRomanPSMT" w:hAnsi="TimesNewRomanPSMT" w:cs="TimesNewRomanPSMT"/>
              </w:rPr>
              <w:t>a</w:t>
            </w:r>
            <w:r w:rsidRPr="00245083">
              <w:rPr>
                <w:rFonts w:ascii="TimesNewRomanPSMT" w:hAnsi="TimesNewRomanPSMT" w:cs="TimesNewRomanPSMT"/>
              </w:rPr>
              <w:t xml:space="preserve"> nosūtīts saskaņošanai biedrīb</w:t>
            </w:r>
            <w:r w:rsidR="00552CA5">
              <w:rPr>
                <w:rFonts w:ascii="TimesNewRomanPSMT" w:hAnsi="TimesNewRomanPSMT" w:cs="TimesNewRomanPSMT"/>
              </w:rPr>
              <w:t>ām</w:t>
            </w:r>
            <w:r w:rsidRPr="00245083">
              <w:rPr>
                <w:rFonts w:ascii="TimesNewRomanPSMT" w:hAnsi="TimesNewRomanPSMT" w:cs="TimesNewRomanPSMT"/>
              </w:rPr>
              <w:t xml:space="preserve"> </w:t>
            </w:r>
            <w:r w:rsidRPr="00A32986">
              <w:rPr>
                <w:rFonts w:ascii="TimesNewRomanPSMT" w:hAnsi="TimesNewRomanPSMT" w:cs="TimesNewRomanPSMT"/>
              </w:rPr>
              <w:t>„Lauksaimnieku organizāciju sadarbības padome”</w:t>
            </w:r>
            <w:r w:rsidR="003A52E7">
              <w:rPr>
                <w:rFonts w:ascii="TimesNewRomanPSMT" w:hAnsi="TimesNewRomanPSMT" w:cs="TimesNewRomanPSMT"/>
              </w:rPr>
              <w:t xml:space="preserve"> un</w:t>
            </w:r>
            <w:r w:rsidRPr="00A32986">
              <w:rPr>
                <w:rFonts w:ascii="TimesNewRomanPSMT" w:hAnsi="TimesNewRomanPSMT" w:cs="TimesNewRomanPSMT"/>
              </w:rPr>
              <w:t xml:space="preserve"> “Zemnieku Saeima”</w:t>
            </w:r>
            <w:r>
              <w:rPr>
                <w:rFonts w:ascii="TimesNewRomanPSMT" w:hAnsi="TimesNewRomanPSMT" w:cs="TimesNewRomanPSMT"/>
              </w:rPr>
              <w:t xml:space="preserve">. </w:t>
            </w:r>
            <w:r w:rsidR="001A3D26" w:rsidRPr="00151855">
              <w:rPr>
                <w:rFonts w:ascii="TimesNewRomanPSMT" w:hAnsi="TimesNewRomanPSMT" w:cs="TimesNewRomanPSMT"/>
              </w:rPr>
              <w:t xml:space="preserve">Sabiedrībai bija iespēja iepazīties ar noteikumu projektu Zemkopības ministrijas tīmekļa vietnē </w:t>
            </w:r>
            <w:hyperlink r:id="rId9" w:history="1">
              <w:r w:rsidR="001A3D26" w:rsidRPr="00F47A70">
                <w:rPr>
                  <w:rStyle w:val="Hipersaite"/>
                  <w:rFonts w:ascii="TimesNewRomanPSMT" w:hAnsi="TimesNewRomanPSMT" w:cs="TimesNewRomanPSMT"/>
                </w:rPr>
                <w:t>www.zm.gov.lv</w:t>
              </w:r>
            </w:hyperlink>
            <w:proofErr w:type="gramStart"/>
            <w:r w:rsidR="001A3D26">
              <w:rPr>
                <w:rFonts w:ascii="TimesNewRomanPSMT" w:hAnsi="TimesNewRomanPSMT" w:cs="TimesNewRomanPSMT"/>
              </w:rPr>
              <w:t xml:space="preserve"> </w:t>
            </w:r>
            <w:r w:rsidR="001A3D26" w:rsidRPr="00151855">
              <w:rPr>
                <w:rFonts w:ascii="TimesNewRomanPSMT" w:hAnsi="TimesNewRomanPSMT" w:cs="TimesNewRomanPSMT"/>
              </w:rPr>
              <w:t xml:space="preserve"> </w:t>
            </w:r>
            <w:proofErr w:type="gramEnd"/>
            <w:r w:rsidR="001A3D26" w:rsidRPr="00151855">
              <w:rPr>
                <w:rFonts w:ascii="TimesNewRomanPSMT" w:hAnsi="TimesNewRomanPSMT" w:cs="TimesNewRomanPSMT"/>
              </w:rPr>
              <w:t>un rakstiski paust viedokli.</w:t>
            </w:r>
          </w:p>
        </w:tc>
      </w:tr>
      <w:tr w:rsidR="00FB65D8" w:rsidRPr="00A25835" w:rsidTr="00461EE3">
        <w:tc>
          <w:tcPr>
            <w:tcW w:w="562" w:type="dxa"/>
          </w:tcPr>
          <w:p w:rsidR="00FB65D8" w:rsidRPr="00C2213E" w:rsidRDefault="00FB65D8" w:rsidP="00F62526">
            <w:pPr>
              <w:pStyle w:val="Bezatstarpm"/>
            </w:pPr>
            <w:r w:rsidRPr="00C2213E">
              <w:t>3.</w:t>
            </w:r>
          </w:p>
        </w:tc>
        <w:tc>
          <w:tcPr>
            <w:tcW w:w="4111" w:type="dxa"/>
          </w:tcPr>
          <w:p w:rsidR="00FB65D8" w:rsidRPr="00C2213E" w:rsidRDefault="00FB65D8" w:rsidP="00F62526">
            <w:pPr>
              <w:pStyle w:val="Bezatstarpm"/>
              <w:jc w:val="both"/>
            </w:pPr>
            <w:r>
              <w:t>Sabiedrības līdzdalības rezultāti</w:t>
            </w:r>
          </w:p>
        </w:tc>
        <w:tc>
          <w:tcPr>
            <w:tcW w:w="4253" w:type="dxa"/>
          </w:tcPr>
          <w:p w:rsidR="001A3D26" w:rsidRDefault="001A3D26" w:rsidP="001A3D26">
            <w:pPr>
              <w:pStyle w:val="Bezatstarpm"/>
              <w:jc w:val="both"/>
            </w:pPr>
            <w:r>
              <w:t>Noteikum</w:t>
            </w:r>
            <w:r w:rsidR="004D6B90">
              <w:t>u</w:t>
            </w:r>
            <w:r>
              <w:t xml:space="preserve"> projekts ir</w:t>
            </w:r>
            <w:proofErr w:type="gramStart"/>
            <w:r>
              <w:t xml:space="preserve"> saskaņots ar biedrību</w:t>
            </w:r>
            <w:proofErr w:type="gramEnd"/>
            <w:r>
              <w:t xml:space="preserve"> „Lauksaimnieku organizāciju sadarbības padome” un “Zemnieku Saeima”, un tās atbalsta tā tālāko virzību. </w:t>
            </w:r>
          </w:p>
          <w:p w:rsidR="00FB65D8" w:rsidRPr="00245083" w:rsidRDefault="001A3D26" w:rsidP="001A3D26">
            <w:pPr>
              <w:pStyle w:val="Bezatstarpm"/>
              <w:jc w:val="both"/>
              <w:rPr>
                <w:rFonts w:ascii="TimesNewRomanPSMT" w:hAnsi="TimesNewRomanPSMT" w:cs="TimesNewRomanPSMT"/>
              </w:rPr>
            </w:pPr>
            <w:r>
              <w:t xml:space="preserve">Par tīmekļa vietnē </w:t>
            </w:r>
            <w:hyperlink r:id="rId10" w:history="1">
              <w:r w:rsidRPr="00F47A70">
                <w:rPr>
                  <w:rStyle w:val="Hipersaite"/>
                </w:rPr>
                <w:t>www.zm.gov.lv</w:t>
              </w:r>
            </w:hyperlink>
            <w:r>
              <w:t xml:space="preserve"> ievietoto noteikumu projektu iebildumi un priekšlikumi no sabiedrības netika saņemti.</w:t>
            </w:r>
          </w:p>
        </w:tc>
      </w:tr>
      <w:tr w:rsidR="00FB65D8" w:rsidRPr="00C2213E" w:rsidTr="00461EE3">
        <w:tc>
          <w:tcPr>
            <w:tcW w:w="562" w:type="dxa"/>
          </w:tcPr>
          <w:p w:rsidR="00FB65D8" w:rsidRPr="00C2213E" w:rsidRDefault="00FB65D8" w:rsidP="00F62526">
            <w:pPr>
              <w:pStyle w:val="Bezatstarpm"/>
            </w:pPr>
            <w:r w:rsidRPr="00C2213E">
              <w:t>4.</w:t>
            </w:r>
          </w:p>
        </w:tc>
        <w:tc>
          <w:tcPr>
            <w:tcW w:w="4111" w:type="dxa"/>
          </w:tcPr>
          <w:p w:rsidR="00FB65D8" w:rsidRPr="00C2213E" w:rsidRDefault="00FB65D8" w:rsidP="00F62526">
            <w:pPr>
              <w:pStyle w:val="Bezatstarpm"/>
              <w:jc w:val="both"/>
            </w:pPr>
            <w:r>
              <w:t>Cita informācija</w:t>
            </w:r>
          </w:p>
        </w:tc>
        <w:tc>
          <w:tcPr>
            <w:tcW w:w="4253" w:type="dxa"/>
          </w:tcPr>
          <w:p w:rsidR="00FB65D8" w:rsidRPr="00C2213E" w:rsidRDefault="001A3D26" w:rsidP="001A3D26">
            <w:pPr>
              <w:pStyle w:val="Bezatstarpm"/>
              <w:jc w:val="both"/>
            </w:pPr>
            <w:r>
              <w:t>Nav.</w:t>
            </w:r>
          </w:p>
        </w:tc>
      </w:tr>
    </w:tbl>
    <w:p w:rsidR="00FB65D8" w:rsidRPr="000A242C" w:rsidRDefault="00FB65D8" w:rsidP="00FB65D8">
      <w:pPr>
        <w:pStyle w:val="Bezatstarpm"/>
        <w:rPr>
          <w:i/>
        </w:rPr>
      </w:pPr>
    </w:p>
    <w:tbl>
      <w:tblPr>
        <w:tblStyle w:val="Reatabula"/>
        <w:tblW w:w="8926" w:type="dxa"/>
        <w:tblLook w:val="04A0" w:firstRow="1" w:lastRow="0" w:firstColumn="1" w:lastColumn="0" w:noHBand="0" w:noVBand="1"/>
      </w:tblPr>
      <w:tblGrid>
        <w:gridCol w:w="800"/>
        <w:gridCol w:w="3844"/>
        <w:gridCol w:w="4282"/>
      </w:tblGrid>
      <w:tr w:rsidR="00FB65D8" w:rsidRPr="00A25835" w:rsidTr="00461EE3">
        <w:tc>
          <w:tcPr>
            <w:tcW w:w="8926" w:type="dxa"/>
            <w:gridSpan w:val="3"/>
          </w:tcPr>
          <w:p w:rsidR="00FB65D8" w:rsidRPr="005B18E0" w:rsidRDefault="00FB65D8" w:rsidP="00F62526">
            <w:pPr>
              <w:pStyle w:val="Bezatstarpm"/>
              <w:rPr>
                <w:b/>
              </w:rPr>
            </w:pPr>
            <w:r w:rsidRPr="005B18E0">
              <w:rPr>
                <w:b/>
              </w:rPr>
              <w:t>VII. Tiesību akta projekta izpildes nodrošināšana un tās ietekme uz institūcijām</w:t>
            </w:r>
          </w:p>
        </w:tc>
      </w:tr>
      <w:tr w:rsidR="00FB65D8" w:rsidRPr="000A242C" w:rsidTr="00461EE3">
        <w:tc>
          <w:tcPr>
            <w:tcW w:w="800" w:type="dxa"/>
          </w:tcPr>
          <w:p w:rsidR="00FB65D8" w:rsidRPr="000A242C" w:rsidRDefault="00FB65D8" w:rsidP="00F62526">
            <w:pPr>
              <w:pStyle w:val="Bezatstarpm"/>
            </w:pPr>
            <w:r w:rsidRPr="000A242C">
              <w:t>1.</w:t>
            </w:r>
          </w:p>
        </w:tc>
        <w:tc>
          <w:tcPr>
            <w:tcW w:w="3844" w:type="dxa"/>
          </w:tcPr>
          <w:p w:rsidR="00FB65D8" w:rsidRPr="000A242C" w:rsidRDefault="00FB65D8" w:rsidP="00F62526">
            <w:pPr>
              <w:pStyle w:val="Bezatstarpm"/>
            </w:pPr>
            <w:r w:rsidRPr="000A242C">
              <w:t>Projekta izpildē iesaistītās institūcijas</w:t>
            </w:r>
          </w:p>
        </w:tc>
        <w:tc>
          <w:tcPr>
            <w:tcW w:w="4282" w:type="dxa"/>
          </w:tcPr>
          <w:p w:rsidR="00FB65D8" w:rsidRPr="000A242C" w:rsidRDefault="00FB65D8" w:rsidP="003A52E7">
            <w:pPr>
              <w:pStyle w:val="Bezatstarpm"/>
              <w:jc w:val="both"/>
            </w:pPr>
            <w:r>
              <w:t>Pārtikas un veterinārais dienests</w:t>
            </w:r>
            <w:r w:rsidR="002F0B22">
              <w:t xml:space="preserve"> un </w:t>
            </w:r>
            <w:r w:rsidR="002F0B22" w:rsidRPr="002F0B22">
              <w:t xml:space="preserve">Valsts </w:t>
            </w:r>
            <w:r w:rsidR="003A52E7">
              <w:t>vides</w:t>
            </w:r>
            <w:r w:rsidR="002F0B22" w:rsidRPr="002F0B22">
              <w:t xml:space="preserve"> dienest</w:t>
            </w:r>
            <w:r w:rsidR="002F0B22">
              <w:t>s</w:t>
            </w:r>
          </w:p>
        </w:tc>
      </w:tr>
      <w:tr w:rsidR="00FB65D8" w:rsidRPr="000A242C" w:rsidTr="00461EE3">
        <w:tc>
          <w:tcPr>
            <w:tcW w:w="800" w:type="dxa"/>
          </w:tcPr>
          <w:p w:rsidR="00FB65D8" w:rsidRPr="000A242C" w:rsidRDefault="00FB65D8" w:rsidP="00F62526">
            <w:pPr>
              <w:pStyle w:val="Bezatstarpm"/>
            </w:pPr>
            <w:r w:rsidRPr="000A242C">
              <w:t>2.</w:t>
            </w:r>
          </w:p>
        </w:tc>
        <w:tc>
          <w:tcPr>
            <w:tcW w:w="3844" w:type="dxa"/>
          </w:tcPr>
          <w:p w:rsidR="00FB65D8" w:rsidRPr="000A242C" w:rsidRDefault="00FB65D8" w:rsidP="00F62526">
            <w:pPr>
              <w:pStyle w:val="Bezatstarpm"/>
              <w:jc w:val="both"/>
            </w:pPr>
            <w:r w:rsidRPr="000A242C">
              <w:t>Projekta izpildes ietekme uz pārvaldes funkcijām un institucionālo struktūru. Jaunu institūciju izveide, esošo institūciju likvidācija vai reorganizācija, to ietekme uz institūcijas cilvēkresursiem</w:t>
            </w:r>
          </w:p>
        </w:tc>
        <w:tc>
          <w:tcPr>
            <w:tcW w:w="4282" w:type="dxa"/>
          </w:tcPr>
          <w:p w:rsidR="00D61240" w:rsidRPr="00D61240" w:rsidRDefault="00D61240" w:rsidP="00D61240">
            <w:pPr>
              <w:pStyle w:val="Bezatstarpm"/>
              <w:jc w:val="both"/>
            </w:pPr>
            <w:r w:rsidRPr="00D61240">
              <w:t xml:space="preserve">Noteikumu projekta izpildei nav nepieciešams paplašināt Pārtikas un veterinārā dienesta </w:t>
            </w:r>
            <w:r>
              <w:t xml:space="preserve">un </w:t>
            </w:r>
            <w:r w:rsidRPr="002F0B22">
              <w:t xml:space="preserve">Valsts </w:t>
            </w:r>
            <w:r>
              <w:t>vides</w:t>
            </w:r>
            <w:r w:rsidRPr="002F0B22">
              <w:t xml:space="preserve"> dienest</w:t>
            </w:r>
            <w:r>
              <w:t xml:space="preserve">a </w:t>
            </w:r>
            <w:r w:rsidRPr="00D61240">
              <w:t>funkcijas un uzdevumus.</w:t>
            </w:r>
          </w:p>
        </w:tc>
      </w:tr>
      <w:tr w:rsidR="00FB65D8" w:rsidRPr="000A242C" w:rsidTr="00461EE3">
        <w:tc>
          <w:tcPr>
            <w:tcW w:w="800" w:type="dxa"/>
          </w:tcPr>
          <w:p w:rsidR="00FB65D8" w:rsidRPr="000A242C" w:rsidRDefault="00FB65D8" w:rsidP="00F62526">
            <w:pPr>
              <w:pStyle w:val="Bezatstarpm"/>
            </w:pPr>
            <w:r w:rsidRPr="000A242C">
              <w:t>3.</w:t>
            </w:r>
          </w:p>
        </w:tc>
        <w:tc>
          <w:tcPr>
            <w:tcW w:w="3844" w:type="dxa"/>
          </w:tcPr>
          <w:p w:rsidR="00FB65D8" w:rsidRPr="000A242C" w:rsidRDefault="00FB65D8" w:rsidP="00F62526">
            <w:pPr>
              <w:pStyle w:val="Bezatstarpm"/>
            </w:pPr>
            <w:r w:rsidRPr="000A242C">
              <w:t>Cita informācija</w:t>
            </w:r>
          </w:p>
        </w:tc>
        <w:tc>
          <w:tcPr>
            <w:tcW w:w="4282" w:type="dxa"/>
          </w:tcPr>
          <w:p w:rsidR="00FB65D8" w:rsidRPr="000A242C" w:rsidRDefault="00FB65D8" w:rsidP="00F62526">
            <w:pPr>
              <w:pStyle w:val="Bezatstarpm"/>
            </w:pPr>
            <w:r w:rsidRPr="000A242C">
              <w:t>Nav</w:t>
            </w:r>
            <w:r w:rsidR="00552CA5">
              <w:t>.</w:t>
            </w:r>
            <w:r w:rsidRPr="000A242C">
              <w:t xml:space="preserve"> </w:t>
            </w:r>
          </w:p>
        </w:tc>
      </w:tr>
    </w:tbl>
    <w:p w:rsidR="00A82FA4" w:rsidRDefault="00A82FA4" w:rsidP="00FB65D8">
      <w:pPr>
        <w:pStyle w:val="Bezatstarpm"/>
        <w:rPr>
          <w:color w:val="000000"/>
          <w:sz w:val="28"/>
        </w:rPr>
      </w:pPr>
    </w:p>
    <w:p w:rsidR="00345C30" w:rsidRDefault="00345C30" w:rsidP="00FB65D8">
      <w:pPr>
        <w:pStyle w:val="Bezatstarpm"/>
        <w:rPr>
          <w:color w:val="000000"/>
          <w:sz w:val="28"/>
        </w:rPr>
      </w:pPr>
    </w:p>
    <w:p w:rsidR="00345C30" w:rsidRDefault="00345C30" w:rsidP="00FB65D8">
      <w:pPr>
        <w:pStyle w:val="Bezatstarpm"/>
        <w:rPr>
          <w:color w:val="000000"/>
          <w:sz w:val="28"/>
        </w:rPr>
      </w:pPr>
    </w:p>
    <w:p w:rsidR="00FB65D8" w:rsidRDefault="00424FD4" w:rsidP="00424FD4">
      <w:pPr>
        <w:pStyle w:val="Bezatstarpm"/>
        <w:ind w:firstLine="720"/>
        <w:rPr>
          <w:color w:val="000000"/>
          <w:sz w:val="28"/>
        </w:rPr>
      </w:pPr>
      <w:r>
        <w:rPr>
          <w:color w:val="000000"/>
          <w:sz w:val="28"/>
        </w:rPr>
        <w:t>Zemkopības ministrs</w:t>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sidR="00FB65D8" w:rsidRPr="00003586">
        <w:rPr>
          <w:color w:val="000000"/>
          <w:sz w:val="28"/>
        </w:rPr>
        <w:t>Jānis Dūklavs</w:t>
      </w:r>
    </w:p>
    <w:p w:rsidR="00345C30" w:rsidRDefault="00345C30" w:rsidP="00424FD4">
      <w:pPr>
        <w:pStyle w:val="Bezatstarpm"/>
        <w:ind w:firstLine="720"/>
        <w:rPr>
          <w:color w:val="000000"/>
          <w:sz w:val="28"/>
        </w:rPr>
      </w:pPr>
    </w:p>
    <w:p w:rsidR="00345C30" w:rsidRDefault="00345C30" w:rsidP="00424FD4">
      <w:pPr>
        <w:pStyle w:val="Bezatstarpm"/>
        <w:ind w:firstLine="720"/>
        <w:rPr>
          <w:color w:val="000000"/>
          <w:sz w:val="28"/>
        </w:rPr>
      </w:pPr>
    </w:p>
    <w:p w:rsidR="00345C30" w:rsidRPr="00003586" w:rsidRDefault="00345C30" w:rsidP="00424FD4">
      <w:pPr>
        <w:pStyle w:val="Bezatstarpm"/>
        <w:ind w:firstLine="720"/>
        <w:rPr>
          <w:color w:val="000000"/>
          <w:sz w:val="28"/>
        </w:rPr>
      </w:pPr>
      <w:r>
        <w:rPr>
          <w:color w:val="000000"/>
          <w:sz w:val="28"/>
        </w:rPr>
        <w:t>Zemkopības ministrijas valsts sekretāre</w:t>
      </w:r>
      <w:r>
        <w:rPr>
          <w:color w:val="000000"/>
          <w:sz w:val="28"/>
        </w:rPr>
        <w:tab/>
      </w:r>
      <w:r>
        <w:rPr>
          <w:color w:val="000000"/>
          <w:sz w:val="28"/>
        </w:rPr>
        <w:tab/>
      </w:r>
      <w:r>
        <w:rPr>
          <w:color w:val="000000"/>
          <w:sz w:val="28"/>
        </w:rPr>
        <w:tab/>
        <w:t>Dace Lucaua</w:t>
      </w:r>
    </w:p>
    <w:p w:rsidR="009C3649" w:rsidRDefault="009C3649" w:rsidP="00FB65D8">
      <w:pPr>
        <w:pStyle w:val="Bezatstarpm"/>
        <w:rPr>
          <w:sz w:val="20"/>
        </w:rPr>
      </w:pPr>
    </w:p>
    <w:p w:rsidR="009C3649" w:rsidRDefault="009C3649" w:rsidP="00FB65D8">
      <w:pPr>
        <w:pStyle w:val="Bezatstarpm"/>
        <w:rPr>
          <w:sz w:val="20"/>
        </w:rPr>
      </w:pPr>
    </w:p>
    <w:p w:rsidR="00345C30" w:rsidRDefault="00345C30" w:rsidP="00FB65D8">
      <w:pPr>
        <w:pStyle w:val="Bezatstarpm"/>
        <w:rPr>
          <w:sz w:val="20"/>
        </w:rPr>
      </w:pPr>
      <w:bookmarkStart w:id="0" w:name="_GoBack"/>
      <w:bookmarkEnd w:id="0"/>
    </w:p>
    <w:p w:rsidR="00FB65D8" w:rsidRPr="00424FD4" w:rsidRDefault="00A32986" w:rsidP="00FB65D8">
      <w:pPr>
        <w:pStyle w:val="Bezatstarpm"/>
      </w:pPr>
      <w:r w:rsidRPr="00424FD4">
        <w:t>Tora</w:t>
      </w:r>
      <w:r w:rsidR="00FB65D8" w:rsidRPr="00424FD4">
        <w:t xml:space="preserve"> 67027</w:t>
      </w:r>
      <w:r w:rsidRPr="00424FD4">
        <w:t>620</w:t>
      </w:r>
      <w:r w:rsidR="00FB65D8" w:rsidRPr="00424FD4">
        <w:t xml:space="preserve"> </w:t>
      </w:r>
    </w:p>
    <w:p w:rsidR="00FB65D8" w:rsidRPr="00424FD4" w:rsidRDefault="00345C30" w:rsidP="00FB65D8">
      <w:pPr>
        <w:pStyle w:val="Bezatstarpm"/>
      </w:pPr>
      <w:hyperlink r:id="rId11" w:history="1">
        <w:r w:rsidR="00A32986" w:rsidRPr="00424FD4">
          <w:rPr>
            <w:rStyle w:val="Hipersaite"/>
          </w:rPr>
          <w:t>Aija.tora@zm.gov.lv</w:t>
        </w:r>
      </w:hyperlink>
      <w:r w:rsidR="00A32986" w:rsidRPr="00424FD4">
        <w:t xml:space="preserve"> </w:t>
      </w:r>
    </w:p>
    <w:sectPr w:rsidR="00FB65D8" w:rsidRPr="00424FD4" w:rsidSect="00424FD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458" w:rsidRDefault="00C37458" w:rsidP="00FB65D8">
      <w:pPr>
        <w:spacing w:after="0" w:line="240" w:lineRule="auto"/>
      </w:pPr>
      <w:r>
        <w:separator/>
      </w:r>
    </w:p>
  </w:endnote>
  <w:endnote w:type="continuationSeparator" w:id="0">
    <w:p w:rsidR="00C37458" w:rsidRDefault="00C37458" w:rsidP="00FB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345C30" w:rsidRDefault="00345C30" w:rsidP="00345C30">
    <w:pPr>
      <w:pStyle w:val="Kjene"/>
    </w:pPr>
    <w:r w:rsidRPr="00345C30">
      <w:rPr>
        <w:rFonts w:ascii="Times New Roman" w:eastAsia="Times New Roman" w:hAnsi="Times New Roman" w:cs="Times New Roman"/>
        <w:sz w:val="20"/>
        <w:szCs w:val="20"/>
        <w:lang w:eastAsia="lv-LV"/>
      </w:rPr>
      <w:t>ZManot_070518_abp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345C30" w:rsidRDefault="00345C30" w:rsidP="00345C30">
    <w:pPr>
      <w:pStyle w:val="Kjene"/>
    </w:pPr>
    <w:r w:rsidRPr="00345C30">
      <w:rPr>
        <w:rFonts w:ascii="Times New Roman" w:eastAsia="Times New Roman" w:hAnsi="Times New Roman" w:cs="Times New Roman"/>
        <w:sz w:val="20"/>
        <w:szCs w:val="20"/>
        <w:lang w:eastAsia="lv-LV"/>
      </w:rPr>
      <w:t>ZManot_070518_abp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458" w:rsidRDefault="00C37458" w:rsidP="00FB65D8">
      <w:pPr>
        <w:spacing w:after="0" w:line="240" w:lineRule="auto"/>
      </w:pPr>
      <w:r>
        <w:separator/>
      </w:r>
    </w:p>
  </w:footnote>
  <w:footnote w:type="continuationSeparator" w:id="0">
    <w:p w:rsidR="00C37458" w:rsidRDefault="00C37458" w:rsidP="00FB6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5500"/>
      <w:docPartObj>
        <w:docPartGallery w:val="Page Numbers (Top of Page)"/>
        <w:docPartUnique/>
      </w:docPartObj>
    </w:sdtPr>
    <w:sdtEndPr/>
    <w:sdtContent>
      <w:p w:rsidR="006D68E8" w:rsidRDefault="00290A60" w:rsidP="00424FD4">
        <w:pPr>
          <w:pStyle w:val="Galvene"/>
          <w:jc w:val="center"/>
        </w:pPr>
        <w:r>
          <w:fldChar w:fldCharType="begin"/>
        </w:r>
        <w:r>
          <w:instrText>PAGE   \* MERGEFORMAT</w:instrText>
        </w:r>
        <w:r>
          <w:fldChar w:fldCharType="separate"/>
        </w:r>
        <w:r w:rsidR="00345C30">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315A4"/>
    <w:multiLevelType w:val="multilevel"/>
    <w:tmpl w:val="F1780B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5D8"/>
    <w:rsid w:val="00001FB4"/>
    <w:rsid w:val="00003586"/>
    <w:rsid w:val="00016FA1"/>
    <w:rsid w:val="000216D3"/>
    <w:rsid w:val="00030620"/>
    <w:rsid w:val="00032C16"/>
    <w:rsid w:val="000371C4"/>
    <w:rsid w:val="00040EA9"/>
    <w:rsid w:val="000477C5"/>
    <w:rsid w:val="00047F67"/>
    <w:rsid w:val="00051603"/>
    <w:rsid w:val="000551F1"/>
    <w:rsid w:val="000603BD"/>
    <w:rsid w:val="00065A7D"/>
    <w:rsid w:val="00073C0C"/>
    <w:rsid w:val="000918FD"/>
    <w:rsid w:val="00095CB6"/>
    <w:rsid w:val="0009789C"/>
    <w:rsid w:val="000A6A0D"/>
    <w:rsid w:val="000B0E7A"/>
    <w:rsid w:val="000B1AF3"/>
    <w:rsid w:val="000C060D"/>
    <w:rsid w:val="000C0C98"/>
    <w:rsid w:val="000C4AAD"/>
    <w:rsid w:val="000D085A"/>
    <w:rsid w:val="000D09E6"/>
    <w:rsid w:val="000D0F38"/>
    <w:rsid w:val="000D2C62"/>
    <w:rsid w:val="000D2C9C"/>
    <w:rsid w:val="000D3EF0"/>
    <w:rsid w:val="000D49F8"/>
    <w:rsid w:val="000D78A0"/>
    <w:rsid w:val="00116ADC"/>
    <w:rsid w:val="00132CC1"/>
    <w:rsid w:val="001368DE"/>
    <w:rsid w:val="0014429E"/>
    <w:rsid w:val="00151855"/>
    <w:rsid w:val="00154A4E"/>
    <w:rsid w:val="001619B1"/>
    <w:rsid w:val="00163524"/>
    <w:rsid w:val="00171FEE"/>
    <w:rsid w:val="0017225C"/>
    <w:rsid w:val="00172FE8"/>
    <w:rsid w:val="00194AC2"/>
    <w:rsid w:val="001958BD"/>
    <w:rsid w:val="001A3D26"/>
    <w:rsid w:val="001A7746"/>
    <w:rsid w:val="001B6FD8"/>
    <w:rsid w:val="001C0E09"/>
    <w:rsid w:val="001C61C0"/>
    <w:rsid w:val="001C76C0"/>
    <w:rsid w:val="001D3E4D"/>
    <w:rsid w:val="001E1D17"/>
    <w:rsid w:val="001E74CD"/>
    <w:rsid w:val="001F39FC"/>
    <w:rsid w:val="00204158"/>
    <w:rsid w:val="00212631"/>
    <w:rsid w:val="002213CB"/>
    <w:rsid w:val="0022273A"/>
    <w:rsid w:val="00245083"/>
    <w:rsid w:val="00245A8E"/>
    <w:rsid w:val="00246BAC"/>
    <w:rsid w:val="00253307"/>
    <w:rsid w:val="00256D43"/>
    <w:rsid w:val="00266299"/>
    <w:rsid w:val="00270B6F"/>
    <w:rsid w:val="00274034"/>
    <w:rsid w:val="00283FF3"/>
    <w:rsid w:val="00290A60"/>
    <w:rsid w:val="0029622D"/>
    <w:rsid w:val="0029687B"/>
    <w:rsid w:val="002A45F0"/>
    <w:rsid w:val="002E1258"/>
    <w:rsid w:val="002E1FE1"/>
    <w:rsid w:val="002E6EA2"/>
    <w:rsid w:val="002F0B22"/>
    <w:rsid w:val="003027C7"/>
    <w:rsid w:val="00310E08"/>
    <w:rsid w:val="00313FF6"/>
    <w:rsid w:val="00320DD9"/>
    <w:rsid w:val="00325851"/>
    <w:rsid w:val="00331763"/>
    <w:rsid w:val="00334344"/>
    <w:rsid w:val="003353DA"/>
    <w:rsid w:val="00345C30"/>
    <w:rsid w:val="00357855"/>
    <w:rsid w:val="00371A7A"/>
    <w:rsid w:val="00376D48"/>
    <w:rsid w:val="00380304"/>
    <w:rsid w:val="00384DD0"/>
    <w:rsid w:val="00395E8B"/>
    <w:rsid w:val="003A52E7"/>
    <w:rsid w:val="003C10EB"/>
    <w:rsid w:val="003D12C6"/>
    <w:rsid w:val="003E0D7E"/>
    <w:rsid w:val="003F2305"/>
    <w:rsid w:val="003F6838"/>
    <w:rsid w:val="004028BF"/>
    <w:rsid w:val="004037D3"/>
    <w:rsid w:val="004042AE"/>
    <w:rsid w:val="00414B65"/>
    <w:rsid w:val="004215A9"/>
    <w:rsid w:val="00424FD4"/>
    <w:rsid w:val="00433E99"/>
    <w:rsid w:val="00434189"/>
    <w:rsid w:val="004350DC"/>
    <w:rsid w:val="00437A86"/>
    <w:rsid w:val="00442C9C"/>
    <w:rsid w:val="00450B9C"/>
    <w:rsid w:val="00461159"/>
    <w:rsid w:val="00461EE3"/>
    <w:rsid w:val="00465772"/>
    <w:rsid w:val="00467870"/>
    <w:rsid w:val="00471086"/>
    <w:rsid w:val="00483498"/>
    <w:rsid w:val="0048434F"/>
    <w:rsid w:val="00484966"/>
    <w:rsid w:val="00486708"/>
    <w:rsid w:val="00486815"/>
    <w:rsid w:val="00487889"/>
    <w:rsid w:val="004A5ECD"/>
    <w:rsid w:val="004B5D20"/>
    <w:rsid w:val="004C08A9"/>
    <w:rsid w:val="004C0CCA"/>
    <w:rsid w:val="004C6553"/>
    <w:rsid w:val="004D0EE2"/>
    <w:rsid w:val="004D276D"/>
    <w:rsid w:val="004D6B90"/>
    <w:rsid w:val="004E7388"/>
    <w:rsid w:val="005112A2"/>
    <w:rsid w:val="0051187D"/>
    <w:rsid w:val="00512E13"/>
    <w:rsid w:val="00520801"/>
    <w:rsid w:val="00552CA5"/>
    <w:rsid w:val="00555575"/>
    <w:rsid w:val="005556AA"/>
    <w:rsid w:val="00561CF6"/>
    <w:rsid w:val="00562943"/>
    <w:rsid w:val="0056437F"/>
    <w:rsid w:val="00573209"/>
    <w:rsid w:val="00583887"/>
    <w:rsid w:val="00584B29"/>
    <w:rsid w:val="00585604"/>
    <w:rsid w:val="00586762"/>
    <w:rsid w:val="00593140"/>
    <w:rsid w:val="005A028B"/>
    <w:rsid w:val="005A047E"/>
    <w:rsid w:val="005A35A1"/>
    <w:rsid w:val="005C0536"/>
    <w:rsid w:val="005C082E"/>
    <w:rsid w:val="005C54FF"/>
    <w:rsid w:val="005C6FE4"/>
    <w:rsid w:val="005D16CB"/>
    <w:rsid w:val="005E62B4"/>
    <w:rsid w:val="005F0153"/>
    <w:rsid w:val="005F13FF"/>
    <w:rsid w:val="005F365F"/>
    <w:rsid w:val="005F7AFA"/>
    <w:rsid w:val="006024CC"/>
    <w:rsid w:val="0062195C"/>
    <w:rsid w:val="00623CD2"/>
    <w:rsid w:val="00623EDF"/>
    <w:rsid w:val="006261D5"/>
    <w:rsid w:val="006347EA"/>
    <w:rsid w:val="00645E70"/>
    <w:rsid w:val="006464E5"/>
    <w:rsid w:val="0066321B"/>
    <w:rsid w:val="00665123"/>
    <w:rsid w:val="00671CF0"/>
    <w:rsid w:val="00672E96"/>
    <w:rsid w:val="0067315F"/>
    <w:rsid w:val="006746CE"/>
    <w:rsid w:val="0067727C"/>
    <w:rsid w:val="00682EAA"/>
    <w:rsid w:val="006A2DF3"/>
    <w:rsid w:val="006B7470"/>
    <w:rsid w:val="006C0532"/>
    <w:rsid w:val="006C3D6A"/>
    <w:rsid w:val="006C5956"/>
    <w:rsid w:val="006D0A66"/>
    <w:rsid w:val="006E39B6"/>
    <w:rsid w:val="006F04DC"/>
    <w:rsid w:val="006F1921"/>
    <w:rsid w:val="006F5AF7"/>
    <w:rsid w:val="00701E4C"/>
    <w:rsid w:val="0072353E"/>
    <w:rsid w:val="00723573"/>
    <w:rsid w:val="00741B80"/>
    <w:rsid w:val="00754E3E"/>
    <w:rsid w:val="00756F33"/>
    <w:rsid w:val="007573D6"/>
    <w:rsid w:val="00757590"/>
    <w:rsid w:val="007647CB"/>
    <w:rsid w:val="007811E9"/>
    <w:rsid w:val="00792BEA"/>
    <w:rsid w:val="007976FF"/>
    <w:rsid w:val="007A68AE"/>
    <w:rsid w:val="007B26BE"/>
    <w:rsid w:val="007D76BD"/>
    <w:rsid w:val="008009EC"/>
    <w:rsid w:val="00801C08"/>
    <w:rsid w:val="008049BE"/>
    <w:rsid w:val="008120D5"/>
    <w:rsid w:val="0081255B"/>
    <w:rsid w:val="00820D42"/>
    <w:rsid w:val="00823C7D"/>
    <w:rsid w:val="00841E5B"/>
    <w:rsid w:val="008567EC"/>
    <w:rsid w:val="0086116F"/>
    <w:rsid w:val="008617C7"/>
    <w:rsid w:val="00867D0E"/>
    <w:rsid w:val="00873472"/>
    <w:rsid w:val="008772E2"/>
    <w:rsid w:val="008775F7"/>
    <w:rsid w:val="0088487F"/>
    <w:rsid w:val="008A2652"/>
    <w:rsid w:val="008A70AC"/>
    <w:rsid w:val="008A7303"/>
    <w:rsid w:val="008B1F91"/>
    <w:rsid w:val="008C1C00"/>
    <w:rsid w:val="008D56DD"/>
    <w:rsid w:val="008D7B31"/>
    <w:rsid w:val="00903B20"/>
    <w:rsid w:val="00907092"/>
    <w:rsid w:val="009211DC"/>
    <w:rsid w:val="00931623"/>
    <w:rsid w:val="009404D9"/>
    <w:rsid w:val="00954329"/>
    <w:rsid w:val="00956220"/>
    <w:rsid w:val="00956B29"/>
    <w:rsid w:val="009606A5"/>
    <w:rsid w:val="009821AF"/>
    <w:rsid w:val="009A0DDC"/>
    <w:rsid w:val="009B03B1"/>
    <w:rsid w:val="009C3649"/>
    <w:rsid w:val="009D23A8"/>
    <w:rsid w:val="009F227E"/>
    <w:rsid w:val="009F79E7"/>
    <w:rsid w:val="00A035B4"/>
    <w:rsid w:val="00A11EB4"/>
    <w:rsid w:val="00A12C64"/>
    <w:rsid w:val="00A13598"/>
    <w:rsid w:val="00A15CFD"/>
    <w:rsid w:val="00A177B3"/>
    <w:rsid w:val="00A216CA"/>
    <w:rsid w:val="00A234F5"/>
    <w:rsid w:val="00A270C0"/>
    <w:rsid w:val="00A31C3F"/>
    <w:rsid w:val="00A32986"/>
    <w:rsid w:val="00A37192"/>
    <w:rsid w:val="00A4202F"/>
    <w:rsid w:val="00A42964"/>
    <w:rsid w:val="00A60A6C"/>
    <w:rsid w:val="00A67F50"/>
    <w:rsid w:val="00A70470"/>
    <w:rsid w:val="00A81C65"/>
    <w:rsid w:val="00A82FA4"/>
    <w:rsid w:val="00A830BF"/>
    <w:rsid w:val="00A97640"/>
    <w:rsid w:val="00AA2174"/>
    <w:rsid w:val="00AA2BB4"/>
    <w:rsid w:val="00AA3CBE"/>
    <w:rsid w:val="00AB0F74"/>
    <w:rsid w:val="00AB66C0"/>
    <w:rsid w:val="00AC356B"/>
    <w:rsid w:val="00AE5842"/>
    <w:rsid w:val="00AF296C"/>
    <w:rsid w:val="00AF43BC"/>
    <w:rsid w:val="00B14446"/>
    <w:rsid w:val="00B22FFE"/>
    <w:rsid w:val="00B2555B"/>
    <w:rsid w:val="00B43671"/>
    <w:rsid w:val="00B63308"/>
    <w:rsid w:val="00B65239"/>
    <w:rsid w:val="00B77C0D"/>
    <w:rsid w:val="00B85741"/>
    <w:rsid w:val="00B85AE0"/>
    <w:rsid w:val="00B87043"/>
    <w:rsid w:val="00B92CED"/>
    <w:rsid w:val="00BA0880"/>
    <w:rsid w:val="00BA5E87"/>
    <w:rsid w:val="00BB525C"/>
    <w:rsid w:val="00BC28BC"/>
    <w:rsid w:val="00BD3F29"/>
    <w:rsid w:val="00BD5536"/>
    <w:rsid w:val="00BD58AA"/>
    <w:rsid w:val="00BD6234"/>
    <w:rsid w:val="00BE15B7"/>
    <w:rsid w:val="00BE746C"/>
    <w:rsid w:val="00BF086C"/>
    <w:rsid w:val="00BF22D2"/>
    <w:rsid w:val="00C00B22"/>
    <w:rsid w:val="00C024DE"/>
    <w:rsid w:val="00C04A4F"/>
    <w:rsid w:val="00C108F4"/>
    <w:rsid w:val="00C1141E"/>
    <w:rsid w:val="00C14CF8"/>
    <w:rsid w:val="00C21D66"/>
    <w:rsid w:val="00C25C9E"/>
    <w:rsid w:val="00C35ABB"/>
    <w:rsid w:val="00C37458"/>
    <w:rsid w:val="00C45851"/>
    <w:rsid w:val="00C45888"/>
    <w:rsid w:val="00C56F8A"/>
    <w:rsid w:val="00C602C8"/>
    <w:rsid w:val="00C74641"/>
    <w:rsid w:val="00C80F4E"/>
    <w:rsid w:val="00C839F7"/>
    <w:rsid w:val="00C960D2"/>
    <w:rsid w:val="00CA19A8"/>
    <w:rsid w:val="00CA1E2C"/>
    <w:rsid w:val="00CA3241"/>
    <w:rsid w:val="00CA4039"/>
    <w:rsid w:val="00CB4BCF"/>
    <w:rsid w:val="00CC1956"/>
    <w:rsid w:val="00CC2F8C"/>
    <w:rsid w:val="00CD43A3"/>
    <w:rsid w:val="00CD76EE"/>
    <w:rsid w:val="00CE4FF8"/>
    <w:rsid w:val="00D14A14"/>
    <w:rsid w:val="00D27469"/>
    <w:rsid w:val="00D37045"/>
    <w:rsid w:val="00D423A9"/>
    <w:rsid w:val="00D43B7F"/>
    <w:rsid w:val="00D61240"/>
    <w:rsid w:val="00D64091"/>
    <w:rsid w:val="00D640BA"/>
    <w:rsid w:val="00D71407"/>
    <w:rsid w:val="00D814AC"/>
    <w:rsid w:val="00D942C8"/>
    <w:rsid w:val="00DA58D6"/>
    <w:rsid w:val="00DA6AE6"/>
    <w:rsid w:val="00DA764C"/>
    <w:rsid w:val="00DB08ED"/>
    <w:rsid w:val="00DB431D"/>
    <w:rsid w:val="00DB57E1"/>
    <w:rsid w:val="00DB7C3A"/>
    <w:rsid w:val="00DC6603"/>
    <w:rsid w:val="00DD70A6"/>
    <w:rsid w:val="00DF4843"/>
    <w:rsid w:val="00E0175D"/>
    <w:rsid w:val="00E12ED6"/>
    <w:rsid w:val="00E21CF3"/>
    <w:rsid w:val="00E34263"/>
    <w:rsid w:val="00E41FC6"/>
    <w:rsid w:val="00E801FA"/>
    <w:rsid w:val="00E82E5C"/>
    <w:rsid w:val="00E83A28"/>
    <w:rsid w:val="00E90308"/>
    <w:rsid w:val="00EB691A"/>
    <w:rsid w:val="00EB7A94"/>
    <w:rsid w:val="00EC668D"/>
    <w:rsid w:val="00EE3C09"/>
    <w:rsid w:val="00EE65F6"/>
    <w:rsid w:val="00EE79E9"/>
    <w:rsid w:val="00EF0741"/>
    <w:rsid w:val="00EF2798"/>
    <w:rsid w:val="00F36FBF"/>
    <w:rsid w:val="00F40D78"/>
    <w:rsid w:val="00F45750"/>
    <w:rsid w:val="00F51AF1"/>
    <w:rsid w:val="00F62951"/>
    <w:rsid w:val="00F661BD"/>
    <w:rsid w:val="00F70849"/>
    <w:rsid w:val="00F71AD0"/>
    <w:rsid w:val="00F7604A"/>
    <w:rsid w:val="00F8658A"/>
    <w:rsid w:val="00F92653"/>
    <w:rsid w:val="00F9796F"/>
    <w:rsid w:val="00FA308B"/>
    <w:rsid w:val="00FB6366"/>
    <w:rsid w:val="00FB65D8"/>
    <w:rsid w:val="00FB7D3D"/>
    <w:rsid w:val="00FC4D66"/>
    <w:rsid w:val="00FD50F4"/>
    <w:rsid w:val="00FF1F17"/>
    <w:rsid w:val="00FF4060"/>
    <w:rsid w:val="00FF4199"/>
    <w:rsid w:val="00FF4581"/>
    <w:rsid w:val="00FF7B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ACEA8-7AC2-4542-A295-949A53AC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FB6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B65D8"/>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B65D8"/>
    <w:pPr>
      <w:tabs>
        <w:tab w:val="center" w:pos="4513"/>
        <w:tab w:val="right" w:pos="902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FB65D8"/>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B65D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B65D8"/>
  </w:style>
  <w:style w:type="paragraph" w:styleId="Balonteksts">
    <w:name w:val="Balloon Text"/>
    <w:basedOn w:val="Parasts"/>
    <w:link w:val="BalontekstsRakstz"/>
    <w:uiPriority w:val="99"/>
    <w:semiHidden/>
    <w:unhideWhenUsed/>
    <w:rsid w:val="00F9796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796F"/>
    <w:rPr>
      <w:rFonts w:ascii="Segoe UI" w:hAnsi="Segoe UI" w:cs="Segoe UI"/>
      <w:sz w:val="18"/>
      <w:szCs w:val="18"/>
    </w:rPr>
  </w:style>
  <w:style w:type="character" w:styleId="Komentraatsauce">
    <w:name w:val="annotation reference"/>
    <w:basedOn w:val="Noklusjumarindkopasfonts"/>
    <w:uiPriority w:val="99"/>
    <w:semiHidden/>
    <w:unhideWhenUsed/>
    <w:rsid w:val="006D0A66"/>
    <w:rPr>
      <w:sz w:val="16"/>
      <w:szCs w:val="16"/>
    </w:rPr>
  </w:style>
  <w:style w:type="paragraph" w:styleId="Komentrateksts">
    <w:name w:val="annotation text"/>
    <w:basedOn w:val="Parasts"/>
    <w:link w:val="KomentratekstsRakstz"/>
    <w:uiPriority w:val="99"/>
    <w:semiHidden/>
    <w:unhideWhenUsed/>
    <w:rsid w:val="006D0A6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D0A66"/>
    <w:rPr>
      <w:sz w:val="20"/>
      <w:szCs w:val="20"/>
    </w:rPr>
  </w:style>
  <w:style w:type="paragraph" w:styleId="Komentratma">
    <w:name w:val="annotation subject"/>
    <w:basedOn w:val="Komentrateksts"/>
    <w:next w:val="Komentrateksts"/>
    <w:link w:val="KomentratmaRakstz"/>
    <w:uiPriority w:val="99"/>
    <w:semiHidden/>
    <w:unhideWhenUsed/>
    <w:rsid w:val="006D0A66"/>
    <w:rPr>
      <w:b/>
      <w:bCs/>
    </w:rPr>
  </w:style>
  <w:style w:type="character" w:customStyle="1" w:styleId="KomentratmaRakstz">
    <w:name w:val="Komentāra tēma Rakstz."/>
    <w:basedOn w:val="KomentratekstsRakstz"/>
    <w:link w:val="Komentratma"/>
    <w:uiPriority w:val="99"/>
    <w:semiHidden/>
    <w:rsid w:val="006D0A66"/>
    <w:rPr>
      <w:b/>
      <w:bCs/>
      <w:sz w:val="20"/>
      <w:szCs w:val="20"/>
    </w:rPr>
  </w:style>
  <w:style w:type="character" w:styleId="Hipersaite">
    <w:name w:val="Hyperlink"/>
    <w:basedOn w:val="Noklusjumarindkopasfonts"/>
    <w:uiPriority w:val="99"/>
    <w:unhideWhenUsed/>
    <w:rsid w:val="00471086"/>
    <w:rPr>
      <w:color w:val="0563C1" w:themeColor="hyperlink"/>
      <w:u w:val="single"/>
    </w:rPr>
  </w:style>
  <w:style w:type="table" w:customStyle="1" w:styleId="Reatabula1">
    <w:name w:val="Režģa tabula1"/>
    <w:basedOn w:val="Parastatabula"/>
    <w:next w:val="Reatabula"/>
    <w:rsid w:val="00723573"/>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723573"/>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3541">
      <w:bodyDiv w:val="1"/>
      <w:marLeft w:val="0"/>
      <w:marRight w:val="0"/>
      <w:marTop w:val="0"/>
      <w:marBottom w:val="0"/>
      <w:divBdr>
        <w:top w:val="none" w:sz="0" w:space="0" w:color="auto"/>
        <w:left w:val="none" w:sz="0" w:space="0" w:color="auto"/>
        <w:bottom w:val="none" w:sz="0" w:space="0" w:color="auto"/>
        <w:right w:val="none" w:sz="0" w:space="0" w:color="auto"/>
      </w:divBdr>
    </w:div>
    <w:div w:id="411052329">
      <w:bodyDiv w:val="1"/>
      <w:marLeft w:val="0"/>
      <w:marRight w:val="0"/>
      <w:marTop w:val="0"/>
      <w:marBottom w:val="0"/>
      <w:divBdr>
        <w:top w:val="none" w:sz="0" w:space="0" w:color="auto"/>
        <w:left w:val="none" w:sz="0" w:space="0" w:color="auto"/>
        <w:bottom w:val="none" w:sz="0" w:space="0" w:color="auto"/>
        <w:right w:val="none" w:sz="0" w:space="0" w:color="auto"/>
      </w:divBdr>
    </w:div>
    <w:div w:id="412698641">
      <w:bodyDiv w:val="1"/>
      <w:marLeft w:val="0"/>
      <w:marRight w:val="0"/>
      <w:marTop w:val="0"/>
      <w:marBottom w:val="0"/>
      <w:divBdr>
        <w:top w:val="none" w:sz="0" w:space="0" w:color="auto"/>
        <w:left w:val="none" w:sz="0" w:space="0" w:color="auto"/>
        <w:bottom w:val="none" w:sz="0" w:space="0" w:color="auto"/>
        <w:right w:val="none" w:sz="0" w:space="0" w:color="auto"/>
      </w:divBdr>
    </w:div>
    <w:div w:id="107316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ja.tora@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m.gov.lv" TargetMode="Externa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06377-13D6-4386-8D26-E9D30D6A5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7502</Words>
  <Characters>4277</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biodrošības pasākumu kopumu medībās</vt:lpstr>
      <vt:lpstr>Noteikumi par biodrošības pasākumu kopumu medībās</vt:lpstr>
    </vt:vector>
  </TitlesOfParts>
  <Manager>Veterinārais un pārtikas departaments</Manager>
  <Company>Zemkopibas Ministrija</Company>
  <LinksUpToDate>false</LinksUpToDate>
  <CharactersWithSpaces>11756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17. aprīļa noteikumos Nr. 275 „Prasības tādu dzīvnieku izcelsmes blakusproduktu un atvasinātu produktu apritei, kas nav paredzēti cilvēku patēriņam””\</dc:title>
  <dc:subject>anotācija</dc:subject>
  <dc:creator>Aija Tora</dc:creator>
  <dc:description>Tora 67027620 _x000d_
Aija.tora@zm.gov.lv</dc:description>
  <cp:lastModifiedBy>Sanita Žagare</cp:lastModifiedBy>
  <cp:revision>4</cp:revision>
  <cp:lastPrinted>2017-03-31T05:54:00Z</cp:lastPrinted>
  <dcterms:created xsi:type="dcterms:W3CDTF">2018-05-07T12:48:00Z</dcterms:created>
  <dcterms:modified xsi:type="dcterms:W3CDTF">2018-05-08T06:46:00Z</dcterms:modified>
</cp:coreProperties>
</file>