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7B04B" w14:textId="77777777" w:rsidR="00BD5588" w:rsidRPr="001A5641" w:rsidRDefault="00BD5588" w:rsidP="00173648">
      <w:pPr>
        <w:pStyle w:val="Nosaukums"/>
        <w:jc w:val="both"/>
        <w:rPr>
          <w:sz w:val="24"/>
          <w:szCs w:val="24"/>
        </w:rPr>
      </w:pPr>
    </w:p>
    <w:p w14:paraId="392C6F89" w14:textId="6BE4C3F6" w:rsidR="00E3432C" w:rsidRPr="00AB5EDA" w:rsidRDefault="00E3432C" w:rsidP="00DF7BAE">
      <w:pPr>
        <w:shd w:val="clear" w:color="auto" w:fill="FFFFFF"/>
        <w:jc w:val="center"/>
        <w:rPr>
          <w:b/>
          <w:sz w:val="28"/>
          <w:szCs w:val="28"/>
        </w:rPr>
      </w:pPr>
      <w:r w:rsidRPr="00AB5EDA">
        <w:rPr>
          <w:b/>
          <w:sz w:val="28"/>
          <w:szCs w:val="28"/>
        </w:rPr>
        <w:t xml:space="preserve">Ministru kabineta noteikumu projekta “Grozījumi Ministru kabineta </w:t>
      </w:r>
    </w:p>
    <w:p w14:paraId="78BFAF10" w14:textId="77777777" w:rsidR="00E3432C" w:rsidRPr="00AB5EDA" w:rsidRDefault="00E3432C" w:rsidP="002F7479">
      <w:pPr>
        <w:shd w:val="clear" w:color="auto" w:fill="FFFFFF"/>
        <w:jc w:val="center"/>
        <w:rPr>
          <w:b/>
          <w:sz w:val="28"/>
          <w:szCs w:val="28"/>
        </w:rPr>
      </w:pPr>
      <w:r w:rsidRPr="00AB5EDA">
        <w:rPr>
          <w:b/>
          <w:sz w:val="28"/>
          <w:szCs w:val="28"/>
        </w:rPr>
        <w:t xml:space="preserve">2007. gada 26. jūnija noteikumos Nr.436 </w:t>
      </w:r>
    </w:p>
    <w:p w14:paraId="6CABDFE9" w14:textId="77777777" w:rsidR="001A5641" w:rsidRPr="00E3432C" w:rsidRDefault="00E3432C" w:rsidP="000F1125">
      <w:pPr>
        <w:shd w:val="clear" w:color="auto" w:fill="FFFFFF"/>
        <w:jc w:val="center"/>
        <w:rPr>
          <w:b/>
        </w:rPr>
      </w:pPr>
      <w:r w:rsidRPr="00AB5EDA">
        <w:rPr>
          <w:b/>
          <w:sz w:val="28"/>
          <w:szCs w:val="28"/>
        </w:rPr>
        <w:t>“Zāļu ievešanas un izvešanas kārtība””</w:t>
      </w:r>
      <w:r w:rsidR="008C71E5" w:rsidRPr="00AB5EDA">
        <w:rPr>
          <w:b/>
          <w:sz w:val="28"/>
          <w:szCs w:val="28"/>
        </w:rPr>
        <w:t xml:space="preserve"> </w:t>
      </w:r>
      <w:r w:rsidR="008C71E5" w:rsidRPr="00AB5EDA">
        <w:rPr>
          <w:b/>
          <w:bCs/>
          <w:sz w:val="28"/>
          <w:szCs w:val="28"/>
        </w:rPr>
        <w:t>sākotnējās ietekmes novērtējuma ziņojums (anotācija)</w:t>
      </w:r>
    </w:p>
    <w:p w14:paraId="18B9EB74" w14:textId="77777777" w:rsidR="00E3432C" w:rsidRPr="001A5641" w:rsidRDefault="00E3432C" w:rsidP="00173648">
      <w:pPr>
        <w:shd w:val="clear" w:color="auto" w:fill="FFFFFF"/>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447"/>
        <w:gridCol w:w="6181"/>
      </w:tblGrid>
      <w:tr w:rsidR="00BD5588" w:rsidRPr="001A5641" w14:paraId="6D86249F" w14:textId="77777777" w:rsidTr="00B60BAD">
        <w:trPr>
          <w:cantSplit/>
        </w:trPr>
        <w:tc>
          <w:tcPr>
            <w:tcW w:w="9581" w:type="dxa"/>
            <w:gridSpan w:val="2"/>
            <w:shd w:val="clear" w:color="auto" w:fill="FFFFFF"/>
            <w:vAlign w:val="center"/>
            <w:hideMark/>
          </w:tcPr>
          <w:p w14:paraId="2F8A73B8" w14:textId="77777777" w:rsidR="00BD5588" w:rsidRPr="001A5641" w:rsidRDefault="00BD5588" w:rsidP="00D35EC5">
            <w:pPr>
              <w:jc w:val="center"/>
              <w:rPr>
                <w:b/>
                <w:iCs/>
                <w:lang w:eastAsia="en-US"/>
              </w:rPr>
            </w:pPr>
            <w:r w:rsidRPr="001A5641">
              <w:rPr>
                <w:b/>
                <w:iCs/>
                <w:lang w:eastAsia="en-US"/>
              </w:rPr>
              <w:t>Tiesību akta projekta anotācijas kopsavilkums</w:t>
            </w:r>
          </w:p>
        </w:tc>
      </w:tr>
      <w:tr w:rsidR="00BD5588" w:rsidRPr="001A5641" w14:paraId="742F3AF8" w14:textId="77777777" w:rsidTr="00B60BAD">
        <w:trPr>
          <w:cantSplit/>
        </w:trPr>
        <w:tc>
          <w:tcPr>
            <w:tcW w:w="3430" w:type="dxa"/>
            <w:shd w:val="clear" w:color="auto" w:fill="FFFFFF"/>
            <w:hideMark/>
          </w:tcPr>
          <w:p w14:paraId="4E37CC3D" w14:textId="77777777" w:rsidR="00BD5588" w:rsidRPr="001A5641" w:rsidRDefault="00BD5588" w:rsidP="00D35EC5">
            <w:pPr>
              <w:rPr>
                <w:iCs/>
                <w:lang w:eastAsia="en-US"/>
              </w:rPr>
            </w:pPr>
            <w:r w:rsidRPr="001A5641">
              <w:rPr>
                <w:iCs/>
                <w:lang w:eastAsia="en-US"/>
              </w:rPr>
              <w:t>Mērķis, risinājums un projekta spēkā stāšanās laiks (500 zīmes bez atstarpēm)</w:t>
            </w:r>
          </w:p>
        </w:tc>
        <w:tc>
          <w:tcPr>
            <w:tcW w:w="6151" w:type="dxa"/>
            <w:shd w:val="clear" w:color="auto" w:fill="FFFFFF"/>
            <w:hideMark/>
          </w:tcPr>
          <w:p w14:paraId="39774D10" w14:textId="75694749" w:rsidR="001902C2" w:rsidRPr="004218E4" w:rsidRDefault="00F640D6" w:rsidP="00173648">
            <w:pPr>
              <w:shd w:val="clear" w:color="auto" w:fill="FFFFFF"/>
              <w:jc w:val="both"/>
            </w:pPr>
            <w:r w:rsidRPr="00F640D6">
              <w:t>Mini</w:t>
            </w:r>
            <w:r>
              <w:t>stru kabineta noteikumu projekts</w:t>
            </w:r>
            <w:r w:rsidRPr="00F640D6">
              <w:t xml:space="preserve"> “Grozījumi Ministru kabineta 2007. gada 26. jūnija noteikumos Nr.436 “Zāļu ievešanas un izvešanas kārtība””</w:t>
            </w:r>
            <w:r>
              <w:t xml:space="preserve"> (turpmāk – noteikumu projekts)</w:t>
            </w:r>
            <w:r w:rsidR="00D35EC5">
              <w:t xml:space="preserve"> </w:t>
            </w:r>
            <w:r w:rsidR="001902C2" w:rsidRPr="004218E4">
              <w:t>sagatavots, lai novērstu zāļu importa kontroles sistēmas sadrumstalotību un kontrolējošo iestāžu pienākumu pārklāšanos, kas zāļu kravas īpašniekiem rada nepamatotu administratīvo slogu, kā arī nodrošinātu kontrolējošo iestāžu kompetenci atbilstoši Eir</w:t>
            </w:r>
            <w:r w:rsidR="00881663">
              <w:t>opas Savienības normatīvajos ak</w:t>
            </w:r>
            <w:r w:rsidR="001902C2" w:rsidRPr="004218E4">
              <w:t>t</w:t>
            </w:r>
            <w:r w:rsidR="00881663">
              <w:t>o</w:t>
            </w:r>
            <w:r w:rsidR="001902C2" w:rsidRPr="004218E4">
              <w:t xml:space="preserve">s noteiktajam. </w:t>
            </w:r>
          </w:p>
          <w:p w14:paraId="21DBE6B8" w14:textId="46235AC0" w:rsidR="000A08D8" w:rsidRPr="004218E4" w:rsidRDefault="001902C2" w:rsidP="001902C2">
            <w:pPr>
              <w:jc w:val="both"/>
            </w:pPr>
            <w:r w:rsidRPr="004218E4">
              <w:t xml:space="preserve">Noteikumu projektā paredzēts svītrot Pārtikas un veterinārā dienesta kompetenci cilvēkiem paredzēto zāļu importa kontrolē un noteikt </w:t>
            </w:r>
            <w:r w:rsidR="000A08D8" w:rsidRPr="004218E4">
              <w:t>Valsts ieņēmumu dienesta Muitas pārvalde</w:t>
            </w:r>
            <w:r w:rsidRPr="004218E4">
              <w:t>s kompetenci</w:t>
            </w:r>
            <w:r w:rsidR="000A08D8" w:rsidRPr="004218E4">
              <w:t xml:space="preserve"> </w:t>
            </w:r>
            <w:r w:rsidRPr="004218E4">
              <w:t>veikt</w:t>
            </w:r>
            <w:r w:rsidR="000A08D8" w:rsidRPr="004218E4">
              <w:t xml:space="preserve"> cilvēkiem paredzēto zāļu kontroli pirms zāļu laišanas brīvā apgrozībā.</w:t>
            </w:r>
            <w:r w:rsidR="000A08D8" w:rsidRPr="004218E4">
              <w:rPr>
                <w:highlight w:val="yellow"/>
              </w:rPr>
              <w:t xml:space="preserve"> </w:t>
            </w:r>
          </w:p>
          <w:p w14:paraId="192D3CD0" w14:textId="1A95361A" w:rsidR="00164AEC" w:rsidRPr="00791ABE" w:rsidRDefault="00164AEC" w:rsidP="00173648">
            <w:pPr>
              <w:pStyle w:val="Bezatstarpm1"/>
              <w:shd w:val="clear" w:color="auto" w:fill="FFFFFF" w:themeFill="background1"/>
              <w:jc w:val="both"/>
              <w:rPr>
                <w:color w:val="FF0000"/>
                <w:lang w:val="lv-LV"/>
              </w:rPr>
            </w:pPr>
          </w:p>
          <w:p w14:paraId="6A95140E" w14:textId="7329E549" w:rsidR="00164AEC" w:rsidRPr="0029647A" w:rsidRDefault="000E59DA">
            <w:pPr>
              <w:jc w:val="both"/>
              <w:rPr>
                <w:iCs/>
                <w:lang w:eastAsia="en-US"/>
              </w:rPr>
            </w:pPr>
            <w:r>
              <w:rPr>
                <w:iCs/>
                <w:lang w:eastAsia="en-US"/>
              </w:rPr>
              <w:t>Paredzēt</w:t>
            </w:r>
            <w:r w:rsidR="00C24E19">
              <w:rPr>
                <w:iCs/>
                <w:lang w:eastAsia="en-US"/>
              </w:rPr>
              <w:t>s</w:t>
            </w:r>
            <w:r w:rsidR="008B2492">
              <w:rPr>
                <w:iCs/>
                <w:lang w:eastAsia="en-US"/>
              </w:rPr>
              <w:t>, ka prasības</w:t>
            </w:r>
            <w:r>
              <w:rPr>
                <w:iCs/>
                <w:lang w:eastAsia="en-US"/>
              </w:rPr>
              <w:t xml:space="preserve"> st</w:t>
            </w:r>
            <w:r w:rsidR="00164AEC">
              <w:rPr>
                <w:iCs/>
                <w:lang w:eastAsia="en-US"/>
              </w:rPr>
              <w:t>āsies</w:t>
            </w:r>
            <w:r>
              <w:rPr>
                <w:iCs/>
                <w:lang w:eastAsia="en-US"/>
              </w:rPr>
              <w:t xml:space="preserve"> spēkā 2019.</w:t>
            </w:r>
            <w:r w:rsidR="008B2492">
              <w:rPr>
                <w:iCs/>
                <w:lang w:eastAsia="en-US"/>
              </w:rPr>
              <w:t xml:space="preserve"> </w:t>
            </w:r>
            <w:r>
              <w:rPr>
                <w:iCs/>
                <w:lang w:eastAsia="en-US"/>
              </w:rPr>
              <w:t>gada 1.</w:t>
            </w:r>
            <w:r w:rsidR="008B2492">
              <w:rPr>
                <w:iCs/>
                <w:lang w:eastAsia="en-US"/>
              </w:rPr>
              <w:t xml:space="preserve"> </w:t>
            </w:r>
            <w:r>
              <w:rPr>
                <w:iCs/>
                <w:lang w:eastAsia="en-US"/>
              </w:rPr>
              <w:t>janvār</w:t>
            </w:r>
            <w:r w:rsidR="00F640D6">
              <w:rPr>
                <w:iCs/>
                <w:lang w:eastAsia="en-US"/>
              </w:rPr>
              <w:t>ī</w:t>
            </w:r>
            <w:r>
              <w:rPr>
                <w:iCs/>
                <w:lang w:eastAsia="en-US"/>
              </w:rPr>
              <w:t>.</w:t>
            </w:r>
          </w:p>
        </w:tc>
      </w:tr>
    </w:tbl>
    <w:p w14:paraId="52F62CC9" w14:textId="77777777" w:rsidR="00BD5588" w:rsidRPr="001A5641" w:rsidRDefault="00BD5588" w:rsidP="00173648">
      <w:pPr>
        <w:pStyle w:val="Nosaukums"/>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BD5588" w:rsidRPr="001A5641" w14:paraId="1172612E" w14:textId="77777777" w:rsidTr="00B60BAD">
        <w:trPr>
          <w:cantSplit/>
        </w:trPr>
        <w:tc>
          <w:tcPr>
            <w:tcW w:w="5000" w:type="pct"/>
            <w:gridSpan w:val="3"/>
            <w:vAlign w:val="center"/>
            <w:hideMark/>
          </w:tcPr>
          <w:p w14:paraId="4920FC0D" w14:textId="77777777" w:rsidR="00BD5588" w:rsidRPr="001A5641" w:rsidRDefault="00BD5588" w:rsidP="00D35EC5">
            <w:pPr>
              <w:jc w:val="center"/>
              <w:rPr>
                <w:b/>
                <w:bCs/>
              </w:rPr>
            </w:pPr>
            <w:r w:rsidRPr="001A5641">
              <w:rPr>
                <w:b/>
                <w:bCs/>
              </w:rPr>
              <w:t>I. Tiesību akta projekta izstrādes nepieciešamība</w:t>
            </w:r>
          </w:p>
        </w:tc>
      </w:tr>
      <w:tr w:rsidR="00BD5588" w:rsidRPr="001A5641" w14:paraId="55150012" w14:textId="77777777" w:rsidTr="00B60BAD">
        <w:trPr>
          <w:cantSplit/>
        </w:trPr>
        <w:tc>
          <w:tcPr>
            <w:tcW w:w="311" w:type="pct"/>
            <w:hideMark/>
          </w:tcPr>
          <w:p w14:paraId="6C06EF1C" w14:textId="77777777" w:rsidR="00BD5588" w:rsidRPr="001A5641" w:rsidRDefault="00BD5588" w:rsidP="00D35EC5">
            <w:pPr>
              <w:jc w:val="center"/>
            </w:pPr>
            <w:r w:rsidRPr="001A5641">
              <w:t>1.</w:t>
            </w:r>
          </w:p>
        </w:tc>
        <w:tc>
          <w:tcPr>
            <w:tcW w:w="1479" w:type="pct"/>
            <w:hideMark/>
          </w:tcPr>
          <w:p w14:paraId="610FF75C" w14:textId="77777777" w:rsidR="00BD5588" w:rsidRPr="001A5641" w:rsidRDefault="00BD5588" w:rsidP="00DF7BAE">
            <w:r w:rsidRPr="001A5641">
              <w:t>Pamatojums</w:t>
            </w:r>
          </w:p>
        </w:tc>
        <w:tc>
          <w:tcPr>
            <w:tcW w:w="3210" w:type="pct"/>
            <w:hideMark/>
          </w:tcPr>
          <w:p w14:paraId="3C917DBB" w14:textId="01B9C282" w:rsidR="0029647A" w:rsidRDefault="000D3DE0" w:rsidP="002F7479">
            <w:pPr>
              <w:jc w:val="both"/>
            </w:pPr>
            <w:r>
              <w:t>1</w:t>
            </w:r>
            <w:r w:rsidR="00CC6C62">
              <w:t>.</w:t>
            </w:r>
            <w:r>
              <w:t xml:space="preserve"> </w:t>
            </w:r>
            <w:r w:rsidRPr="008B7FAC">
              <w:t>Ministru kabineta 2016. gada 2. februāra sēdes protokola Nr.</w:t>
            </w:r>
            <w:r w:rsidR="00CC6C62">
              <w:t> </w:t>
            </w:r>
            <w:r w:rsidRPr="008B7FAC">
              <w:t xml:space="preserve">5 26. § “Noteikumu projekts "Grozījumi Ministru kabineta 2007. gada 26. jūnija noteikumos Nr. 436 "Zāļu ievešanas </w:t>
            </w:r>
            <w:r>
              <w:t>un izvešanas kārtība”” 3. punkts</w:t>
            </w:r>
            <w:r w:rsidRPr="008B7FAC">
              <w:t xml:space="preserve">, kas </w:t>
            </w:r>
            <w:r w:rsidR="00CC6C62">
              <w:t>uzdod</w:t>
            </w:r>
            <w:r w:rsidRPr="008B7FAC">
              <w:t xml:space="preserve"> Veselības ministrijai kopīgi ar Zemkopības ministriju un Finanšu ministriju izvērtēt nepieciešamību precizēt Ministru kabineta 2007. gada 26. jūnija noteikumus Nr. 436 "Zāļu ievešanas un izvešanas kārtība"</w:t>
            </w:r>
            <w:r w:rsidR="007D2F21">
              <w:t>,</w:t>
            </w:r>
            <w:r w:rsidRPr="008B7FAC">
              <w:t xml:space="preserve"> </w:t>
            </w:r>
            <w:r>
              <w:t xml:space="preserve">lai noteiktu iestādi, kas </w:t>
            </w:r>
            <w:r w:rsidR="007D2F21">
              <w:t xml:space="preserve">ir </w:t>
            </w:r>
            <w:r>
              <w:t>atbildīga par cilvēkiem paredzēto zāļu ievešanas jeb importa no trešajām valstīm kontroli.</w:t>
            </w:r>
          </w:p>
          <w:p w14:paraId="4511C08F" w14:textId="20186828" w:rsidR="00EE5ED2" w:rsidRPr="001A5641" w:rsidRDefault="000D3DE0">
            <w:pPr>
              <w:jc w:val="both"/>
            </w:pPr>
            <w:r>
              <w:t>2</w:t>
            </w:r>
            <w:r w:rsidR="00CC6C62">
              <w:t>.</w:t>
            </w:r>
            <w:r>
              <w:t xml:space="preserve"> </w:t>
            </w:r>
            <w:r w:rsidR="0029647A">
              <w:t xml:space="preserve">Ministru kabineta </w:t>
            </w:r>
            <w:r w:rsidR="00164AEC">
              <w:t>2017. gada</w:t>
            </w:r>
            <w:r w:rsidR="0029647A">
              <w:t xml:space="preserve"> </w:t>
            </w:r>
            <w:r w:rsidR="00164AEC">
              <w:t>28. augusta</w:t>
            </w:r>
            <w:r w:rsidR="0029647A">
              <w:t xml:space="preserve"> sēdes </w:t>
            </w:r>
            <w:r w:rsidR="00CC6C62">
              <w:t>protokola Nr</w:t>
            </w:r>
            <w:r w:rsidR="00CC6C62" w:rsidRPr="003102A2">
              <w:t>. 41</w:t>
            </w:r>
            <w:r w:rsidR="003102A2" w:rsidRPr="003102A2">
              <w:t xml:space="preserve"> 1.§</w:t>
            </w:r>
            <w:r w:rsidR="00173648">
              <w:t xml:space="preserve"> </w:t>
            </w:r>
            <w:r w:rsidR="003102A2">
              <w:t>“</w:t>
            </w:r>
            <w:r>
              <w:t>Informatīv</w:t>
            </w:r>
            <w:r w:rsidR="003102A2">
              <w:t>ais</w:t>
            </w:r>
            <w:r>
              <w:t xml:space="preserve"> ziņojum</w:t>
            </w:r>
            <w:r w:rsidR="003102A2">
              <w:t>s</w:t>
            </w:r>
            <w:r w:rsidR="0029647A">
              <w:t xml:space="preserve"> </w:t>
            </w:r>
            <w:r w:rsidR="003102A2">
              <w:t>“</w:t>
            </w:r>
            <w:r w:rsidR="0029647A">
              <w:t xml:space="preserve">Par valsts budžeta izdevumu pārskatīšanas 2018., 2019. un </w:t>
            </w:r>
            <w:r w:rsidR="00164AEC">
              <w:t>2020. gadam</w:t>
            </w:r>
            <w:r w:rsidR="0029647A">
              <w:t xml:space="preserve"> rezultātiem un priekšlikumi par šo rezultātu izmantošanu likumprojekta </w:t>
            </w:r>
            <w:r w:rsidR="003102A2">
              <w:t>“</w:t>
            </w:r>
            <w:r w:rsidR="0029647A">
              <w:t xml:space="preserve">Par vidēja termiņa budžeta ietvaru 2018., 2019. un </w:t>
            </w:r>
            <w:r w:rsidR="00164AEC">
              <w:t>2020. gadam</w:t>
            </w:r>
            <w:r w:rsidR="003102A2">
              <w:t>”</w:t>
            </w:r>
            <w:r w:rsidR="0029647A">
              <w:t xml:space="preserve"> un likumprojekta </w:t>
            </w:r>
            <w:r w:rsidR="003102A2">
              <w:t>”</w:t>
            </w:r>
            <w:r w:rsidR="0029647A">
              <w:t xml:space="preserve">Par valsts budžetu </w:t>
            </w:r>
            <w:r w:rsidR="00164AEC">
              <w:t>2018. gadam</w:t>
            </w:r>
            <w:r w:rsidR="003102A2">
              <w:t>”</w:t>
            </w:r>
            <w:r w:rsidR="0029647A">
              <w:t xml:space="preserve"> izstrādes procesā</w:t>
            </w:r>
            <w:r w:rsidR="003102A2">
              <w:t>”</w:t>
            </w:r>
            <w:r w:rsidR="0029647A">
              <w:t xml:space="preserve"> </w:t>
            </w:r>
            <w:r>
              <w:t>18. punkts, kurā noteikts, ka</w:t>
            </w:r>
            <w:r w:rsidR="0029647A">
              <w:t xml:space="preserve"> Zemkopības ministrijai sadarbībā ar Veselības ministriju un Finanšu ministriju (Valsts ieņēmumu dienestu), lai novērstu funkcijas dublēšanos attiecībā uz zāļu kontroli robežkontroles punktos, līdz 2017.</w:t>
            </w:r>
            <w:r w:rsidR="003102A2">
              <w:t> </w:t>
            </w:r>
            <w:r w:rsidR="0029647A">
              <w:t>gada 1.</w:t>
            </w:r>
            <w:r w:rsidR="003102A2">
              <w:t> </w:t>
            </w:r>
            <w:r w:rsidR="0029647A">
              <w:t xml:space="preserve">decembrim </w:t>
            </w:r>
            <w:r>
              <w:t>jāizvērtē</w:t>
            </w:r>
            <w:r w:rsidR="0029647A">
              <w:t xml:space="preserve"> iespējam</w:t>
            </w:r>
            <w:r w:rsidR="00BE7423">
              <w:t>ie</w:t>
            </w:r>
            <w:r w:rsidR="0029647A">
              <w:t xml:space="preserve"> risinājum</w:t>
            </w:r>
            <w:r w:rsidR="00BE7423">
              <w:t>i</w:t>
            </w:r>
            <w:r w:rsidR="0029647A">
              <w:t xml:space="preserve"> un </w:t>
            </w:r>
            <w:r>
              <w:t>jāiesniedz</w:t>
            </w:r>
            <w:r w:rsidR="0029647A">
              <w:t xml:space="preserve"> Ministru kabinetā priekšlikum</w:t>
            </w:r>
            <w:r w:rsidR="00BE7423">
              <w:t>i</w:t>
            </w:r>
            <w:r w:rsidR="0029647A">
              <w:t xml:space="preserve"> turpmākai rīcībai.</w:t>
            </w:r>
          </w:p>
        </w:tc>
      </w:tr>
      <w:tr w:rsidR="00CB5D9E" w:rsidRPr="001A5641" w14:paraId="587AA42A" w14:textId="77777777" w:rsidTr="00B60BAD">
        <w:trPr>
          <w:cantSplit/>
        </w:trPr>
        <w:tc>
          <w:tcPr>
            <w:tcW w:w="311" w:type="pct"/>
          </w:tcPr>
          <w:p w14:paraId="21B08F61" w14:textId="77777777" w:rsidR="00CB5D9E" w:rsidRPr="001A5641" w:rsidRDefault="00CB5D9E" w:rsidP="00D35EC5">
            <w:pPr>
              <w:jc w:val="center"/>
            </w:pPr>
            <w:r w:rsidRPr="001A5641">
              <w:t>2.</w:t>
            </w:r>
          </w:p>
        </w:tc>
        <w:tc>
          <w:tcPr>
            <w:tcW w:w="1479" w:type="pct"/>
          </w:tcPr>
          <w:p w14:paraId="0D7931BE" w14:textId="77777777" w:rsidR="00CB5D9E" w:rsidRPr="001A5641" w:rsidRDefault="00CB5D9E" w:rsidP="00DF7BAE">
            <w:r w:rsidRPr="001A5641">
              <w:t>Pašreizējā situācija un problēmas, kuru risināšanai tiesību akta projekts izstrādāts, tiesiskā regulējuma mērķis un būtība</w:t>
            </w:r>
          </w:p>
        </w:tc>
        <w:tc>
          <w:tcPr>
            <w:tcW w:w="3210" w:type="pct"/>
          </w:tcPr>
          <w:p w14:paraId="7D75EDA8" w14:textId="7402E44C" w:rsidR="00732F18" w:rsidRPr="000448B6" w:rsidRDefault="00732F18" w:rsidP="000F1125">
            <w:pPr>
              <w:jc w:val="both"/>
            </w:pPr>
            <w:r w:rsidRPr="001E0883">
              <w:t xml:space="preserve">Ministru kabineta 2007. gada 26. jūnija noteikumos Nr.436 “Zāļu ievešanas un izvešanas kārtība” (turpmāk – noteikumi Nr. 436) </w:t>
            </w:r>
            <w:r w:rsidR="00C215B2">
              <w:t>noteikta</w:t>
            </w:r>
            <w:r w:rsidRPr="001E0883">
              <w:t xml:space="preserve"> to iestāžu kompetence, kas veic</w:t>
            </w:r>
            <w:r w:rsidR="000A08D8">
              <w:t xml:space="preserve"> cilvēkiem paredzēto</w:t>
            </w:r>
            <w:r w:rsidRPr="001E0883">
              <w:t xml:space="preserve"> zāļu</w:t>
            </w:r>
            <w:r w:rsidR="00881663">
              <w:t xml:space="preserve"> (turpmāk – zāļu)</w:t>
            </w:r>
            <w:r w:rsidR="000A08D8">
              <w:t xml:space="preserve"> </w:t>
            </w:r>
            <w:r w:rsidR="00C215B2" w:rsidRPr="001E0883">
              <w:rPr>
                <w:iCs/>
                <w:lang w:eastAsia="en-US"/>
              </w:rPr>
              <w:t xml:space="preserve">ievešanas no trešajām valstīm (turpmāk – </w:t>
            </w:r>
            <w:r w:rsidR="00C215B2" w:rsidRPr="000448B6">
              <w:rPr>
                <w:iCs/>
                <w:lang w:eastAsia="en-US"/>
              </w:rPr>
              <w:t>imports)</w:t>
            </w:r>
            <w:r w:rsidRPr="000448B6">
              <w:t xml:space="preserve"> kontroli</w:t>
            </w:r>
            <w:r w:rsidR="00C215B2" w:rsidRPr="000448B6">
              <w:t xml:space="preserve">. </w:t>
            </w:r>
            <w:r w:rsidRPr="000448B6">
              <w:t xml:space="preserve"> </w:t>
            </w:r>
          </w:p>
          <w:p w14:paraId="5A4B6C66" w14:textId="059B497E" w:rsidR="000A08D8" w:rsidRPr="000448B6" w:rsidRDefault="00C215B2">
            <w:pPr>
              <w:jc w:val="both"/>
            </w:pPr>
            <w:r w:rsidRPr="000448B6">
              <w:t>Noteikumos Nr.436 noteiktā z</w:t>
            </w:r>
            <w:r w:rsidR="00732F18" w:rsidRPr="000448B6">
              <w:t>āļu kravu importa kontroles sistēma ir sadrumstalota</w:t>
            </w:r>
            <w:r w:rsidR="007D2F21">
              <w:t xml:space="preserve"> un</w:t>
            </w:r>
            <w:r w:rsidR="00732F18" w:rsidRPr="000448B6">
              <w:t xml:space="preserve"> pārklājas kontrolējošo iestāžu pienākumi</w:t>
            </w:r>
            <w:r w:rsidRPr="000448B6">
              <w:t xml:space="preserve">. </w:t>
            </w:r>
            <w:r w:rsidR="00881663">
              <w:t xml:space="preserve">Tādēļ </w:t>
            </w:r>
            <w:r w:rsidR="007D2F21">
              <w:t>jāizdara</w:t>
            </w:r>
            <w:r w:rsidR="00732F18" w:rsidRPr="000448B6">
              <w:t xml:space="preserve"> grozījum</w:t>
            </w:r>
            <w:r w:rsidR="007D2F21">
              <w:t>i</w:t>
            </w:r>
            <w:r w:rsidR="00732F18" w:rsidRPr="000448B6">
              <w:t xml:space="preserve"> </w:t>
            </w:r>
            <w:r w:rsidR="005D35F3" w:rsidRPr="000448B6">
              <w:t>n</w:t>
            </w:r>
            <w:r w:rsidR="00732F18" w:rsidRPr="000448B6">
              <w:t xml:space="preserve">oteikumos Nr.436, lai noteiktu skaidras un nepārprotamas tiesību normas, </w:t>
            </w:r>
            <w:r w:rsidRPr="000448B6">
              <w:t xml:space="preserve">tostarp </w:t>
            </w:r>
            <w:r w:rsidR="00732F18" w:rsidRPr="000448B6">
              <w:t xml:space="preserve">kontrolējošo </w:t>
            </w:r>
            <w:r w:rsidR="00732F18" w:rsidRPr="000448B6">
              <w:lastRenderedPageBreak/>
              <w:t>iestāžu kompetenc</w:t>
            </w:r>
            <w:r w:rsidR="007D2F21">
              <w:t>i</w:t>
            </w:r>
            <w:r w:rsidRPr="000448B6">
              <w:t xml:space="preserve"> atbilstoši E</w:t>
            </w:r>
            <w:r w:rsidR="00881663">
              <w:t>iropas Savienības tieši piem</w:t>
            </w:r>
            <w:r w:rsidR="00A46284">
              <w:t xml:space="preserve">ērojamos </w:t>
            </w:r>
            <w:r w:rsidRPr="000448B6">
              <w:t>normatīvajos ak</w:t>
            </w:r>
            <w:r w:rsidR="00732F18" w:rsidRPr="000448B6">
              <w:t>t</w:t>
            </w:r>
            <w:r w:rsidRPr="000448B6">
              <w:t>o</w:t>
            </w:r>
            <w:r w:rsidR="00732F18" w:rsidRPr="000448B6">
              <w:t xml:space="preserve">s noteiktajam, novērstu kontrolējošo iestāžu funkciju pārklāšanos un nepamatotu administratīvo slogu kravas īpašniekam. </w:t>
            </w:r>
          </w:p>
          <w:p w14:paraId="33720A93" w14:textId="77777777" w:rsidR="000A08D8" w:rsidRDefault="000A08D8">
            <w:pPr>
              <w:jc w:val="both"/>
              <w:rPr>
                <w:iCs/>
                <w:lang w:eastAsia="en-US"/>
              </w:rPr>
            </w:pPr>
          </w:p>
          <w:p w14:paraId="34A505DA" w14:textId="74CB834E" w:rsidR="00C853B7" w:rsidRPr="004218E4" w:rsidRDefault="00C215B2" w:rsidP="00C853B7">
            <w:pPr>
              <w:jc w:val="both"/>
            </w:pPr>
            <w:r w:rsidRPr="004218E4">
              <w:t xml:space="preserve">1. </w:t>
            </w:r>
            <w:r w:rsidR="00C853B7" w:rsidRPr="004218E4">
              <w:t>Saskaņā ar noteikumiem Nr.436, zāļu importa kontrolē patlaban ir iesaistītas trīs institūcijas – Pārtikas un veterinārais dienests (turpmāk – dienests), muitas iestāde un Veselības inspekcija (turpmāk – inspekcija)</w:t>
            </w:r>
            <w:r w:rsidR="001902C2" w:rsidRPr="004218E4">
              <w:t>.</w:t>
            </w:r>
          </w:p>
          <w:p w14:paraId="238F2C07" w14:textId="2239DDFF" w:rsidR="00C853B7" w:rsidRDefault="00C853B7">
            <w:pPr>
              <w:jc w:val="both"/>
            </w:pPr>
            <w:r w:rsidRPr="004218E4">
              <w:t xml:space="preserve">Noteikumu </w:t>
            </w:r>
            <w:r w:rsidR="007D2F21">
              <w:t>N</w:t>
            </w:r>
            <w:r w:rsidRPr="004218E4">
              <w:t>r. 436 5.punktā noteikts, ka Muitas iestāde kontrolē zāļu importu saskaņā ar Muitas likumu.</w:t>
            </w:r>
            <w:r w:rsidR="00881663">
              <w:t xml:space="preserve"> </w:t>
            </w:r>
            <w:r w:rsidR="007D2F21">
              <w:t>Tā kā</w:t>
            </w:r>
            <w:r w:rsidRPr="004218E4">
              <w:t xml:space="preserve"> ir stājusies spēkā Eiropas Parlamenta un Padomes 2013. gada 9. oktobra Regula Nr. 952/2013, ar ko izveido Savienības Muitas kodeksu (turpmāk – Muitas kodekss)</w:t>
            </w:r>
            <w:r w:rsidR="0075306E">
              <w:t>, kā ar</w:t>
            </w:r>
            <w:r w:rsidR="00881663">
              <w:t xml:space="preserve">ī </w:t>
            </w:r>
            <w:r w:rsidR="0075306E" w:rsidRPr="0075306E">
              <w:t>2017. gada 1.  janvārī</w:t>
            </w:r>
            <w:r w:rsidR="0075306E">
              <w:t xml:space="preserve"> ir stājies spēka jauns Muitas likums</w:t>
            </w:r>
            <w:r w:rsidRPr="004218E4">
              <w:t xml:space="preserve">, </w:t>
            </w:r>
            <w:r w:rsidRPr="004218E4">
              <w:rPr>
                <w:u w:val="single"/>
              </w:rPr>
              <w:t>jāpapildina muitas iestādes kompetence kontrolēt zāļu importu saskaņā ar Muitas kodeksu</w:t>
            </w:r>
            <w:r w:rsidR="00881663" w:rsidRPr="00881663">
              <w:t xml:space="preserve">. </w:t>
            </w:r>
            <w:r w:rsidRPr="004218E4">
              <w:t>Muitas iestāde saskaņā ar Muitas kodeksa 134. pantu nodrošina preču, tostarp</w:t>
            </w:r>
            <w:r w:rsidRPr="000D3DE0">
              <w:t xml:space="preserve"> zāļu, muitas uzraudzību no to ievešanas brīža </w:t>
            </w:r>
            <w:r>
              <w:t>ES</w:t>
            </w:r>
            <w:r w:rsidRPr="000D3DE0">
              <w:t xml:space="preserve"> muitas teritorijā. </w:t>
            </w:r>
            <w:r>
              <w:t>Muitas iestāde k</w:t>
            </w:r>
            <w:r w:rsidRPr="000D3DE0">
              <w:t xml:space="preserve">ontrolē zāļu kravas, kas paredzētas laišanai brīvā apgrozībā ES teritorijā, kā arī zāļu kravu izvešanu no </w:t>
            </w:r>
            <w:r>
              <w:t>ES</w:t>
            </w:r>
            <w:r w:rsidRPr="000D3DE0">
              <w:t xml:space="preserve"> muitas teritorijas</w:t>
            </w:r>
            <w:r>
              <w:t xml:space="preserve"> (turpmāk – eksports)</w:t>
            </w:r>
            <w:r w:rsidRPr="000D3DE0">
              <w:t>.</w:t>
            </w:r>
          </w:p>
          <w:p w14:paraId="6FC1CD57" w14:textId="7D1C8ABC" w:rsidR="00E51813" w:rsidRPr="004218E4" w:rsidRDefault="00C215B2">
            <w:pPr>
              <w:jc w:val="both"/>
            </w:pPr>
            <w:r w:rsidRPr="004218E4">
              <w:t xml:space="preserve">Noteikumu Nr. 436 6.punktā noteikts, ka dienests uz valsts ārējās robežas </w:t>
            </w:r>
            <w:r w:rsidRPr="00881663">
              <w:t>kontrolē cilvēkiem paredzēto</w:t>
            </w:r>
            <w:r w:rsidRPr="004218E4">
              <w:t xml:space="preserve"> zāļu atbilstību normatīvo aktu prasībām, lai gan atbilstoši </w:t>
            </w:r>
            <w:r w:rsidR="00732F18" w:rsidRPr="004218E4">
              <w:t>Farmācijas likum</w:t>
            </w:r>
            <w:r w:rsidRPr="004218E4">
              <w:t>ā noteiktajam</w:t>
            </w:r>
            <w:r w:rsidR="00732F18" w:rsidRPr="004218E4">
              <w:t xml:space="preserve"> </w:t>
            </w:r>
            <w:r w:rsidR="00732F18" w:rsidRPr="004218E4">
              <w:rPr>
                <w:u w:val="single"/>
              </w:rPr>
              <w:t>d</w:t>
            </w:r>
            <w:r w:rsidR="00742B16" w:rsidRPr="004218E4">
              <w:rPr>
                <w:u w:val="single"/>
              </w:rPr>
              <w:t>ien</w:t>
            </w:r>
            <w:r w:rsidR="00732F18" w:rsidRPr="004218E4">
              <w:rPr>
                <w:u w:val="single"/>
              </w:rPr>
              <w:t xml:space="preserve">ests </w:t>
            </w:r>
            <w:r w:rsidR="001902C2" w:rsidRPr="004218E4">
              <w:rPr>
                <w:u w:val="single"/>
              </w:rPr>
              <w:t>ir kompetents uzraudzīt</w:t>
            </w:r>
            <w:r w:rsidR="00167F01" w:rsidRPr="004218E4">
              <w:rPr>
                <w:u w:val="single"/>
              </w:rPr>
              <w:t xml:space="preserve"> un kontrolē</w:t>
            </w:r>
            <w:r w:rsidR="001902C2" w:rsidRPr="004218E4">
              <w:rPr>
                <w:u w:val="single"/>
              </w:rPr>
              <w:t>t</w:t>
            </w:r>
            <w:r w:rsidR="00167F01" w:rsidRPr="004218E4">
              <w:t xml:space="preserve"> </w:t>
            </w:r>
            <w:r w:rsidR="00167F01" w:rsidRPr="004218E4">
              <w:rPr>
                <w:u w:val="single"/>
              </w:rPr>
              <w:t>veterināro zāļu ražošanu un izplatīšanu</w:t>
            </w:r>
            <w:r w:rsidR="00742B16" w:rsidRPr="004218E4">
              <w:t xml:space="preserve">. </w:t>
            </w:r>
          </w:p>
          <w:p w14:paraId="1CB9E505" w14:textId="5607775A" w:rsidR="0014278A" w:rsidRDefault="00C853B7">
            <w:pPr>
              <w:jc w:val="both"/>
            </w:pPr>
            <w:r w:rsidRPr="004218E4">
              <w:t>Noteikumos Nr.436 noteiktā inspekcijas kompetence zāļu importa kontrolē nemainās.</w:t>
            </w:r>
            <w:r w:rsidR="00775377" w:rsidRPr="004218E4">
              <w:t xml:space="preserve"> </w:t>
            </w:r>
            <w:r w:rsidR="00775377" w:rsidRPr="001902C2">
              <w:t>Saskaņā ar noteikum</w:t>
            </w:r>
            <w:r w:rsidR="00F34A5A" w:rsidRPr="001902C2">
              <w:t>os</w:t>
            </w:r>
            <w:r w:rsidR="00775377" w:rsidRPr="001902C2">
              <w:t xml:space="preserve"> Nr.</w:t>
            </w:r>
            <w:r w:rsidR="00F34A5A" w:rsidRPr="001902C2">
              <w:t> </w:t>
            </w:r>
            <w:r w:rsidR="00775377" w:rsidRPr="001902C2">
              <w:t>436</w:t>
            </w:r>
            <w:r w:rsidR="00F34A5A" w:rsidRPr="001902C2">
              <w:t xml:space="preserve"> noteikto</w:t>
            </w:r>
            <w:r w:rsidR="00775377" w:rsidRPr="001902C2">
              <w:t xml:space="preserve"> inspekcija pēc dienesta pieprasījuma veic zāļu importa kontroli un pieņem lēmumu par zāļu kravas importa apturēšanu, aizliegšanu vai atļauju veikt importu. </w:t>
            </w:r>
            <w:r w:rsidR="00F741ED" w:rsidRPr="001902C2">
              <w:t>Inspekcija i</w:t>
            </w:r>
            <w:r w:rsidR="00775377" w:rsidRPr="001902C2">
              <w:t>r tiesīga veikt zāļu kontroli muitas noliktavās.</w:t>
            </w:r>
          </w:p>
          <w:p w14:paraId="7EDBBE34" w14:textId="77777777" w:rsidR="001902C2" w:rsidRPr="001902C2" w:rsidRDefault="001902C2">
            <w:pPr>
              <w:jc w:val="both"/>
            </w:pPr>
          </w:p>
          <w:p w14:paraId="2293BD05" w14:textId="7C37D75A" w:rsidR="002A4111" w:rsidRPr="001E0883" w:rsidRDefault="007D2F21" w:rsidP="00D84A70">
            <w:pPr>
              <w:keepNext/>
              <w:contextualSpacing/>
              <w:jc w:val="both"/>
              <w:rPr>
                <w:shd w:val="clear" w:color="auto" w:fill="FFFFFF"/>
              </w:rPr>
            </w:pPr>
            <w:r>
              <w:t>1</w:t>
            </w:r>
            <w:r w:rsidR="00F26B1A">
              <w:t xml:space="preserve">) </w:t>
            </w:r>
            <w:r w:rsidR="001902C2">
              <w:t>Pašlaik</w:t>
            </w:r>
            <w:r>
              <w:t>,</w:t>
            </w:r>
            <w:r w:rsidR="001902C2">
              <w:t xml:space="preserve"> š</w:t>
            </w:r>
            <w:r w:rsidR="000135FE" w:rsidRPr="001E0883">
              <w:t xml:space="preserve">ķērsojot valsts ārējo robežu, </w:t>
            </w:r>
            <w:r w:rsidR="001902C2">
              <w:t xml:space="preserve">zāļu </w:t>
            </w:r>
            <w:r w:rsidR="000135FE" w:rsidRPr="001E0883">
              <w:t xml:space="preserve">kravas </w:t>
            </w:r>
            <w:r w:rsidR="001902C2">
              <w:t>īpašnieks</w:t>
            </w:r>
            <w:r w:rsidR="003F51EF" w:rsidRPr="001E0883">
              <w:t xml:space="preserve"> visas zāļu kravas</w:t>
            </w:r>
            <w:r w:rsidR="000135FE" w:rsidRPr="001E0883">
              <w:t xml:space="preserve"> </w:t>
            </w:r>
            <w:r w:rsidR="00014691" w:rsidRPr="001E0883">
              <w:t xml:space="preserve">uzrāda </w:t>
            </w:r>
            <w:r w:rsidR="004021B4" w:rsidRPr="001E0883">
              <w:t xml:space="preserve">dienesta </w:t>
            </w:r>
            <w:r w:rsidR="000135FE" w:rsidRPr="001E0883">
              <w:t>kontrolei</w:t>
            </w:r>
            <w:r w:rsidR="003F51EF" w:rsidRPr="001E0883">
              <w:t xml:space="preserve"> neatkarīgi no tā</w:t>
            </w:r>
            <w:r w:rsidR="000135FE" w:rsidRPr="001E0883">
              <w:t>, vai</w:t>
            </w:r>
            <w:r w:rsidR="003F51EF" w:rsidRPr="001E0883">
              <w:t xml:space="preserve"> </w:t>
            </w:r>
            <w:r w:rsidR="0075306E">
              <w:t>kravām pēc tam</w:t>
            </w:r>
            <w:r w:rsidR="003F51EF" w:rsidRPr="001E0883">
              <w:t xml:space="preserve"> paredzēts</w:t>
            </w:r>
            <w:r w:rsidR="0075306E">
              <w:t xml:space="preserve"> piemērot muitas procedūru – laišana brīvā apgrozībā, vai citas procedūras, piemēram, </w:t>
            </w:r>
            <w:r w:rsidR="000135FE" w:rsidRPr="001E0883">
              <w:t>uzglabā</w:t>
            </w:r>
            <w:r w:rsidR="00BC108F">
              <w:t>šana</w:t>
            </w:r>
            <w:r w:rsidR="000135FE" w:rsidRPr="001E0883">
              <w:t xml:space="preserve"> muitas noliktavā</w:t>
            </w:r>
            <w:r w:rsidR="00BC108F">
              <w:t xml:space="preserve"> vai eksports</w:t>
            </w:r>
            <w:r w:rsidR="003F51EF" w:rsidRPr="001E0883">
              <w:t xml:space="preserve">. </w:t>
            </w:r>
            <w:r w:rsidR="000135FE" w:rsidRPr="001E0883">
              <w:t xml:space="preserve">Tādejādi </w:t>
            </w:r>
            <w:r>
              <w:t>katra</w:t>
            </w:r>
            <w:r w:rsidR="004A7A2D" w:rsidRPr="001E0883">
              <w:t xml:space="preserve"> krava (izņemot tranzītu) neatkarīgi no tālākās rīcības</w:t>
            </w:r>
            <w:r w:rsidR="00525E93" w:rsidRPr="001E0883">
              <w:t xml:space="preserve"> ar to</w:t>
            </w:r>
            <w:r w:rsidR="004A7A2D" w:rsidRPr="001E0883">
              <w:t xml:space="preserve"> tiek pakļauta </w:t>
            </w:r>
            <w:r w:rsidR="004021B4">
              <w:t>dienesta</w:t>
            </w:r>
            <w:r w:rsidR="00A669BE">
              <w:t xml:space="preserve"> kontrolei, kas neatbilst </w:t>
            </w:r>
            <w:r w:rsidR="00167F01" w:rsidRPr="00540838">
              <w:t>Eiropas Parlamenta un Padomes 2008. gada 9. jūlija Regula</w:t>
            </w:r>
            <w:r w:rsidR="00167F01">
              <w:t>s</w:t>
            </w:r>
            <w:r w:rsidR="00167F01" w:rsidRPr="00540838">
              <w:t xml:space="preserve"> (EK) Nr. </w:t>
            </w:r>
            <w:hyperlink r:id="rId8" w:tgtFrame="_blank" w:history="1">
              <w:r w:rsidR="00167F01" w:rsidRPr="00540838">
                <w:t>765/2008</w:t>
              </w:r>
            </w:hyperlink>
            <w:r w:rsidR="00167F01" w:rsidRPr="00540838">
              <w:t>, ar ko nosaka akreditācijas un tirgus uzraudzības prasības attiecībā uz produktu ti</w:t>
            </w:r>
            <w:r w:rsidR="00167F01">
              <w:t xml:space="preserve">rdzniecību un atceļ Regulu </w:t>
            </w:r>
            <w:r w:rsidR="00167F01" w:rsidRPr="00540838">
              <w:t xml:space="preserve">Nr. </w:t>
            </w:r>
            <w:hyperlink r:id="rId9" w:tgtFrame="_blank" w:history="1">
              <w:r w:rsidR="00167F01" w:rsidRPr="00540838">
                <w:t>339/93</w:t>
              </w:r>
            </w:hyperlink>
            <w:r w:rsidR="00167F01" w:rsidRPr="00540838">
              <w:t xml:space="preserve"> </w:t>
            </w:r>
            <w:proofErr w:type="gramStart"/>
            <w:r w:rsidR="00167F01" w:rsidRPr="00540838">
              <w:t>(</w:t>
            </w:r>
            <w:proofErr w:type="gramEnd"/>
            <w:r w:rsidR="00167F01" w:rsidRPr="00540838">
              <w:t>turpmāk</w:t>
            </w:r>
            <w:r>
              <w:rPr>
                <w:rFonts w:eastAsia="MS Gothic" w:hint="eastAsia"/>
              </w:rPr>
              <w:t> </w:t>
            </w:r>
            <w:r>
              <w:t>–</w:t>
            </w:r>
            <w:r w:rsidR="00167F01">
              <w:t xml:space="preserve"> R</w:t>
            </w:r>
            <w:r w:rsidR="00167F01" w:rsidRPr="00540838">
              <w:t xml:space="preserve">egula Nr. </w:t>
            </w:r>
            <w:hyperlink r:id="rId10" w:tgtFrame="_blank" w:history="1">
              <w:r w:rsidR="00167F01" w:rsidRPr="00540838">
                <w:t>765/2008</w:t>
              </w:r>
            </w:hyperlink>
            <w:r w:rsidR="00167F01" w:rsidRPr="00540838">
              <w:t>)</w:t>
            </w:r>
            <w:r w:rsidR="00167F01">
              <w:t xml:space="preserve"> </w:t>
            </w:r>
            <w:r w:rsidR="00A669BE">
              <w:t>27. pantā noteiktajam, ka zāļu</w:t>
            </w:r>
            <w:r w:rsidR="00412F08">
              <w:t xml:space="preserve"> importa kontrole ir jāveic tikai</w:t>
            </w:r>
            <w:r w:rsidR="00A669BE">
              <w:t xml:space="preserve"> pirms to laišanas</w:t>
            </w:r>
            <w:r w:rsidR="00412F08">
              <w:t xml:space="preserve"> brīvā </w:t>
            </w:r>
            <w:r w:rsidR="00412F08" w:rsidRPr="001E0883">
              <w:t>apgrozībā.</w:t>
            </w:r>
            <w:r w:rsidR="00525E93" w:rsidRPr="001E0883">
              <w:t xml:space="preserve"> </w:t>
            </w:r>
            <w:r w:rsidR="002A4111" w:rsidRPr="001E0883">
              <w:rPr>
                <w:shd w:val="clear" w:color="auto" w:fill="FFFFFF"/>
              </w:rPr>
              <w:t>Tād</w:t>
            </w:r>
            <w:r>
              <w:rPr>
                <w:shd w:val="clear" w:color="auto" w:fill="FFFFFF"/>
              </w:rPr>
              <w:t>ē</w:t>
            </w:r>
            <w:r w:rsidR="002A4111" w:rsidRPr="001E0883">
              <w:rPr>
                <w:shd w:val="clear" w:color="auto" w:fill="FFFFFF"/>
              </w:rPr>
              <w:t>jādi virkne zāļu kravu</w:t>
            </w:r>
            <w:r w:rsidR="00BC108F">
              <w:rPr>
                <w:shd w:val="clear" w:color="auto" w:fill="FFFFFF"/>
              </w:rPr>
              <w:t xml:space="preserve"> tiek </w:t>
            </w:r>
            <w:r w:rsidR="002A4111" w:rsidRPr="001E0883">
              <w:rPr>
                <w:shd w:val="clear" w:color="auto" w:fill="FFFFFF"/>
              </w:rPr>
              <w:t>novirzītas dienesta kontrolēm, radot nepamatotu administratīvo slogu krav</w:t>
            </w:r>
            <w:r w:rsidR="00B5147E">
              <w:rPr>
                <w:shd w:val="clear" w:color="auto" w:fill="FFFFFF"/>
              </w:rPr>
              <w:t>u</w:t>
            </w:r>
            <w:r w:rsidR="002A4111" w:rsidRPr="001E0883">
              <w:rPr>
                <w:shd w:val="clear" w:color="auto" w:fill="FFFFFF"/>
              </w:rPr>
              <w:t xml:space="preserve"> īpašniek</w:t>
            </w:r>
            <w:r w:rsidR="00B5147E">
              <w:rPr>
                <w:shd w:val="clear" w:color="auto" w:fill="FFFFFF"/>
              </w:rPr>
              <w:t>iem</w:t>
            </w:r>
            <w:r w:rsidR="002A4111" w:rsidRPr="001E0883">
              <w:rPr>
                <w:shd w:val="clear" w:color="auto" w:fill="FFFFFF"/>
              </w:rPr>
              <w:t>.</w:t>
            </w:r>
          </w:p>
          <w:p w14:paraId="042D3CB3" w14:textId="3856EE01" w:rsidR="003F51EF" w:rsidRPr="002E218A" w:rsidRDefault="003F51EF">
            <w:pPr>
              <w:keepNext/>
              <w:contextualSpacing/>
              <w:jc w:val="both"/>
              <w:rPr>
                <w:shd w:val="clear" w:color="auto" w:fill="FFFFFF"/>
              </w:rPr>
            </w:pPr>
            <w:r w:rsidRPr="001E0883">
              <w:rPr>
                <w:shd w:val="clear" w:color="auto" w:fill="FFFFFF"/>
              </w:rPr>
              <w:t>Dati par 2015.</w:t>
            </w:r>
            <w:r w:rsidR="007D2F21">
              <w:rPr>
                <w:shd w:val="clear" w:color="auto" w:fill="FFFFFF"/>
              </w:rPr>
              <w:t>–</w:t>
            </w:r>
            <w:r w:rsidRPr="001E0883">
              <w:rPr>
                <w:shd w:val="clear" w:color="auto" w:fill="FFFFFF"/>
              </w:rPr>
              <w:t>2017. gadu liecina, ka</w:t>
            </w:r>
            <w:r w:rsidR="00B26734">
              <w:rPr>
                <w:shd w:val="clear" w:color="auto" w:fill="FFFFFF"/>
              </w:rPr>
              <w:t xml:space="preserve"> </w:t>
            </w:r>
            <w:r w:rsidRPr="002E218A">
              <w:rPr>
                <w:shd w:val="clear" w:color="auto" w:fill="FFFFFF"/>
              </w:rPr>
              <w:t>2015.</w:t>
            </w:r>
            <w:r>
              <w:rPr>
                <w:shd w:val="clear" w:color="auto" w:fill="FFFFFF"/>
              </w:rPr>
              <w:t xml:space="preserve"> </w:t>
            </w:r>
            <w:r w:rsidRPr="002E218A">
              <w:rPr>
                <w:shd w:val="clear" w:color="auto" w:fill="FFFFFF"/>
              </w:rPr>
              <w:t xml:space="preserve">gadā </w:t>
            </w:r>
            <w:r w:rsidR="004021B4">
              <w:t xml:space="preserve">dienesta </w:t>
            </w:r>
            <w:r w:rsidRPr="002E218A">
              <w:rPr>
                <w:shd w:val="clear" w:color="auto" w:fill="FFFFFF"/>
              </w:rPr>
              <w:t>kontrolei uzrādīt</w:t>
            </w:r>
            <w:r w:rsidR="00B26734">
              <w:rPr>
                <w:shd w:val="clear" w:color="auto" w:fill="FFFFFF"/>
              </w:rPr>
              <w:t>a</w:t>
            </w:r>
            <w:r w:rsidRPr="002E218A">
              <w:rPr>
                <w:shd w:val="clear" w:color="auto" w:fill="FFFFFF"/>
              </w:rPr>
              <w:t>s 100 zāļu krav</w:t>
            </w:r>
            <w:r w:rsidR="00B26734">
              <w:rPr>
                <w:shd w:val="clear" w:color="auto" w:fill="FFFFFF"/>
              </w:rPr>
              <w:t>as</w:t>
            </w:r>
            <w:r w:rsidRPr="002E218A">
              <w:rPr>
                <w:shd w:val="clear" w:color="auto" w:fill="FFFFFF"/>
              </w:rPr>
              <w:t>,</w:t>
            </w:r>
            <w:r w:rsidR="00B26734">
              <w:rPr>
                <w:shd w:val="clear" w:color="auto" w:fill="FFFFFF"/>
              </w:rPr>
              <w:t xml:space="preserve"> </w:t>
            </w:r>
            <w:r w:rsidRPr="002E218A">
              <w:rPr>
                <w:shd w:val="clear" w:color="auto" w:fill="FFFFFF"/>
              </w:rPr>
              <w:t>2016.</w:t>
            </w:r>
            <w:r>
              <w:rPr>
                <w:shd w:val="clear" w:color="auto" w:fill="FFFFFF"/>
              </w:rPr>
              <w:t xml:space="preserve"> </w:t>
            </w:r>
            <w:r w:rsidRPr="002E218A">
              <w:rPr>
                <w:shd w:val="clear" w:color="auto" w:fill="FFFFFF"/>
              </w:rPr>
              <w:t>gadā – 132</w:t>
            </w:r>
            <w:r>
              <w:rPr>
                <w:shd w:val="clear" w:color="auto" w:fill="FFFFFF"/>
              </w:rPr>
              <w:t xml:space="preserve"> kravas</w:t>
            </w:r>
            <w:r w:rsidRPr="002E218A">
              <w:rPr>
                <w:shd w:val="clear" w:color="auto" w:fill="FFFFFF"/>
              </w:rPr>
              <w:t>, 2017.</w:t>
            </w:r>
            <w:r>
              <w:rPr>
                <w:shd w:val="clear" w:color="auto" w:fill="FFFFFF"/>
              </w:rPr>
              <w:t xml:space="preserve"> </w:t>
            </w:r>
            <w:r w:rsidRPr="002E218A">
              <w:rPr>
                <w:shd w:val="clear" w:color="auto" w:fill="FFFFFF"/>
              </w:rPr>
              <w:t>gadā – 108 zāļu kravas.</w:t>
            </w:r>
          </w:p>
          <w:p w14:paraId="567E6190" w14:textId="0EAFB138" w:rsidR="002A4111" w:rsidRPr="001E0883" w:rsidRDefault="004A7A2D">
            <w:pPr>
              <w:keepNext/>
              <w:contextualSpacing/>
              <w:jc w:val="both"/>
            </w:pPr>
            <w:r>
              <w:rPr>
                <w:shd w:val="clear" w:color="auto" w:fill="FFFFFF"/>
              </w:rPr>
              <w:t xml:space="preserve">No tām </w:t>
            </w:r>
            <w:r w:rsidR="004021B4">
              <w:t>dienests</w:t>
            </w:r>
            <w:r w:rsidR="003F51EF">
              <w:rPr>
                <w:shd w:val="clear" w:color="auto" w:fill="FFFFFF"/>
              </w:rPr>
              <w:t xml:space="preserve"> uz muitas noliktavām </w:t>
            </w:r>
            <w:r w:rsidR="00412F08">
              <w:rPr>
                <w:shd w:val="clear" w:color="auto" w:fill="FFFFFF"/>
              </w:rPr>
              <w:t xml:space="preserve">tālākai inspekcijas kontrolei </w:t>
            </w:r>
            <w:r w:rsidR="003F51EF">
              <w:rPr>
                <w:shd w:val="clear" w:color="auto" w:fill="FFFFFF"/>
              </w:rPr>
              <w:t>novirz</w:t>
            </w:r>
            <w:r>
              <w:rPr>
                <w:shd w:val="clear" w:color="auto" w:fill="FFFFFF"/>
              </w:rPr>
              <w:t>a</w:t>
            </w:r>
            <w:r w:rsidR="003F51EF" w:rsidRPr="002E218A">
              <w:rPr>
                <w:shd w:val="clear" w:color="auto" w:fill="FFFFFF"/>
              </w:rPr>
              <w:t xml:space="preserve"> </w:t>
            </w:r>
            <w:r w:rsidR="002A4111">
              <w:rPr>
                <w:shd w:val="clear" w:color="auto" w:fill="FFFFFF"/>
              </w:rPr>
              <w:t xml:space="preserve">vidēji </w:t>
            </w:r>
            <w:r w:rsidR="003F51EF" w:rsidRPr="002E218A">
              <w:rPr>
                <w:shd w:val="clear" w:color="auto" w:fill="FFFFFF"/>
              </w:rPr>
              <w:t>30</w:t>
            </w:r>
            <w:r w:rsidR="002A4111">
              <w:rPr>
                <w:shd w:val="clear" w:color="auto" w:fill="FFFFFF"/>
              </w:rPr>
              <w:t xml:space="preserve">% </w:t>
            </w:r>
            <w:r w:rsidR="003F51EF" w:rsidRPr="002E218A">
              <w:rPr>
                <w:shd w:val="clear" w:color="auto" w:fill="FFFFFF"/>
              </w:rPr>
              <w:t>zāļu krav</w:t>
            </w:r>
            <w:r w:rsidR="007D2F21">
              <w:rPr>
                <w:shd w:val="clear" w:color="auto" w:fill="FFFFFF"/>
              </w:rPr>
              <w:t>u</w:t>
            </w:r>
            <w:r w:rsidR="003F51EF">
              <w:rPr>
                <w:shd w:val="clear" w:color="auto" w:fill="FFFFFF"/>
              </w:rPr>
              <w:t xml:space="preserve">. Iemesls </w:t>
            </w:r>
            <w:r w:rsidR="00B26734">
              <w:rPr>
                <w:shd w:val="clear" w:color="auto" w:fill="FFFFFF"/>
              </w:rPr>
              <w:t>–</w:t>
            </w:r>
            <w:r w:rsidR="003F51EF">
              <w:rPr>
                <w:shd w:val="clear" w:color="auto" w:fill="FFFFFF"/>
              </w:rPr>
              <w:t xml:space="preserve"> </w:t>
            </w:r>
            <w:r w:rsidR="004021B4">
              <w:t>dienesta</w:t>
            </w:r>
            <w:r w:rsidR="003F51EF">
              <w:rPr>
                <w:shd w:val="clear" w:color="auto" w:fill="FFFFFF"/>
              </w:rPr>
              <w:t xml:space="preserve"> </w:t>
            </w:r>
            <w:r w:rsidR="004021B4">
              <w:rPr>
                <w:shd w:val="clear" w:color="auto" w:fill="FFFFFF"/>
              </w:rPr>
              <w:t xml:space="preserve">amatpersona </w:t>
            </w:r>
            <w:r w:rsidR="003F51EF">
              <w:rPr>
                <w:shd w:val="clear" w:color="auto" w:fill="FFFFFF"/>
              </w:rPr>
              <w:t xml:space="preserve">robežkontroles punktā konstatē, ka kravas pavaddokumentos kā saņēmējs norādīts Latvijas uzņēmums, bet </w:t>
            </w:r>
            <w:r>
              <w:rPr>
                <w:shd w:val="clear" w:color="auto" w:fill="FFFFFF"/>
              </w:rPr>
              <w:t>kravai nav pievienot</w:t>
            </w:r>
            <w:r w:rsidR="00354A1C">
              <w:rPr>
                <w:shd w:val="clear" w:color="auto" w:fill="FFFFFF"/>
              </w:rPr>
              <w:t>a</w:t>
            </w:r>
            <w:r>
              <w:rPr>
                <w:shd w:val="clear" w:color="auto" w:fill="FFFFFF"/>
              </w:rPr>
              <w:t xml:space="preserve"> </w:t>
            </w:r>
            <w:r w:rsidR="003F51EF">
              <w:rPr>
                <w:shd w:val="clear" w:color="auto" w:fill="FFFFFF"/>
              </w:rPr>
              <w:t xml:space="preserve">zāļu importa atļauja. Savukārt </w:t>
            </w:r>
            <w:r w:rsidR="004021B4">
              <w:rPr>
                <w:shd w:val="clear" w:color="auto" w:fill="FFFFFF"/>
              </w:rPr>
              <w:t>inspekcija</w:t>
            </w:r>
            <w:r w:rsidR="003F51EF">
              <w:rPr>
                <w:shd w:val="clear" w:color="auto" w:fill="FFFFFF"/>
              </w:rPr>
              <w:t xml:space="preserve"> pēc atkārtotas </w:t>
            </w:r>
            <w:r w:rsidR="00BC108F">
              <w:rPr>
                <w:shd w:val="clear" w:color="auto" w:fill="FFFFFF"/>
              </w:rPr>
              <w:t xml:space="preserve">pavaddokumentu un kravas </w:t>
            </w:r>
            <w:r w:rsidR="003F51EF">
              <w:rPr>
                <w:shd w:val="clear" w:color="auto" w:fill="FFFFFF"/>
              </w:rPr>
              <w:t>kontroles</w:t>
            </w:r>
            <w:r w:rsidR="000161A8">
              <w:rPr>
                <w:shd w:val="clear" w:color="auto" w:fill="FFFFFF"/>
              </w:rPr>
              <w:t xml:space="preserve"> </w:t>
            </w:r>
            <w:r w:rsidR="00354A1C">
              <w:rPr>
                <w:shd w:val="clear" w:color="auto" w:fill="FFFFFF"/>
              </w:rPr>
              <w:t xml:space="preserve">galvenokārt </w:t>
            </w:r>
            <w:r w:rsidR="000161A8">
              <w:rPr>
                <w:shd w:val="clear" w:color="auto" w:fill="FFFFFF"/>
              </w:rPr>
              <w:t>konstatē</w:t>
            </w:r>
            <w:r w:rsidR="003F51EF">
              <w:rPr>
                <w:shd w:val="clear" w:color="auto" w:fill="FFFFFF"/>
              </w:rPr>
              <w:t xml:space="preserve">, ka </w:t>
            </w:r>
            <w:r w:rsidR="00354A1C" w:rsidRPr="00CD3070">
              <w:t xml:space="preserve">zāles </w:t>
            </w:r>
            <w:r w:rsidR="00354A1C" w:rsidRPr="001E0883">
              <w:t>paredzētas tālākam eksportam, nevis laišanai brīvā apgrozībā.</w:t>
            </w:r>
            <w:r w:rsidR="00A960A4" w:rsidRPr="001E0883">
              <w:t xml:space="preserve"> </w:t>
            </w:r>
          </w:p>
          <w:p w14:paraId="4971B68A" w14:textId="2829AFD5" w:rsidR="00683A1A" w:rsidRPr="001E0883" w:rsidRDefault="00082BD4">
            <w:pPr>
              <w:keepNext/>
              <w:contextualSpacing/>
              <w:jc w:val="both"/>
            </w:pPr>
            <w:r w:rsidRPr="001E0883">
              <w:t xml:space="preserve">Muitas likuma 19. pantā noteikts, ka preču muitošana pabeidzama tikai pēc to obligātās veterinārās, fitosanitārās vai citas normatīvajos aktos paredzētās kontroles, </w:t>
            </w:r>
            <w:r w:rsidR="007D2F21">
              <w:lastRenderedPageBreak/>
              <w:t>tāpēc</w:t>
            </w:r>
            <w:r w:rsidRPr="001E0883">
              <w:t xml:space="preserve"> muitas iestādei, izvērtējot nepieciešamību, ir tiesības novirzīt kravas kompetentajai iestādei, kas </w:t>
            </w:r>
            <w:r w:rsidR="007D2F21">
              <w:t xml:space="preserve">ir </w:t>
            </w:r>
            <w:r w:rsidRPr="001E0883">
              <w:t xml:space="preserve">atbildīga par zāļu kontroli, ja tādas netika īstenotas pirms procedūras </w:t>
            </w:r>
            <w:r w:rsidR="007D2F21">
              <w:t>“</w:t>
            </w:r>
            <w:r w:rsidRPr="001E0883">
              <w:t>laišana brīvā apgrozībā</w:t>
            </w:r>
            <w:r w:rsidR="007D2F21">
              <w:t xml:space="preserve">” </w:t>
            </w:r>
            <w:r w:rsidRPr="001E0883">
              <w:t xml:space="preserve"> pieteikšanas. </w:t>
            </w:r>
          </w:p>
          <w:p w14:paraId="2A74B52F" w14:textId="624B5631" w:rsidR="009D391C" w:rsidRDefault="007D2F21">
            <w:pPr>
              <w:keepNext/>
              <w:contextualSpacing/>
              <w:jc w:val="both"/>
            </w:pPr>
            <w:r>
              <w:t>Būtībā</w:t>
            </w:r>
            <w:r w:rsidR="00167F01">
              <w:t xml:space="preserve"> i</w:t>
            </w:r>
            <w:r w:rsidR="00C518B3" w:rsidRPr="001E0883">
              <w:t xml:space="preserve">nspekcija ir kompetentā iestāde cilvēkiem paredzēto zāļu </w:t>
            </w:r>
            <w:r w:rsidR="00167F01">
              <w:t xml:space="preserve">ražošanas un izplatīšanas </w:t>
            </w:r>
            <w:r w:rsidR="00C518B3" w:rsidRPr="001E0883">
              <w:t>kontrolē, kā arī ir tiesīga veikt kontrol</w:t>
            </w:r>
            <w:r w:rsidR="00B26734">
              <w:t>i</w:t>
            </w:r>
            <w:r w:rsidR="00C518B3" w:rsidRPr="001E0883">
              <w:t xml:space="preserve"> muitas noliktavā</w:t>
            </w:r>
            <w:r w:rsidR="00B26734">
              <w:t>s</w:t>
            </w:r>
            <w:r w:rsidR="00C518B3" w:rsidRPr="001E0883">
              <w:t xml:space="preserve"> un pieņemt lēmumu par zāļu </w:t>
            </w:r>
            <w:r w:rsidR="00167F01">
              <w:t>importa un eksporta aizliegšanu, savukārt</w:t>
            </w:r>
            <w:r w:rsidR="009D391C" w:rsidRPr="001E0883">
              <w:t xml:space="preserve"> muitas iestāde</w:t>
            </w:r>
            <w:r w:rsidR="00A669BE" w:rsidRPr="001E0883">
              <w:t xml:space="preserve"> </w:t>
            </w:r>
            <w:r w:rsidR="009D391C" w:rsidRPr="001E0883">
              <w:t>īsteno</w:t>
            </w:r>
            <w:proofErr w:type="gramStart"/>
            <w:r w:rsidR="009D391C" w:rsidRPr="001E0883">
              <w:t xml:space="preserve"> </w:t>
            </w:r>
            <w:r w:rsidR="00167F01">
              <w:t xml:space="preserve"> </w:t>
            </w:r>
            <w:proofErr w:type="gramEnd"/>
            <w:r w:rsidR="00167F01">
              <w:t xml:space="preserve">inspekcijas </w:t>
            </w:r>
            <w:r w:rsidR="009D391C" w:rsidRPr="001E0883">
              <w:t>pieņemto lēmumu uz robežas.</w:t>
            </w:r>
            <w:r w:rsidR="00167F01">
              <w:t xml:space="preserve"> </w:t>
            </w:r>
          </w:p>
          <w:p w14:paraId="451144B5" w14:textId="77777777" w:rsidR="000448B6" w:rsidRPr="001E0883" w:rsidRDefault="000448B6">
            <w:pPr>
              <w:keepNext/>
              <w:contextualSpacing/>
              <w:jc w:val="both"/>
            </w:pPr>
          </w:p>
          <w:p w14:paraId="5A5798E0" w14:textId="1BAD3F5F" w:rsidR="00354A1C" w:rsidRDefault="007D2F21">
            <w:pPr>
              <w:keepNext/>
              <w:contextualSpacing/>
              <w:jc w:val="both"/>
            </w:pPr>
            <w:r>
              <w:t>Ie</w:t>
            </w:r>
            <w:r w:rsidR="00683A1A" w:rsidRPr="001E0883">
              <w:t>vēr</w:t>
            </w:r>
            <w:r>
              <w:t>ojot</w:t>
            </w:r>
            <w:r w:rsidR="009D391C" w:rsidRPr="001E0883">
              <w:t xml:space="preserve"> </w:t>
            </w:r>
            <w:r w:rsidR="00683A1A" w:rsidRPr="001E0883">
              <w:t xml:space="preserve">minēto, </w:t>
            </w:r>
            <w:r w:rsidR="00683A1A" w:rsidRPr="004218E4">
              <w:t>ir l</w:t>
            </w:r>
            <w:r w:rsidR="00C518B3" w:rsidRPr="004218E4">
              <w:t xml:space="preserve">ietderīgi noteikt, ka zāļu </w:t>
            </w:r>
            <w:r w:rsidR="00683A1A" w:rsidRPr="004218E4">
              <w:t>importa kontroli</w:t>
            </w:r>
            <w:r w:rsidR="00683A1A" w:rsidRPr="004218E4">
              <w:rPr>
                <w:u w:val="single"/>
              </w:rPr>
              <w:t xml:space="preserve"> pirms zāļu laišanas brīvā </w:t>
            </w:r>
            <w:r w:rsidR="00683A1A" w:rsidRPr="00BC108F">
              <w:rPr>
                <w:u w:val="single"/>
              </w:rPr>
              <w:t xml:space="preserve">apgrozībā </w:t>
            </w:r>
            <w:r w:rsidR="00683A1A" w:rsidRPr="00BC108F">
              <w:t>veic muitas iestāde</w:t>
            </w:r>
            <w:r w:rsidR="00683A1A" w:rsidRPr="001E0883">
              <w:t xml:space="preserve">, </w:t>
            </w:r>
            <w:r>
              <w:t xml:space="preserve">ja </w:t>
            </w:r>
            <w:r w:rsidR="00683A1A" w:rsidRPr="001E0883">
              <w:t>nepieciešam</w:t>
            </w:r>
            <w:r>
              <w:t>s,</w:t>
            </w:r>
            <w:r w:rsidR="00683A1A" w:rsidRPr="001E0883">
              <w:t xml:space="preserve"> pieprasot inspekcijai veikt zāļu </w:t>
            </w:r>
            <w:r w:rsidR="00C518B3" w:rsidRPr="001E0883">
              <w:t>kontroli atbilstoši zāļu apriti reglamentējošo normatīvo</w:t>
            </w:r>
            <w:r w:rsidR="00683A1A" w:rsidRPr="001E0883">
              <w:t xml:space="preserve"> aktu prasībām. </w:t>
            </w:r>
          </w:p>
          <w:p w14:paraId="53B82076" w14:textId="77777777" w:rsidR="001902C2" w:rsidRDefault="001902C2">
            <w:pPr>
              <w:keepNext/>
              <w:contextualSpacing/>
              <w:jc w:val="both"/>
            </w:pPr>
          </w:p>
          <w:p w14:paraId="61DD9AA0" w14:textId="043E8B67" w:rsidR="005865B2" w:rsidRDefault="007D2F21" w:rsidP="00D84A70">
            <w:pPr>
              <w:jc w:val="both"/>
            </w:pPr>
            <w:r>
              <w:t>2</w:t>
            </w:r>
            <w:r w:rsidR="00F26B1A">
              <w:t xml:space="preserve">) </w:t>
            </w:r>
            <w:r w:rsidR="003F51EF" w:rsidRPr="003D5F88">
              <w:t>Patlaban</w:t>
            </w:r>
            <w:r w:rsidR="004A7A2D">
              <w:t>,</w:t>
            </w:r>
            <w:r w:rsidR="003F51EF" w:rsidRPr="003D5F88">
              <w:t xml:space="preserve"> </w:t>
            </w:r>
            <w:r w:rsidR="004A7A2D">
              <w:rPr>
                <w:iCs/>
              </w:rPr>
              <w:t>pamatojoties uz noteikumu Nr. 436</w:t>
            </w:r>
            <w:r w:rsidR="004A7A2D" w:rsidRPr="004A7A2D">
              <w:rPr>
                <w:iCs/>
              </w:rPr>
              <w:t xml:space="preserve"> </w:t>
            </w:r>
            <w:r w:rsidR="004A7A2D" w:rsidRPr="003D5F88">
              <w:rPr>
                <w:iCs/>
              </w:rPr>
              <w:t>41. punktu</w:t>
            </w:r>
            <w:r w:rsidR="00AC0F88">
              <w:rPr>
                <w:iCs/>
              </w:rPr>
              <w:t>,</w:t>
            </w:r>
            <w:r w:rsidR="003F51EF" w:rsidRPr="003D5F88">
              <w:rPr>
                <w:iCs/>
              </w:rPr>
              <w:t xml:space="preserve"> </w:t>
            </w:r>
            <w:r w:rsidR="004021B4" w:rsidRPr="001902C2">
              <w:t>dienesta</w:t>
            </w:r>
            <w:r w:rsidR="003F51EF" w:rsidRPr="001902C2">
              <w:rPr>
                <w:iCs/>
              </w:rPr>
              <w:t xml:space="preserve"> amatpersona lēmumu par </w:t>
            </w:r>
            <w:r w:rsidR="00412F08" w:rsidRPr="001902C2">
              <w:rPr>
                <w:iCs/>
              </w:rPr>
              <w:t xml:space="preserve">zāļu </w:t>
            </w:r>
            <w:r w:rsidR="003F51EF" w:rsidRPr="001902C2">
              <w:rPr>
                <w:iCs/>
              </w:rPr>
              <w:t>k</w:t>
            </w:r>
            <w:r w:rsidR="003F51EF" w:rsidRPr="001902C2">
              <w:t xml:space="preserve">ravu kontroles rezultātu ievada </w:t>
            </w:r>
            <w:r w:rsidR="004021B4" w:rsidRPr="001902C2">
              <w:t>dienesta</w:t>
            </w:r>
            <w:r w:rsidR="003F51EF" w:rsidRPr="001902C2">
              <w:t xml:space="preserve"> IT sistēmā.</w:t>
            </w:r>
            <w:r w:rsidR="003F51EF">
              <w:t xml:space="preserve"> </w:t>
            </w:r>
            <w:r w:rsidR="003F51EF" w:rsidRPr="002D7DA8">
              <w:t>Esošā kontro</w:t>
            </w:r>
            <w:r w:rsidR="005865B2">
              <w:t>les</w:t>
            </w:r>
            <w:r w:rsidR="003F51EF" w:rsidRPr="002D7DA8">
              <w:t xml:space="preserve"> rezultātu veidlapa </w:t>
            </w:r>
            <w:r w:rsidR="005865B2" w:rsidRPr="005865B2">
              <w:t>“</w:t>
            </w:r>
            <w:r w:rsidR="005865B2" w:rsidRPr="00173648">
              <w:t>Nepārtikas preču robežkontroles dokuments</w:t>
            </w:r>
            <w:r w:rsidR="005865B2" w:rsidRPr="005865B2">
              <w:t>”</w:t>
            </w:r>
            <w:r w:rsidR="005865B2" w:rsidRPr="002D7DA8">
              <w:t xml:space="preserve"> </w:t>
            </w:r>
            <w:r w:rsidR="00C5552B">
              <w:t xml:space="preserve">(turpmāk – </w:t>
            </w:r>
            <w:r w:rsidR="00C5552B" w:rsidRPr="00264EA1">
              <w:t>robežkontroles dokuments</w:t>
            </w:r>
            <w:r w:rsidR="00C5552B">
              <w:t xml:space="preserve">) </w:t>
            </w:r>
            <w:r w:rsidR="003F51EF" w:rsidRPr="002D7DA8">
              <w:t xml:space="preserve">ir </w:t>
            </w:r>
            <w:r w:rsidR="004021B4">
              <w:t>dienesta</w:t>
            </w:r>
            <w:r w:rsidR="003F51EF">
              <w:t xml:space="preserve"> izstrādāts</w:t>
            </w:r>
            <w:r w:rsidR="005865B2">
              <w:t xml:space="preserve"> dokuments, </w:t>
            </w:r>
            <w:r w:rsidR="003F51EF">
              <w:t xml:space="preserve">tā </w:t>
            </w:r>
            <w:r w:rsidR="003F51EF" w:rsidRPr="00BC108F">
              <w:rPr>
                <w:u w:val="single"/>
              </w:rPr>
              <w:t>forma un saturs</w:t>
            </w:r>
            <w:r w:rsidR="003F51EF" w:rsidRPr="004218E4">
              <w:rPr>
                <w:u w:val="single"/>
              </w:rPr>
              <w:t xml:space="preserve"> nav noteikt</w:t>
            </w:r>
            <w:r w:rsidR="00277BAE" w:rsidRPr="004218E4">
              <w:rPr>
                <w:u w:val="single"/>
              </w:rPr>
              <w:t>s</w:t>
            </w:r>
            <w:r w:rsidR="003F51EF" w:rsidRPr="004218E4">
              <w:rPr>
                <w:u w:val="single"/>
              </w:rPr>
              <w:t xml:space="preserve"> </w:t>
            </w:r>
            <w:r w:rsidR="004A7A2D" w:rsidRPr="004218E4">
              <w:rPr>
                <w:u w:val="single"/>
              </w:rPr>
              <w:t>normatīvajos</w:t>
            </w:r>
            <w:r w:rsidR="003F51EF" w:rsidRPr="004218E4">
              <w:rPr>
                <w:u w:val="single"/>
              </w:rPr>
              <w:t xml:space="preserve"> aktos</w:t>
            </w:r>
            <w:r w:rsidR="003F51EF">
              <w:t>.</w:t>
            </w:r>
            <w:r w:rsidR="003F51EF" w:rsidRPr="002D7DA8">
              <w:t xml:space="preserve"> </w:t>
            </w:r>
            <w:r w:rsidR="005865B2">
              <w:t>Dienesta IT s</w:t>
            </w:r>
            <w:r w:rsidR="003F51EF" w:rsidRPr="002D7DA8">
              <w:t xml:space="preserve">istēma nodrošina </w:t>
            </w:r>
            <w:r w:rsidR="003F51EF" w:rsidRPr="00173648">
              <w:t>robežkontroles dokumenta</w:t>
            </w:r>
            <w:r w:rsidR="003F51EF" w:rsidRPr="002D7DA8">
              <w:t xml:space="preserve"> izdruku</w:t>
            </w:r>
            <w:r w:rsidR="003F51EF">
              <w:t xml:space="preserve"> papīra formā</w:t>
            </w:r>
            <w:r w:rsidR="003F51EF" w:rsidRPr="00881663">
              <w:t xml:space="preserve">, </w:t>
            </w:r>
            <w:r w:rsidRPr="00881663">
              <w:t>un</w:t>
            </w:r>
            <w:r>
              <w:rPr>
                <w:i/>
              </w:rPr>
              <w:t xml:space="preserve"> </w:t>
            </w:r>
            <w:r w:rsidR="003F51EF" w:rsidRPr="003D5F88">
              <w:t xml:space="preserve">ar </w:t>
            </w:r>
            <w:r>
              <w:t xml:space="preserve">to </w:t>
            </w:r>
            <w:r w:rsidR="003F51EF" w:rsidRPr="003D5F88">
              <w:t>kravas īpašnieks</w:t>
            </w:r>
            <w:r w:rsidR="00354A1C">
              <w:t xml:space="preserve"> dodas pie </w:t>
            </w:r>
            <w:r w:rsidR="003F51EF" w:rsidRPr="003D5F88">
              <w:t>muitas iestāde</w:t>
            </w:r>
            <w:r w:rsidR="00C518B3">
              <w:t>s</w:t>
            </w:r>
            <w:r w:rsidR="003F51EF" w:rsidRPr="00354A1C">
              <w:t xml:space="preserve">. </w:t>
            </w:r>
            <w:r w:rsidR="00354A1C" w:rsidRPr="00354A1C">
              <w:t xml:space="preserve">Ja </w:t>
            </w:r>
            <w:r w:rsidR="005865B2">
              <w:t>dienests kravu ir novirzījis inspekcijas kontrolei</w:t>
            </w:r>
            <w:r w:rsidR="00354A1C" w:rsidRPr="00354A1C">
              <w:t xml:space="preserve">, </w:t>
            </w:r>
            <w:r>
              <w:t xml:space="preserve">inspekcija </w:t>
            </w:r>
            <w:r w:rsidR="00354A1C">
              <w:t>p</w:t>
            </w:r>
            <w:r w:rsidR="00354A1C" w:rsidRPr="00354A1C">
              <w:t xml:space="preserve">ēc </w:t>
            </w:r>
            <w:r w:rsidR="00BC108F">
              <w:t>kontroles</w:t>
            </w:r>
            <w:r w:rsidR="00354A1C" w:rsidRPr="00354A1C">
              <w:t xml:space="preserve"> </w:t>
            </w:r>
            <w:r w:rsidR="00354A1C" w:rsidRPr="00CD3070">
              <w:t xml:space="preserve">nosūta </w:t>
            </w:r>
            <w:r w:rsidR="00354A1C">
              <w:t xml:space="preserve">attiecīgajam </w:t>
            </w:r>
            <w:r w:rsidR="004021B4">
              <w:t>dienesta</w:t>
            </w:r>
            <w:r w:rsidR="00C518B3">
              <w:t xml:space="preserve"> robežkontroles punktam paziņojumu</w:t>
            </w:r>
            <w:r w:rsidR="00354A1C">
              <w:t xml:space="preserve"> ar</w:t>
            </w:r>
            <w:r w:rsidR="00354A1C" w:rsidRPr="00CD3070">
              <w:t xml:space="preserve"> atzinumu</w:t>
            </w:r>
            <w:r w:rsidR="005865B2">
              <w:t xml:space="preserve"> un norādēm</w:t>
            </w:r>
            <w:r w:rsidR="00354A1C">
              <w:t xml:space="preserve"> par tālāko rīcību ar kravu</w:t>
            </w:r>
            <w:r w:rsidR="00354A1C" w:rsidRPr="00CD3070">
              <w:t>.</w:t>
            </w:r>
            <w:r w:rsidR="004021B4">
              <w:t xml:space="preserve"> </w:t>
            </w:r>
            <w:r w:rsidR="00412F08">
              <w:t xml:space="preserve">Pēc inspekcijas </w:t>
            </w:r>
            <w:r w:rsidR="00C518B3">
              <w:t>paziņojuma</w:t>
            </w:r>
            <w:r w:rsidR="00412F08">
              <w:t xml:space="preserve"> saņemšanas dienests informē muitas iestādi</w:t>
            </w:r>
            <w:r w:rsidR="005865B2">
              <w:t xml:space="preserve"> par inspekcijas lēmumu, faktiski pildot tikai starpnieka funkcijas starp muitas iestādi un inspekciju</w:t>
            </w:r>
            <w:r w:rsidR="00412F08">
              <w:t xml:space="preserve">. </w:t>
            </w:r>
          </w:p>
          <w:p w14:paraId="0D81C5F8" w14:textId="54F8F435" w:rsidR="00354A1C" w:rsidRPr="004218E4" w:rsidRDefault="004021B4" w:rsidP="00D84A70">
            <w:pPr>
              <w:jc w:val="both"/>
            </w:pPr>
            <w:r w:rsidRPr="000448B6">
              <w:rPr>
                <w:u w:val="single"/>
              </w:rPr>
              <w:t>Dienesta</w:t>
            </w:r>
            <w:r w:rsidR="00C518B3" w:rsidRPr="000448B6">
              <w:rPr>
                <w:u w:val="single"/>
              </w:rPr>
              <w:t>, inspekcijas</w:t>
            </w:r>
            <w:r w:rsidRPr="000448B6">
              <w:rPr>
                <w:u w:val="single"/>
              </w:rPr>
              <w:t xml:space="preserve"> </w:t>
            </w:r>
            <w:r w:rsidR="007E4B7D" w:rsidRPr="000448B6">
              <w:rPr>
                <w:u w:val="single"/>
              </w:rPr>
              <w:t>un muitas iestādes IT sistēmas zāļu kontroles jomā nav sasaistītas</w:t>
            </w:r>
            <w:r w:rsidR="007E4B7D" w:rsidRPr="004218E4">
              <w:t xml:space="preserve">, </w:t>
            </w:r>
            <w:r w:rsidR="007D2F21">
              <w:t>tāpēc</w:t>
            </w:r>
            <w:r w:rsidR="007E4B7D" w:rsidRPr="004218E4">
              <w:t xml:space="preserve"> </w:t>
            </w:r>
            <w:r w:rsidR="007D2F21">
              <w:t>dati netiek pārsūtīti</w:t>
            </w:r>
            <w:r w:rsidR="007D2F21" w:rsidRPr="004218E4">
              <w:t xml:space="preserve"> </w:t>
            </w:r>
            <w:r w:rsidR="007E4B7D" w:rsidRPr="004218E4">
              <w:t>automātisk</w:t>
            </w:r>
            <w:r w:rsidR="007D2F21">
              <w:t>i</w:t>
            </w:r>
            <w:r w:rsidR="0041156D" w:rsidRPr="004218E4">
              <w:t>.</w:t>
            </w:r>
          </w:p>
          <w:p w14:paraId="462956CF" w14:textId="186FB0FA" w:rsidR="003F51EF" w:rsidRPr="00143938" w:rsidRDefault="003F51EF" w:rsidP="00D230A0">
            <w:pPr>
              <w:pStyle w:val="Bezatstarpm1"/>
              <w:shd w:val="clear" w:color="auto" w:fill="FFFFFF" w:themeFill="background1"/>
              <w:jc w:val="both"/>
              <w:rPr>
                <w:rFonts w:ascii="Times New Roman" w:hAnsi="Times New Roman"/>
                <w:iCs/>
                <w:sz w:val="24"/>
                <w:szCs w:val="24"/>
                <w:lang w:val="lv-LV"/>
              </w:rPr>
            </w:pPr>
            <w:r w:rsidRPr="000448B6">
              <w:rPr>
                <w:rFonts w:ascii="Times New Roman" w:hAnsi="Times New Roman"/>
                <w:sz w:val="24"/>
                <w:szCs w:val="24"/>
                <w:u w:val="single"/>
                <w:lang w:val="lv-LV"/>
              </w:rPr>
              <w:t xml:space="preserve">Līdz 2019. gada 1. janvārim </w:t>
            </w:r>
            <w:r w:rsidR="004218E4">
              <w:rPr>
                <w:rFonts w:ascii="Times New Roman" w:hAnsi="Times New Roman"/>
                <w:sz w:val="24"/>
                <w:szCs w:val="24"/>
                <w:u w:val="single"/>
                <w:lang w:val="lv-LV"/>
              </w:rPr>
              <w:t xml:space="preserve">dienesta </w:t>
            </w:r>
            <w:r w:rsidR="004A7A2D" w:rsidRPr="000448B6">
              <w:rPr>
                <w:rFonts w:ascii="Times New Roman" w:hAnsi="Times New Roman"/>
                <w:sz w:val="24"/>
                <w:szCs w:val="24"/>
                <w:u w:val="single"/>
                <w:lang w:val="lv-LV"/>
              </w:rPr>
              <w:t>robežkontroles dokuments</w:t>
            </w:r>
            <w:r w:rsidRPr="000448B6">
              <w:rPr>
                <w:rFonts w:ascii="Times New Roman" w:hAnsi="Times New Roman"/>
                <w:i/>
                <w:sz w:val="24"/>
                <w:szCs w:val="24"/>
                <w:u w:val="single"/>
                <w:lang w:val="lv-LV"/>
              </w:rPr>
              <w:t xml:space="preserve"> </w:t>
            </w:r>
            <w:r w:rsidRPr="000448B6">
              <w:rPr>
                <w:rFonts w:ascii="Times New Roman" w:hAnsi="Times New Roman"/>
                <w:sz w:val="24"/>
                <w:szCs w:val="24"/>
                <w:u w:val="single"/>
                <w:lang w:val="lv-LV"/>
              </w:rPr>
              <w:t xml:space="preserve">tiks izrakstīts, izmantojot esošo </w:t>
            </w:r>
            <w:r w:rsidR="004021B4" w:rsidRPr="000448B6">
              <w:rPr>
                <w:rFonts w:ascii="Times New Roman" w:hAnsi="Times New Roman"/>
                <w:sz w:val="24"/>
                <w:szCs w:val="24"/>
                <w:u w:val="single"/>
                <w:lang w:val="lv-LV"/>
              </w:rPr>
              <w:t>dienesta</w:t>
            </w:r>
            <w:r w:rsidRPr="000448B6">
              <w:rPr>
                <w:rFonts w:ascii="Times New Roman" w:hAnsi="Times New Roman"/>
                <w:sz w:val="24"/>
                <w:szCs w:val="24"/>
                <w:u w:val="single"/>
                <w:lang w:val="lv-LV"/>
              </w:rPr>
              <w:t xml:space="preserve"> IT sistēmu.</w:t>
            </w:r>
            <w:r>
              <w:rPr>
                <w:rFonts w:ascii="Times New Roman" w:hAnsi="Times New Roman"/>
                <w:sz w:val="24"/>
                <w:szCs w:val="24"/>
                <w:lang w:val="lv-LV"/>
              </w:rPr>
              <w:t xml:space="preserve"> Pēc 2019. gada 1. janvāra </w:t>
            </w:r>
            <w:r w:rsidR="003C58FE">
              <w:rPr>
                <w:rFonts w:ascii="Times New Roman" w:hAnsi="Times New Roman"/>
                <w:sz w:val="24"/>
                <w:szCs w:val="24"/>
                <w:lang w:val="lv-LV"/>
              </w:rPr>
              <w:t xml:space="preserve">dienests pārtrauks </w:t>
            </w:r>
            <w:r w:rsidR="004A7A2D">
              <w:rPr>
                <w:rFonts w:ascii="Times New Roman" w:hAnsi="Times New Roman"/>
                <w:sz w:val="24"/>
                <w:szCs w:val="24"/>
                <w:lang w:val="lv-LV"/>
              </w:rPr>
              <w:t xml:space="preserve">IT </w:t>
            </w:r>
            <w:r>
              <w:rPr>
                <w:rFonts w:ascii="Times New Roman" w:hAnsi="Times New Roman"/>
                <w:sz w:val="24"/>
                <w:szCs w:val="24"/>
                <w:lang w:val="lv-LV"/>
              </w:rPr>
              <w:t>s</w:t>
            </w:r>
            <w:r w:rsidRPr="003D5F88">
              <w:rPr>
                <w:rFonts w:ascii="Times New Roman" w:hAnsi="Times New Roman"/>
                <w:sz w:val="24"/>
                <w:szCs w:val="24"/>
                <w:lang w:val="lv-LV"/>
              </w:rPr>
              <w:t>istēmas darbīb</w:t>
            </w:r>
            <w:r>
              <w:rPr>
                <w:rFonts w:ascii="Times New Roman" w:hAnsi="Times New Roman"/>
                <w:sz w:val="24"/>
                <w:szCs w:val="24"/>
                <w:lang w:val="lv-LV"/>
              </w:rPr>
              <w:t xml:space="preserve">u, </w:t>
            </w:r>
            <w:r w:rsidRPr="003D5F88">
              <w:rPr>
                <w:rFonts w:ascii="Times New Roman" w:hAnsi="Times New Roman"/>
                <w:sz w:val="24"/>
                <w:szCs w:val="24"/>
                <w:lang w:val="lv-LV"/>
              </w:rPr>
              <w:t xml:space="preserve">jo </w:t>
            </w:r>
            <w:r>
              <w:rPr>
                <w:rFonts w:ascii="Times New Roman" w:hAnsi="Times New Roman"/>
                <w:sz w:val="24"/>
                <w:szCs w:val="24"/>
                <w:lang w:val="lv-LV"/>
              </w:rPr>
              <w:t>tā</w:t>
            </w:r>
            <w:r w:rsidRPr="003D5F88">
              <w:rPr>
                <w:rFonts w:ascii="Times New Roman" w:hAnsi="Times New Roman"/>
                <w:sz w:val="24"/>
                <w:szCs w:val="24"/>
                <w:lang w:val="lv-LV"/>
              </w:rPr>
              <w:t xml:space="preserve"> </w:t>
            </w:r>
            <w:r w:rsidRPr="00493115">
              <w:rPr>
                <w:rFonts w:ascii="Times New Roman" w:hAnsi="Times New Roman"/>
                <w:sz w:val="24"/>
                <w:szCs w:val="24"/>
                <w:lang w:val="lv-LV"/>
              </w:rPr>
              <w:t>ir morāli un fiziski</w:t>
            </w:r>
            <w:r w:rsidRPr="003D5F88">
              <w:rPr>
                <w:rFonts w:ascii="Times New Roman" w:hAnsi="Times New Roman"/>
                <w:sz w:val="24"/>
                <w:szCs w:val="24"/>
                <w:lang w:val="lv-LV"/>
              </w:rPr>
              <w:t xml:space="preserve"> novecojusi</w:t>
            </w:r>
            <w:r>
              <w:rPr>
                <w:rFonts w:ascii="Times New Roman" w:hAnsi="Times New Roman"/>
                <w:sz w:val="24"/>
                <w:szCs w:val="24"/>
                <w:lang w:val="lv-LV"/>
              </w:rPr>
              <w:t xml:space="preserve"> un neatbilst </w:t>
            </w:r>
            <w:r w:rsidR="007E4B7D" w:rsidRPr="00493115">
              <w:rPr>
                <w:rFonts w:ascii="Times New Roman" w:hAnsi="Times New Roman"/>
                <w:sz w:val="24"/>
                <w:szCs w:val="24"/>
                <w:lang w:val="lv-LV"/>
              </w:rPr>
              <w:t>M</w:t>
            </w:r>
            <w:r w:rsidR="007E4B7D">
              <w:rPr>
                <w:rFonts w:ascii="Times New Roman" w:hAnsi="Times New Roman"/>
                <w:sz w:val="24"/>
                <w:szCs w:val="24"/>
                <w:lang w:val="lv-LV"/>
              </w:rPr>
              <w:t xml:space="preserve">inistru kabineta </w:t>
            </w:r>
            <w:r w:rsidRPr="00493115">
              <w:rPr>
                <w:rFonts w:ascii="Times New Roman" w:hAnsi="Times New Roman"/>
                <w:sz w:val="24"/>
                <w:szCs w:val="24"/>
                <w:lang w:val="lv-LV"/>
              </w:rPr>
              <w:t>2015.</w:t>
            </w:r>
            <w:r>
              <w:rPr>
                <w:rFonts w:ascii="Times New Roman" w:hAnsi="Times New Roman"/>
                <w:sz w:val="24"/>
                <w:szCs w:val="24"/>
                <w:lang w:val="lv-LV"/>
              </w:rPr>
              <w:t xml:space="preserve"> </w:t>
            </w:r>
            <w:r w:rsidRPr="00493115">
              <w:rPr>
                <w:rFonts w:ascii="Times New Roman" w:hAnsi="Times New Roman"/>
                <w:sz w:val="24"/>
                <w:szCs w:val="24"/>
                <w:lang w:val="lv-LV"/>
              </w:rPr>
              <w:t>gada 28.</w:t>
            </w:r>
            <w:r>
              <w:rPr>
                <w:rFonts w:ascii="Times New Roman" w:hAnsi="Times New Roman"/>
                <w:sz w:val="24"/>
                <w:szCs w:val="24"/>
                <w:lang w:val="lv-LV"/>
              </w:rPr>
              <w:t xml:space="preserve"> </w:t>
            </w:r>
            <w:r w:rsidRPr="00493115">
              <w:rPr>
                <w:rFonts w:ascii="Times New Roman" w:hAnsi="Times New Roman"/>
                <w:sz w:val="24"/>
                <w:szCs w:val="24"/>
                <w:lang w:val="lv-LV"/>
              </w:rPr>
              <w:t>jūlija noteikum</w:t>
            </w:r>
            <w:r w:rsidR="007D2F21">
              <w:rPr>
                <w:rFonts w:ascii="Times New Roman" w:hAnsi="Times New Roman"/>
                <w:sz w:val="24"/>
                <w:szCs w:val="24"/>
                <w:lang w:val="lv-LV"/>
              </w:rPr>
              <w:t>os</w:t>
            </w:r>
            <w:r w:rsidRPr="00493115">
              <w:rPr>
                <w:rFonts w:ascii="Times New Roman" w:hAnsi="Times New Roman"/>
                <w:sz w:val="24"/>
                <w:szCs w:val="24"/>
                <w:lang w:val="lv-LV"/>
              </w:rPr>
              <w:t xml:space="preserve"> Nr. 442 </w:t>
            </w:r>
            <w:r w:rsidR="00062EA2">
              <w:rPr>
                <w:rFonts w:ascii="Times New Roman" w:hAnsi="Times New Roman"/>
                <w:sz w:val="24"/>
                <w:szCs w:val="24"/>
                <w:lang w:val="lv-LV"/>
              </w:rPr>
              <w:t>”</w:t>
            </w:r>
            <w:r w:rsidRPr="00493115">
              <w:rPr>
                <w:rFonts w:ascii="Times New Roman" w:hAnsi="Times New Roman"/>
                <w:sz w:val="24"/>
                <w:szCs w:val="24"/>
                <w:lang w:val="lv-LV"/>
              </w:rPr>
              <w:t>Kārtība, kādā tiek nodrošināta</w:t>
            </w:r>
            <w:r w:rsidRPr="00724C23">
              <w:rPr>
                <w:lang w:val="lv-LV"/>
              </w:rPr>
              <w:t xml:space="preserve"> </w:t>
            </w:r>
            <w:r w:rsidRPr="00493115">
              <w:rPr>
                <w:rFonts w:ascii="Times New Roman" w:hAnsi="Times New Roman"/>
                <w:sz w:val="24"/>
                <w:szCs w:val="24"/>
                <w:lang w:val="lv-LV"/>
              </w:rPr>
              <w:t>informācijas un komunikācijas tehnoloģiju sistēmu atbilstība minimālajām drošības prasībām</w:t>
            </w:r>
            <w:r w:rsidR="00062EA2">
              <w:rPr>
                <w:rFonts w:ascii="Times New Roman" w:hAnsi="Times New Roman"/>
                <w:sz w:val="24"/>
                <w:szCs w:val="24"/>
                <w:lang w:val="lv-LV"/>
              </w:rPr>
              <w:t>”</w:t>
            </w:r>
            <w:r w:rsidR="007D2F21">
              <w:rPr>
                <w:rFonts w:ascii="Times New Roman" w:hAnsi="Times New Roman"/>
                <w:sz w:val="24"/>
                <w:szCs w:val="24"/>
                <w:lang w:val="lv-LV"/>
              </w:rPr>
              <w:t xml:space="preserve"> noteiktajam</w:t>
            </w:r>
            <w:r>
              <w:rPr>
                <w:rFonts w:ascii="Times New Roman" w:hAnsi="Times New Roman"/>
                <w:sz w:val="24"/>
                <w:szCs w:val="24"/>
                <w:lang w:val="lv-LV"/>
              </w:rPr>
              <w:t xml:space="preserve">, </w:t>
            </w:r>
            <w:r w:rsidR="007E4B7D">
              <w:rPr>
                <w:rFonts w:ascii="Times New Roman" w:hAnsi="Times New Roman"/>
                <w:sz w:val="24"/>
                <w:szCs w:val="24"/>
                <w:lang w:val="lv-LV"/>
              </w:rPr>
              <w:t>tādēļ</w:t>
            </w:r>
            <w:r>
              <w:rPr>
                <w:rFonts w:ascii="Times New Roman" w:hAnsi="Times New Roman"/>
                <w:sz w:val="24"/>
                <w:szCs w:val="24"/>
                <w:lang w:val="lv-LV"/>
              </w:rPr>
              <w:t xml:space="preserve"> </w:t>
            </w:r>
            <w:r w:rsidR="004021B4" w:rsidRPr="004021B4">
              <w:rPr>
                <w:rFonts w:ascii="Times New Roman" w:hAnsi="Times New Roman"/>
                <w:sz w:val="24"/>
                <w:szCs w:val="24"/>
                <w:lang w:val="lv-LV"/>
              </w:rPr>
              <w:t>dienesta</w:t>
            </w:r>
            <w:r w:rsidRPr="003D5F88">
              <w:rPr>
                <w:rFonts w:ascii="Times New Roman" w:hAnsi="Times New Roman"/>
                <w:i/>
                <w:sz w:val="24"/>
                <w:szCs w:val="24"/>
                <w:lang w:val="lv-LV"/>
              </w:rPr>
              <w:t xml:space="preserve"> </w:t>
            </w:r>
            <w:r w:rsidRPr="00173648">
              <w:rPr>
                <w:rFonts w:ascii="Times New Roman" w:hAnsi="Times New Roman"/>
                <w:sz w:val="24"/>
                <w:szCs w:val="24"/>
                <w:lang w:val="lv-LV"/>
              </w:rPr>
              <w:t>robežkontroles dokuments</w:t>
            </w:r>
            <w:r>
              <w:rPr>
                <w:rFonts w:ascii="Times New Roman" w:hAnsi="Times New Roman"/>
                <w:i/>
                <w:sz w:val="24"/>
                <w:szCs w:val="24"/>
                <w:lang w:val="lv-LV"/>
              </w:rPr>
              <w:t xml:space="preserve"> </w:t>
            </w:r>
            <w:r>
              <w:rPr>
                <w:rFonts w:ascii="Times New Roman" w:hAnsi="Times New Roman"/>
                <w:sz w:val="24"/>
                <w:szCs w:val="24"/>
                <w:lang w:val="lv-LV"/>
              </w:rPr>
              <w:t>vairs netiks izsniegts</w:t>
            </w:r>
            <w:r w:rsidRPr="00493115">
              <w:rPr>
                <w:rFonts w:ascii="Times New Roman" w:hAnsi="Times New Roman"/>
                <w:sz w:val="24"/>
                <w:szCs w:val="24"/>
                <w:lang w:val="lv-LV"/>
              </w:rPr>
              <w:t>.</w:t>
            </w:r>
          </w:p>
          <w:p w14:paraId="3AF4116D" w14:textId="62283E6F" w:rsidR="00167F01" w:rsidRDefault="007E4B7D" w:rsidP="000F1125">
            <w:pPr>
              <w:jc w:val="both"/>
            </w:pPr>
            <w:r w:rsidRPr="00BC108F">
              <w:t>Normatīvajos aktos</w:t>
            </w:r>
            <w:r w:rsidR="003F51EF" w:rsidRPr="00BC108F">
              <w:t xml:space="preserve"> nav noteikta par zāļu kravu kontroli izsniedzamā dokumenta forma un saturs</w:t>
            </w:r>
            <w:r w:rsidR="004A7A2D">
              <w:t>,</w:t>
            </w:r>
            <w:r w:rsidR="007D2F21">
              <w:t xml:space="preserve"> un</w:t>
            </w:r>
            <w:r w:rsidR="003F51EF">
              <w:t xml:space="preserve"> arī pašu zāļu kravu </w:t>
            </w:r>
            <w:r w:rsidR="00AC0F88">
              <w:t xml:space="preserve">skaits </w:t>
            </w:r>
            <w:r w:rsidR="007D2F21">
              <w:t xml:space="preserve">nav </w:t>
            </w:r>
            <w:r w:rsidR="00AC0F88">
              <w:t>liels</w:t>
            </w:r>
            <w:r w:rsidR="003008DA">
              <w:t xml:space="preserve"> </w:t>
            </w:r>
            <w:r w:rsidR="00AC0F88">
              <w:t>(</w:t>
            </w:r>
            <w:r w:rsidR="003008DA">
              <w:t xml:space="preserve">apmēram </w:t>
            </w:r>
            <w:r w:rsidR="003F51EF">
              <w:t>100 zāļu kravas gadā)</w:t>
            </w:r>
            <w:r w:rsidR="003008DA">
              <w:t>, tādēļ</w:t>
            </w:r>
            <w:r w:rsidR="003F51EF">
              <w:t xml:space="preserve"> </w:t>
            </w:r>
            <w:r w:rsidR="00AC0F88">
              <w:t xml:space="preserve">jaunas </w:t>
            </w:r>
            <w:r w:rsidR="004021B4">
              <w:t>dienesta</w:t>
            </w:r>
            <w:r w:rsidR="00AC0F88">
              <w:t xml:space="preserve"> </w:t>
            </w:r>
            <w:r w:rsidR="00AC0F88" w:rsidRPr="00BC108F">
              <w:rPr>
                <w:u w:val="single"/>
              </w:rPr>
              <w:t xml:space="preserve">IT sistēmas izstrāde datu ievadīšanai tikai par zāļu kontroli </w:t>
            </w:r>
            <w:r w:rsidR="003F51EF" w:rsidRPr="00BC108F">
              <w:rPr>
                <w:u w:val="single"/>
              </w:rPr>
              <w:t>nav ekonomiski pamatota un lietderīga</w:t>
            </w:r>
            <w:r w:rsidR="003F51EF">
              <w:t>.</w:t>
            </w:r>
            <w:r w:rsidR="00180257">
              <w:t xml:space="preserve"> </w:t>
            </w:r>
            <w:r w:rsidR="00180257" w:rsidRPr="000448B6">
              <w:rPr>
                <w:u w:val="single"/>
              </w:rPr>
              <w:t>Dienests</w:t>
            </w:r>
            <w:r w:rsidR="001902C2" w:rsidRPr="000448B6">
              <w:rPr>
                <w:u w:val="single"/>
              </w:rPr>
              <w:t xml:space="preserve">, </w:t>
            </w:r>
            <w:r w:rsidR="00167F01" w:rsidRPr="000448B6">
              <w:rPr>
                <w:u w:val="single"/>
              </w:rPr>
              <w:t>sākot ar 2019.</w:t>
            </w:r>
            <w:r w:rsidR="00257EB5" w:rsidRPr="000448B6">
              <w:rPr>
                <w:u w:val="single"/>
              </w:rPr>
              <w:t> </w:t>
            </w:r>
            <w:r w:rsidR="00167F01" w:rsidRPr="000448B6">
              <w:rPr>
                <w:u w:val="single"/>
              </w:rPr>
              <w:t>gada 1.</w:t>
            </w:r>
            <w:r w:rsidR="00257EB5" w:rsidRPr="000448B6">
              <w:rPr>
                <w:u w:val="single"/>
              </w:rPr>
              <w:t> </w:t>
            </w:r>
            <w:r w:rsidR="00167F01" w:rsidRPr="000448B6">
              <w:rPr>
                <w:u w:val="single"/>
              </w:rPr>
              <w:t>janvāri</w:t>
            </w:r>
            <w:r w:rsidR="001902C2" w:rsidRPr="000448B6">
              <w:rPr>
                <w:u w:val="single"/>
              </w:rPr>
              <w:t>,</w:t>
            </w:r>
            <w:r w:rsidR="00180257" w:rsidRPr="000448B6">
              <w:rPr>
                <w:u w:val="single"/>
              </w:rPr>
              <w:t xml:space="preserve"> izmantos tikai </w:t>
            </w:r>
            <w:r w:rsidR="00180257" w:rsidRPr="00881663">
              <w:rPr>
                <w:i/>
                <w:u w:val="single"/>
              </w:rPr>
              <w:t>TRACE</w:t>
            </w:r>
            <w:r w:rsidR="00180257" w:rsidRPr="000448B6">
              <w:rPr>
                <w:u w:val="single"/>
              </w:rPr>
              <w:t xml:space="preserve"> sistēm</w:t>
            </w:r>
            <w:r w:rsidR="00180257" w:rsidRPr="00BD64FD">
              <w:t xml:space="preserve">u, </w:t>
            </w:r>
            <w:r w:rsidR="00167F01" w:rsidRPr="00BD64FD">
              <w:t xml:space="preserve">kas ir Eiropas Komisijas tiešsaistes pārvaldības rīks attiecībā uz dzīvnieku tirdzniecību starp dalībvalstīm un dzīvnieku, to produktu, pārtikas, dzīvnieku barības un augu produktu importu </w:t>
            </w:r>
            <w:r w:rsidR="00257EB5">
              <w:t>E</w:t>
            </w:r>
            <w:r w:rsidR="00BC108F">
              <w:t>iropas</w:t>
            </w:r>
            <w:proofErr w:type="gramStart"/>
            <w:r w:rsidR="00BC108F">
              <w:t xml:space="preserve">  </w:t>
            </w:r>
            <w:proofErr w:type="gramEnd"/>
            <w:r w:rsidR="00257EB5">
              <w:t>S</w:t>
            </w:r>
            <w:r w:rsidR="00BC108F">
              <w:t>avienībā</w:t>
            </w:r>
            <w:r w:rsidR="00167F01" w:rsidRPr="00BD64FD">
              <w:t>.</w:t>
            </w:r>
          </w:p>
          <w:p w14:paraId="69FCECB4" w14:textId="5C474415" w:rsidR="007D2F21" w:rsidRDefault="003008DA">
            <w:pPr>
              <w:jc w:val="both"/>
            </w:pPr>
            <w:r>
              <w:t>Savukārt</w:t>
            </w:r>
            <w:r w:rsidR="003F51EF" w:rsidRPr="001A190A">
              <w:t xml:space="preserve"> </w:t>
            </w:r>
            <w:r w:rsidR="005865B2" w:rsidRPr="000448B6">
              <w:rPr>
                <w:u w:val="single"/>
              </w:rPr>
              <w:t>muitas iestādes</w:t>
            </w:r>
            <w:r w:rsidR="003F51EF" w:rsidRPr="000448B6">
              <w:rPr>
                <w:u w:val="single"/>
              </w:rPr>
              <w:t xml:space="preserve"> IT sistēma EMDAS </w:t>
            </w:r>
            <w:r w:rsidR="004A7A2D" w:rsidRPr="000448B6">
              <w:rPr>
                <w:u w:val="single"/>
              </w:rPr>
              <w:t xml:space="preserve">jau </w:t>
            </w:r>
            <w:r w:rsidR="003F51EF" w:rsidRPr="000448B6">
              <w:rPr>
                <w:u w:val="single"/>
              </w:rPr>
              <w:t xml:space="preserve">tagad nodrošina pilnu elektronisko informācijas </w:t>
            </w:r>
            <w:r w:rsidR="003F51EF" w:rsidRPr="00BC108F">
              <w:rPr>
                <w:u w:val="single"/>
              </w:rPr>
              <w:t>uzskaiti</w:t>
            </w:r>
            <w:r w:rsidR="00AC0F88" w:rsidRPr="00BC108F">
              <w:rPr>
                <w:u w:val="single"/>
              </w:rPr>
              <w:t xml:space="preserve"> par kravu</w:t>
            </w:r>
            <w:r w:rsidR="003F51EF" w:rsidRPr="001E0883">
              <w:t xml:space="preserve"> muitas</w:t>
            </w:r>
            <w:r w:rsidR="007E4B7D" w:rsidRPr="001E0883">
              <w:t xml:space="preserve"> iestādes</w:t>
            </w:r>
            <w:r w:rsidR="003F51EF" w:rsidRPr="001E0883">
              <w:t xml:space="preserve"> amatpersonai </w:t>
            </w:r>
            <w:r w:rsidR="003F51EF" w:rsidRPr="004218E4">
              <w:t>un informācijas</w:t>
            </w:r>
            <w:r w:rsidR="00180257" w:rsidRPr="004218E4">
              <w:t xml:space="preserve"> izsekojamību</w:t>
            </w:r>
            <w:r w:rsidR="00180257" w:rsidRPr="001E0883">
              <w:t xml:space="preserve"> un</w:t>
            </w:r>
            <w:r w:rsidR="003F51EF" w:rsidRPr="001E0883">
              <w:t xml:space="preserve"> </w:t>
            </w:r>
            <w:r w:rsidR="003F51EF" w:rsidRPr="001A190A">
              <w:t>pieejamību kravas īpašniekam</w:t>
            </w:r>
            <w:r w:rsidR="003F51EF">
              <w:t>.</w:t>
            </w:r>
            <w:r w:rsidR="005865B2">
              <w:t xml:space="preserve"> </w:t>
            </w:r>
          </w:p>
          <w:p w14:paraId="70C39EAC" w14:textId="6A7010CE" w:rsidR="001E0883" w:rsidRDefault="007D2F21">
            <w:pPr>
              <w:jc w:val="both"/>
            </w:pPr>
            <w:r>
              <w:t>Ie</w:t>
            </w:r>
            <w:r w:rsidR="004218E4">
              <w:t>vēr</w:t>
            </w:r>
            <w:r>
              <w:t>ojot</w:t>
            </w:r>
            <w:r w:rsidR="001E0883">
              <w:t xml:space="preserve"> minēto, ir lietderīgi noteikt, ka </w:t>
            </w:r>
            <w:r w:rsidR="001E0883" w:rsidRPr="000448B6">
              <w:rPr>
                <w:u w:val="single"/>
              </w:rPr>
              <w:t>zāļu importu</w:t>
            </w:r>
            <w:r w:rsidR="001E0883">
              <w:t xml:space="preserve"> </w:t>
            </w:r>
            <w:r w:rsidR="001E0883" w:rsidRPr="000448B6">
              <w:rPr>
                <w:u w:val="single"/>
              </w:rPr>
              <w:t>pirms laišanas brīvā apgrozībā</w:t>
            </w:r>
            <w:r w:rsidR="001E0883">
              <w:t xml:space="preserve"> kontrolē muitas iestāde.</w:t>
            </w:r>
          </w:p>
          <w:p w14:paraId="458D386E" w14:textId="77777777" w:rsidR="00F26B1A" w:rsidRDefault="00F26B1A">
            <w:pPr>
              <w:jc w:val="both"/>
            </w:pPr>
          </w:p>
          <w:p w14:paraId="65418E23" w14:textId="713F308F" w:rsidR="000161A8" w:rsidRDefault="004218E4">
            <w:pPr>
              <w:jc w:val="both"/>
            </w:pPr>
            <w:r>
              <w:t xml:space="preserve">Tādēļ </w:t>
            </w:r>
            <w:r w:rsidRPr="004218E4">
              <w:t>n</w:t>
            </w:r>
            <w:r w:rsidR="00180257" w:rsidRPr="004218E4">
              <w:t xml:space="preserve">oteikumu projektā </w:t>
            </w:r>
            <w:r w:rsidR="007E4B7D" w:rsidRPr="004218E4">
              <w:t>noteikt</w:t>
            </w:r>
            <w:r w:rsidR="00180257" w:rsidRPr="004218E4">
              <w:t>s</w:t>
            </w:r>
            <w:r w:rsidR="007E4B7D" w:rsidRPr="004218E4">
              <w:t xml:space="preserve">, </w:t>
            </w:r>
            <w:r w:rsidR="00180257" w:rsidRPr="004218E4">
              <w:t>ka</w:t>
            </w:r>
            <w:r w:rsidR="00180257" w:rsidRPr="000448B6">
              <w:rPr>
                <w:u w:val="single"/>
              </w:rPr>
              <w:t xml:space="preserve"> zāļu</w:t>
            </w:r>
            <w:r w:rsidR="000161A8" w:rsidRPr="000448B6">
              <w:rPr>
                <w:u w:val="single"/>
              </w:rPr>
              <w:t xml:space="preserve"> </w:t>
            </w:r>
            <w:r w:rsidR="00D342B3" w:rsidRPr="000448B6">
              <w:rPr>
                <w:u w:val="single"/>
              </w:rPr>
              <w:t xml:space="preserve">importa </w:t>
            </w:r>
            <w:r w:rsidR="000161A8" w:rsidRPr="000448B6">
              <w:rPr>
                <w:u w:val="single"/>
              </w:rPr>
              <w:t xml:space="preserve">kontroli veic muitas iestāde, </w:t>
            </w:r>
            <w:r w:rsidR="007D2F21">
              <w:rPr>
                <w:u w:val="single"/>
              </w:rPr>
              <w:t xml:space="preserve">ja </w:t>
            </w:r>
            <w:r w:rsidR="000161A8" w:rsidRPr="000448B6">
              <w:rPr>
                <w:u w:val="single"/>
              </w:rPr>
              <w:t>nepieciešam</w:t>
            </w:r>
            <w:r w:rsidR="007D2F21">
              <w:rPr>
                <w:u w:val="single"/>
              </w:rPr>
              <w:t>s,</w:t>
            </w:r>
            <w:r w:rsidR="000161A8" w:rsidRPr="000448B6">
              <w:rPr>
                <w:u w:val="single"/>
              </w:rPr>
              <w:t xml:space="preserve"> pieprasot </w:t>
            </w:r>
            <w:r w:rsidR="004021B4" w:rsidRPr="000448B6">
              <w:rPr>
                <w:u w:val="single"/>
              </w:rPr>
              <w:t>inspekcijas</w:t>
            </w:r>
            <w:r w:rsidR="007E4B7D" w:rsidRPr="000448B6">
              <w:rPr>
                <w:u w:val="single"/>
              </w:rPr>
              <w:t xml:space="preserve"> atzinumu</w:t>
            </w:r>
            <w:r w:rsidR="007D2F21">
              <w:rPr>
                <w:u w:val="single"/>
              </w:rPr>
              <w:t>.</w:t>
            </w:r>
            <w:r w:rsidR="000161A8">
              <w:t xml:space="preserve"> </w:t>
            </w:r>
            <w:r w:rsidR="007D2F21">
              <w:t>T</w:t>
            </w:r>
            <w:r w:rsidR="000161A8">
              <w:t>ā</w:t>
            </w:r>
            <w:r w:rsidR="007D2F21">
              <w:t xml:space="preserve"> tiek</w:t>
            </w:r>
            <w:r w:rsidR="000161A8">
              <w:t xml:space="preserve"> </w:t>
            </w:r>
            <w:r w:rsidR="004021B4">
              <w:t>optimizē</w:t>
            </w:r>
            <w:r w:rsidR="007D2F21">
              <w:t>ta</w:t>
            </w:r>
            <w:r w:rsidR="007E4B7D">
              <w:t xml:space="preserve"> zāļu kravu importa </w:t>
            </w:r>
            <w:r w:rsidR="007E4B7D">
              <w:lastRenderedPageBreak/>
              <w:t>kontrol</w:t>
            </w:r>
            <w:r w:rsidR="007D2F21">
              <w:t>e</w:t>
            </w:r>
            <w:r w:rsidR="007E4B7D">
              <w:t>, samazi</w:t>
            </w:r>
            <w:r w:rsidR="007D2F21">
              <w:t>nāts</w:t>
            </w:r>
            <w:r w:rsidR="007E4B7D">
              <w:t xml:space="preserve"> </w:t>
            </w:r>
            <w:r w:rsidR="000161A8">
              <w:t>administratīv</w:t>
            </w:r>
            <w:r w:rsidR="007D2F21">
              <w:t>ais</w:t>
            </w:r>
            <w:r w:rsidR="007E4B7D">
              <w:t xml:space="preserve"> slog</w:t>
            </w:r>
            <w:r w:rsidR="007D2F21">
              <w:t>s</w:t>
            </w:r>
            <w:r w:rsidR="000161A8">
              <w:t xml:space="preserve"> </w:t>
            </w:r>
            <w:r w:rsidR="00180257">
              <w:t xml:space="preserve">zāļu </w:t>
            </w:r>
            <w:r w:rsidR="000161A8">
              <w:t>kravas īpašniekam, kā arī nodrošin</w:t>
            </w:r>
            <w:r w:rsidR="007D2F21">
              <w:t>āta</w:t>
            </w:r>
            <w:r w:rsidR="000161A8">
              <w:t xml:space="preserve"> </w:t>
            </w:r>
            <w:r w:rsidR="007E4B7D">
              <w:t>pilnvērtīg</w:t>
            </w:r>
            <w:r w:rsidR="007D2F21">
              <w:t>a</w:t>
            </w:r>
            <w:r w:rsidR="007E4B7D">
              <w:t xml:space="preserve"> elektronisk</w:t>
            </w:r>
            <w:r w:rsidR="007D2F21">
              <w:t>ā</w:t>
            </w:r>
            <w:r w:rsidR="007E4B7D">
              <w:t xml:space="preserve"> informācijas aprit</w:t>
            </w:r>
            <w:r w:rsidR="007D2F21">
              <w:t>e</w:t>
            </w:r>
            <w:r w:rsidR="007E4B7D">
              <w:t xml:space="preserve"> par zā</w:t>
            </w:r>
            <w:r w:rsidR="004021B4">
              <w:t>ļu kravu importu</w:t>
            </w:r>
            <w:r w:rsidR="007E4B7D">
              <w:t xml:space="preserve"> un eks</w:t>
            </w:r>
            <w:r w:rsidR="004021B4">
              <w:t xml:space="preserve">portu </w:t>
            </w:r>
            <w:r w:rsidR="000161A8">
              <w:t>bez papildu resursu ie</w:t>
            </w:r>
            <w:r w:rsidR="007E4B7D">
              <w:t>guldījumiem jaunas elektroniskas</w:t>
            </w:r>
            <w:r w:rsidR="000161A8">
              <w:t xml:space="preserve"> datu</w:t>
            </w:r>
            <w:r w:rsidR="007D2F21">
              <w:t>,</w:t>
            </w:r>
            <w:r w:rsidR="000161A8">
              <w:t xml:space="preserve"> </w:t>
            </w:r>
            <w:r w:rsidR="00970C11">
              <w:t xml:space="preserve">tikai </w:t>
            </w:r>
            <w:r w:rsidR="007D2F21">
              <w:t xml:space="preserve">informācijai par </w:t>
            </w:r>
            <w:r w:rsidR="00970C11">
              <w:t>zā</w:t>
            </w:r>
            <w:r w:rsidR="007D2F21">
              <w:t>lēm paredzētas</w:t>
            </w:r>
            <w:r w:rsidR="00970C11">
              <w:t xml:space="preserve"> IT sistēmas izveidei</w:t>
            </w:r>
            <w:r w:rsidR="000161A8">
              <w:t>.</w:t>
            </w:r>
          </w:p>
          <w:p w14:paraId="55BAA136" w14:textId="77777777" w:rsidR="00F26B1A" w:rsidRDefault="00F26B1A">
            <w:pPr>
              <w:jc w:val="both"/>
            </w:pPr>
          </w:p>
          <w:p w14:paraId="7E44ADB0" w14:textId="1F6657F2" w:rsidR="006D1F48" w:rsidRDefault="004218E4">
            <w:pPr>
              <w:jc w:val="both"/>
              <w:rPr>
                <w:rStyle w:val="Hipersaite"/>
                <w:color w:val="auto"/>
                <w:u w:val="none"/>
              </w:rPr>
            </w:pPr>
            <w:r>
              <w:t>2.</w:t>
            </w:r>
            <w:r w:rsidR="00F26B1A">
              <w:t xml:space="preserve"> </w:t>
            </w:r>
            <w:r w:rsidR="00BE6F24">
              <w:t>N</w:t>
            </w:r>
            <w:r w:rsidR="00F26B1A">
              <w:t>oteikumu</w:t>
            </w:r>
            <w:r w:rsidR="000161A8">
              <w:t xml:space="preserve"> Nr.</w:t>
            </w:r>
            <w:r w:rsidR="00BE6F24">
              <w:t xml:space="preserve"> </w:t>
            </w:r>
            <w:r w:rsidR="00A15DCF">
              <w:t xml:space="preserve">436 </w:t>
            </w:r>
            <w:r w:rsidR="00F26B1A">
              <w:t xml:space="preserve">6.punktā </w:t>
            </w:r>
            <w:r w:rsidR="00A15DCF">
              <w:t xml:space="preserve">noteikts, ka </w:t>
            </w:r>
            <w:r w:rsidR="004021B4">
              <w:t>dienests</w:t>
            </w:r>
            <w:r w:rsidR="00A15DCF">
              <w:t xml:space="preserve"> kontrolē zāļu atbilstību </w:t>
            </w:r>
            <w:r w:rsidR="00B63F2C" w:rsidRPr="000A3EAE">
              <w:rPr>
                <w:rFonts w:eastAsiaTheme="minorHAnsi"/>
                <w:lang w:eastAsia="en-US"/>
              </w:rPr>
              <w:t>Eiropas Parlamenta un Padomes 2016. gada 11. maija Regulas (ES)</w:t>
            </w:r>
            <w:r w:rsidR="001E0883">
              <w:rPr>
                <w:rFonts w:eastAsiaTheme="minorHAnsi"/>
                <w:lang w:eastAsia="en-US"/>
              </w:rPr>
              <w:t xml:space="preserve"> Nr.</w:t>
            </w:r>
            <w:r w:rsidR="00B63F2C" w:rsidRPr="000A3EAE">
              <w:rPr>
                <w:rFonts w:eastAsiaTheme="minorHAnsi"/>
                <w:lang w:eastAsia="en-US"/>
              </w:rPr>
              <w:t xml:space="preserve"> 2016/793 par izvairīšanos no dažu svarīgāko zāļu tirdzniecības novirzīšanas uz Eiropas Savienību (turpmāk – regula</w:t>
            </w:r>
            <w:r w:rsidR="00BC108F">
              <w:rPr>
                <w:rFonts w:eastAsiaTheme="minorHAnsi"/>
                <w:lang w:eastAsia="en-US"/>
              </w:rPr>
              <w:t xml:space="preserve"> Nr.</w:t>
            </w:r>
            <w:r w:rsidR="00B63F2C" w:rsidRPr="000A3EAE">
              <w:rPr>
                <w:rFonts w:eastAsiaTheme="minorHAnsi"/>
                <w:lang w:eastAsia="en-US"/>
              </w:rPr>
              <w:t>2016/793)</w:t>
            </w:r>
            <w:r w:rsidR="00B63F2C">
              <w:rPr>
                <w:rFonts w:eastAsiaTheme="minorHAnsi"/>
                <w:lang w:eastAsia="en-US"/>
              </w:rPr>
              <w:t xml:space="preserve"> </w:t>
            </w:r>
            <w:r w:rsidR="00A15DCF">
              <w:t xml:space="preserve">un </w:t>
            </w:r>
            <w:r w:rsidR="00B63F2C" w:rsidRPr="000A3EAE">
              <w:rPr>
                <w:rFonts w:eastAsiaTheme="minorHAnsi"/>
                <w:lang w:eastAsia="en-US"/>
              </w:rPr>
              <w:t>Eiropas Parlamenta un Padomes 2006. gada 17.</w:t>
            </w:r>
            <w:r w:rsidR="00B63F2C">
              <w:rPr>
                <w:rFonts w:eastAsiaTheme="minorHAnsi"/>
                <w:lang w:eastAsia="en-US"/>
              </w:rPr>
              <w:t xml:space="preserve"> </w:t>
            </w:r>
            <w:r w:rsidR="00B63F2C" w:rsidRPr="000A3EAE">
              <w:rPr>
                <w:rFonts w:eastAsiaTheme="minorHAnsi"/>
                <w:lang w:eastAsia="en-US"/>
              </w:rPr>
              <w:t xml:space="preserve">maija Regulas (EK) Nr. </w:t>
            </w:r>
            <w:hyperlink r:id="rId11" w:tgtFrame="_blank" w:history="1">
              <w:r w:rsidR="00B63F2C" w:rsidRPr="000A3EAE">
                <w:rPr>
                  <w:rFonts w:eastAsiaTheme="minorHAnsi"/>
                  <w:lang w:eastAsia="en-US"/>
                </w:rPr>
                <w:t>816/2006</w:t>
              </w:r>
            </w:hyperlink>
            <w:r w:rsidR="00B63F2C" w:rsidRPr="000A3EAE">
              <w:rPr>
                <w:rFonts w:eastAsiaTheme="minorHAnsi"/>
                <w:lang w:eastAsia="en-US"/>
              </w:rPr>
              <w:t xml:space="preserve"> </w:t>
            </w:r>
            <w:r w:rsidR="006D1F48" w:rsidRPr="006D1F48">
              <w:rPr>
                <w:rFonts w:eastAsiaTheme="minorHAnsi"/>
                <w:lang w:eastAsia="en-US"/>
              </w:rPr>
              <w:t xml:space="preserve">par patentu piespiedu licencēšanu attiecībā uz farmaceitisko produktu ražošanu eksportam uz valstīm, kurās ir sabiedrības veselības aizsardzības problēmas </w:t>
            </w:r>
            <w:r w:rsidR="00B63F2C" w:rsidRPr="000A3EAE">
              <w:rPr>
                <w:rFonts w:eastAsiaTheme="minorHAnsi"/>
                <w:lang w:eastAsia="en-US"/>
              </w:rPr>
              <w:t xml:space="preserve">(turpmāk </w:t>
            </w:r>
            <w:r w:rsidR="00D7161E">
              <w:rPr>
                <w:rFonts w:eastAsiaTheme="minorHAnsi"/>
                <w:lang w:eastAsia="en-US"/>
              </w:rPr>
              <w:t>–</w:t>
            </w:r>
            <w:r w:rsidR="00B63F2C" w:rsidRPr="000A3EAE">
              <w:rPr>
                <w:rFonts w:eastAsiaTheme="minorHAnsi"/>
                <w:lang w:eastAsia="en-US"/>
              </w:rPr>
              <w:t xml:space="preserve"> regula Nr. </w:t>
            </w:r>
            <w:hyperlink r:id="rId12" w:tgtFrame="_blank" w:history="1">
              <w:r w:rsidR="00B63F2C" w:rsidRPr="000A3EAE">
                <w:rPr>
                  <w:rFonts w:eastAsiaTheme="minorHAnsi"/>
                  <w:lang w:eastAsia="en-US"/>
                </w:rPr>
                <w:t>816/2006</w:t>
              </w:r>
            </w:hyperlink>
            <w:r w:rsidR="00B63F2C" w:rsidRPr="000A3EAE">
              <w:rPr>
                <w:rFonts w:eastAsiaTheme="minorHAnsi"/>
                <w:lang w:eastAsia="en-US"/>
              </w:rPr>
              <w:t>)</w:t>
            </w:r>
            <w:r w:rsidR="005424B4">
              <w:rPr>
                <w:rStyle w:val="Hipersaite"/>
                <w:color w:val="auto"/>
                <w:u w:val="none"/>
              </w:rPr>
              <w:t xml:space="preserve"> prasībām. </w:t>
            </w:r>
          </w:p>
          <w:p w14:paraId="56F21A9A" w14:textId="1F7E8571" w:rsidR="00534D00" w:rsidRDefault="00A15DCF">
            <w:pPr>
              <w:jc w:val="both"/>
            </w:pPr>
            <w:r w:rsidRPr="000448B6">
              <w:rPr>
                <w:rStyle w:val="Hipersaite"/>
                <w:color w:val="auto"/>
              </w:rPr>
              <w:t xml:space="preserve">Abas </w:t>
            </w:r>
            <w:r w:rsidR="005424B4" w:rsidRPr="000448B6">
              <w:rPr>
                <w:rStyle w:val="Hipersaite"/>
                <w:color w:val="auto"/>
              </w:rPr>
              <w:t xml:space="preserve">minētās </w:t>
            </w:r>
            <w:r w:rsidRPr="000448B6">
              <w:rPr>
                <w:rStyle w:val="Hipersaite"/>
                <w:color w:val="auto"/>
              </w:rPr>
              <w:t xml:space="preserve">regulas izstrādātas, lai </w:t>
            </w:r>
            <w:r w:rsidR="00DF0D31" w:rsidRPr="000448B6">
              <w:rPr>
                <w:rStyle w:val="Hipersaite"/>
                <w:color w:val="auto"/>
              </w:rPr>
              <w:t xml:space="preserve">novērstu </w:t>
            </w:r>
            <w:r w:rsidRPr="000448B6">
              <w:rPr>
                <w:rStyle w:val="Hipersaite"/>
                <w:color w:val="auto"/>
              </w:rPr>
              <w:t>krāpnieciskas darbības</w:t>
            </w:r>
            <w:r w:rsidR="00AC0F88" w:rsidRPr="000448B6">
              <w:rPr>
                <w:rStyle w:val="Hipersaite"/>
                <w:color w:val="auto"/>
              </w:rPr>
              <w:t xml:space="preserve"> ar zālēm</w:t>
            </w:r>
            <w:r w:rsidR="00B63F2C">
              <w:rPr>
                <w:color w:val="000000"/>
              </w:rPr>
              <w:t xml:space="preserve"> </w:t>
            </w:r>
            <w:r w:rsidR="007D2F21">
              <w:rPr>
                <w:color w:val="000000"/>
              </w:rPr>
              <w:t xml:space="preserve">un </w:t>
            </w:r>
            <w:r w:rsidR="00B63F2C">
              <w:rPr>
                <w:color w:val="000000"/>
              </w:rPr>
              <w:t>diferencētas cenas produktu</w:t>
            </w:r>
            <w:r w:rsidR="006D1F48">
              <w:rPr>
                <w:color w:val="000000"/>
              </w:rPr>
              <w:t xml:space="preserve"> vai </w:t>
            </w:r>
            <w:r w:rsidR="00FE57DA" w:rsidRPr="006D1F48">
              <w:rPr>
                <w:color w:val="000000"/>
              </w:rPr>
              <w:t>saskaņā ar piespiedu licenci</w:t>
            </w:r>
            <w:r w:rsidR="00FE57DA">
              <w:rPr>
                <w:color w:val="000000"/>
              </w:rPr>
              <w:t xml:space="preserve"> </w:t>
            </w:r>
            <w:r w:rsidR="00FE57DA" w:rsidRPr="006D1F48">
              <w:rPr>
                <w:color w:val="000000"/>
              </w:rPr>
              <w:t>eksportam</w:t>
            </w:r>
            <w:r w:rsidR="00FE57DA">
              <w:rPr>
                <w:color w:val="000000"/>
              </w:rPr>
              <w:t xml:space="preserve"> ražotu </w:t>
            </w:r>
            <w:r w:rsidR="006D1F48">
              <w:rPr>
                <w:color w:val="000000"/>
              </w:rPr>
              <w:t>produktu</w:t>
            </w:r>
            <w:r w:rsidR="006D1F48" w:rsidRPr="006D1F48">
              <w:rPr>
                <w:color w:val="000000"/>
              </w:rPr>
              <w:t xml:space="preserve"> </w:t>
            </w:r>
            <w:r w:rsidR="00B63F2C">
              <w:rPr>
                <w:color w:val="000000"/>
              </w:rPr>
              <w:t>ievešanu E</w:t>
            </w:r>
            <w:r w:rsidR="006D1F48">
              <w:rPr>
                <w:color w:val="000000"/>
              </w:rPr>
              <w:t>iropas S</w:t>
            </w:r>
            <w:r w:rsidR="00B63F2C">
              <w:rPr>
                <w:color w:val="000000"/>
              </w:rPr>
              <w:t>avienībā.</w:t>
            </w:r>
            <w:r w:rsidR="00AC0F88">
              <w:rPr>
                <w:rStyle w:val="Hipersaite"/>
                <w:color w:val="auto"/>
                <w:u w:val="none"/>
              </w:rPr>
              <w:t xml:space="preserve"> </w:t>
            </w:r>
            <w:r w:rsidR="00B63F2C" w:rsidRPr="00A15DCF">
              <w:t>Regula</w:t>
            </w:r>
            <w:r w:rsidR="00B63F2C">
              <w:t xml:space="preserve">s </w:t>
            </w:r>
            <w:r w:rsidR="00534D00">
              <w:t xml:space="preserve">Nr. </w:t>
            </w:r>
            <w:r w:rsidR="00B63F2C" w:rsidRPr="00A15DCF">
              <w:t>2016/793</w:t>
            </w:r>
            <w:r w:rsidR="00B63F2C">
              <w:t xml:space="preserve"> 1. un 9. pantā un </w:t>
            </w:r>
            <w:r w:rsidR="00534D00">
              <w:t>r</w:t>
            </w:r>
            <w:r w:rsidR="00B63F2C" w:rsidRPr="00B63F2C">
              <w:t xml:space="preserve">egulas </w:t>
            </w:r>
          </w:p>
          <w:p w14:paraId="2BC826EF" w14:textId="33E2315D" w:rsidR="00B63F2C" w:rsidRPr="006D1F48" w:rsidRDefault="00534D00">
            <w:pPr>
              <w:jc w:val="both"/>
              <w:rPr>
                <w:rStyle w:val="Hipersaite"/>
                <w:color w:val="auto"/>
                <w:u w:val="none"/>
              </w:rPr>
            </w:pPr>
            <w:r>
              <w:t xml:space="preserve">Nr. </w:t>
            </w:r>
            <w:r w:rsidR="00B63F2C" w:rsidRPr="00B63F2C">
              <w:t>816/2006</w:t>
            </w:r>
            <w:r w:rsidR="00B63F2C">
              <w:t xml:space="preserve"> </w:t>
            </w:r>
            <w:r w:rsidR="006D1F48">
              <w:t xml:space="preserve">14. </w:t>
            </w:r>
            <w:r w:rsidR="00B63F2C">
              <w:t>pant</w:t>
            </w:r>
            <w:r w:rsidR="006D1F48">
              <w:t>ā</w:t>
            </w:r>
            <w:r w:rsidR="00C1044C" w:rsidRPr="006D1F48">
              <w:rPr>
                <w:rStyle w:val="Hipersaite"/>
                <w:color w:val="auto"/>
                <w:u w:val="none"/>
              </w:rPr>
              <w:t xml:space="preserve"> </w:t>
            </w:r>
            <w:r w:rsidR="001E0883">
              <w:rPr>
                <w:rStyle w:val="Hipersaite"/>
                <w:color w:val="auto"/>
                <w:u w:val="none"/>
              </w:rPr>
              <w:t xml:space="preserve">nepārprotami </w:t>
            </w:r>
            <w:r w:rsidR="00C1044C" w:rsidRPr="006D1F48">
              <w:rPr>
                <w:rStyle w:val="Hipersaite"/>
                <w:color w:val="auto"/>
                <w:u w:val="none"/>
              </w:rPr>
              <w:t>norādīts, ka par re</w:t>
            </w:r>
            <w:r w:rsidR="00180257" w:rsidRPr="006D1F48">
              <w:rPr>
                <w:rStyle w:val="Hipersaite"/>
                <w:color w:val="auto"/>
                <w:u w:val="none"/>
              </w:rPr>
              <w:t xml:space="preserve">gulas prasību izpildi </w:t>
            </w:r>
            <w:r w:rsidR="00FE57DA">
              <w:rPr>
                <w:rStyle w:val="Hipersaite"/>
                <w:color w:val="auto"/>
                <w:u w:val="none"/>
              </w:rPr>
              <w:t xml:space="preserve">ir </w:t>
            </w:r>
            <w:r w:rsidR="00180257" w:rsidRPr="006D1F48">
              <w:rPr>
                <w:rStyle w:val="Hipersaite"/>
                <w:color w:val="auto"/>
                <w:u w:val="none"/>
              </w:rPr>
              <w:t>atbildīga</w:t>
            </w:r>
            <w:r w:rsidR="00C1044C" w:rsidRPr="006D1F48">
              <w:rPr>
                <w:rStyle w:val="Hipersaite"/>
                <w:color w:val="auto"/>
                <w:u w:val="none"/>
              </w:rPr>
              <w:t xml:space="preserve"> muitas iestāde sadarbībā ar </w:t>
            </w:r>
            <w:r w:rsidR="001E0883">
              <w:rPr>
                <w:rStyle w:val="Hipersaite"/>
                <w:color w:val="auto"/>
                <w:u w:val="none"/>
              </w:rPr>
              <w:t xml:space="preserve">zāļu </w:t>
            </w:r>
            <w:r w:rsidR="00C1044C" w:rsidRPr="006D1F48">
              <w:rPr>
                <w:rStyle w:val="Hipersaite"/>
                <w:color w:val="auto"/>
                <w:u w:val="none"/>
              </w:rPr>
              <w:t>tirgus uzraudzības iestādi.</w:t>
            </w:r>
          </w:p>
          <w:p w14:paraId="388A6B2D" w14:textId="2E1DA664" w:rsidR="001E0883" w:rsidRPr="000448B6" w:rsidRDefault="00AC0F88">
            <w:pPr>
              <w:jc w:val="both"/>
              <w:rPr>
                <w:rStyle w:val="Hipersaite"/>
                <w:color w:val="auto"/>
              </w:rPr>
            </w:pPr>
            <w:r>
              <w:rPr>
                <w:rStyle w:val="Hipersaite"/>
                <w:color w:val="auto"/>
                <w:u w:val="none"/>
              </w:rPr>
              <w:t>Saskaņā ar Muitas kodeksa</w:t>
            </w:r>
            <w:r w:rsidR="00DF0D31">
              <w:rPr>
                <w:rStyle w:val="Hipersaite"/>
                <w:color w:val="auto"/>
                <w:u w:val="none"/>
              </w:rPr>
              <w:t xml:space="preserve"> 3.</w:t>
            </w:r>
            <w:r>
              <w:rPr>
                <w:rStyle w:val="Hipersaite"/>
                <w:color w:val="auto"/>
                <w:u w:val="none"/>
              </w:rPr>
              <w:t xml:space="preserve"> </w:t>
            </w:r>
            <w:r w:rsidR="00DF0D31">
              <w:rPr>
                <w:rStyle w:val="Hipersaite"/>
                <w:color w:val="auto"/>
                <w:u w:val="none"/>
              </w:rPr>
              <w:t>panta</w:t>
            </w:r>
            <w:r>
              <w:rPr>
                <w:rStyle w:val="Hipersaite"/>
                <w:color w:val="auto"/>
                <w:u w:val="none"/>
              </w:rPr>
              <w:t xml:space="preserve"> </w:t>
            </w:r>
            <w:r w:rsidR="00D7161E">
              <w:rPr>
                <w:rStyle w:val="Hipersaite"/>
                <w:color w:val="auto"/>
                <w:u w:val="none"/>
              </w:rPr>
              <w:t>“</w:t>
            </w:r>
            <w:r>
              <w:rPr>
                <w:rStyle w:val="Hipersaite"/>
                <w:color w:val="auto"/>
                <w:u w:val="none"/>
              </w:rPr>
              <w:t>b</w:t>
            </w:r>
            <w:r w:rsidR="00D7161E">
              <w:rPr>
                <w:rStyle w:val="Hipersaite"/>
                <w:color w:val="auto"/>
                <w:u w:val="none"/>
              </w:rPr>
              <w:t>”</w:t>
            </w:r>
            <w:r>
              <w:rPr>
                <w:rStyle w:val="Hipersaite"/>
                <w:color w:val="auto"/>
                <w:u w:val="none"/>
              </w:rPr>
              <w:t xml:space="preserve"> apakšpunktu </w:t>
            </w:r>
            <w:r w:rsidR="00B63F2C" w:rsidRPr="000448B6">
              <w:rPr>
                <w:rStyle w:val="Hipersaite"/>
                <w:color w:val="auto"/>
              </w:rPr>
              <w:t>muitas</w:t>
            </w:r>
            <w:proofErr w:type="gramStart"/>
            <w:r w:rsidR="00B63F2C" w:rsidRPr="000448B6">
              <w:rPr>
                <w:rStyle w:val="Hipersaite"/>
                <w:color w:val="auto"/>
              </w:rPr>
              <w:t xml:space="preserve">  </w:t>
            </w:r>
            <w:proofErr w:type="gramEnd"/>
            <w:r w:rsidR="00B63F2C" w:rsidRPr="000448B6">
              <w:rPr>
                <w:rStyle w:val="Hipersaite"/>
                <w:color w:val="auto"/>
              </w:rPr>
              <w:t>iestādes</w:t>
            </w:r>
            <w:r w:rsidR="00DF0D31" w:rsidRPr="000448B6">
              <w:rPr>
                <w:rStyle w:val="Hipersaite"/>
                <w:color w:val="auto"/>
              </w:rPr>
              <w:t xml:space="preserve"> uzdevums ir aizsargāt </w:t>
            </w:r>
            <w:r w:rsidR="00D7161E" w:rsidRPr="000448B6">
              <w:rPr>
                <w:rStyle w:val="Hipersaite"/>
                <w:color w:val="auto"/>
              </w:rPr>
              <w:t>ES</w:t>
            </w:r>
            <w:r w:rsidR="00DF0D31" w:rsidRPr="000448B6">
              <w:rPr>
                <w:rStyle w:val="Hipersaite"/>
                <w:color w:val="auto"/>
              </w:rPr>
              <w:t xml:space="preserve"> pret negodīgu un nelikumīgu tirdzniecību</w:t>
            </w:r>
            <w:r w:rsidR="00FE57DA">
              <w:rPr>
                <w:rStyle w:val="Hipersaite"/>
                <w:color w:val="auto"/>
              </w:rPr>
              <w:t>, kā arī</w:t>
            </w:r>
            <w:r w:rsidR="00DF0D31" w:rsidRPr="000448B6">
              <w:rPr>
                <w:rStyle w:val="Hipersaite"/>
                <w:color w:val="auto"/>
              </w:rPr>
              <w:t xml:space="preserve"> aizsargāt Savienības un tās dalībvalstu fi</w:t>
            </w:r>
            <w:r w:rsidR="001E0883" w:rsidRPr="000448B6">
              <w:rPr>
                <w:rStyle w:val="Hipersaite"/>
                <w:color w:val="auto"/>
              </w:rPr>
              <w:t>nanšu intereses.</w:t>
            </w:r>
          </w:p>
          <w:p w14:paraId="313E7AB6" w14:textId="384D35A8" w:rsidR="00DF0D31" w:rsidRDefault="00FE57DA">
            <w:pPr>
              <w:jc w:val="both"/>
              <w:rPr>
                <w:rStyle w:val="Hipersaite"/>
                <w:color w:val="auto"/>
                <w:u w:val="none"/>
              </w:rPr>
            </w:pPr>
            <w:r>
              <w:rPr>
                <w:rStyle w:val="Hipersaite"/>
                <w:color w:val="auto"/>
                <w:u w:val="none"/>
              </w:rPr>
              <w:t>Ie</w:t>
            </w:r>
            <w:r w:rsidR="001E0883">
              <w:rPr>
                <w:rStyle w:val="Hipersaite"/>
                <w:color w:val="auto"/>
                <w:u w:val="none"/>
              </w:rPr>
              <w:t>vēr</w:t>
            </w:r>
            <w:r>
              <w:rPr>
                <w:rStyle w:val="Hipersaite"/>
                <w:color w:val="auto"/>
                <w:u w:val="none"/>
              </w:rPr>
              <w:t>ojot</w:t>
            </w:r>
            <w:r w:rsidR="005424B4">
              <w:rPr>
                <w:rStyle w:val="Hipersaite"/>
                <w:color w:val="auto"/>
                <w:u w:val="none"/>
              </w:rPr>
              <w:t xml:space="preserve"> </w:t>
            </w:r>
            <w:r w:rsidR="00F26B1A">
              <w:rPr>
                <w:rStyle w:val="Hipersaite"/>
                <w:color w:val="auto"/>
                <w:u w:val="none"/>
              </w:rPr>
              <w:t>min</w:t>
            </w:r>
            <w:r w:rsidR="00E15783">
              <w:rPr>
                <w:rStyle w:val="Hipersaite"/>
                <w:color w:val="auto"/>
                <w:u w:val="none"/>
              </w:rPr>
              <w:t xml:space="preserve">ēto, </w:t>
            </w:r>
            <w:r w:rsidR="005424B4" w:rsidRPr="000448B6">
              <w:rPr>
                <w:rStyle w:val="Hipersaite"/>
                <w:color w:val="auto"/>
              </w:rPr>
              <w:t>noteikumu proj</w:t>
            </w:r>
            <w:r w:rsidR="00DF0D31" w:rsidRPr="000448B6">
              <w:rPr>
                <w:rStyle w:val="Hipersaite"/>
                <w:color w:val="auto"/>
              </w:rPr>
              <w:t>e</w:t>
            </w:r>
            <w:r w:rsidR="005424B4" w:rsidRPr="000448B6">
              <w:rPr>
                <w:rStyle w:val="Hipersaite"/>
                <w:color w:val="auto"/>
              </w:rPr>
              <w:t>k</w:t>
            </w:r>
            <w:r w:rsidR="00DF0D31" w:rsidRPr="000448B6">
              <w:rPr>
                <w:rStyle w:val="Hipersaite"/>
                <w:color w:val="auto"/>
              </w:rPr>
              <w:t xml:space="preserve">tā </w:t>
            </w:r>
            <w:r w:rsidR="0041156D" w:rsidRPr="000448B6">
              <w:rPr>
                <w:rStyle w:val="Hipersaite"/>
                <w:color w:val="auto"/>
              </w:rPr>
              <w:t xml:space="preserve">noteikta </w:t>
            </w:r>
            <w:r w:rsidR="00DF0D31" w:rsidRPr="000448B6">
              <w:rPr>
                <w:rStyle w:val="Hipersaite"/>
                <w:color w:val="auto"/>
              </w:rPr>
              <w:t xml:space="preserve">muitas iestādes </w:t>
            </w:r>
            <w:r w:rsidR="0041156D" w:rsidRPr="000448B6">
              <w:rPr>
                <w:rStyle w:val="Hipersaite"/>
                <w:color w:val="auto"/>
              </w:rPr>
              <w:t>kompetence</w:t>
            </w:r>
            <w:r w:rsidR="001E0883" w:rsidRPr="000448B6">
              <w:rPr>
                <w:rStyle w:val="Hipersaite"/>
                <w:color w:val="auto"/>
              </w:rPr>
              <w:t xml:space="preserve"> kontrolēt</w:t>
            </w:r>
            <w:r w:rsidR="0041156D" w:rsidRPr="000448B6">
              <w:rPr>
                <w:rStyle w:val="Hipersaite"/>
                <w:color w:val="auto"/>
              </w:rPr>
              <w:t xml:space="preserve"> </w:t>
            </w:r>
            <w:r w:rsidR="00DF0D31" w:rsidRPr="000448B6">
              <w:rPr>
                <w:rStyle w:val="Hipersaite"/>
                <w:color w:val="auto"/>
              </w:rPr>
              <w:t xml:space="preserve">zāļu </w:t>
            </w:r>
            <w:r w:rsidR="004021B4" w:rsidRPr="000448B6">
              <w:rPr>
                <w:rStyle w:val="Hipersaite"/>
                <w:color w:val="auto"/>
              </w:rPr>
              <w:t xml:space="preserve">kravu </w:t>
            </w:r>
            <w:r w:rsidR="00DF0D31" w:rsidRPr="000448B6">
              <w:rPr>
                <w:rStyle w:val="Hipersaite"/>
                <w:color w:val="auto"/>
              </w:rPr>
              <w:t>importa atbilstīb</w:t>
            </w:r>
            <w:r w:rsidR="001E0883" w:rsidRPr="000448B6">
              <w:rPr>
                <w:rStyle w:val="Hipersaite"/>
                <w:color w:val="auto"/>
              </w:rPr>
              <w:t>u</w:t>
            </w:r>
            <w:r w:rsidR="00DF0D31" w:rsidRPr="000448B6">
              <w:rPr>
                <w:rStyle w:val="Hipersaite"/>
                <w:color w:val="auto"/>
              </w:rPr>
              <w:t xml:space="preserve"> </w:t>
            </w:r>
            <w:r>
              <w:t>r</w:t>
            </w:r>
            <w:r w:rsidR="00DF0D31" w:rsidRPr="000448B6">
              <w:rPr>
                <w:u w:val="single"/>
              </w:rPr>
              <w:t xml:space="preserve">egulas </w:t>
            </w:r>
            <w:r w:rsidR="00534D00">
              <w:rPr>
                <w:u w:val="single"/>
              </w:rPr>
              <w:t xml:space="preserve">Nr. </w:t>
            </w:r>
            <w:r w:rsidR="00DF0D31" w:rsidRPr="000448B6">
              <w:rPr>
                <w:u w:val="single"/>
              </w:rPr>
              <w:t xml:space="preserve">2016/793 un </w:t>
            </w:r>
            <w:r>
              <w:rPr>
                <w:u w:val="single"/>
              </w:rPr>
              <w:t>r</w:t>
            </w:r>
            <w:r w:rsidR="001E0883" w:rsidRPr="000448B6">
              <w:rPr>
                <w:u w:val="single"/>
              </w:rPr>
              <w:t xml:space="preserve">egulas </w:t>
            </w:r>
            <w:r w:rsidR="00534D00">
              <w:rPr>
                <w:u w:val="single"/>
              </w:rPr>
              <w:t xml:space="preserve">Nr. </w:t>
            </w:r>
            <w:hyperlink r:id="rId13" w:history="1">
              <w:r w:rsidR="00DF0D31" w:rsidRPr="000448B6">
                <w:rPr>
                  <w:rStyle w:val="Hipersaite"/>
                  <w:color w:val="auto"/>
                </w:rPr>
                <w:t>816/2006</w:t>
              </w:r>
            </w:hyperlink>
            <w:r w:rsidR="00DF0D31" w:rsidRPr="000448B6">
              <w:rPr>
                <w:u w:val="single"/>
              </w:rPr>
              <w:t xml:space="preserve"> prasībām</w:t>
            </w:r>
            <w:r w:rsidR="00DF0D31">
              <w:rPr>
                <w:rStyle w:val="Hipersaite"/>
                <w:color w:val="auto"/>
                <w:u w:val="none"/>
              </w:rPr>
              <w:t xml:space="preserve">. </w:t>
            </w:r>
          </w:p>
          <w:p w14:paraId="65D13EF6" w14:textId="77777777" w:rsidR="00F26B1A" w:rsidRDefault="00F26B1A">
            <w:pPr>
              <w:jc w:val="both"/>
              <w:rPr>
                <w:rStyle w:val="Hipersaite"/>
                <w:color w:val="auto"/>
                <w:u w:val="none"/>
              </w:rPr>
            </w:pPr>
          </w:p>
          <w:p w14:paraId="399C026C" w14:textId="02AFF395" w:rsidR="00273EE9" w:rsidRDefault="00F26B1A">
            <w:pPr>
              <w:jc w:val="both"/>
            </w:pPr>
            <w:r>
              <w:t xml:space="preserve">3. </w:t>
            </w:r>
            <w:r w:rsidR="00273EE9" w:rsidRPr="00273EE9">
              <w:t>Noteikum</w:t>
            </w:r>
            <w:r w:rsidR="0075306E">
              <w:t>u</w:t>
            </w:r>
            <w:r w:rsidR="00273EE9" w:rsidRPr="00273EE9">
              <w:t xml:space="preserve"> Nr.436 </w:t>
            </w:r>
            <w:r w:rsidR="0075306E">
              <w:t xml:space="preserve">41. punktā </w:t>
            </w:r>
            <w:r w:rsidR="00273EE9" w:rsidRPr="00273EE9">
              <w:t xml:space="preserve">noteikts, ka </w:t>
            </w:r>
            <w:r w:rsidR="004021B4">
              <w:t xml:space="preserve">dienests </w:t>
            </w:r>
            <w:r w:rsidR="00273EE9" w:rsidRPr="00273EE9">
              <w:t xml:space="preserve">kontrolē zāļu </w:t>
            </w:r>
            <w:r w:rsidR="003D1E6F">
              <w:t>viltojumus.</w:t>
            </w:r>
            <w:r w:rsidR="00273EE9" w:rsidRPr="00273EE9">
              <w:t xml:space="preserve"> Savuk</w:t>
            </w:r>
            <w:r w:rsidR="00273EE9">
              <w:t xml:space="preserve">ārt </w:t>
            </w:r>
            <w:r w:rsidR="00273EE9" w:rsidRPr="00273EE9">
              <w:t>Ministru kabineta</w:t>
            </w:r>
            <w:r w:rsidR="00273EE9">
              <w:t xml:space="preserve"> 2017. gada 8. augusta noteikumos</w:t>
            </w:r>
            <w:r w:rsidR="00273EE9" w:rsidRPr="00273EE9">
              <w:t xml:space="preserve"> Nr. 468 “Noteikumi par atsevišķiem muitas kontroles veidiem”</w:t>
            </w:r>
            <w:r w:rsidR="00273EE9">
              <w:t xml:space="preserve"> </w:t>
            </w:r>
            <w:r w:rsidR="00273EE9" w:rsidRPr="00E15783">
              <w:rPr>
                <w:u w:val="single"/>
              </w:rPr>
              <w:t>ir noteikta muitas iestādes kompetence intelektuālo</w:t>
            </w:r>
            <w:r w:rsidR="003D1E6F" w:rsidRPr="00E15783">
              <w:rPr>
                <w:u w:val="single"/>
              </w:rPr>
              <w:t xml:space="preserve"> īpašuma</w:t>
            </w:r>
            <w:r w:rsidR="00273EE9" w:rsidRPr="00E15783">
              <w:rPr>
                <w:u w:val="single"/>
              </w:rPr>
              <w:t xml:space="preserve"> tiesību aizsardzībā</w:t>
            </w:r>
            <w:r w:rsidR="00273EE9">
              <w:t xml:space="preserve"> saskaņā ar Eiropas Parlamenta un P</w:t>
            </w:r>
            <w:r w:rsidR="00273EE9" w:rsidRPr="00273EE9">
              <w:t xml:space="preserve">adomes </w:t>
            </w:r>
            <w:r w:rsidR="00273EE9">
              <w:t>2013. gada 12. jūnija</w:t>
            </w:r>
            <w:r w:rsidR="00273EE9" w:rsidRPr="00273EE9">
              <w:t xml:space="preserve"> </w:t>
            </w:r>
            <w:r w:rsidR="00FE57DA">
              <w:t>R</w:t>
            </w:r>
            <w:r w:rsidR="00273EE9" w:rsidRPr="00273EE9">
              <w:t>egu</w:t>
            </w:r>
            <w:r w:rsidR="00273EE9">
              <w:t>lu Nr. 608/2013</w:t>
            </w:r>
            <w:r w:rsidR="00273EE9" w:rsidRPr="00273EE9">
              <w:t xml:space="preserve"> par muitas darbu intelektuālā īpašuma tiesību īstenošanā</w:t>
            </w:r>
            <w:r w:rsidR="003D1E6F">
              <w:t>, tostarp viltotu preču kontrolē.</w:t>
            </w:r>
          </w:p>
          <w:p w14:paraId="2BCF773B" w14:textId="3829A55F" w:rsidR="00AC0F88" w:rsidRPr="00E15783" w:rsidRDefault="003D1E6F">
            <w:pPr>
              <w:jc w:val="both"/>
              <w:rPr>
                <w:u w:val="single"/>
              </w:rPr>
            </w:pPr>
            <w:r>
              <w:t xml:space="preserve">Tādēļ noteikumu projektā </w:t>
            </w:r>
            <w:r w:rsidR="0041156D" w:rsidRPr="00E15783">
              <w:rPr>
                <w:u w:val="single"/>
              </w:rPr>
              <w:t xml:space="preserve">muitas iestādei </w:t>
            </w:r>
            <w:r w:rsidRPr="00E15783">
              <w:rPr>
                <w:u w:val="single"/>
              </w:rPr>
              <w:t xml:space="preserve">noteikta </w:t>
            </w:r>
            <w:r w:rsidR="005424B4" w:rsidRPr="00E15783">
              <w:rPr>
                <w:u w:val="single"/>
              </w:rPr>
              <w:t xml:space="preserve">kompetence </w:t>
            </w:r>
            <w:r w:rsidRPr="00E15783">
              <w:rPr>
                <w:u w:val="single"/>
              </w:rPr>
              <w:t xml:space="preserve">kontrolēt </w:t>
            </w:r>
            <w:r w:rsidR="00AC0F88" w:rsidRPr="00E15783">
              <w:rPr>
                <w:u w:val="single"/>
              </w:rPr>
              <w:t>zāļu viltojumus</w:t>
            </w:r>
            <w:r w:rsidRPr="00E15783">
              <w:rPr>
                <w:u w:val="single"/>
              </w:rPr>
              <w:t>.</w:t>
            </w:r>
          </w:p>
          <w:p w14:paraId="0DE1CEF6" w14:textId="77777777" w:rsidR="00F26B1A" w:rsidRDefault="00F26B1A">
            <w:pPr>
              <w:jc w:val="both"/>
            </w:pPr>
          </w:p>
          <w:p w14:paraId="0082F332" w14:textId="03BE20D1" w:rsidR="00A15DCF" w:rsidRDefault="00F26B1A">
            <w:pPr>
              <w:jc w:val="both"/>
            </w:pPr>
            <w:r>
              <w:t xml:space="preserve">4. </w:t>
            </w:r>
            <w:r w:rsidR="00AC0F88">
              <w:t>Noteikumu</w:t>
            </w:r>
            <w:r w:rsidR="006450FB">
              <w:t xml:space="preserve"> Nr.436 26. punkt</w:t>
            </w:r>
            <w:r w:rsidR="00DF0D31">
              <w:t xml:space="preserve">ā </w:t>
            </w:r>
            <w:r w:rsidR="006450FB">
              <w:t xml:space="preserve">noteiks, ka </w:t>
            </w:r>
            <w:r w:rsidR="004021B4">
              <w:t>dienests</w:t>
            </w:r>
            <w:r w:rsidR="006450FB">
              <w:t xml:space="preserve"> kontrolē narkotisko un psihotropo zāļu importa atbilstību no</w:t>
            </w:r>
            <w:r w:rsidR="004021B4">
              <w:t xml:space="preserve">rmatīvo aktu prasībām </w:t>
            </w:r>
            <w:r w:rsidR="006450FB">
              <w:t>uz valsts robežas</w:t>
            </w:r>
            <w:r w:rsidR="00E15783">
              <w:t>.</w:t>
            </w:r>
          </w:p>
          <w:p w14:paraId="3AB883BB" w14:textId="2FFDAE2B" w:rsidR="006450FB" w:rsidRDefault="00A15DCF">
            <w:pPr>
              <w:jc w:val="both"/>
            </w:pPr>
            <w:r>
              <w:t>N</w:t>
            </w:r>
            <w:r w:rsidR="006450FB">
              <w:t>arkotisko un psihotropo zāļu</w:t>
            </w:r>
            <w:r w:rsidR="006450FB" w:rsidRPr="006450FB">
              <w:t xml:space="preserve"> ievešanas un izvešanas prasības ir regulētas likumā </w:t>
            </w:r>
            <w:r w:rsidR="00D7161E">
              <w:t>“</w:t>
            </w:r>
            <w:r w:rsidR="006450FB" w:rsidRPr="006450FB">
              <w:t>Par narkotisko un psihotropo vielu un zāļu likumīgās aprites kārtību</w:t>
            </w:r>
            <w:r w:rsidR="00D7161E">
              <w:t>”</w:t>
            </w:r>
            <w:r w:rsidR="006450FB" w:rsidRPr="006450FB">
              <w:t>. Saskaņā ar attiecīgā likuma 21.</w:t>
            </w:r>
            <w:r w:rsidR="00D7161E">
              <w:t> </w:t>
            </w:r>
            <w:r w:rsidR="006450FB" w:rsidRPr="006450FB">
              <w:t xml:space="preserve">pantu, narkotisko un psihotropo vielu un zāļu importa un eksporta kontroli nodrošina muitas </w:t>
            </w:r>
            <w:r w:rsidR="005424B4">
              <w:t>iestāde</w:t>
            </w:r>
            <w:r w:rsidR="006450FB" w:rsidRPr="006450FB">
              <w:t>.</w:t>
            </w:r>
            <w:r w:rsidR="006450FB">
              <w:t xml:space="preserve"> </w:t>
            </w:r>
          </w:p>
          <w:p w14:paraId="764CDEC6" w14:textId="77777777" w:rsidR="007C429C" w:rsidRDefault="007C429C">
            <w:pPr>
              <w:jc w:val="both"/>
              <w:rPr>
                <w:rFonts w:eastAsia="Calibri"/>
                <w:i/>
                <w:lang w:eastAsia="en-US"/>
              </w:rPr>
            </w:pPr>
          </w:p>
          <w:p w14:paraId="53A26A1C" w14:textId="0B3D161E" w:rsidR="003D1E6F" w:rsidRDefault="00A15DCF">
            <w:pPr>
              <w:jc w:val="both"/>
              <w:rPr>
                <w:rFonts w:eastAsia="Calibri"/>
                <w:lang w:eastAsia="en-US"/>
              </w:rPr>
            </w:pPr>
            <w:r>
              <w:rPr>
                <w:rFonts w:eastAsia="Calibri"/>
                <w:lang w:eastAsia="en-US"/>
              </w:rPr>
              <w:t xml:space="preserve">Noteikumu projektā </w:t>
            </w:r>
            <w:r w:rsidRPr="00E15783">
              <w:rPr>
                <w:rFonts w:eastAsia="Calibri"/>
                <w:u w:val="single"/>
                <w:lang w:eastAsia="en-US"/>
              </w:rPr>
              <w:t>noteikta muitas iestādes kompetence narkotisko un psihotropo vielu kontrolē</w:t>
            </w:r>
            <w:r w:rsidR="0041156D">
              <w:rPr>
                <w:rFonts w:eastAsia="Calibri"/>
                <w:lang w:eastAsia="en-US"/>
              </w:rPr>
              <w:t xml:space="preserve"> atbilstoši likuma “Par narkotisko un psihotropo zāļu un vielu likumīgās aprites kārtību” 21. pantam</w:t>
            </w:r>
            <w:r w:rsidR="00F26B1A">
              <w:rPr>
                <w:rFonts w:eastAsia="Calibri"/>
                <w:lang w:eastAsia="en-US"/>
              </w:rPr>
              <w:t>.</w:t>
            </w:r>
          </w:p>
          <w:p w14:paraId="41863505" w14:textId="77777777" w:rsidR="00F26B1A" w:rsidRPr="004218E4" w:rsidRDefault="00F26B1A">
            <w:pPr>
              <w:jc w:val="both"/>
              <w:rPr>
                <w:rFonts w:eastAsia="Calibri"/>
                <w:lang w:eastAsia="en-US"/>
              </w:rPr>
            </w:pPr>
          </w:p>
          <w:p w14:paraId="2EF05EB8" w14:textId="332055B9" w:rsidR="00E15783" w:rsidRPr="004218E4" w:rsidRDefault="00F26B1A">
            <w:pPr>
              <w:jc w:val="both"/>
              <w:rPr>
                <w:rFonts w:eastAsia="Calibri"/>
                <w:lang w:eastAsia="en-US"/>
              </w:rPr>
            </w:pPr>
            <w:r w:rsidRPr="004218E4">
              <w:rPr>
                <w:rFonts w:eastAsia="Calibri"/>
                <w:lang w:eastAsia="en-US"/>
              </w:rPr>
              <w:t>5. Noteikumu Nr.436 4.punktā noteikts, ka zāļu, tostarp narkotisko un psihotropo zāļu</w:t>
            </w:r>
            <w:r w:rsidR="00FE57DA">
              <w:rPr>
                <w:rFonts w:eastAsia="Calibri"/>
                <w:lang w:eastAsia="en-US"/>
              </w:rPr>
              <w:t>,</w:t>
            </w:r>
            <w:r w:rsidRPr="004218E4">
              <w:rPr>
                <w:rFonts w:eastAsia="Calibri"/>
                <w:lang w:eastAsia="en-US"/>
              </w:rPr>
              <w:t xml:space="preserve"> </w:t>
            </w:r>
            <w:r w:rsidRPr="004218E4">
              <w:rPr>
                <w:rFonts w:eastAsia="Calibri"/>
                <w:u w:val="single"/>
                <w:lang w:eastAsia="en-US"/>
              </w:rPr>
              <w:t>imports un eksports</w:t>
            </w:r>
            <w:r w:rsidRPr="004218E4">
              <w:rPr>
                <w:rFonts w:eastAsia="Calibri"/>
                <w:lang w:eastAsia="en-US"/>
              </w:rPr>
              <w:t xml:space="preserve"> atļauts caur muitas kontroles punktiem, k</w:t>
            </w:r>
            <w:r w:rsidR="00FE57DA">
              <w:rPr>
                <w:rFonts w:eastAsia="Calibri"/>
                <w:lang w:eastAsia="en-US"/>
              </w:rPr>
              <w:t>as</w:t>
            </w:r>
            <w:r w:rsidRPr="004218E4">
              <w:rPr>
                <w:rFonts w:eastAsia="Calibri"/>
                <w:lang w:eastAsia="en-US"/>
              </w:rPr>
              <w:t xml:space="preserve"> minēti normatīvajos aktos par valsts robežas šķērsošanas vietu noteikšanu un robežkontroles punktu un robežpārejas punktu izvietojumu uz Latvijas Republikas valsts robežas. </w:t>
            </w:r>
          </w:p>
          <w:p w14:paraId="12136C74" w14:textId="7518DA9F" w:rsidR="00E15783" w:rsidRPr="004218E4" w:rsidRDefault="00F26B1A">
            <w:pPr>
              <w:jc w:val="both"/>
              <w:rPr>
                <w:rFonts w:eastAsia="Calibri"/>
                <w:lang w:eastAsia="en-US"/>
              </w:rPr>
            </w:pPr>
            <w:r w:rsidRPr="004218E4">
              <w:rPr>
                <w:rFonts w:eastAsia="Calibri"/>
                <w:lang w:eastAsia="en-US"/>
              </w:rPr>
              <w:lastRenderedPageBreak/>
              <w:t>2010. gada 27. jūlijā ir st</w:t>
            </w:r>
            <w:r w:rsidR="00E15783" w:rsidRPr="004218E4">
              <w:rPr>
                <w:rFonts w:eastAsia="Calibri"/>
                <w:lang w:eastAsia="en-US"/>
              </w:rPr>
              <w:t>ājuši</w:t>
            </w:r>
            <w:r w:rsidRPr="004218E4">
              <w:rPr>
                <w:rFonts w:eastAsia="Calibri"/>
                <w:lang w:eastAsia="en-US"/>
              </w:rPr>
              <w:t>es spēkā Ministru kabineta noteikumi</w:t>
            </w:r>
            <w:proofErr w:type="gramStart"/>
            <w:r w:rsidRPr="004218E4">
              <w:rPr>
                <w:rFonts w:eastAsia="Calibri"/>
                <w:lang w:eastAsia="en-US"/>
              </w:rPr>
              <w:t xml:space="preserve">  </w:t>
            </w:r>
            <w:proofErr w:type="gramEnd"/>
            <w:r w:rsidRPr="004218E4">
              <w:rPr>
                <w:rFonts w:eastAsia="Calibri"/>
                <w:lang w:eastAsia="en-US"/>
              </w:rPr>
              <w:t>Nr. 704 ”Noteikumi par robežšķērsošanas vietām un tajās veicamajām pārbaudēm”</w:t>
            </w:r>
            <w:r w:rsidR="00E15783" w:rsidRPr="004218E4">
              <w:rPr>
                <w:rFonts w:eastAsia="Calibri"/>
                <w:lang w:eastAsia="en-US"/>
              </w:rPr>
              <w:t xml:space="preserve">. Šo noteikumu 2. pielikumā </w:t>
            </w:r>
            <w:r w:rsidR="00FE57DA">
              <w:rPr>
                <w:rFonts w:eastAsia="Calibri"/>
                <w:lang w:eastAsia="en-US"/>
              </w:rPr>
              <w:t>minē</w:t>
            </w:r>
            <w:r w:rsidR="00E15783" w:rsidRPr="004218E4">
              <w:rPr>
                <w:rFonts w:eastAsia="Calibri"/>
                <w:lang w:eastAsia="en-US"/>
              </w:rPr>
              <w:t>tas robežšķērsošanas vietas, kurās muitas iestādes veic narkotisko un psihotropo vielu kontrol</w:t>
            </w:r>
            <w:r w:rsidR="00FE57DA">
              <w:rPr>
                <w:rFonts w:eastAsia="Calibri"/>
                <w:lang w:eastAsia="en-US"/>
              </w:rPr>
              <w:t>i</w:t>
            </w:r>
            <w:r w:rsidR="00E15783" w:rsidRPr="004218E4">
              <w:rPr>
                <w:rFonts w:eastAsia="Calibri"/>
                <w:lang w:eastAsia="en-US"/>
              </w:rPr>
              <w:t xml:space="preserve">. Savukārt kontroles punktos, kuros dienests veic veterināro, fitosanitāro, pārtikas nekaitīguma un nepārtikas preču drošuma, kvalitātes un klasifikācijas kontroli, nav paredzēta narkotisko un psihotropo vielu kontrole, kā arī </w:t>
            </w:r>
            <w:r w:rsidR="00E15783" w:rsidRPr="004218E4">
              <w:rPr>
                <w:rFonts w:eastAsia="Calibri"/>
                <w:u w:val="single"/>
                <w:lang w:eastAsia="en-US"/>
              </w:rPr>
              <w:t>dienests nekontrolē zāļu eksportu</w:t>
            </w:r>
            <w:r w:rsidR="00E15783" w:rsidRPr="004218E4">
              <w:rPr>
                <w:rFonts w:eastAsia="Calibri"/>
                <w:lang w:eastAsia="en-US"/>
              </w:rPr>
              <w:t xml:space="preserve">. </w:t>
            </w:r>
          </w:p>
          <w:p w14:paraId="06950D79" w14:textId="5587F46E" w:rsidR="00F26B1A" w:rsidRPr="004218E4" w:rsidRDefault="00E15783">
            <w:pPr>
              <w:jc w:val="both"/>
              <w:rPr>
                <w:rFonts w:eastAsia="Calibri"/>
                <w:u w:val="single"/>
                <w:lang w:eastAsia="en-US"/>
              </w:rPr>
            </w:pPr>
            <w:r w:rsidRPr="004218E4">
              <w:rPr>
                <w:rFonts w:eastAsia="Calibri"/>
                <w:lang w:eastAsia="en-US"/>
              </w:rPr>
              <w:t xml:space="preserve">Tādēļ noteikumu projektā tiek </w:t>
            </w:r>
            <w:r w:rsidRPr="004218E4">
              <w:rPr>
                <w:rFonts w:eastAsia="Calibri"/>
                <w:u w:val="single"/>
                <w:lang w:eastAsia="en-US"/>
              </w:rPr>
              <w:t>aktualizēta atsauce uz normatīvajiem aktiem par robežšķērsošanas vietām, caur kurām atļauts zāļu, tostarp narkotisko un psihotropo zāļu</w:t>
            </w:r>
            <w:r w:rsidR="00FE57DA">
              <w:rPr>
                <w:rFonts w:eastAsia="Calibri"/>
                <w:u w:val="single"/>
                <w:lang w:eastAsia="en-US"/>
              </w:rPr>
              <w:t>,</w:t>
            </w:r>
            <w:r w:rsidRPr="004218E4">
              <w:rPr>
                <w:rFonts w:eastAsia="Calibri"/>
                <w:u w:val="single"/>
                <w:lang w:eastAsia="en-US"/>
              </w:rPr>
              <w:t xml:space="preserve"> imports un eksports.</w:t>
            </w:r>
          </w:p>
          <w:p w14:paraId="2A96CD40" w14:textId="77777777" w:rsidR="007C429C" w:rsidRDefault="007C429C">
            <w:pPr>
              <w:jc w:val="both"/>
              <w:rPr>
                <w:rFonts w:eastAsia="Calibri"/>
                <w:lang w:eastAsia="en-US"/>
              </w:rPr>
            </w:pPr>
          </w:p>
          <w:p w14:paraId="0A224B33" w14:textId="61C5998B" w:rsidR="00F26B1A" w:rsidRDefault="00F26B1A">
            <w:pPr>
              <w:jc w:val="both"/>
              <w:rPr>
                <w:rFonts w:eastAsia="Calibri"/>
                <w:lang w:eastAsia="en-US"/>
              </w:rPr>
            </w:pPr>
            <w:r>
              <w:rPr>
                <w:rFonts w:eastAsia="Calibri"/>
                <w:lang w:eastAsia="en-US"/>
              </w:rPr>
              <w:t xml:space="preserve">6. </w:t>
            </w:r>
            <w:r w:rsidR="00E15783">
              <w:rPr>
                <w:rFonts w:eastAsia="Calibri"/>
                <w:lang w:eastAsia="en-US"/>
              </w:rPr>
              <w:t>Noteikumos</w:t>
            </w:r>
            <w:r w:rsidR="00DF0D31">
              <w:rPr>
                <w:rFonts w:eastAsia="Calibri"/>
                <w:lang w:eastAsia="en-US"/>
              </w:rPr>
              <w:t xml:space="preserve"> Nr.436 minēta atsauce uz </w:t>
            </w:r>
            <w:r w:rsidR="00DF0D31" w:rsidRPr="00DF0D31">
              <w:rPr>
                <w:rFonts w:eastAsia="Calibri"/>
                <w:lang w:eastAsia="en-US"/>
              </w:rPr>
              <w:t xml:space="preserve">Padomes </w:t>
            </w:r>
            <w:r w:rsidR="00671DBB" w:rsidRPr="00DF0D31">
              <w:rPr>
                <w:rFonts w:eastAsia="Calibri"/>
                <w:lang w:eastAsia="en-US"/>
              </w:rPr>
              <w:t>2003. gada</w:t>
            </w:r>
            <w:r w:rsidR="00DF0D31" w:rsidRPr="00DF0D31">
              <w:rPr>
                <w:rFonts w:eastAsia="Calibri"/>
                <w:lang w:eastAsia="en-US"/>
              </w:rPr>
              <w:t xml:space="preserve"> </w:t>
            </w:r>
            <w:r w:rsidR="00671DBB" w:rsidRPr="00DF0D31">
              <w:rPr>
                <w:rFonts w:eastAsia="Calibri"/>
                <w:lang w:eastAsia="en-US"/>
              </w:rPr>
              <w:t>26. maija</w:t>
            </w:r>
            <w:r w:rsidR="00DF0D31" w:rsidRPr="00DF0D31">
              <w:rPr>
                <w:rFonts w:eastAsia="Calibri"/>
                <w:lang w:eastAsia="en-US"/>
              </w:rPr>
              <w:t xml:space="preserve"> Regulas (EK) Nr. 953/2003 par izvairīšanos no dažu svarīgāko zāļu tirdzniecības novirzīšan</w:t>
            </w:r>
            <w:r w:rsidR="00DF0D31">
              <w:rPr>
                <w:rFonts w:eastAsia="Calibri"/>
                <w:lang w:eastAsia="en-US"/>
              </w:rPr>
              <w:t xml:space="preserve">ās uz Eiropas Savienību </w:t>
            </w:r>
            <w:r w:rsidR="00671DBB">
              <w:rPr>
                <w:rFonts w:eastAsia="Calibri"/>
                <w:lang w:eastAsia="en-US"/>
              </w:rPr>
              <w:t>8. pantu</w:t>
            </w:r>
            <w:r w:rsidR="00DF0D31">
              <w:rPr>
                <w:rFonts w:eastAsia="Calibri"/>
                <w:lang w:eastAsia="en-US"/>
              </w:rPr>
              <w:t>,</w:t>
            </w:r>
            <w:r w:rsidR="00FE57DA">
              <w:rPr>
                <w:rFonts w:eastAsia="Calibri"/>
                <w:lang w:eastAsia="en-US"/>
              </w:rPr>
              <w:t xml:space="preserve"> bet</w:t>
            </w:r>
            <w:r w:rsidR="00DF0D31">
              <w:rPr>
                <w:rFonts w:eastAsia="Calibri"/>
                <w:lang w:eastAsia="en-US"/>
              </w:rPr>
              <w:t xml:space="preserve"> </w:t>
            </w:r>
            <w:r w:rsidR="00FE57DA">
              <w:rPr>
                <w:rFonts w:eastAsia="Calibri"/>
                <w:lang w:eastAsia="en-US"/>
              </w:rPr>
              <w:t>tā</w:t>
            </w:r>
            <w:r w:rsidR="004021B4">
              <w:rPr>
                <w:rFonts w:eastAsia="Calibri"/>
                <w:lang w:eastAsia="en-US"/>
              </w:rPr>
              <w:t xml:space="preserve"> ir</w:t>
            </w:r>
            <w:r w:rsidR="00671DBB">
              <w:rPr>
                <w:rFonts w:eastAsia="Calibri"/>
                <w:lang w:eastAsia="en-US"/>
              </w:rPr>
              <w:t xml:space="preserve"> zaudējusi spēku ar</w:t>
            </w:r>
            <w:r w:rsidR="00DF0D31">
              <w:rPr>
                <w:rFonts w:eastAsia="Calibri"/>
                <w:lang w:eastAsia="en-US"/>
              </w:rPr>
              <w:t xml:space="preserve"> </w:t>
            </w:r>
            <w:r w:rsidR="00534D00">
              <w:rPr>
                <w:rFonts w:eastAsia="Calibri"/>
                <w:lang w:eastAsia="en-US"/>
              </w:rPr>
              <w:t>r</w:t>
            </w:r>
            <w:r w:rsidR="00DF0D31">
              <w:rPr>
                <w:rFonts w:eastAsia="Calibri"/>
                <w:lang w:eastAsia="en-US"/>
              </w:rPr>
              <w:t>egulu</w:t>
            </w:r>
            <w:r w:rsidR="00534D00">
              <w:rPr>
                <w:rFonts w:eastAsia="Calibri"/>
                <w:lang w:eastAsia="en-US"/>
              </w:rPr>
              <w:t xml:space="preserve"> Nr. </w:t>
            </w:r>
            <w:r w:rsidR="00DF0D31" w:rsidRPr="00DF0D31">
              <w:rPr>
                <w:rFonts w:eastAsia="Calibri"/>
                <w:lang w:eastAsia="en-US"/>
              </w:rPr>
              <w:t>2016/793</w:t>
            </w:r>
            <w:r w:rsidR="00DF0D31">
              <w:rPr>
                <w:rFonts w:eastAsia="Calibri"/>
                <w:lang w:eastAsia="en-US"/>
              </w:rPr>
              <w:t xml:space="preserve">. </w:t>
            </w:r>
          </w:p>
          <w:p w14:paraId="2309E107" w14:textId="2F986BDE" w:rsidR="00CB5D9E" w:rsidRDefault="00FE57DA">
            <w:pPr>
              <w:jc w:val="both"/>
              <w:rPr>
                <w:rFonts w:eastAsia="Calibri"/>
                <w:lang w:eastAsia="en-US"/>
              </w:rPr>
            </w:pPr>
            <w:r>
              <w:rPr>
                <w:rFonts w:eastAsia="Calibri"/>
                <w:lang w:eastAsia="en-US"/>
              </w:rPr>
              <w:t>Ie</w:t>
            </w:r>
            <w:r w:rsidR="00F26B1A">
              <w:rPr>
                <w:rFonts w:eastAsia="Calibri"/>
                <w:lang w:eastAsia="en-US"/>
              </w:rPr>
              <w:t>vēr</w:t>
            </w:r>
            <w:r>
              <w:rPr>
                <w:rFonts w:eastAsia="Calibri"/>
                <w:lang w:eastAsia="en-US"/>
              </w:rPr>
              <w:t>ojot</w:t>
            </w:r>
            <w:r w:rsidR="00F26B1A">
              <w:rPr>
                <w:rFonts w:eastAsia="Calibri"/>
                <w:lang w:eastAsia="en-US"/>
              </w:rPr>
              <w:t xml:space="preserve"> minēto, </w:t>
            </w:r>
            <w:r w:rsidR="00F26B1A" w:rsidRPr="000448B6">
              <w:rPr>
                <w:rFonts w:eastAsia="Calibri"/>
                <w:u w:val="single"/>
                <w:lang w:eastAsia="en-US"/>
              </w:rPr>
              <w:t>n</w:t>
            </w:r>
            <w:r w:rsidR="00DF0D31" w:rsidRPr="000448B6">
              <w:rPr>
                <w:rFonts w:eastAsia="Calibri"/>
                <w:u w:val="single"/>
                <w:lang w:eastAsia="en-US"/>
              </w:rPr>
              <w:t xml:space="preserve">oteikumu projektā aktualizēta atsauce uz </w:t>
            </w:r>
            <w:r w:rsidR="003E653C" w:rsidRPr="000448B6">
              <w:rPr>
                <w:rFonts w:eastAsia="Calibri"/>
                <w:u w:val="single"/>
                <w:lang w:eastAsia="en-US"/>
              </w:rPr>
              <w:t>ES</w:t>
            </w:r>
            <w:r w:rsidR="0033030B" w:rsidRPr="000448B6">
              <w:rPr>
                <w:rFonts w:eastAsia="Calibri"/>
                <w:u w:val="single"/>
                <w:lang w:eastAsia="en-US"/>
              </w:rPr>
              <w:t xml:space="preserve"> tieši piemērojamo normatīvo aktu.</w:t>
            </w:r>
          </w:p>
          <w:p w14:paraId="4D0A9479" w14:textId="77777777" w:rsidR="006B192B" w:rsidRDefault="006B192B">
            <w:pPr>
              <w:jc w:val="both"/>
              <w:rPr>
                <w:rFonts w:eastAsia="Calibri"/>
                <w:lang w:eastAsia="en-US"/>
              </w:rPr>
            </w:pPr>
          </w:p>
          <w:p w14:paraId="3A7981F5" w14:textId="3FB5EC21" w:rsidR="00E15783" w:rsidRDefault="00E15783">
            <w:pPr>
              <w:jc w:val="both"/>
              <w:rPr>
                <w:rFonts w:eastAsia="Calibri"/>
                <w:lang w:eastAsia="en-US"/>
              </w:rPr>
            </w:pPr>
            <w:r>
              <w:rPr>
                <w:rFonts w:eastAsia="Calibri"/>
                <w:lang w:eastAsia="en-US"/>
              </w:rPr>
              <w:t>7. Noteikumu</w:t>
            </w:r>
            <w:r w:rsidR="006B192B">
              <w:rPr>
                <w:rFonts w:eastAsia="Calibri"/>
                <w:lang w:eastAsia="en-US"/>
              </w:rPr>
              <w:t xml:space="preserve"> Nr.436 </w:t>
            </w:r>
            <w:r>
              <w:rPr>
                <w:rFonts w:eastAsia="Calibri"/>
                <w:lang w:eastAsia="en-US"/>
              </w:rPr>
              <w:t>2.</w:t>
            </w:r>
            <w:r w:rsidRPr="00E15783">
              <w:rPr>
                <w:rFonts w:eastAsia="Calibri"/>
                <w:vertAlign w:val="superscript"/>
                <w:lang w:eastAsia="en-US"/>
              </w:rPr>
              <w:t>1</w:t>
            </w:r>
            <w:r>
              <w:rPr>
                <w:rFonts w:eastAsia="Calibri"/>
                <w:lang w:eastAsia="en-US"/>
              </w:rPr>
              <w:t xml:space="preserve">punktā </w:t>
            </w:r>
            <w:r w:rsidR="006B192B">
              <w:rPr>
                <w:rFonts w:eastAsia="Calibri"/>
                <w:lang w:eastAsia="en-US"/>
              </w:rPr>
              <w:t xml:space="preserve">minētas Muitas likuma 9. pantā </w:t>
            </w:r>
            <w:r w:rsidR="00FE57DA">
              <w:rPr>
                <w:rFonts w:eastAsia="Calibri"/>
                <w:lang w:eastAsia="en-US"/>
              </w:rPr>
              <w:t>noteik</w:t>
            </w:r>
            <w:r w:rsidR="006B192B">
              <w:rPr>
                <w:rFonts w:eastAsia="Calibri"/>
                <w:lang w:eastAsia="en-US"/>
              </w:rPr>
              <w:t>tās vietas, kas saistītas ar</w:t>
            </w:r>
            <w:r w:rsidR="006B192B">
              <w:t xml:space="preserve"> </w:t>
            </w:r>
            <w:r w:rsidR="006B192B" w:rsidRPr="006B192B">
              <w:rPr>
                <w:rFonts w:eastAsia="Calibri"/>
                <w:lang w:eastAsia="en-US"/>
              </w:rPr>
              <w:t>produktu importu vai eksportu</w:t>
            </w:r>
            <w:r w:rsidR="006B192B">
              <w:rPr>
                <w:rFonts w:eastAsia="Calibri"/>
                <w:lang w:eastAsia="en-US"/>
              </w:rPr>
              <w:t xml:space="preserve">. </w:t>
            </w:r>
            <w:r w:rsidR="006B192B" w:rsidRPr="00E15783">
              <w:rPr>
                <w:rFonts w:eastAsia="Calibri"/>
                <w:u w:val="single"/>
                <w:lang w:eastAsia="en-US"/>
              </w:rPr>
              <w:t>Muitas likums aktuālajā redakcijā ir stājies spēkā 2017. gada 1.</w:t>
            </w:r>
            <w:r w:rsidR="00FE57DA">
              <w:rPr>
                <w:rFonts w:eastAsia="Calibri"/>
                <w:u w:val="single"/>
                <w:lang w:eastAsia="en-US"/>
              </w:rPr>
              <w:t> </w:t>
            </w:r>
            <w:r w:rsidR="006B192B" w:rsidRPr="00E15783">
              <w:rPr>
                <w:rFonts w:eastAsia="Calibri"/>
                <w:u w:val="single"/>
                <w:lang w:eastAsia="en-US"/>
              </w:rPr>
              <w:t xml:space="preserve">janvārī, un </w:t>
            </w:r>
            <w:r w:rsidR="000448B6">
              <w:rPr>
                <w:rFonts w:eastAsia="Calibri"/>
                <w:u w:val="single"/>
                <w:lang w:eastAsia="en-US"/>
              </w:rPr>
              <w:t xml:space="preserve">tā </w:t>
            </w:r>
            <w:r w:rsidR="006B192B" w:rsidRPr="00E15783">
              <w:rPr>
                <w:rFonts w:eastAsia="Calibri"/>
                <w:u w:val="single"/>
                <w:lang w:eastAsia="en-US"/>
              </w:rPr>
              <w:t>9. pantā nav minētas vietas, kas saistītas ar produktu importu vai eksportu</w:t>
            </w:r>
            <w:r w:rsidR="006B192B">
              <w:rPr>
                <w:rFonts w:eastAsia="Calibri"/>
                <w:lang w:eastAsia="en-US"/>
              </w:rPr>
              <w:t xml:space="preserve">, savukārt Muitas kodeksā ir </w:t>
            </w:r>
            <w:r w:rsidR="00FE57DA">
              <w:rPr>
                <w:rFonts w:eastAsia="Calibri"/>
                <w:lang w:eastAsia="en-US"/>
              </w:rPr>
              <w:t>noteik</w:t>
            </w:r>
            <w:r w:rsidR="006B192B">
              <w:rPr>
                <w:rFonts w:eastAsia="Calibri"/>
                <w:lang w:eastAsia="en-US"/>
              </w:rPr>
              <w:t xml:space="preserve">tas vietas, kas saistītas ar produkta muitas kontroli un procedūrām. </w:t>
            </w:r>
          </w:p>
          <w:p w14:paraId="452FDE94" w14:textId="4064E4D5" w:rsidR="00014691" w:rsidRPr="00014691" w:rsidRDefault="00FE57DA">
            <w:pPr>
              <w:jc w:val="both"/>
              <w:rPr>
                <w:rFonts w:eastAsia="Calibri"/>
                <w:lang w:eastAsia="en-US"/>
              </w:rPr>
            </w:pPr>
            <w:r>
              <w:rPr>
                <w:rFonts w:eastAsia="Calibri"/>
                <w:lang w:eastAsia="en-US"/>
              </w:rPr>
              <w:t>Ie</w:t>
            </w:r>
            <w:r w:rsidR="006B192B" w:rsidRPr="00E15783">
              <w:rPr>
                <w:rFonts w:eastAsia="Calibri"/>
                <w:lang w:eastAsia="en-US"/>
              </w:rPr>
              <w:t>vēr</w:t>
            </w:r>
            <w:r>
              <w:rPr>
                <w:rFonts w:eastAsia="Calibri"/>
                <w:lang w:eastAsia="en-US"/>
              </w:rPr>
              <w:t>ojot</w:t>
            </w:r>
            <w:r w:rsidR="006B192B" w:rsidRPr="00E15783">
              <w:rPr>
                <w:rFonts w:eastAsia="Calibri"/>
                <w:lang w:eastAsia="en-US"/>
              </w:rPr>
              <w:t xml:space="preserve"> minēto, noteikumu proje</w:t>
            </w:r>
            <w:r w:rsidR="00926E99" w:rsidRPr="00E15783">
              <w:rPr>
                <w:rFonts w:eastAsia="Calibri"/>
                <w:lang w:eastAsia="en-US"/>
              </w:rPr>
              <w:t>k</w:t>
            </w:r>
            <w:r w:rsidR="006B192B" w:rsidRPr="00E15783">
              <w:rPr>
                <w:rFonts w:eastAsia="Calibri"/>
                <w:lang w:eastAsia="en-US"/>
              </w:rPr>
              <w:t xml:space="preserve">tā ir </w:t>
            </w:r>
            <w:r w:rsidR="006B192B" w:rsidRPr="000448B6">
              <w:rPr>
                <w:rFonts w:eastAsia="Calibri"/>
                <w:u w:val="single"/>
                <w:lang w:eastAsia="en-US"/>
              </w:rPr>
              <w:t>aktualizētas atsauces uz Muitas likumu un Muitas kodeksu.</w:t>
            </w:r>
          </w:p>
        </w:tc>
      </w:tr>
      <w:tr w:rsidR="00BD5588" w:rsidRPr="001A5641" w14:paraId="7E0E469D" w14:textId="77777777" w:rsidTr="00B60BAD">
        <w:trPr>
          <w:cantSplit/>
        </w:trPr>
        <w:tc>
          <w:tcPr>
            <w:tcW w:w="311" w:type="pct"/>
            <w:hideMark/>
          </w:tcPr>
          <w:p w14:paraId="73F8B546" w14:textId="38E77244" w:rsidR="00BD5588" w:rsidRPr="001A5641" w:rsidRDefault="00BD5588" w:rsidP="00D35EC5">
            <w:pPr>
              <w:jc w:val="center"/>
            </w:pPr>
            <w:r w:rsidRPr="001A5641">
              <w:lastRenderedPageBreak/>
              <w:t>3.</w:t>
            </w:r>
          </w:p>
        </w:tc>
        <w:tc>
          <w:tcPr>
            <w:tcW w:w="1479" w:type="pct"/>
            <w:hideMark/>
          </w:tcPr>
          <w:p w14:paraId="274F2C5A" w14:textId="77777777" w:rsidR="00BD5588" w:rsidRPr="001A5641" w:rsidRDefault="00BD5588" w:rsidP="00D230A0">
            <w:r w:rsidRPr="001A5641">
              <w:t>Projekta izstrādē iesaistītās institūcijas un publiskas personas kapitālsabiedrības</w:t>
            </w:r>
          </w:p>
        </w:tc>
        <w:tc>
          <w:tcPr>
            <w:tcW w:w="3210" w:type="pct"/>
            <w:hideMark/>
          </w:tcPr>
          <w:p w14:paraId="23653E28" w14:textId="77777777" w:rsidR="00BD5588" w:rsidRPr="001A5641" w:rsidRDefault="005424B4" w:rsidP="002F7479">
            <w:pPr>
              <w:jc w:val="both"/>
            </w:pPr>
            <w:r>
              <w:t>Pārtikas un veterinārais dienests.</w:t>
            </w:r>
          </w:p>
        </w:tc>
      </w:tr>
      <w:tr w:rsidR="00BD5588" w:rsidRPr="001A5641" w14:paraId="6E834D2C" w14:textId="77777777" w:rsidTr="00B60BAD">
        <w:trPr>
          <w:cantSplit/>
        </w:trPr>
        <w:tc>
          <w:tcPr>
            <w:tcW w:w="311" w:type="pct"/>
            <w:hideMark/>
          </w:tcPr>
          <w:p w14:paraId="04B7FD2F" w14:textId="77777777" w:rsidR="00BD5588" w:rsidRPr="001A5641" w:rsidRDefault="00BD5588" w:rsidP="00D35EC5">
            <w:pPr>
              <w:jc w:val="center"/>
            </w:pPr>
            <w:r w:rsidRPr="001A5641">
              <w:t>4.</w:t>
            </w:r>
          </w:p>
        </w:tc>
        <w:tc>
          <w:tcPr>
            <w:tcW w:w="1479" w:type="pct"/>
            <w:hideMark/>
          </w:tcPr>
          <w:p w14:paraId="2178A933" w14:textId="77777777" w:rsidR="00BD5588" w:rsidRPr="001A5641" w:rsidRDefault="00BD5588" w:rsidP="00D230A0">
            <w:r w:rsidRPr="001A5641">
              <w:t>Cita informācija</w:t>
            </w:r>
          </w:p>
        </w:tc>
        <w:tc>
          <w:tcPr>
            <w:tcW w:w="3210" w:type="pct"/>
            <w:hideMark/>
          </w:tcPr>
          <w:p w14:paraId="2CFFDB0D" w14:textId="77777777" w:rsidR="00BD5588" w:rsidRPr="001A5641" w:rsidRDefault="0033030B" w:rsidP="002F7479">
            <w:r>
              <w:t>Nav</w:t>
            </w:r>
          </w:p>
        </w:tc>
      </w:tr>
    </w:tbl>
    <w:p w14:paraId="3E348DD1" w14:textId="77777777" w:rsidR="00BD5588" w:rsidRPr="001A5641" w:rsidRDefault="00BD5588" w:rsidP="00173648">
      <w:pPr>
        <w:pStyle w:val="Nosaukums"/>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BD5588" w:rsidRPr="001A5641" w14:paraId="5CC01E39" w14:textId="77777777" w:rsidTr="00B60BAD">
        <w:trPr>
          <w:cantSplit/>
        </w:trPr>
        <w:tc>
          <w:tcPr>
            <w:tcW w:w="5000" w:type="pct"/>
            <w:gridSpan w:val="3"/>
            <w:vAlign w:val="center"/>
            <w:hideMark/>
          </w:tcPr>
          <w:p w14:paraId="01315615" w14:textId="77777777" w:rsidR="00BD5588" w:rsidRPr="001A5641" w:rsidRDefault="00BD5588" w:rsidP="00D35EC5">
            <w:pPr>
              <w:jc w:val="center"/>
              <w:rPr>
                <w:b/>
                <w:bCs/>
              </w:rPr>
            </w:pPr>
            <w:r w:rsidRPr="001A5641">
              <w:rPr>
                <w:b/>
                <w:bCs/>
              </w:rPr>
              <w:t>II. Tiesību akta projekta ietekme uz sabiedrību, tautsaimniecības attīstību un administratīvo slogu</w:t>
            </w:r>
          </w:p>
        </w:tc>
      </w:tr>
      <w:tr w:rsidR="00BD5588" w:rsidRPr="001A5641" w14:paraId="0C983F69" w14:textId="77777777" w:rsidTr="00B60BAD">
        <w:trPr>
          <w:cantSplit/>
        </w:trPr>
        <w:tc>
          <w:tcPr>
            <w:tcW w:w="311" w:type="pct"/>
            <w:hideMark/>
          </w:tcPr>
          <w:p w14:paraId="51544C32" w14:textId="77777777" w:rsidR="00BD5588" w:rsidRPr="001A5641" w:rsidRDefault="00BD5588" w:rsidP="00D35EC5">
            <w:pPr>
              <w:jc w:val="center"/>
            </w:pPr>
            <w:r w:rsidRPr="001A5641">
              <w:t>1.</w:t>
            </w:r>
          </w:p>
        </w:tc>
        <w:tc>
          <w:tcPr>
            <w:tcW w:w="1479" w:type="pct"/>
            <w:hideMark/>
          </w:tcPr>
          <w:p w14:paraId="29FBF727" w14:textId="77777777" w:rsidR="00BD5588" w:rsidRPr="001A5641" w:rsidRDefault="00BD5588" w:rsidP="00D230A0">
            <w:r w:rsidRPr="001A5641">
              <w:t>Sabiedrības mērķgrupas, kuras tiesiskais regulējums ietekmē vai varētu ietekmēt</w:t>
            </w:r>
          </w:p>
        </w:tc>
        <w:tc>
          <w:tcPr>
            <w:tcW w:w="3210" w:type="pct"/>
            <w:hideMark/>
          </w:tcPr>
          <w:p w14:paraId="4245569B" w14:textId="77777777" w:rsidR="003F51EF" w:rsidRPr="00C9416C" w:rsidRDefault="003F51EF" w:rsidP="002F7479">
            <w:pPr>
              <w:jc w:val="both"/>
            </w:pPr>
            <w:r>
              <w:t>S</w:t>
            </w:r>
            <w:r w:rsidRPr="00C9416C">
              <w:t>askaņā ar PVD</w:t>
            </w:r>
            <w:r>
              <w:t xml:space="preserve"> rīcībā esošo</w:t>
            </w:r>
            <w:r w:rsidRPr="00C9416C">
              <w:t xml:space="preserve"> </w:t>
            </w:r>
            <w:r>
              <w:t>informāci</w:t>
            </w:r>
            <w:r w:rsidR="00835636">
              <w:t>ju, kopējais zāļu kravu īpašnieku</w:t>
            </w:r>
            <w:r>
              <w:t xml:space="preserve"> skaits</w:t>
            </w:r>
            <w:r w:rsidRPr="00C9416C">
              <w:t>:</w:t>
            </w:r>
          </w:p>
          <w:p w14:paraId="79183E10" w14:textId="77777777" w:rsidR="003F51EF" w:rsidRPr="00C9416C" w:rsidRDefault="003F51EF" w:rsidP="000F1125">
            <w:pPr>
              <w:jc w:val="both"/>
            </w:pPr>
            <w:r w:rsidRPr="00C9416C">
              <w:t>2015</w:t>
            </w:r>
            <w:r>
              <w:t>. gadā</w:t>
            </w:r>
            <w:r w:rsidRPr="00C9416C">
              <w:t xml:space="preserve"> </w:t>
            </w:r>
            <w:r>
              <w:t>bija</w:t>
            </w:r>
            <w:r w:rsidRPr="00C9416C">
              <w:t xml:space="preserve"> 23 (</w:t>
            </w:r>
            <w:r>
              <w:t xml:space="preserve">no tiem 8 </w:t>
            </w:r>
            <w:r w:rsidR="00835636">
              <w:t>īpašnieki</w:t>
            </w:r>
            <w:r w:rsidRPr="00C9416C">
              <w:t>, kam gadā ir vairāk par 5 krav</w:t>
            </w:r>
            <w:r>
              <w:t>ām</w:t>
            </w:r>
            <w:r w:rsidRPr="00C9416C">
              <w:t>)</w:t>
            </w:r>
          </w:p>
          <w:p w14:paraId="3211F023" w14:textId="77777777" w:rsidR="003F51EF" w:rsidRPr="00C9416C" w:rsidRDefault="003F51EF" w:rsidP="00D7161E">
            <w:pPr>
              <w:jc w:val="both"/>
            </w:pPr>
            <w:r w:rsidRPr="00C9416C">
              <w:t>2016</w:t>
            </w:r>
            <w:r>
              <w:t>. gadā</w:t>
            </w:r>
            <w:r w:rsidRPr="00C9416C">
              <w:t xml:space="preserve"> – 32 (</w:t>
            </w:r>
            <w:r>
              <w:t xml:space="preserve">no tiem 10 </w:t>
            </w:r>
            <w:r w:rsidR="00835636">
              <w:t>īpašnieki</w:t>
            </w:r>
            <w:r w:rsidRPr="00C9416C">
              <w:t>, kam gadā ir vairāk par 5 krav</w:t>
            </w:r>
            <w:r>
              <w:t>ām</w:t>
            </w:r>
            <w:r w:rsidRPr="00C9416C">
              <w:t>)</w:t>
            </w:r>
          </w:p>
          <w:p w14:paraId="75364029" w14:textId="77777777" w:rsidR="005424B4" w:rsidRDefault="003F51EF">
            <w:pPr>
              <w:jc w:val="both"/>
            </w:pPr>
            <w:r w:rsidRPr="00C9416C">
              <w:t>2017</w:t>
            </w:r>
            <w:r>
              <w:t>. gadā</w:t>
            </w:r>
            <w:r w:rsidRPr="00C9416C">
              <w:t xml:space="preserve"> – 38 (</w:t>
            </w:r>
            <w:r>
              <w:t xml:space="preserve">no tiem 12 </w:t>
            </w:r>
            <w:r w:rsidR="00835636">
              <w:t>īpašnieki</w:t>
            </w:r>
            <w:r w:rsidRPr="00C9416C">
              <w:t>, kam gadā ir vairāk par 5 krav</w:t>
            </w:r>
            <w:r>
              <w:t>ām</w:t>
            </w:r>
            <w:r w:rsidRPr="00C9416C">
              <w:t>)</w:t>
            </w:r>
          </w:p>
          <w:p w14:paraId="3D484FBE" w14:textId="77777777" w:rsidR="00671DBB" w:rsidRDefault="00671DBB">
            <w:pPr>
              <w:jc w:val="both"/>
            </w:pPr>
          </w:p>
          <w:p w14:paraId="1A2806C4" w14:textId="77777777" w:rsidR="00835636" w:rsidRPr="005424B4" w:rsidRDefault="00835636">
            <w:pPr>
              <w:jc w:val="both"/>
            </w:pPr>
            <w:r>
              <w:t>Informācijas avots: dienesta IT sistēma SRDOK</w:t>
            </w:r>
          </w:p>
        </w:tc>
      </w:tr>
      <w:tr w:rsidR="00BD5588" w:rsidRPr="001A5641" w14:paraId="40FDB7E0" w14:textId="77777777" w:rsidTr="00B60BAD">
        <w:trPr>
          <w:cantSplit/>
        </w:trPr>
        <w:tc>
          <w:tcPr>
            <w:tcW w:w="311" w:type="pct"/>
            <w:hideMark/>
          </w:tcPr>
          <w:p w14:paraId="47C54715" w14:textId="77777777" w:rsidR="00BD5588" w:rsidRPr="001A5641" w:rsidRDefault="00BD5588" w:rsidP="00D35EC5">
            <w:pPr>
              <w:jc w:val="center"/>
            </w:pPr>
            <w:r w:rsidRPr="001A5641">
              <w:t>2.</w:t>
            </w:r>
          </w:p>
        </w:tc>
        <w:tc>
          <w:tcPr>
            <w:tcW w:w="1479" w:type="pct"/>
            <w:hideMark/>
          </w:tcPr>
          <w:p w14:paraId="7644C359" w14:textId="77777777" w:rsidR="00BD5588" w:rsidRPr="00BD64FD" w:rsidRDefault="00BD5588" w:rsidP="00D230A0">
            <w:r w:rsidRPr="00BD64FD">
              <w:t>Tiesiskā regulējuma ietekme uz tautsaimniecību un administratīvo slogu</w:t>
            </w:r>
          </w:p>
        </w:tc>
        <w:tc>
          <w:tcPr>
            <w:tcW w:w="3210" w:type="pct"/>
            <w:hideMark/>
          </w:tcPr>
          <w:p w14:paraId="47071B8D" w14:textId="79ABA341" w:rsidR="006B192B" w:rsidRPr="00BD64FD" w:rsidRDefault="005424B4" w:rsidP="002F7479">
            <w:pPr>
              <w:jc w:val="both"/>
            </w:pPr>
            <w:r w:rsidRPr="00BD64FD">
              <w:t xml:space="preserve">Tiks samazināts </w:t>
            </w:r>
            <w:r w:rsidR="00835636" w:rsidRPr="00BD64FD">
              <w:t xml:space="preserve">finansiālais un </w:t>
            </w:r>
            <w:r w:rsidRPr="00BD64FD">
              <w:t>administratīvais slogs cilvēkiem paredzēto zāļu importētājiem.</w:t>
            </w:r>
            <w:r w:rsidR="001A579D" w:rsidRPr="00BD64FD">
              <w:t xml:space="preserve"> </w:t>
            </w:r>
            <w:r w:rsidR="006B192B" w:rsidRPr="00BD64FD">
              <w:t>Uzlabosies zāļu, īpaši valstī nereģistrētu un retām slimībām paredzētu zāļu</w:t>
            </w:r>
            <w:r w:rsidR="00FE57DA">
              <w:t>,</w:t>
            </w:r>
            <w:r w:rsidR="006B192B" w:rsidRPr="00BD64FD">
              <w:t xml:space="preserve"> pieejamība, jo saīsināsies zāļu kravu kontroles laiks uz robežas.</w:t>
            </w:r>
          </w:p>
          <w:p w14:paraId="76B8D18D" w14:textId="77777777" w:rsidR="006B192B" w:rsidRPr="00BD64FD" w:rsidRDefault="006B192B" w:rsidP="000F1125">
            <w:pPr>
              <w:jc w:val="both"/>
            </w:pPr>
          </w:p>
          <w:p w14:paraId="2B4C0C8E" w14:textId="77777777" w:rsidR="00BD5588" w:rsidRPr="00BD64FD" w:rsidRDefault="005424B4" w:rsidP="00D7161E">
            <w:pPr>
              <w:jc w:val="both"/>
            </w:pPr>
            <w:r w:rsidRPr="00BD64FD">
              <w:t>2016. gada importa kontrolei tika pakļautas 132 kravas</w:t>
            </w:r>
            <w:r w:rsidR="001A579D" w:rsidRPr="00BD64FD">
              <w:t>.</w:t>
            </w:r>
            <w:r w:rsidRPr="00BD64FD">
              <w:t xml:space="preserve"> </w:t>
            </w:r>
          </w:p>
          <w:p w14:paraId="1F8A60A8" w14:textId="77777777" w:rsidR="005424B4" w:rsidRPr="00BD64FD" w:rsidRDefault="00835636">
            <w:pPr>
              <w:jc w:val="both"/>
            </w:pPr>
            <w:r w:rsidRPr="00BD64FD">
              <w:t>Pēc PVD kontroles vidēji 30 % kravu pārbauda inspekcija</w:t>
            </w:r>
            <w:r w:rsidR="005424B4" w:rsidRPr="00BD64FD">
              <w:t xml:space="preserve"> muitas noliktavās</w:t>
            </w:r>
            <w:r w:rsidR="001A579D" w:rsidRPr="00BD64FD">
              <w:t>.</w:t>
            </w:r>
          </w:p>
          <w:p w14:paraId="1AAAC1EF" w14:textId="48A2F9B0" w:rsidR="00835636" w:rsidRPr="00BD64FD" w:rsidRDefault="001A579D">
            <w:pPr>
              <w:jc w:val="both"/>
            </w:pPr>
            <w:r w:rsidRPr="00BD64FD">
              <w:t>Samazināsies kravu īpašnieku resursu un laika patēriņš</w:t>
            </w:r>
            <w:r w:rsidR="006B192B" w:rsidRPr="00BD64FD">
              <w:t xml:space="preserve"> zāļu importa kontroles procedūrās</w:t>
            </w:r>
            <w:r w:rsidRPr="00BD64FD">
              <w:t xml:space="preserve">. Kravu </w:t>
            </w:r>
            <w:r w:rsidR="00FE57DA" w:rsidRPr="00BD64FD">
              <w:t xml:space="preserve">pirms laišanas brīvā apgrozībā </w:t>
            </w:r>
            <w:r w:rsidRPr="00BD64FD">
              <w:t xml:space="preserve">kontrolēs tikai </w:t>
            </w:r>
            <w:r w:rsidR="00835636" w:rsidRPr="00BD64FD">
              <w:t xml:space="preserve">viena iestāde – muitas iestāde. </w:t>
            </w:r>
          </w:p>
          <w:p w14:paraId="23DEAA71" w14:textId="77777777" w:rsidR="009250CC" w:rsidRPr="00BD64FD" w:rsidRDefault="009250CC">
            <w:pPr>
              <w:jc w:val="both"/>
            </w:pPr>
          </w:p>
          <w:p w14:paraId="303D88DE" w14:textId="27808AB2" w:rsidR="009250CC" w:rsidRPr="00BD64FD" w:rsidRDefault="0066781E">
            <w:pPr>
              <w:jc w:val="both"/>
            </w:pPr>
            <w:r w:rsidRPr="00BD64FD">
              <w:t>Saskaņā ar spēkā esošā</w:t>
            </w:r>
            <w:r w:rsidR="009250CC" w:rsidRPr="00BD64FD">
              <w:t>m prasībām, ja dienest</w:t>
            </w:r>
            <w:r w:rsidR="0075306E">
              <w:t>am ir aizdomas par zāļu</w:t>
            </w:r>
            <w:r w:rsidR="009250CC" w:rsidRPr="00BD64FD">
              <w:t xml:space="preserve"> neatbilstību</w:t>
            </w:r>
            <w:r w:rsidR="0075306E">
              <w:t xml:space="preserve"> noteikumu Nr.436 prasībām</w:t>
            </w:r>
            <w:r w:rsidR="009250CC" w:rsidRPr="00BD64FD">
              <w:t xml:space="preserve">, tas nosūta kravu uz muitas noliktavu un nosūta paziņojumu inspekcijai, </w:t>
            </w:r>
            <w:r w:rsidR="00FE57DA">
              <w:t>tajā</w:t>
            </w:r>
            <w:r w:rsidR="009250CC" w:rsidRPr="00BD64FD">
              <w:t xml:space="preserve"> norād</w:t>
            </w:r>
            <w:r w:rsidR="00FE57DA">
              <w:t>ot</w:t>
            </w:r>
            <w:r w:rsidR="009250CC" w:rsidRPr="00BD64FD">
              <w:t xml:space="preserve"> neatbilstības būtību. Inspekcija </w:t>
            </w:r>
            <w:r w:rsidR="0075306E" w:rsidRPr="00BD64FD">
              <w:t>dodas uz muitas noliktavu</w:t>
            </w:r>
            <w:r w:rsidR="0075306E">
              <w:t xml:space="preserve">, </w:t>
            </w:r>
            <w:r w:rsidR="009250CC" w:rsidRPr="00BD64FD">
              <w:t xml:space="preserve">izvērtē neatbilstību, un </w:t>
            </w:r>
            <w:r w:rsidR="00FE57DA">
              <w:t xml:space="preserve">par </w:t>
            </w:r>
            <w:r w:rsidR="0075306E">
              <w:t xml:space="preserve">kontroles </w:t>
            </w:r>
            <w:r w:rsidR="00FE57DA">
              <w:t>rezultātu pa</w:t>
            </w:r>
            <w:r w:rsidR="009250CC" w:rsidRPr="00BD64FD">
              <w:t xml:space="preserve">ziņo dienestam. Paziņojumā </w:t>
            </w:r>
            <w:r w:rsidR="0075306E">
              <w:t xml:space="preserve">dienestam </w:t>
            </w:r>
            <w:r w:rsidR="009250CC" w:rsidRPr="00BD64FD">
              <w:t xml:space="preserve">inspekcija norāda pieņemto lēmumu par turpmāko rīcību ar zālēm. </w:t>
            </w:r>
          </w:p>
          <w:p w14:paraId="43B881FE" w14:textId="664E6251" w:rsidR="0066781E" w:rsidRPr="00BD64FD" w:rsidRDefault="009250CC">
            <w:pPr>
              <w:jc w:val="both"/>
            </w:pPr>
            <w:r w:rsidRPr="00BD64FD">
              <w:t>Pēc inspekcijas lēmuma pieņemšanas kravas īpašnieks no muitas noliktavas atkārtoti pārvieto kravu uz dienesta robežkontroles punktu, uzrāda kravu dienestam, saņem dienesta izsniegto nepārtikas robežkontroles dokumentu, kas izsniegts, pamatojoties uz inspekcijas lēmumu, un pārvieto kravu atpakaļ uz muitas noliktavu, kur piesaka nākamo muitas procedūru.  Tād</w:t>
            </w:r>
            <w:r w:rsidR="00FE57DA">
              <w:t>ē</w:t>
            </w:r>
            <w:r w:rsidRPr="00BD64FD">
              <w:t xml:space="preserve">jādi zāļu kontroles laiks pagarinās no 4 līdz 14 dienām, radot papildu izmaksas kravas īpašniekam par kravas atkārtotu pārvietošanu no robežkontroles punkta un muitas noliktavu un otrādi, par dīkstāvi noliktavā, </w:t>
            </w:r>
            <w:r w:rsidR="0066781E" w:rsidRPr="00BD64FD">
              <w:t xml:space="preserve">kā arī </w:t>
            </w:r>
            <w:r w:rsidRPr="00BD64FD">
              <w:t>patē</w:t>
            </w:r>
            <w:r w:rsidR="0066781E" w:rsidRPr="00BD64FD">
              <w:t>rētājam</w:t>
            </w:r>
            <w:r w:rsidR="0075306E">
              <w:t xml:space="preserve"> tiek kavēta savlaicīga zāļu saņemšana</w:t>
            </w:r>
            <w:r w:rsidR="0066781E" w:rsidRPr="00BD64FD">
              <w:t xml:space="preserve">. </w:t>
            </w:r>
          </w:p>
          <w:p w14:paraId="2CC29C94" w14:textId="6E376EEE" w:rsidR="009250CC" w:rsidRPr="00BD64FD" w:rsidRDefault="0066781E">
            <w:pPr>
              <w:jc w:val="both"/>
            </w:pPr>
            <w:r w:rsidRPr="00BD64FD">
              <w:t xml:space="preserve">Nosakot, ka kravas kontrolē muitas iestāde pēc tam, kad tiks pieteikta muitas procedūra </w:t>
            </w:r>
            <w:r w:rsidR="00FE57DA">
              <w:t>“</w:t>
            </w:r>
            <w:r w:rsidRPr="00BD64FD">
              <w:t>zāļu laišana brīvā apgrozībā</w:t>
            </w:r>
            <w:r w:rsidR="00FE57DA">
              <w:t>”</w:t>
            </w:r>
            <w:r w:rsidRPr="00BD64FD">
              <w:t xml:space="preserve">, tiks kontrolētas </w:t>
            </w:r>
            <w:r w:rsidR="00BD64FD">
              <w:t>tikai tās zāles, k</w:t>
            </w:r>
            <w:r w:rsidR="00FE57DA">
              <w:t>uras</w:t>
            </w:r>
            <w:r w:rsidR="00BD64FD">
              <w:t xml:space="preserve"> paredzēts laist brīvā apgrozībā </w:t>
            </w:r>
            <w:r w:rsidRPr="00BD64FD">
              <w:t xml:space="preserve">saskaņā ar </w:t>
            </w:r>
            <w:r w:rsidR="00FE57DA">
              <w:t>r</w:t>
            </w:r>
            <w:r w:rsidRPr="00BD64FD">
              <w:t xml:space="preserve">egulas Nr. </w:t>
            </w:r>
            <w:hyperlink r:id="rId14" w:tgtFrame="_blank" w:history="1">
              <w:r w:rsidRPr="00BD64FD">
                <w:t>765/2008</w:t>
              </w:r>
            </w:hyperlink>
            <w:r w:rsidRPr="00BD64FD">
              <w:t xml:space="preserve"> 27. pant</w:t>
            </w:r>
            <w:r w:rsidR="00BD64FD">
              <w:t xml:space="preserve">u, saīsināsies kravu īpašnieku </w:t>
            </w:r>
            <w:r w:rsidRPr="00BD64FD">
              <w:t xml:space="preserve">dīkstāves laiks uz robežas, jo nebūs jāgaida atsevišķa dienesta kontrole, kā arī samazināsies kravas īpašnieka administratīvo un finanšu resursu patēriņš, jo </w:t>
            </w:r>
            <w:r w:rsidR="00FE57DA" w:rsidRPr="00BD64FD">
              <w:t xml:space="preserve">krava </w:t>
            </w:r>
            <w:r w:rsidRPr="00BD64FD">
              <w:t xml:space="preserve">vairs nebūs atkārtoti jāpārvieto no </w:t>
            </w:r>
            <w:r w:rsidR="0075306E">
              <w:t xml:space="preserve">dienesta </w:t>
            </w:r>
            <w:r w:rsidRPr="00BD64FD">
              <w:t xml:space="preserve">robežkontroles punkta </w:t>
            </w:r>
            <w:r w:rsidR="00E358E9">
              <w:t>uz</w:t>
            </w:r>
            <w:r w:rsidR="00E358E9" w:rsidRPr="00BD64FD">
              <w:t xml:space="preserve"> </w:t>
            </w:r>
            <w:r w:rsidRPr="00BD64FD">
              <w:t>muitas noliktavu.</w:t>
            </w:r>
          </w:p>
        </w:tc>
      </w:tr>
      <w:tr w:rsidR="00BD5588" w:rsidRPr="001A5641" w14:paraId="777C9674" w14:textId="77777777" w:rsidTr="00BD64FD">
        <w:trPr>
          <w:cantSplit/>
        </w:trPr>
        <w:tc>
          <w:tcPr>
            <w:tcW w:w="311" w:type="pct"/>
            <w:hideMark/>
          </w:tcPr>
          <w:p w14:paraId="6083EB9B" w14:textId="77777777" w:rsidR="00BD5588" w:rsidRPr="001A5641" w:rsidRDefault="00BD5588" w:rsidP="00D35EC5">
            <w:pPr>
              <w:jc w:val="center"/>
            </w:pPr>
            <w:r w:rsidRPr="001A5641">
              <w:lastRenderedPageBreak/>
              <w:t>3.</w:t>
            </w:r>
          </w:p>
        </w:tc>
        <w:tc>
          <w:tcPr>
            <w:tcW w:w="1479" w:type="pct"/>
            <w:hideMark/>
          </w:tcPr>
          <w:p w14:paraId="3FF29457" w14:textId="77777777" w:rsidR="00BD5588" w:rsidRPr="001A5641" w:rsidRDefault="00BD5588" w:rsidP="00D230A0">
            <w:r w:rsidRPr="001A5641">
              <w:t>Administratīvo izmaksu monetārs novērtējums</w:t>
            </w:r>
          </w:p>
        </w:tc>
        <w:tc>
          <w:tcPr>
            <w:tcW w:w="3210" w:type="pct"/>
            <w:shd w:val="clear" w:color="auto" w:fill="auto"/>
            <w:hideMark/>
          </w:tcPr>
          <w:p w14:paraId="5831B12F" w14:textId="64CEF848" w:rsidR="00354A1C" w:rsidRPr="002E218A" w:rsidRDefault="00354A1C" w:rsidP="002F7479">
            <w:pPr>
              <w:keepNext/>
              <w:contextualSpacing/>
              <w:jc w:val="both"/>
              <w:rPr>
                <w:shd w:val="clear" w:color="auto" w:fill="FFFFFF"/>
              </w:rPr>
            </w:pPr>
            <w:r>
              <w:rPr>
                <w:shd w:val="clear" w:color="auto" w:fill="FFFFFF"/>
              </w:rPr>
              <w:t>Pēdējo trīs</w:t>
            </w:r>
            <w:r w:rsidR="00835636">
              <w:rPr>
                <w:shd w:val="clear" w:color="auto" w:fill="FFFFFF"/>
              </w:rPr>
              <w:t xml:space="preserve"> gadu statistika liecina, ka dienesta</w:t>
            </w:r>
            <w:r>
              <w:rPr>
                <w:shd w:val="clear" w:color="auto" w:fill="FFFFFF"/>
              </w:rPr>
              <w:t xml:space="preserve"> kontrolei uzr</w:t>
            </w:r>
            <w:r w:rsidR="00321975">
              <w:rPr>
                <w:shd w:val="clear" w:color="auto" w:fill="FFFFFF"/>
              </w:rPr>
              <w:t>ādīto zāļu kravu apjoms</w:t>
            </w:r>
            <w:r w:rsidR="00FE57DA">
              <w:rPr>
                <w:shd w:val="clear" w:color="auto" w:fill="FFFFFF"/>
              </w:rPr>
              <w:t xml:space="preserve"> ir šāds</w:t>
            </w:r>
            <w:r w:rsidR="00321975">
              <w:rPr>
                <w:shd w:val="clear" w:color="auto" w:fill="FFFFFF"/>
              </w:rPr>
              <w:t xml:space="preserve">: </w:t>
            </w:r>
            <w:r w:rsidRPr="002E218A">
              <w:rPr>
                <w:shd w:val="clear" w:color="auto" w:fill="FFFFFF"/>
              </w:rPr>
              <w:t>2015.</w:t>
            </w:r>
            <w:r>
              <w:rPr>
                <w:shd w:val="clear" w:color="auto" w:fill="FFFFFF"/>
              </w:rPr>
              <w:t xml:space="preserve"> </w:t>
            </w:r>
            <w:r w:rsidR="00835636">
              <w:rPr>
                <w:shd w:val="clear" w:color="auto" w:fill="FFFFFF"/>
              </w:rPr>
              <w:t>gadā</w:t>
            </w:r>
            <w:proofErr w:type="gramStart"/>
            <w:r w:rsidR="00835636">
              <w:rPr>
                <w:shd w:val="clear" w:color="auto" w:fill="FFFFFF"/>
              </w:rPr>
              <w:t xml:space="preserve">  </w:t>
            </w:r>
            <w:proofErr w:type="gramEnd"/>
            <w:r w:rsidR="00FE57DA">
              <w:rPr>
                <w:shd w:val="clear" w:color="auto" w:fill="FFFFFF"/>
              </w:rPr>
              <w:t xml:space="preserve">– </w:t>
            </w:r>
            <w:r w:rsidRPr="002E218A">
              <w:rPr>
                <w:shd w:val="clear" w:color="auto" w:fill="FFFFFF"/>
              </w:rPr>
              <w:t>100 zāļu krav</w:t>
            </w:r>
            <w:r>
              <w:rPr>
                <w:shd w:val="clear" w:color="auto" w:fill="FFFFFF"/>
              </w:rPr>
              <w:t>u</w:t>
            </w:r>
            <w:r w:rsidRPr="002E218A">
              <w:rPr>
                <w:shd w:val="clear" w:color="auto" w:fill="FFFFFF"/>
              </w:rPr>
              <w:t>, 2016.</w:t>
            </w:r>
            <w:r>
              <w:rPr>
                <w:shd w:val="clear" w:color="auto" w:fill="FFFFFF"/>
              </w:rPr>
              <w:t xml:space="preserve"> </w:t>
            </w:r>
            <w:r w:rsidRPr="002E218A">
              <w:rPr>
                <w:shd w:val="clear" w:color="auto" w:fill="FFFFFF"/>
              </w:rPr>
              <w:t>gadā – 132</w:t>
            </w:r>
            <w:r>
              <w:rPr>
                <w:shd w:val="clear" w:color="auto" w:fill="FFFFFF"/>
              </w:rPr>
              <w:t xml:space="preserve"> kravas</w:t>
            </w:r>
            <w:r w:rsidRPr="002E218A">
              <w:rPr>
                <w:shd w:val="clear" w:color="auto" w:fill="FFFFFF"/>
              </w:rPr>
              <w:t>, 2017.</w:t>
            </w:r>
            <w:r>
              <w:rPr>
                <w:shd w:val="clear" w:color="auto" w:fill="FFFFFF"/>
              </w:rPr>
              <w:t xml:space="preserve"> </w:t>
            </w:r>
            <w:r w:rsidRPr="002E218A">
              <w:rPr>
                <w:shd w:val="clear" w:color="auto" w:fill="FFFFFF"/>
              </w:rPr>
              <w:t>gadā – 108 zāļu kravas.</w:t>
            </w:r>
          </w:p>
          <w:p w14:paraId="05674147" w14:textId="5175457D" w:rsidR="00354A1C" w:rsidRDefault="00FE57DA" w:rsidP="00D7161E">
            <w:pPr>
              <w:keepNext/>
              <w:contextualSpacing/>
              <w:jc w:val="both"/>
              <w:rPr>
                <w:shd w:val="clear" w:color="auto" w:fill="FFFFFF"/>
              </w:rPr>
            </w:pPr>
            <w:r>
              <w:rPr>
                <w:shd w:val="clear" w:color="auto" w:fill="FFFFFF"/>
              </w:rPr>
              <w:t>N</w:t>
            </w:r>
            <w:r w:rsidR="00354A1C">
              <w:rPr>
                <w:shd w:val="clear" w:color="auto" w:fill="FFFFFF"/>
              </w:rPr>
              <w:t xml:space="preserve">o </w:t>
            </w:r>
            <w:r w:rsidR="00321975">
              <w:rPr>
                <w:shd w:val="clear" w:color="auto" w:fill="FFFFFF"/>
              </w:rPr>
              <w:t>minēto kravu skaita dienesta</w:t>
            </w:r>
            <w:r w:rsidR="00354A1C">
              <w:rPr>
                <w:shd w:val="clear" w:color="auto" w:fill="FFFFFF"/>
              </w:rPr>
              <w:t xml:space="preserve"> uz muitas noliktavām </w:t>
            </w:r>
            <w:r w:rsidR="00354A1C" w:rsidRPr="002E218A">
              <w:rPr>
                <w:shd w:val="clear" w:color="auto" w:fill="FFFFFF"/>
              </w:rPr>
              <w:t xml:space="preserve">inspekcijai </w:t>
            </w:r>
            <w:r w:rsidR="00354A1C">
              <w:rPr>
                <w:shd w:val="clear" w:color="auto" w:fill="FFFFFF"/>
              </w:rPr>
              <w:t xml:space="preserve">tālākai uzraudzībai </w:t>
            </w:r>
            <w:r w:rsidR="00354A1C" w:rsidRPr="002E218A">
              <w:rPr>
                <w:shd w:val="clear" w:color="auto" w:fill="FFFFFF"/>
              </w:rPr>
              <w:t>2016.</w:t>
            </w:r>
            <w:r w:rsidR="00354A1C">
              <w:rPr>
                <w:shd w:val="clear" w:color="auto" w:fill="FFFFFF"/>
              </w:rPr>
              <w:t xml:space="preserve"> </w:t>
            </w:r>
            <w:r w:rsidR="00354A1C" w:rsidRPr="002E218A">
              <w:rPr>
                <w:shd w:val="clear" w:color="auto" w:fill="FFFFFF"/>
              </w:rPr>
              <w:t xml:space="preserve">gadā </w:t>
            </w:r>
            <w:r>
              <w:rPr>
                <w:shd w:val="clear" w:color="auto" w:fill="FFFFFF"/>
              </w:rPr>
              <w:t>novirzījis</w:t>
            </w:r>
            <w:r w:rsidRPr="002E218A">
              <w:rPr>
                <w:shd w:val="clear" w:color="auto" w:fill="FFFFFF"/>
              </w:rPr>
              <w:t xml:space="preserve"> </w:t>
            </w:r>
            <w:r w:rsidR="00354A1C" w:rsidRPr="002E218A">
              <w:rPr>
                <w:shd w:val="clear" w:color="auto" w:fill="FFFFFF"/>
              </w:rPr>
              <w:t>22 zāļu kravas</w:t>
            </w:r>
            <w:r>
              <w:rPr>
                <w:shd w:val="clear" w:color="auto" w:fill="FFFFFF"/>
              </w:rPr>
              <w:t xml:space="preserve"> un</w:t>
            </w:r>
            <w:r w:rsidR="00354A1C" w:rsidRPr="002E218A">
              <w:rPr>
                <w:shd w:val="clear" w:color="auto" w:fill="FFFFFF"/>
              </w:rPr>
              <w:t xml:space="preserve"> 2017.</w:t>
            </w:r>
            <w:r w:rsidR="00354A1C">
              <w:rPr>
                <w:shd w:val="clear" w:color="auto" w:fill="FFFFFF"/>
              </w:rPr>
              <w:t xml:space="preserve"> </w:t>
            </w:r>
            <w:r w:rsidR="00354A1C" w:rsidRPr="002E218A">
              <w:rPr>
                <w:shd w:val="clear" w:color="auto" w:fill="FFFFFF"/>
              </w:rPr>
              <w:t>gadā – 30 zāļu krav</w:t>
            </w:r>
            <w:r>
              <w:rPr>
                <w:shd w:val="clear" w:color="auto" w:fill="FFFFFF"/>
              </w:rPr>
              <w:t>u</w:t>
            </w:r>
            <w:r w:rsidR="00354A1C">
              <w:rPr>
                <w:shd w:val="clear" w:color="auto" w:fill="FFFFFF"/>
              </w:rPr>
              <w:t xml:space="preserve">. </w:t>
            </w:r>
          </w:p>
          <w:p w14:paraId="653FF52A" w14:textId="77777777" w:rsidR="0066781E" w:rsidRPr="0066781E" w:rsidRDefault="0066781E">
            <w:pPr>
              <w:keepNext/>
              <w:contextualSpacing/>
              <w:jc w:val="both"/>
              <w:rPr>
                <w:shd w:val="clear" w:color="auto" w:fill="FFFFFF"/>
              </w:rPr>
            </w:pPr>
          </w:p>
          <w:p w14:paraId="61AD4B2F" w14:textId="370C7926" w:rsidR="00BD64FD" w:rsidRDefault="0066781E">
            <w:pPr>
              <w:jc w:val="both"/>
              <w:rPr>
                <w:rFonts w:eastAsia="Calibri"/>
                <w:iCs/>
                <w:lang w:eastAsia="en-US"/>
              </w:rPr>
            </w:pPr>
            <w:r w:rsidRPr="0066781E">
              <w:rPr>
                <w:rFonts w:eastAsia="Calibri"/>
                <w:iCs/>
                <w:lang w:eastAsia="en-US"/>
              </w:rPr>
              <w:t>Saskaņā ar 2013. gada 8. oktobra Ministru kabineta noteikumiem Nr.1083 “Kārtība, kādā veicama samaksa par Pārtikas un veterinārā dienesta valsts uzraudzības un kontroles darbībām un maksas pakalpojumiem” par zālēm tiek iekasēta maksa atbilstoši šo noteikumu 3.</w:t>
            </w:r>
            <w:r>
              <w:rPr>
                <w:rFonts w:eastAsia="Calibri"/>
                <w:iCs/>
                <w:lang w:eastAsia="en-US"/>
              </w:rPr>
              <w:t xml:space="preserve"> </w:t>
            </w:r>
            <w:r w:rsidRPr="0066781E">
              <w:rPr>
                <w:rFonts w:eastAsia="Calibri"/>
                <w:iCs/>
                <w:lang w:eastAsia="en-US"/>
              </w:rPr>
              <w:t>pielikuma 2.2</w:t>
            </w:r>
            <w:r w:rsidR="00FE57DA">
              <w:rPr>
                <w:rFonts w:eastAsia="Calibri"/>
                <w:iCs/>
                <w:lang w:eastAsia="en-US"/>
              </w:rPr>
              <w:t>.</w:t>
            </w:r>
            <w:r w:rsidRPr="0066781E">
              <w:rPr>
                <w:rFonts w:eastAsia="Calibri"/>
                <w:iCs/>
                <w:lang w:eastAsia="en-US"/>
              </w:rPr>
              <w:t xml:space="preserve"> </w:t>
            </w:r>
            <w:r w:rsidR="00FE57DA">
              <w:rPr>
                <w:rFonts w:eastAsia="Calibri"/>
                <w:iCs/>
                <w:lang w:eastAsia="en-US"/>
              </w:rPr>
              <w:t>apakš</w:t>
            </w:r>
            <w:r w:rsidR="00BD64FD">
              <w:rPr>
                <w:rFonts w:eastAsia="Calibri"/>
                <w:iCs/>
                <w:lang w:eastAsia="en-US"/>
              </w:rPr>
              <w:t>punkt</w:t>
            </w:r>
            <w:r w:rsidR="00FE57DA">
              <w:rPr>
                <w:rFonts w:eastAsia="Calibri"/>
                <w:iCs/>
                <w:lang w:eastAsia="en-US"/>
              </w:rPr>
              <w:t>am –</w:t>
            </w:r>
            <w:r w:rsidRPr="0066781E">
              <w:rPr>
                <w:rFonts w:eastAsia="Calibri"/>
                <w:iCs/>
                <w:lang w:eastAsia="en-US"/>
              </w:rPr>
              <w:t>8,70 EUR</w:t>
            </w:r>
            <w:r>
              <w:rPr>
                <w:rFonts w:eastAsia="Calibri"/>
                <w:iCs/>
                <w:lang w:eastAsia="en-US"/>
              </w:rPr>
              <w:t xml:space="preserve">. </w:t>
            </w:r>
          </w:p>
          <w:p w14:paraId="7FB5AB61" w14:textId="4A826673" w:rsidR="00BD5588" w:rsidRPr="001A5641" w:rsidRDefault="0066781E">
            <w:pPr>
              <w:jc w:val="both"/>
            </w:pPr>
            <w:r>
              <w:rPr>
                <w:rFonts w:eastAsia="Calibri"/>
                <w:iCs/>
                <w:lang w:eastAsia="en-US"/>
              </w:rPr>
              <w:t xml:space="preserve">Kopumā </w:t>
            </w:r>
            <w:r w:rsidR="00BD64FD">
              <w:rPr>
                <w:rFonts w:eastAsia="Calibri"/>
                <w:iCs/>
                <w:lang w:eastAsia="en-US"/>
              </w:rPr>
              <w:t>rēķinot, vidēji kravas īpašniekam</w:t>
            </w:r>
            <w:r w:rsidRPr="0066781E">
              <w:rPr>
                <w:rFonts w:eastAsia="Calibri"/>
                <w:iCs/>
                <w:lang w:eastAsia="en-US"/>
              </w:rPr>
              <w:t xml:space="preserve"> </w:t>
            </w:r>
            <w:r w:rsidR="00E358E9">
              <w:rPr>
                <w:rFonts w:eastAsia="Calibri"/>
                <w:iCs/>
                <w:lang w:eastAsia="en-US"/>
              </w:rPr>
              <w:t xml:space="preserve">tikai </w:t>
            </w:r>
            <w:r w:rsidRPr="0066781E">
              <w:rPr>
                <w:rFonts w:eastAsia="Calibri"/>
                <w:iCs/>
                <w:lang w:eastAsia="en-US"/>
              </w:rPr>
              <w:t>par zāļu kravu kontroli</w:t>
            </w:r>
            <w:r w:rsidR="00E358E9">
              <w:rPr>
                <w:rFonts w:eastAsia="Calibri"/>
                <w:iCs/>
                <w:lang w:eastAsia="en-US"/>
              </w:rPr>
              <w:t xml:space="preserve"> vien</w:t>
            </w:r>
            <w:r w:rsidRPr="0066781E">
              <w:rPr>
                <w:rFonts w:eastAsia="Calibri"/>
                <w:iCs/>
                <w:lang w:eastAsia="en-US"/>
              </w:rPr>
              <w:t xml:space="preserve"> </w:t>
            </w:r>
            <w:r w:rsidR="00BD64FD">
              <w:rPr>
                <w:rFonts w:eastAsia="Calibri"/>
                <w:iCs/>
                <w:lang w:eastAsia="en-US"/>
              </w:rPr>
              <w:t>izdevumi samazināsies par</w:t>
            </w:r>
            <w:r w:rsidRPr="0066781E">
              <w:rPr>
                <w:rFonts w:eastAsia="Calibri"/>
                <w:iCs/>
                <w:lang w:eastAsia="en-US"/>
              </w:rPr>
              <w:t xml:space="preserve"> 1148 EUR.</w:t>
            </w:r>
          </w:p>
        </w:tc>
      </w:tr>
      <w:tr w:rsidR="00BD5588" w:rsidRPr="001A5641" w14:paraId="0FB14A41" w14:textId="77777777" w:rsidTr="00B60BAD">
        <w:trPr>
          <w:cantSplit/>
        </w:trPr>
        <w:tc>
          <w:tcPr>
            <w:tcW w:w="311" w:type="pct"/>
            <w:hideMark/>
          </w:tcPr>
          <w:p w14:paraId="01A4E7D7" w14:textId="77777777" w:rsidR="00BD5588" w:rsidRPr="001A5641" w:rsidRDefault="00BD5588" w:rsidP="00D35EC5">
            <w:pPr>
              <w:jc w:val="center"/>
            </w:pPr>
            <w:r w:rsidRPr="001A5641">
              <w:t>4.</w:t>
            </w:r>
          </w:p>
        </w:tc>
        <w:tc>
          <w:tcPr>
            <w:tcW w:w="1479" w:type="pct"/>
            <w:hideMark/>
          </w:tcPr>
          <w:p w14:paraId="2E5ED4C9" w14:textId="77777777" w:rsidR="00BD5588" w:rsidRPr="001A5641" w:rsidRDefault="00BD5588" w:rsidP="00D230A0">
            <w:r w:rsidRPr="001A5641">
              <w:t>Atbilstības izmaksu monetārs novērtējums</w:t>
            </w:r>
          </w:p>
        </w:tc>
        <w:tc>
          <w:tcPr>
            <w:tcW w:w="3210" w:type="pct"/>
            <w:hideMark/>
          </w:tcPr>
          <w:p w14:paraId="0715E6E9" w14:textId="77777777" w:rsidR="00984503" w:rsidRDefault="001A579D" w:rsidP="002F7479">
            <w:pPr>
              <w:jc w:val="both"/>
            </w:pPr>
            <w:r>
              <w:t>Nav attiecināms.</w:t>
            </w:r>
          </w:p>
          <w:p w14:paraId="395BBEBE" w14:textId="77777777" w:rsidR="00984503" w:rsidRPr="001A5641" w:rsidRDefault="00984503">
            <w:pPr>
              <w:jc w:val="both"/>
            </w:pPr>
          </w:p>
        </w:tc>
      </w:tr>
      <w:tr w:rsidR="00BD5588" w:rsidRPr="001A5641" w14:paraId="007AB92C" w14:textId="77777777" w:rsidTr="00B60BAD">
        <w:trPr>
          <w:cantSplit/>
        </w:trPr>
        <w:tc>
          <w:tcPr>
            <w:tcW w:w="311" w:type="pct"/>
            <w:hideMark/>
          </w:tcPr>
          <w:p w14:paraId="1F7A612E" w14:textId="77777777" w:rsidR="00BD5588" w:rsidRPr="001A5641" w:rsidRDefault="00BD5588" w:rsidP="00D35EC5">
            <w:pPr>
              <w:jc w:val="center"/>
            </w:pPr>
            <w:r w:rsidRPr="001A5641">
              <w:t>5.</w:t>
            </w:r>
          </w:p>
        </w:tc>
        <w:tc>
          <w:tcPr>
            <w:tcW w:w="1479" w:type="pct"/>
            <w:hideMark/>
          </w:tcPr>
          <w:p w14:paraId="34EED2B7" w14:textId="77777777" w:rsidR="00BD5588" w:rsidRPr="001A5641" w:rsidRDefault="00BD5588" w:rsidP="00D230A0">
            <w:r w:rsidRPr="001A5641">
              <w:t>Cita informācija</w:t>
            </w:r>
          </w:p>
        </w:tc>
        <w:tc>
          <w:tcPr>
            <w:tcW w:w="3210" w:type="pct"/>
            <w:hideMark/>
          </w:tcPr>
          <w:p w14:paraId="49168860" w14:textId="77777777" w:rsidR="00BD5588" w:rsidRPr="001A5641" w:rsidRDefault="001A579D" w:rsidP="002F7479">
            <w:r>
              <w:t>Nav.</w:t>
            </w:r>
          </w:p>
        </w:tc>
      </w:tr>
    </w:tbl>
    <w:p w14:paraId="7F1E8ED8" w14:textId="77777777" w:rsidR="00BD5588" w:rsidRPr="001A5641" w:rsidRDefault="00BD5588" w:rsidP="00173648">
      <w:pPr>
        <w:pStyle w:val="Nosaukums"/>
        <w:ind w:firstLine="539"/>
        <w:jc w:val="both"/>
        <w:rPr>
          <w:sz w:val="24"/>
          <w:szCs w:val="24"/>
        </w:rPr>
      </w:pPr>
    </w:p>
    <w:p w14:paraId="56A7E30B" w14:textId="4BDD5633" w:rsidR="00BD5588" w:rsidRPr="001A5641" w:rsidRDefault="001A579D" w:rsidP="00881663">
      <w:pPr>
        <w:pStyle w:val="Nosaukums"/>
        <w:ind w:firstLine="539"/>
        <w:jc w:val="both"/>
      </w:pPr>
      <w:r>
        <w:rPr>
          <w:i/>
          <w:sz w:val="24"/>
          <w:szCs w:val="24"/>
        </w:rPr>
        <w:t>Anotācijas III.</w:t>
      </w:r>
      <w:r w:rsidR="00DF5990">
        <w:rPr>
          <w:i/>
          <w:sz w:val="24"/>
          <w:szCs w:val="24"/>
        </w:rPr>
        <w:t xml:space="preserve"> un IV.</w:t>
      </w:r>
      <w:r>
        <w:rPr>
          <w:i/>
          <w:sz w:val="24"/>
          <w:szCs w:val="24"/>
        </w:rPr>
        <w:t xml:space="preserve"> </w:t>
      </w:r>
      <w:r w:rsidRPr="003526D8">
        <w:rPr>
          <w:i/>
          <w:sz w:val="24"/>
          <w:szCs w:val="24"/>
        </w:rPr>
        <w:t>sadaļa – projekts šo jomu neskar.</w:t>
      </w:r>
    </w:p>
    <w:p w14:paraId="01BDF783" w14:textId="77777777" w:rsidR="00BD5588" w:rsidRPr="001A5641" w:rsidRDefault="00BD5588" w:rsidP="00173648">
      <w:pPr>
        <w:pStyle w:val="Nosaukums"/>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BD5588" w:rsidRPr="001A5641" w14:paraId="2B5B11EB" w14:textId="77777777" w:rsidTr="00B60BAD">
        <w:trPr>
          <w:cantSplit/>
        </w:trPr>
        <w:tc>
          <w:tcPr>
            <w:tcW w:w="5000" w:type="pct"/>
            <w:gridSpan w:val="3"/>
            <w:vAlign w:val="center"/>
            <w:hideMark/>
          </w:tcPr>
          <w:p w14:paraId="6FCD203F" w14:textId="77777777" w:rsidR="00BD5588" w:rsidRPr="001A5641" w:rsidRDefault="00BD5588" w:rsidP="00D35EC5">
            <w:pPr>
              <w:jc w:val="center"/>
              <w:rPr>
                <w:b/>
                <w:bCs/>
              </w:rPr>
            </w:pPr>
            <w:r w:rsidRPr="001A5641">
              <w:rPr>
                <w:b/>
                <w:bCs/>
              </w:rPr>
              <w:t>V. Tiesību akta projekta atbilstība Latvijas Republikas starptautiskajām saistībām</w:t>
            </w:r>
          </w:p>
        </w:tc>
      </w:tr>
      <w:tr w:rsidR="00BD5588" w:rsidRPr="001A5641" w14:paraId="1D94D80F" w14:textId="77777777" w:rsidTr="00B60BAD">
        <w:trPr>
          <w:cantSplit/>
        </w:trPr>
        <w:tc>
          <w:tcPr>
            <w:tcW w:w="311" w:type="pct"/>
            <w:hideMark/>
          </w:tcPr>
          <w:p w14:paraId="5FCB26AE" w14:textId="77777777" w:rsidR="00BD5588" w:rsidRPr="001A5641" w:rsidRDefault="00BD5588" w:rsidP="00D35EC5">
            <w:pPr>
              <w:jc w:val="center"/>
            </w:pPr>
            <w:r w:rsidRPr="001A5641">
              <w:t>1.</w:t>
            </w:r>
          </w:p>
        </w:tc>
        <w:tc>
          <w:tcPr>
            <w:tcW w:w="1479" w:type="pct"/>
            <w:hideMark/>
          </w:tcPr>
          <w:p w14:paraId="0F97D7E7" w14:textId="77777777" w:rsidR="00BD5588" w:rsidRPr="001A5641" w:rsidRDefault="00BD5588" w:rsidP="00D230A0">
            <w:r w:rsidRPr="001A5641">
              <w:t>Saistības pret Eiropas Savienību</w:t>
            </w:r>
          </w:p>
        </w:tc>
        <w:tc>
          <w:tcPr>
            <w:tcW w:w="3210" w:type="pct"/>
            <w:hideMark/>
          </w:tcPr>
          <w:p w14:paraId="40A742FD" w14:textId="0540C00B" w:rsidR="0066781E" w:rsidRDefault="0066781E" w:rsidP="000F1125">
            <w:pPr>
              <w:jc w:val="both"/>
            </w:pPr>
            <w:r>
              <w:t xml:space="preserve">1) Eiropas Parlamenta un Padomes 2008. gada 9. jūlija Regula (EK) Nr. 765/2008, ar ko nosaka akreditācijas un tirgus uzraudzības prasības attiecībā uz produktu tirdzniecību un atceļ Regulu (EEK) Nr. 339/93 (turpmāk − Regula </w:t>
            </w:r>
            <w:r w:rsidR="00FE57DA">
              <w:t xml:space="preserve">Nr. </w:t>
            </w:r>
            <w:r>
              <w:t xml:space="preserve">765/2008); </w:t>
            </w:r>
          </w:p>
          <w:p w14:paraId="7F7A245F" w14:textId="2B30BBE3" w:rsidR="0066781E" w:rsidRDefault="0066781E" w:rsidP="00D7161E">
            <w:pPr>
              <w:jc w:val="both"/>
            </w:pPr>
            <w:r>
              <w:lastRenderedPageBreak/>
              <w:t>2) Eiropas Parlamenta un Padomes 2016. gada 11. maija Regul</w:t>
            </w:r>
            <w:r w:rsidR="00FE57DA">
              <w:t>a</w:t>
            </w:r>
            <w:r>
              <w:t xml:space="preserve"> (ES) 2016/793 par izvairīšanos no dažu svarīgāko zāļu tirdzniecības novirzīšanas uz Eiropas Savienību (turpmāk – Regula </w:t>
            </w:r>
            <w:r w:rsidR="00A46284">
              <w:t xml:space="preserve">Nr. </w:t>
            </w:r>
            <w:r>
              <w:t>2016/793);</w:t>
            </w:r>
          </w:p>
          <w:p w14:paraId="0BD24B06" w14:textId="4EAFB35F" w:rsidR="00BD5588" w:rsidRPr="001A5641" w:rsidRDefault="0066781E">
            <w:pPr>
              <w:jc w:val="both"/>
            </w:pPr>
            <w:r>
              <w:t xml:space="preserve">3) Eiropas Parlamenta un Padomes 2006. gada 17. maija Regula (EK) Nr. 816/2006 par patentu piespiedu licencēšanu attiecībā uz farmaceitisko produktu ražošanu eksportam uz valstīm, kurās ir sabiedrības veselības aizsardzības problēmas, (turpmāk − Regula </w:t>
            </w:r>
            <w:r w:rsidR="00FE57DA">
              <w:t xml:space="preserve">Nr. </w:t>
            </w:r>
            <w:r>
              <w:t xml:space="preserve">816/2006) </w:t>
            </w:r>
          </w:p>
        </w:tc>
      </w:tr>
      <w:tr w:rsidR="00BD5588" w:rsidRPr="001A5641" w14:paraId="1E00ECDA" w14:textId="77777777" w:rsidTr="00B60BAD">
        <w:trPr>
          <w:cantSplit/>
        </w:trPr>
        <w:tc>
          <w:tcPr>
            <w:tcW w:w="311" w:type="pct"/>
            <w:hideMark/>
          </w:tcPr>
          <w:p w14:paraId="723177BC" w14:textId="77777777" w:rsidR="00BD5588" w:rsidRPr="001A5641" w:rsidRDefault="00BD5588" w:rsidP="00D35EC5">
            <w:pPr>
              <w:jc w:val="center"/>
            </w:pPr>
            <w:r w:rsidRPr="001A5641">
              <w:lastRenderedPageBreak/>
              <w:t>2.</w:t>
            </w:r>
          </w:p>
        </w:tc>
        <w:tc>
          <w:tcPr>
            <w:tcW w:w="1479" w:type="pct"/>
            <w:hideMark/>
          </w:tcPr>
          <w:p w14:paraId="6ECB61A7" w14:textId="77777777" w:rsidR="00BD5588" w:rsidRPr="001A5641" w:rsidRDefault="00BD5588" w:rsidP="00D230A0">
            <w:r w:rsidRPr="001A5641">
              <w:t>Citas starptautiskās saistības</w:t>
            </w:r>
          </w:p>
        </w:tc>
        <w:tc>
          <w:tcPr>
            <w:tcW w:w="3210" w:type="pct"/>
            <w:hideMark/>
          </w:tcPr>
          <w:p w14:paraId="0B6E3556" w14:textId="77777777" w:rsidR="00BD5588" w:rsidRPr="001A5641" w:rsidRDefault="00DB7090" w:rsidP="002F7479">
            <w:r w:rsidRPr="000F1125">
              <w:rPr>
                <w:bCs/>
              </w:rPr>
              <w:t>Projekts šo jomu neskar.</w:t>
            </w:r>
          </w:p>
        </w:tc>
      </w:tr>
      <w:tr w:rsidR="00BD5588" w:rsidRPr="001A5641" w14:paraId="5A447DF7" w14:textId="77777777" w:rsidTr="00B60BAD">
        <w:trPr>
          <w:cantSplit/>
        </w:trPr>
        <w:tc>
          <w:tcPr>
            <w:tcW w:w="311" w:type="pct"/>
            <w:hideMark/>
          </w:tcPr>
          <w:p w14:paraId="248B1B0C" w14:textId="77777777" w:rsidR="00BD5588" w:rsidRPr="001A5641" w:rsidRDefault="00BD5588" w:rsidP="00D35EC5">
            <w:pPr>
              <w:jc w:val="center"/>
            </w:pPr>
            <w:r w:rsidRPr="001A5641">
              <w:t>3.</w:t>
            </w:r>
          </w:p>
        </w:tc>
        <w:tc>
          <w:tcPr>
            <w:tcW w:w="1479" w:type="pct"/>
            <w:hideMark/>
          </w:tcPr>
          <w:p w14:paraId="07996983" w14:textId="77777777" w:rsidR="00BD5588" w:rsidRPr="001A5641" w:rsidRDefault="00BD5588" w:rsidP="00D230A0">
            <w:r w:rsidRPr="001A5641">
              <w:t>Cita informācija</w:t>
            </w:r>
          </w:p>
        </w:tc>
        <w:tc>
          <w:tcPr>
            <w:tcW w:w="3210" w:type="pct"/>
            <w:hideMark/>
          </w:tcPr>
          <w:p w14:paraId="55FCB1F9" w14:textId="45812285" w:rsidR="00984503" w:rsidRPr="001A5641" w:rsidRDefault="000D3DE0" w:rsidP="000F1125">
            <w:r w:rsidRPr="000D3DE0">
              <w:t>Nav</w:t>
            </w:r>
          </w:p>
        </w:tc>
      </w:tr>
    </w:tbl>
    <w:p w14:paraId="10A144C6" w14:textId="77777777" w:rsidR="00BD5588" w:rsidRPr="001A5641" w:rsidRDefault="00BD5588" w:rsidP="00173648">
      <w:pPr>
        <w:pStyle w:val="Nosaukums"/>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48"/>
        <w:gridCol w:w="2039"/>
        <w:gridCol w:w="2563"/>
        <w:gridCol w:w="2478"/>
      </w:tblGrid>
      <w:tr w:rsidR="00BD5588" w:rsidRPr="001A5641" w14:paraId="1FE2D222" w14:textId="77777777" w:rsidTr="00B60BAD">
        <w:trPr>
          <w:cantSplit/>
        </w:trPr>
        <w:tc>
          <w:tcPr>
            <w:tcW w:w="5000" w:type="pct"/>
            <w:gridSpan w:val="4"/>
            <w:vAlign w:val="center"/>
            <w:hideMark/>
          </w:tcPr>
          <w:p w14:paraId="15D823D1" w14:textId="77777777" w:rsidR="00BD5588" w:rsidRPr="001A5641" w:rsidRDefault="00BD5588" w:rsidP="00D35EC5">
            <w:pPr>
              <w:jc w:val="center"/>
              <w:rPr>
                <w:b/>
                <w:bCs/>
              </w:rPr>
            </w:pPr>
            <w:r w:rsidRPr="001A5641">
              <w:rPr>
                <w:b/>
                <w:bCs/>
              </w:rPr>
              <w:t>1. tabula</w:t>
            </w:r>
            <w:r w:rsidRPr="001A5641">
              <w:rPr>
                <w:b/>
                <w:bCs/>
              </w:rPr>
              <w:br/>
              <w:t>Tiesību akta projekta atbilstība ES tiesību aktiem</w:t>
            </w:r>
          </w:p>
        </w:tc>
      </w:tr>
      <w:tr w:rsidR="00BD5588" w:rsidRPr="001A5641" w14:paraId="72233C69" w14:textId="77777777" w:rsidTr="000A08D8">
        <w:trPr>
          <w:cantSplit/>
        </w:trPr>
        <w:tc>
          <w:tcPr>
            <w:tcW w:w="1323" w:type="pct"/>
            <w:hideMark/>
          </w:tcPr>
          <w:p w14:paraId="5BA42795" w14:textId="77777777" w:rsidR="00BD5588" w:rsidRPr="001A5641" w:rsidRDefault="00BD5588" w:rsidP="00D35EC5">
            <w:r w:rsidRPr="001A5641">
              <w:t>Attiecīgā ES tiesību akta datums, numurs un nosaukums</w:t>
            </w:r>
          </w:p>
        </w:tc>
        <w:tc>
          <w:tcPr>
            <w:tcW w:w="3677" w:type="pct"/>
            <w:gridSpan w:val="3"/>
            <w:hideMark/>
          </w:tcPr>
          <w:p w14:paraId="103C0A8E" w14:textId="110B75CE" w:rsidR="00BD5588" w:rsidRDefault="000A08D8" w:rsidP="00D230A0">
            <w:r>
              <w:t xml:space="preserve">1) </w:t>
            </w:r>
            <w:r w:rsidRPr="000A08D8">
              <w:t xml:space="preserve">Regula </w:t>
            </w:r>
            <w:r w:rsidR="00FE57DA">
              <w:t xml:space="preserve">Nr. </w:t>
            </w:r>
            <w:r w:rsidRPr="000A08D8">
              <w:t>765/2008</w:t>
            </w:r>
            <w:r>
              <w:t>;</w:t>
            </w:r>
          </w:p>
          <w:p w14:paraId="4A200D2C" w14:textId="315F2C3C" w:rsidR="000A08D8" w:rsidRDefault="000A08D8" w:rsidP="00D230A0">
            <w:r>
              <w:t xml:space="preserve">2) </w:t>
            </w:r>
            <w:r w:rsidRPr="000A08D8">
              <w:t xml:space="preserve">Regula </w:t>
            </w:r>
            <w:r w:rsidR="00A46284">
              <w:t xml:space="preserve">Nr. </w:t>
            </w:r>
            <w:r w:rsidRPr="000A08D8">
              <w:t>2016/793</w:t>
            </w:r>
            <w:r>
              <w:t>;</w:t>
            </w:r>
          </w:p>
          <w:p w14:paraId="438F790A" w14:textId="7FB3084B" w:rsidR="000A08D8" w:rsidRPr="001A5641" w:rsidRDefault="000A08D8" w:rsidP="00D230A0">
            <w:r>
              <w:t xml:space="preserve">3) </w:t>
            </w:r>
            <w:r w:rsidRPr="000A08D8">
              <w:t xml:space="preserve">Regula </w:t>
            </w:r>
            <w:r w:rsidR="00FE57DA">
              <w:t xml:space="preserve">Nr. </w:t>
            </w:r>
            <w:r w:rsidRPr="000A08D8">
              <w:t>816/2006</w:t>
            </w:r>
          </w:p>
        </w:tc>
      </w:tr>
      <w:tr w:rsidR="00BD5588" w:rsidRPr="001A5641" w14:paraId="5FF1CAC6" w14:textId="77777777" w:rsidTr="000A08D8">
        <w:trPr>
          <w:cantSplit/>
        </w:trPr>
        <w:tc>
          <w:tcPr>
            <w:tcW w:w="1323" w:type="pct"/>
            <w:vAlign w:val="center"/>
            <w:hideMark/>
          </w:tcPr>
          <w:p w14:paraId="4CD188CC" w14:textId="4AA63085" w:rsidR="00BD5588" w:rsidRPr="001A5641" w:rsidRDefault="00BD5588" w:rsidP="00D35EC5">
            <w:pPr>
              <w:jc w:val="center"/>
            </w:pPr>
            <w:r w:rsidRPr="001A5641">
              <w:t>A</w:t>
            </w:r>
          </w:p>
        </w:tc>
        <w:tc>
          <w:tcPr>
            <w:tcW w:w="1059" w:type="pct"/>
            <w:vAlign w:val="center"/>
            <w:hideMark/>
          </w:tcPr>
          <w:p w14:paraId="1D79CF4E" w14:textId="77777777" w:rsidR="00BD5588" w:rsidRPr="001A5641" w:rsidRDefault="00BD5588" w:rsidP="00D230A0">
            <w:pPr>
              <w:jc w:val="center"/>
            </w:pPr>
            <w:r w:rsidRPr="001A5641">
              <w:t>B</w:t>
            </w:r>
          </w:p>
        </w:tc>
        <w:tc>
          <w:tcPr>
            <w:tcW w:w="1331" w:type="pct"/>
            <w:vAlign w:val="center"/>
            <w:hideMark/>
          </w:tcPr>
          <w:p w14:paraId="6512AAF7" w14:textId="77777777" w:rsidR="00BD5588" w:rsidRPr="001A5641" w:rsidRDefault="00BD5588" w:rsidP="002F7479">
            <w:pPr>
              <w:jc w:val="center"/>
            </w:pPr>
            <w:r w:rsidRPr="001A5641">
              <w:t>C</w:t>
            </w:r>
          </w:p>
        </w:tc>
        <w:tc>
          <w:tcPr>
            <w:tcW w:w="1287" w:type="pct"/>
            <w:vAlign w:val="center"/>
            <w:hideMark/>
          </w:tcPr>
          <w:p w14:paraId="1835B873" w14:textId="77777777" w:rsidR="00BD5588" w:rsidRPr="001A5641" w:rsidRDefault="00BD5588" w:rsidP="000F1125">
            <w:pPr>
              <w:jc w:val="center"/>
            </w:pPr>
            <w:r w:rsidRPr="001A5641">
              <w:t>D</w:t>
            </w:r>
          </w:p>
        </w:tc>
      </w:tr>
      <w:tr w:rsidR="00BD5588" w:rsidRPr="001A5641" w14:paraId="787970EE" w14:textId="77777777" w:rsidTr="000A08D8">
        <w:trPr>
          <w:cantSplit/>
        </w:trPr>
        <w:tc>
          <w:tcPr>
            <w:tcW w:w="1323" w:type="pct"/>
            <w:hideMark/>
          </w:tcPr>
          <w:p w14:paraId="59FCF435" w14:textId="77777777" w:rsidR="00BD5588" w:rsidRPr="001A5641" w:rsidRDefault="00BD5588" w:rsidP="00D35EC5">
            <w:r w:rsidRPr="001A5641">
              <w:t>Attiecīgā ES tiesību akta panta numurs (uzskaitot katru tiesību akta vienību – pantu, daļu, punktu, apakšpunktu)</w:t>
            </w:r>
          </w:p>
        </w:tc>
        <w:tc>
          <w:tcPr>
            <w:tcW w:w="1059" w:type="pct"/>
            <w:hideMark/>
          </w:tcPr>
          <w:p w14:paraId="58316CC5" w14:textId="77777777" w:rsidR="00BD5588" w:rsidRPr="001A5641" w:rsidRDefault="00BD5588" w:rsidP="00D230A0">
            <w:r w:rsidRPr="001A5641">
              <w:t>Projekta vienība, kas pārņem vai ievieš katru šīs tabulas A ailē minēto ES tiesību akta vienību, vai tiesību akts, kur attiecīgā ES tiesību akta vienība pārņemta vai ieviesta</w:t>
            </w:r>
          </w:p>
        </w:tc>
        <w:tc>
          <w:tcPr>
            <w:tcW w:w="1331" w:type="pct"/>
            <w:hideMark/>
          </w:tcPr>
          <w:p w14:paraId="7B26A165" w14:textId="77777777" w:rsidR="00BD5588" w:rsidRPr="001A5641" w:rsidRDefault="00BD5588" w:rsidP="002F7479">
            <w:r w:rsidRPr="001A5641">
              <w:t>Informācija par to, vai šīs tabulas A ailē minētās ES tiesību akta vienības tiek pārņemtas vai ieviestas pilnībā vai daļēji.</w:t>
            </w:r>
            <w:r w:rsidRPr="001A5641">
              <w:br/>
              <w:t>Ja attiecīgā ES tiesību akta vienība tiek pārņemta vai ieviesta daļēji, sniedz attiecīgu skaidrojumu, kā arī precīzi norāda, kad un kādā veidā ES tiesību akta vienība tiks pārņemta vai ieviesta pilnībā.</w:t>
            </w:r>
            <w:r w:rsidRPr="001A5641">
              <w:br/>
              <w:t>Norāda institūciju, kas ir atbildīga par šo saistību izpildi pilnībā</w:t>
            </w:r>
          </w:p>
        </w:tc>
        <w:tc>
          <w:tcPr>
            <w:tcW w:w="1287" w:type="pct"/>
            <w:hideMark/>
          </w:tcPr>
          <w:p w14:paraId="140AAC1C" w14:textId="77777777" w:rsidR="00BD5588" w:rsidRPr="001A5641" w:rsidRDefault="00BD5588" w:rsidP="000F1125">
            <w:r w:rsidRPr="001A5641">
              <w:t>Informācija par to, vai šīs tabulas B ailē minētās projekta vienības paredz stingrākas prasības nekā šīs tabulas A ailē minētās ES tiesību akta vienības.</w:t>
            </w:r>
            <w:r w:rsidRPr="001A5641">
              <w:br/>
              <w:t>Ja projekts satur stingrākas prasības nekā attiecīgais ES tiesību akts, norāda pamatojumu un samērīgumu.</w:t>
            </w:r>
            <w:r w:rsidRPr="001A5641">
              <w:br/>
              <w:t xml:space="preserve">Norāda iespējamās alternatīvas </w:t>
            </w:r>
            <w:proofErr w:type="gramStart"/>
            <w:r w:rsidRPr="001A5641">
              <w:t>(</w:t>
            </w:r>
            <w:proofErr w:type="gramEnd"/>
            <w:r w:rsidRPr="001A5641">
              <w:t>t. sk. alternatīvas, kas neparedz tiesiskā regulējuma izstrādi) – kādos gadījumos būtu iespējams izvairīties no stingrāku prasību noteikšanas, nekā paredzēts attiecīgajos ES tiesību aktos</w:t>
            </w:r>
          </w:p>
        </w:tc>
      </w:tr>
      <w:tr w:rsidR="00BD5588" w:rsidRPr="001A5641" w14:paraId="465B4C02" w14:textId="77777777" w:rsidTr="000A08D8">
        <w:trPr>
          <w:cantSplit/>
        </w:trPr>
        <w:tc>
          <w:tcPr>
            <w:tcW w:w="1323" w:type="pct"/>
            <w:hideMark/>
          </w:tcPr>
          <w:p w14:paraId="65EE5498" w14:textId="7DB73802" w:rsidR="00BD5588" w:rsidRPr="001A5641" w:rsidRDefault="00DF5990" w:rsidP="00DB7090">
            <w:r>
              <w:t>Regula</w:t>
            </w:r>
            <w:r w:rsidR="00DB7090">
              <w:t>s</w:t>
            </w:r>
            <w:r>
              <w:t xml:space="preserve"> </w:t>
            </w:r>
            <w:r w:rsidR="00FE57DA">
              <w:t xml:space="preserve">Nr. </w:t>
            </w:r>
            <w:r>
              <w:t>765/2008 28. pants</w:t>
            </w:r>
          </w:p>
        </w:tc>
        <w:tc>
          <w:tcPr>
            <w:tcW w:w="1059" w:type="pct"/>
            <w:hideMark/>
          </w:tcPr>
          <w:p w14:paraId="0330280F" w14:textId="77777777" w:rsidR="00BD5588" w:rsidRPr="001A5641" w:rsidRDefault="00DF5990" w:rsidP="00D230A0">
            <w:r>
              <w:t>1.11. apakšpunkts</w:t>
            </w:r>
          </w:p>
        </w:tc>
        <w:tc>
          <w:tcPr>
            <w:tcW w:w="1331" w:type="pct"/>
            <w:hideMark/>
          </w:tcPr>
          <w:p w14:paraId="697D7CF2" w14:textId="77777777" w:rsidR="00BD5588" w:rsidRPr="001A5641" w:rsidRDefault="00DF5990" w:rsidP="002F7479">
            <w:r>
              <w:t>Pārņemta pilnīgi</w:t>
            </w:r>
          </w:p>
        </w:tc>
        <w:tc>
          <w:tcPr>
            <w:tcW w:w="1287" w:type="pct"/>
            <w:hideMark/>
          </w:tcPr>
          <w:p w14:paraId="0E2F4449" w14:textId="77777777" w:rsidR="00BD5588" w:rsidRPr="001A5641" w:rsidRDefault="00DF5990" w:rsidP="000F1125">
            <w:r>
              <w:t>Neparedz stingrākas prasības</w:t>
            </w:r>
          </w:p>
        </w:tc>
      </w:tr>
      <w:tr w:rsidR="00DF5990" w:rsidRPr="001A5641" w14:paraId="62F3DF1F" w14:textId="77777777" w:rsidTr="000A08D8">
        <w:trPr>
          <w:cantSplit/>
        </w:trPr>
        <w:tc>
          <w:tcPr>
            <w:tcW w:w="1323" w:type="pct"/>
          </w:tcPr>
          <w:p w14:paraId="377FB800" w14:textId="07A4AEE3" w:rsidR="00DF5990" w:rsidRDefault="00DF5990" w:rsidP="00D35EC5">
            <w:r w:rsidRPr="00DF5990">
              <w:t>Regula</w:t>
            </w:r>
            <w:r w:rsidR="00DB7090">
              <w:t>s</w:t>
            </w:r>
            <w:r w:rsidRPr="00DF5990">
              <w:t xml:space="preserve"> </w:t>
            </w:r>
            <w:r w:rsidR="00A46284">
              <w:t xml:space="preserve">Nr. </w:t>
            </w:r>
            <w:r w:rsidRPr="00DF5990">
              <w:t>2016/793</w:t>
            </w:r>
            <w:r>
              <w:t xml:space="preserve"> I pielikums</w:t>
            </w:r>
          </w:p>
        </w:tc>
        <w:tc>
          <w:tcPr>
            <w:tcW w:w="1059" w:type="pct"/>
          </w:tcPr>
          <w:p w14:paraId="39C2B895" w14:textId="77777777" w:rsidR="00DF5990" w:rsidRDefault="00DF5990" w:rsidP="00D230A0">
            <w:r>
              <w:t>1.6. apak</w:t>
            </w:r>
            <w:bookmarkStart w:id="0" w:name="_GoBack"/>
            <w:bookmarkEnd w:id="0"/>
            <w:r>
              <w:t>špunkts</w:t>
            </w:r>
          </w:p>
        </w:tc>
        <w:tc>
          <w:tcPr>
            <w:tcW w:w="1331" w:type="pct"/>
          </w:tcPr>
          <w:p w14:paraId="7E300B22" w14:textId="77777777" w:rsidR="00DF5990" w:rsidRDefault="00DF5990" w:rsidP="002F7479">
            <w:r w:rsidRPr="00DF5990">
              <w:t>Pārņemta pilnīgi</w:t>
            </w:r>
          </w:p>
        </w:tc>
        <w:tc>
          <w:tcPr>
            <w:tcW w:w="1287" w:type="pct"/>
          </w:tcPr>
          <w:p w14:paraId="142823D8" w14:textId="77777777" w:rsidR="00DF5990" w:rsidRDefault="00DF5990" w:rsidP="000F1125">
            <w:r w:rsidRPr="00DF5990">
              <w:t>Neparedz stingrākas prasības</w:t>
            </w:r>
          </w:p>
        </w:tc>
      </w:tr>
      <w:tr w:rsidR="00DF5990" w:rsidRPr="001A5641" w14:paraId="3D58115A" w14:textId="77777777" w:rsidTr="000A08D8">
        <w:trPr>
          <w:cantSplit/>
        </w:trPr>
        <w:tc>
          <w:tcPr>
            <w:tcW w:w="1323" w:type="pct"/>
          </w:tcPr>
          <w:p w14:paraId="40C3974E" w14:textId="53D5EF83" w:rsidR="00DF5990" w:rsidRPr="00DF5990" w:rsidRDefault="00DF5990" w:rsidP="00D35EC5">
            <w:r w:rsidRPr="00DF5990">
              <w:t>Regula</w:t>
            </w:r>
            <w:r w:rsidR="00DB7090">
              <w:t>s</w:t>
            </w:r>
            <w:r w:rsidR="00A46284">
              <w:t xml:space="preserve"> Nr.</w:t>
            </w:r>
            <w:r w:rsidRPr="00DF5990">
              <w:t xml:space="preserve"> 2016/793 </w:t>
            </w:r>
            <w:proofErr w:type="gramStart"/>
            <w:r>
              <w:t>9.pants</w:t>
            </w:r>
            <w:proofErr w:type="gramEnd"/>
          </w:p>
        </w:tc>
        <w:tc>
          <w:tcPr>
            <w:tcW w:w="1059" w:type="pct"/>
          </w:tcPr>
          <w:p w14:paraId="2A906C85" w14:textId="77777777" w:rsidR="00DF5990" w:rsidRDefault="00DF5990" w:rsidP="00D230A0">
            <w:r w:rsidRPr="00DF5990">
              <w:t xml:space="preserve"> 1.7. apakšpunkts</w:t>
            </w:r>
          </w:p>
        </w:tc>
        <w:tc>
          <w:tcPr>
            <w:tcW w:w="1331" w:type="pct"/>
          </w:tcPr>
          <w:p w14:paraId="019FF45A" w14:textId="77777777" w:rsidR="00DF5990" w:rsidRDefault="00DF5990" w:rsidP="002F7479">
            <w:r w:rsidRPr="00DF5990">
              <w:t>Pārņemta pilnīgi</w:t>
            </w:r>
          </w:p>
        </w:tc>
        <w:tc>
          <w:tcPr>
            <w:tcW w:w="1287" w:type="pct"/>
          </w:tcPr>
          <w:p w14:paraId="706DBF7D" w14:textId="77777777" w:rsidR="00DF5990" w:rsidRDefault="00DF5990" w:rsidP="000F1125">
            <w:r w:rsidRPr="00DF5990">
              <w:t>Neparedz stingrākas prasības</w:t>
            </w:r>
          </w:p>
        </w:tc>
      </w:tr>
      <w:tr w:rsidR="00DF5990" w:rsidRPr="001A5641" w14:paraId="54BBB885" w14:textId="77777777" w:rsidTr="000A08D8">
        <w:trPr>
          <w:cantSplit/>
        </w:trPr>
        <w:tc>
          <w:tcPr>
            <w:tcW w:w="1323" w:type="pct"/>
          </w:tcPr>
          <w:p w14:paraId="769E8122" w14:textId="1C0094FF" w:rsidR="00DF5990" w:rsidRPr="00DF5990" w:rsidRDefault="00DF5990" w:rsidP="00D35EC5">
            <w:r w:rsidRPr="00DF5990">
              <w:t>Regula</w:t>
            </w:r>
            <w:r w:rsidR="00DB7090">
              <w:t>s</w:t>
            </w:r>
            <w:r w:rsidRPr="00DF5990">
              <w:t xml:space="preserve"> </w:t>
            </w:r>
            <w:r w:rsidR="00FE57DA">
              <w:t xml:space="preserve">Nr. </w:t>
            </w:r>
            <w:r w:rsidRPr="00DF5990">
              <w:t>816/2006</w:t>
            </w:r>
            <w:r>
              <w:t xml:space="preserve"> </w:t>
            </w:r>
            <w:proofErr w:type="gramStart"/>
            <w:r>
              <w:t>13.panta</w:t>
            </w:r>
            <w:proofErr w:type="gramEnd"/>
            <w:r>
              <w:t xml:space="preserve"> 1.punkts</w:t>
            </w:r>
          </w:p>
        </w:tc>
        <w:tc>
          <w:tcPr>
            <w:tcW w:w="1059" w:type="pct"/>
          </w:tcPr>
          <w:p w14:paraId="39CCF495" w14:textId="77777777" w:rsidR="00DF5990" w:rsidRPr="00DF5990" w:rsidRDefault="00DF5990" w:rsidP="00D230A0">
            <w:r w:rsidRPr="00DF5990">
              <w:t>1.6. apakšpunkts</w:t>
            </w:r>
          </w:p>
        </w:tc>
        <w:tc>
          <w:tcPr>
            <w:tcW w:w="1331" w:type="pct"/>
          </w:tcPr>
          <w:p w14:paraId="06CFBC18" w14:textId="77777777" w:rsidR="00DF5990" w:rsidRDefault="00DF5990" w:rsidP="002F7479">
            <w:r w:rsidRPr="00DF5990">
              <w:t>Pārņemta pilnīgi</w:t>
            </w:r>
          </w:p>
        </w:tc>
        <w:tc>
          <w:tcPr>
            <w:tcW w:w="1287" w:type="pct"/>
          </w:tcPr>
          <w:p w14:paraId="6A6F8E87" w14:textId="77777777" w:rsidR="00DF5990" w:rsidRDefault="00DF5990" w:rsidP="000F1125">
            <w:r w:rsidRPr="00DF5990">
              <w:t>Neparedz stingrākas prasības</w:t>
            </w:r>
          </w:p>
        </w:tc>
      </w:tr>
      <w:tr w:rsidR="00DF5990" w:rsidRPr="001A5641" w14:paraId="20E6B135" w14:textId="77777777" w:rsidTr="000A08D8">
        <w:trPr>
          <w:cantSplit/>
        </w:trPr>
        <w:tc>
          <w:tcPr>
            <w:tcW w:w="1323" w:type="pct"/>
          </w:tcPr>
          <w:p w14:paraId="40A29A3D" w14:textId="1672BE50" w:rsidR="00DF5990" w:rsidRPr="00DF5990" w:rsidRDefault="00DF5990" w:rsidP="00D35EC5">
            <w:r w:rsidRPr="00DF5990">
              <w:t>Regula</w:t>
            </w:r>
            <w:r w:rsidR="00DB7090">
              <w:t>s</w:t>
            </w:r>
            <w:r w:rsidRPr="00DF5990">
              <w:t xml:space="preserve"> </w:t>
            </w:r>
            <w:r w:rsidR="00FE57DA">
              <w:t xml:space="preserve">Nr. </w:t>
            </w:r>
            <w:r w:rsidRPr="00DF5990">
              <w:t xml:space="preserve">816/2006 </w:t>
            </w:r>
            <w:proofErr w:type="gramStart"/>
            <w:r>
              <w:t>14.pants</w:t>
            </w:r>
            <w:proofErr w:type="gramEnd"/>
          </w:p>
        </w:tc>
        <w:tc>
          <w:tcPr>
            <w:tcW w:w="1059" w:type="pct"/>
          </w:tcPr>
          <w:p w14:paraId="3903DA6C" w14:textId="77777777" w:rsidR="00DF5990" w:rsidRPr="00DF5990" w:rsidRDefault="00DF5990" w:rsidP="00D230A0">
            <w:r w:rsidRPr="00DF5990">
              <w:t>1.7. apakšpunkts</w:t>
            </w:r>
          </w:p>
        </w:tc>
        <w:tc>
          <w:tcPr>
            <w:tcW w:w="1331" w:type="pct"/>
          </w:tcPr>
          <w:p w14:paraId="63DF26EA" w14:textId="77777777" w:rsidR="00DF5990" w:rsidRDefault="00DF5990" w:rsidP="002F7479">
            <w:r w:rsidRPr="00DF5990">
              <w:t>Pārņemta pilnīgi</w:t>
            </w:r>
          </w:p>
        </w:tc>
        <w:tc>
          <w:tcPr>
            <w:tcW w:w="1287" w:type="pct"/>
          </w:tcPr>
          <w:p w14:paraId="02E4DC5E" w14:textId="77777777" w:rsidR="00DF5990" w:rsidRDefault="00DF5990" w:rsidP="000F1125">
            <w:r w:rsidRPr="00DF5990">
              <w:t>Neparedz stingrākas prasības</w:t>
            </w:r>
          </w:p>
        </w:tc>
      </w:tr>
      <w:tr w:rsidR="00BD5588" w:rsidRPr="001A5641" w14:paraId="2C4FC40F" w14:textId="77777777" w:rsidTr="000A08D8">
        <w:trPr>
          <w:cantSplit/>
        </w:trPr>
        <w:tc>
          <w:tcPr>
            <w:tcW w:w="1323" w:type="pct"/>
            <w:hideMark/>
          </w:tcPr>
          <w:p w14:paraId="4D28F46E" w14:textId="77777777" w:rsidR="00BD5588" w:rsidRPr="001A5641" w:rsidRDefault="00BD5588" w:rsidP="00D35EC5">
            <w:r w:rsidRPr="001A5641">
              <w:t>Kā ir izmantota ES tiesību aktā paredzētā rīcības brīvība dalībvalstij pārņemt vai ieviest noteiktas ES tiesību akta normas? Kādēļ?</w:t>
            </w:r>
          </w:p>
        </w:tc>
        <w:tc>
          <w:tcPr>
            <w:tcW w:w="3677" w:type="pct"/>
            <w:gridSpan w:val="3"/>
            <w:hideMark/>
          </w:tcPr>
          <w:p w14:paraId="3735F6F4" w14:textId="42AE1321" w:rsidR="00BD5588" w:rsidRPr="001A5641" w:rsidRDefault="000F1125" w:rsidP="00D230A0">
            <w:r w:rsidRPr="000F1125">
              <w:rPr>
                <w:bCs/>
              </w:rPr>
              <w:t>Projekts šo jomu neskar.</w:t>
            </w:r>
          </w:p>
        </w:tc>
      </w:tr>
      <w:tr w:rsidR="00BD5588" w:rsidRPr="001A5641" w14:paraId="4726C20A" w14:textId="77777777" w:rsidTr="000A08D8">
        <w:trPr>
          <w:cantSplit/>
        </w:trPr>
        <w:tc>
          <w:tcPr>
            <w:tcW w:w="1323" w:type="pct"/>
            <w:hideMark/>
          </w:tcPr>
          <w:p w14:paraId="0B214FFD" w14:textId="77777777" w:rsidR="00BD5588" w:rsidRPr="001A5641" w:rsidRDefault="00BD5588" w:rsidP="00D35EC5">
            <w:r w:rsidRPr="001A5641">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77" w:type="pct"/>
            <w:gridSpan w:val="3"/>
            <w:hideMark/>
          </w:tcPr>
          <w:p w14:paraId="18065CE7" w14:textId="2B209EF9" w:rsidR="00BD5588" w:rsidRPr="001A5641" w:rsidRDefault="000F1125" w:rsidP="00D230A0">
            <w:r w:rsidRPr="000F1125">
              <w:rPr>
                <w:bCs/>
              </w:rPr>
              <w:t>Projekts šo jomu neskar.</w:t>
            </w:r>
          </w:p>
        </w:tc>
      </w:tr>
      <w:tr w:rsidR="00BD5588" w:rsidRPr="001A5641" w14:paraId="20A04326" w14:textId="77777777" w:rsidTr="000A08D8">
        <w:trPr>
          <w:cantSplit/>
        </w:trPr>
        <w:tc>
          <w:tcPr>
            <w:tcW w:w="1323" w:type="pct"/>
            <w:hideMark/>
          </w:tcPr>
          <w:p w14:paraId="34EED559" w14:textId="77777777" w:rsidR="00BD5588" w:rsidRPr="001A5641" w:rsidRDefault="00BD5588" w:rsidP="00D35EC5">
            <w:r w:rsidRPr="001A5641">
              <w:t>Cita informācija</w:t>
            </w:r>
          </w:p>
        </w:tc>
        <w:tc>
          <w:tcPr>
            <w:tcW w:w="3677" w:type="pct"/>
            <w:gridSpan w:val="3"/>
            <w:hideMark/>
          </w:tcPr>
          <w:p w14:paraId="497B7765" w14:textId="488E90E7" w:rsidR="00BD5588" w:rsidRPr="001A5641" w:rsidRDefault="0033030B" w:rsidP="00D230A0">
            <w:r>
              <w:t>Nav</w:t>
            </w:r>
            <w:r w:rsidR="00FE57DA">
              <w:t>.</w:t>
            </w:r>
          </w:p>
        </w:tc>
      </w:tr>
      <w:tr w:rsidR="00BD5588" w:rsidRPr="001A5641" w14:paraId="17B9ABB6" w14:textId="77777777" w:rsidTr="00B60BAD">
        <w:trPr>
          <w:cantSplit/>
        </w:trPr>
        <w:tc>
          <w:tcPr>
            <w:tcW w:w="5000" w:type="pct"/>
            <w:gridSpan w:val="4"/>
            <w:vAlign w:val="center"/>
            <w:hideMark/>
          </w:tcPr>
          <w:p w14:paraId="3F3CBA08" w14:textId="77777777" w:rsidR="00BD5588" w:rsidRPr="001A5641" w:rsidRDefault="00BD5588" w:rsidP="00D35EC5">
            <w:pPr>
              <w:jc w:val="center"/>
              <w:rPr>
                <w:b/>
                <w:bCs/>
              </w:rPr>
            </w:pPr>
            <w:r w:rsidRPr="001A5641">
              <w:rPr>
                <w:b/>
                <w:bCs/>
              </w:rPr>
              <w:t>2. tabula</w:t>
            </w:r>
            <w:r w:rsidRPr="001A5641">
              <w:rPr>
                <w:b/>
                <w:bCs/>
              </w:rPr>
              <w:br/>
              <w:t>Ar tiesību akta projektu izpildītās vai uzņemtās saistības, kas izriet no starptautiskajiem tiesību aktiem vai starptautiskas institūcijas vai organizācijas dokumentiem.</w:t>
            </w:r>
            <w:r w:rsidRPr="001A5641">
              <w:rPr>
                <w:b/>
                <w:bCs/>
              </w:rPr>
              <w:br/>
              <w:t>Pasākumi šo saistību izpildei</w:t>
            </w:r>
          </w:p>
        </w:tc>
      </w:tr>
      <w:tr w:rsidR="000F1125" w:rsidRPr="001A5641" w14:paraId="31DBC2ED" w14:textId="77777777" w:rsidTr="00B60BAD">
        <w:trPr>
          <w:cantSplit/>
        </w:trPr>
        <w:tc>
          <w:tcPr>
            <w:tcW w:w="5000" w:type="pct"/>
            <w:gridSpan w:val="4"/>
            <w:vAlign w:val="center"/>
          </w:tcPr>
          <w:p w14:paraId="48FD20AF" w14:textId="77777777" w:rsidR="000F1125" w:rsidRPr="000F1125" w:rsidRDefault="000F1125" w:rsidP="00D35EC5">
            <w:pPr>
              <w:jc w:val="center"/>
              <w:rPr>
                <w:bCs/>
              </w:rPr>
            </w:pPr>
            <w:r w:rsidRPr="000F1125">
              <w:rPr>
                <w:bCs/>
              </w:rPr>
              <w:t>Projekts šo jomu neskar.</w:t>
            </w:r>
          </w:p>
        </w:tc>
      </w:tr>
      <w:tr w:rsidR="00BD5588" w:rsidRPr="001A5641" w14:paraId="2071F00F" w14:textId="77777777" w:rsidTr="000A08D8">
        <w:trPr>
          <w:cantSplit/>
        </w:trPr>
        <w:tc>
          <w:tcPr>
            <w:tcW w:w="1323" w:type="pct"/>
            <w:hideMark/>
          </w:tcPr>
          <w:p w14:paraId="04357EB2" w14:textId="77777777" w:rsidR="00BD5588" w:rsidRPr="001A5641" w:rsidRDefault="00BD5588" w:rsidP="00D35EC5">
            <w:r w:rsidRPr="001A5641">
              <w:t>Cita informācija</w:t>
            </w:r>
          </w:p>
        </w:tc>
        <w:tc>
          <w:tcPr>
            <w:tcW w:w="3677" w:type="pct"/>
            <w:gridSpan w:val="3"/>
            <w:hideMark/>
          </w:tcPr>
          <w:p w14:paraId="134A3222" w14:textId="34E2259B" w:rsidR="00BD5588" w:rsidRPr="001A5641" w:rsidRDefault="00DF5990" w:rsidP="00D35EC5">
            <w:r>
              <w:t>Nav</w:t>
            </w:r>
            <w:r w:rsidR="00FE57DA">
              <w:t>.</w:t>
            </w:r>
          </w:p>
        </w:tc>
      </w:tr>
    </w:tbl>
    <w:p w14:paraId="4E1341A5" w14:textId="77777777" w:rsidR="00BD5588" w:rsidRPr="001A5641" w:rsidRDefault="00BD5588" w:rsidP="00173648">
      <w:pPr>
        <w:pStyle w:val="Nosaukums"/>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BD5588" w:rsidRPr="001A5641" w14:paraId="103C8922" w14:textId="77777777" w:rsidTr="00B60BAD">
        <w:trPr>
          <w:cantSplit/>
        </w:trPr>
        <w:tc>
          <w:tcPr>
            <w:tcW w:w="5000" w:type="pct"/>
            <w:gridSpan w:val="3"/>
            <w:vAlign w:val="center"/>
            <w:hideMark/>
          </w:tcPr>
          <w:p w14:paraId="53CA3ABF" w14:textId="77777777" w:rsidR="00BD5588" w:rsidRPr="001A5641" w:rsidRDefault="00BD5588" w:rsidP="00D35EC5">
            <w:pPr>
              <w:jc w:val="center"/>
              <w:rPr>
                <w:b/>
                <w:bCs/>
              </w:rPr>
            </w:pPr>
            <w:r w:rsidRPr="001A5641">
              <w:rPr>
                <w:b/>
                <w:bCs/>
              </w:rPr>
              <w:t>VI. Sabiedrības līdzdalība un komunikācijas aktivitātes</w:t>
            </w:r>
          </w:p>
        </w:tc>
      </w:tr>
      <w:tr w:rsidR="00BD5588" w:rsidRPr="001A5641" w14:paraId="3A2A8A36" w14:textId="77777777" w:rsidTr="00B60BAD">
        <w:trPr>
          <w:cantSplit/>
        </w:trPr>
        <w:tc>
          <w:tcPr>
            <w:tcW w:w="311" w:type="pct"/>
            <w:hideMark/>
          </w:tcPr>
          <w:p w14:paraId="7D65855C" w14:textId="77777777" w:rsidR="00BD5588" w:rsidRPr="001A5641" w:rsidRDefault="00BD5588" w:rsidP="00D35EC5">
            <w:pPr>
              <w:jc w:val="center"/>
            </w:pPr>
            <w:r w:rsidRPr="001A5641">
              <w:t>1.</w:t>
            </w:r>
          </w:p>
        </w:tc>
        <w:tc>
          <w:tcPr>
            <w:tcW w:w="1479" w:type="pct"/>
            <w:hideMark/>
          </w:tcPr>
          <w:p w14:paraId="3ABA1A7A" w14:textId="77777777" w:rsidR="00BD5588" w:rsidRPr="001A5641" w:rsidRDefault="00BD5588" w:rsidP="00D230A0">
            <w:r w:rsidRPr="001A5641">
              <w:t>Plānotās sabiedrības līdzdalības un komunikācijas aktivitātes saistībā ar projektu</w:t>
            </w:r>
          </w:p>
        </w:tc>
        <w:tc>
          <w:tcPr>
            <w:tcW w:w="3210" w:type="pct"/>
            <w:hideMark/>
          </w:tcPr>
          <w:p w14:paraId="10967E22" w14:textId="74A0589D" w:rsidR="002F7479" w:rsidRPr="00226287" w:rsidRDefault="002F7479" w:rsidP="002F7479">
            <w:pPr>
              <w:jc w:val="both"/>
            </w:pPr>
            <w:r w:rsidRPr="00226287">
              <w:t>Noteikumu projekts publicēts Zemkopības ministrijas tīmekļa vietnes www.zm.gov.lv sadaļā „Sabiedriskā apspriešana” 201</w:t>
            </w:r>
            <w:r>
              <w:t>8</w:t>
            </w:r>
            <w:r w:rsidRPr="00226287">
              <w:t xml:space="preserve">. gada </w:t>
            </w:r>
            <w:r w:rsidR="00A03C06" w:rsidRPr="00226287">
              <w:t>2</w:t>
            </w:r>
            <w:r w:rsidR="00A03C06">
              <w:t>4</w:t>
            </w:r>
            <w:r>
              <w:t>. maij</w:t>
            </w:r>
            <w:r w:rsidR="00E358E9">
              <w:t xml:space="preserve">a līdz </w:t>
            </w:r>
            <w:r w:rsidR="00A03C06">
              <w:t>29</w:t>
            </w:r>
            <w:r w:rsidR="00E358E9">
              <w:t>.maijam</w:t>
            </w:r>
            <w:r w:rsidRPr="00226287">
              <w:t>.</w:t>
            </w:r>
          </w:p>
          <w:p w14:paraId="7871A096" w14:textId="77777777" w:rsidR="002F7479" w:rsidRPr="001A5641" w:rsidRDefault="002F7479" w:rsidP="002F7479"/>
        </w:tc>
      </w:tr>
      <w:tr w:rsidR="00BD5588" w:rsidRPr="001A5641" w14:paraId="71AD730A" w14:textId="77777777" w:rsidTr="00173648">
        <w:trPr>
          <w:cantSplit/>
        </w:trPr>
        <w:tc>
          <w:tcPr>
            <w:tcW w:w="311" w:type="pct"/>
            <w:hideMark/>
          </w:tcPr>
          <w:p w14:paraId="0D050CDE" w14:textId="77777777" w:rsidR="00BD5588" w:rsidRPr="001A5641" w:rsidRDefault="00BD5588" w:rsidP="00D35EC5">
            <w:pPr>
              <w:jc w:val="center"/>
            </w:pPr>
            <w:r w:rsidRPr="001A5641">
              <w:t>2.</w:t>
            </w:r>
          </w:p>
        </w:tc>
        <w:tc>
          <w:tcPr>
            <w:tcW w:w="1479" w:type="pct"/>
            <w:hideMark/>
          </w:tcPr>
          <w:p w14:paraId="15CB4C8F" w14:textId="77777777" w:rsidR="00BD5588" w:rsidRPr="001A5641" w:rsidRDefault="00BD5588" w:rsidP="00D230A0">
            <w:r w:rsidRPr="001A5641">
              <w:t>Sabiedrības līdzdalība projekta izstrādē</w:t>
            </w:r>
          </w:p>
        </w:tc>
        <w:tc>
          <w:tcPr>
            <w:tcW w:w="3210" w:type="pct"/>
          </w:tcPr>
          <w:p w14:paraId="3344CE5C" w14:textId="70708ED6" w:rsidR="00BD5588" w:rsidRPr="000A08D8" w:rsidRDefault="00A03C06" w:rsidP="00881663">
            <w:pPr>
              <w:jc w:val="both"/>
              <w:rPr>
                <w:highlight w:val="yellow"/>
              </w:rPr>
            </w:pPr>
            <w:r w:rsidRPr="00881663">
              <w:t xml:space="preserve">Noteikumu projekta izstrādē sabiedrība netika iesaistīta, jo projektā tiek </w:t>
            </w:r>
            <w:r w:rsidR="00881663" w:rsidRPr="00881663">
              <w:t>reglamentēti</w:t>
            </w:r>
            <w:r w:rsidRPr="00881663">
              <w:t xml:space="preserve"> tikai kompetento instit</w:t>
            </w:r>
            <w:r w:rsidR="00881663" w:rsidRPr="00881663">
              <w:t>ūciju pienākumi.</w:t>
            </w:r>
          </w:p>
        </w:tc>
      </w:tr>
      <w:tr w:rsidR="00BD5588" w:rsidRPr="001A5641" w14:paraId="14BED9AA" w14:textId="77777777" w:rsidTr="00173648">
        <w:trPr>
          <w:cantSplit/>
        </w:trPr>
        <w:tc>
          <w:tcPr>
            <w:tcW w:w="311" w:type="pct"/>
            <w:hideMark/>
          </w:tcPr>
          <w:p w14:paraId="26233BBF" w14:textId="77777777" w:rsidR="00BD5588" w:rsidRPr="001A5641" w:rsidRDefault="00BD5588" w:rsidP="00D35EC5">
            <w:pPr>
              <w:jc w:val="center"/>
            </w:pPr>
            <w:r w:rsidRPr="001A5641">
              <w:t>3.</w:t>
            </w:r>
          </w:p>
        </w:tc>
        <w:tc>
          <w:tcPr>
            <w:tcW w:w="1479" w:type="pct"/>
            <w:hideMark/>
          </w:tcPr>
          <w:p w14:paraId="30B7E4A1" w14:textId="77777777" w:rsidR="00BD5588" w:rsidRPr="001A5641" w:rsidRDefault="00BD5588" w:rsidP="00D230A0">
            <w:r w:rsidRPr="001A5641">
              <w:t>Sabiedrības līdzdalības rezultāti</w:t>
            </w:r>
          </w:p>
        </w:tc>
        <w:tc>
          <w:tcPr>
            <w:tcW w:w="3210" w:type="pct"/>
          </w:tcPr>
          <w:p w14:paraId="19CAD0F4" w14:textId="503B79B7" w:rsidR="00BD5588" w:rsidRPr="000A08D8" w:rsidRDefault="00E358E9" w:rsidP="002F7479">
            <w:pPr>
              <w:rPr>
                <w:highlight w:val="yellow"/>
              </w:rPr>
            </w:pPr>
            <w:r w:rsidRPr="00E358E9">
              <w:t>Par Zemkopības ministrijas tīmekļa vietnes www.zm.gov.lv sadaļā „Sabiedriskā apspriešana” publicēto noteikumu projektu komentāri nav saņemti.</w:t>
            </w:r>
          </w:p>
        </w:tc>
      </w:tr>
      <w:tr w:rsidR="00BD5588" w:rsidRPr="001A5641" w14:paraId="24B8AE5E" w14:textId="77777777" w:rsidTr="00B60BAD">
        <w:trPr>
          <w:cantSplit/>
        </w:trPr>
        <w:tc>
          <w:tcPr>
            <w:tcW w:w="311" w:type="pct"/>
            <w:hideMark/>
          </w:tcPr>
          <w:p w14:paraId="78B10AFF" w14:textId="77777777" w:rsidR="00BD5588" w:rsidRPr="001A5641" w:rsidRDefault="00BD5588" w:rsidP="00D35EC5">
            <w:pPr>
              <w:jc w:val="center"/>
            </w:pPr>
            <w:r w:rsidRPr="001A5641">
              <w:t>4.</w:t>
            </w:r>
          </w:p>
        </w:tc>
        <w:tc>
          <w:tcPr>
            <w:tcW w:w="1479" w:type="pct"/>
            <w:hideMark/>
          </w:tcPr>
          <w:p w14:paraId="3AFFDA57" w14:textId="77777777" w:rsidR="00BD5588" w:rsidRPr="001A5641" w:rsidRDefault="00BD5588" w:rsidP="00D230A0">
            <w:r w:rsidRPr="001A5641">
              <w:t>Cita informācija</w:t>
            </w:r>
          </w:p>
        </w:tc>
        <w:tc>
          <w:tcPr>
            <w:tcW w:w="3210" w:type="pct"/>
            <w:hideMark/>
          </w:tcPr>
          <w:p w14:paraId="0467FF45" w14:textId="66F5AEDF" w:rsidR="00BD5588" w:rsidRPr="001A5641" w:rsidRDefault="0033030B" w:rsidP="002F7479">
            <w:r>
              <w:t>Nav</w:t>
            </w:r>
            <w:r w:rsidR="00FE57DA">
              <w:t>.</w:t>
            </w:r>
          </w:p>
        </w:tc>
      </w:tr>
    </w:tbl>
    <w:p w14:paraId="5C061DBE" w14:textId="77777777" w:rsidR="00BD5588" w:rsidRPr="001A5641" w:rsidRDefault="00BD5588" w:rsidP="00173648">
      <w:pPr>
        <w:pStyle w:val="Nosaukums"/>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BD5588" w:rsidRPr="001A5641" w14:paraId="0735A98D" w14:textId="77777777" w:rsidTr="00B60BAD">
        <w:trPr>
          <w:cantSplit/>
        </w:trPr>
        <w:tc>
          <w:tcPr>
            <w:tcW w:w="5000" w:type="pct"/>
            <w:gridSpan w:val="3"/>
            <w:vAlign w:val="center"/>
            <w:hideMark/>
          </w:tcPr>
          <w:p w14:paraId="71AFFACE" w14:textId="77777777" w:rsidR="00BD5588" w:rsidRPr="001A5641" w:rsidRDefault="00BD5588" w:rsidP="00D35EC5">
            <w:pPr>
              <w:jc w:val="center"/>
              <w:rPr>
                <w:b/>
                <w:bCs/>
              </w:rPr>
            </w:pPr>
            <w:r w:rsidRPr="001A5641">
              <w:rPr>
                <w:b/>
                <w:bCs/>
              </w:rPr>
              <w:t>VII. Tiesību akta projekta izpildes nodrošināšana un tās ietekme uz institūcijām</w:t>
            </w:r>
          </w:p>
        </w:tc>
      </w:tr>
      <w:tr w:rsidR="00BD5588" w:rsidRPr="001A5641" w14:paraId="201D0D2B" w14:textId="77777777" w:rsidTr="00B60BAD">
        <w:trPr>
          <w:cantSplit/>
        </w:trPr>
        <w:tc>
          <w:tcPr>
            <w:tcW w:w="311" w:type="pct"/>
            <w:hideMark/>
          </w:tcPr>
          <w:p w14:paraId="30B62B50" w14:textId="77777777" w:rsidR="00BD5588" w:rsidRPr="001A5641" w:rsidRDefault="00BD5588" w:rsidP="00D35EC5">
            <w:pPr>
              <w:jc w:val="center"/>
            </w:pPr>
            <w:r w:rsidRPr="001A5641">
              <w:t>1.</w:t>
            </w:r>
          </w:p>
        </w:tc>
        <w:tc>
          <w:tcPr>
            <w:tcW w:w="1479" w:type="pct"/>
            <w:hideMark/>
          </w:tcPr>
          <w:p w14:paraId="57A87287" w14:textId="77777777" w:rsidR="00BD5588" w:rsidRPr="001A5641" w:rsidRDefault="00BD5588" w:rsidP="00D230A0">
            <w:r w:rsidRPr="001A5641">
              <w:t>Projekta izpildē iesaistītās institūcijas</w:t>
            </w:r>
          </w:p>
        </w:tc>
        <w:tc>
          <w:tcPr>
            <w:tcW w:w="3210" w:type="pct"/>
            <w:hideMark/>
          </w:tcPr>
          <w:p w14:paraId="743E9668" w14:textId="77777777" w:rsidR="00BD5588" w:rsidRPr="001A5641" w:rsidRDefault="00984503" w:rsidP="002F7479">
            <w:r>
              <w:t>Veselības inspekcija, VID Muitas dienests</w:t>
            </w:r>
          </w:p>
        </w:tc>
      </w:tr>
      <w:tr w:rsidR="00BD5588" w:rsidRPr="001A5641" w14:paraId="4D6F74DA" w14:textId="77777777" w:rsidTr="00B60BAD">
        <w:trPr>
          <w:cantSplit/>
        </w:trPr>
        <w:tc>
          <w:tcPr>
            <w:tcW w:w="311" w:type="pct"/>
            <w:hideMark/>
          </w:tcPr>
          <w:p w14:paraId="158EE7FE" w14:textId="77777777" w:rsidR="00BD5588" w:rsidRPr="001A5641" w:rsidRDefault="00BD5588" w:rsidP="00D35EC5">
            <w:pPr>
              <w:jc w:val="center"/>
            </w:pPr>
            <w:r w:rsidRPr="001A5641">
              <w:t>2.</w:t>
            </w:r>
          </w:p>
        </w:tc>
        <w:tc>
          <w:tcPr>
            <w:tcW w:w="1479" w:type="pct"/>
            <w:hideMark/>
          </w:tcPr>
          <w:p w14:paraId="2666A5AF" w14:textId="77777777" w:rsidR="00BD5588" w:rsidRPr="001A5641" w:rsidRDefault="00BD5588" w:rsidP="00D230A0">
            <w:r w:rsidRPr="001A5641">
              <w:t>Projekta izpildes ietekme uz pārvaldes funkcijām un institucionālo struktūru.</w:t>
            </w:r>
            <w:r w:rsidRPr="001A5641">
              <w:br/>
              <w:t>Jaunu institūciju izveide, esošu institūciju likvidācija vai reorganizācija, to ietekme uz institūcijas cilvēkresursiem</w:t>
            </w:r>
          </w:p>
        </w:tc>
        <w:tc>
          <w:tcPr>
            <w:tcW w:w="3210" w:type="pct"/>
            <w:hideMark/>
          </w:tcPr>
          <w:p w14:paraId="4AEEFD12" w14:textId="6E605593" w:rsidR="00BD5588" w:rsidRPr="00984503" w:rsidRDefault="000F1125" w:rsidP="00A03C06">
            <w:pPr>
              <w:jc w:val="both"/>
            </w:pPr>
            <w:r w:rsidRPr="00506EF1">
              <w:t>Noteikumu projekta izpildei nav nepieciešam</w:t>
            </w:r>
            <w:r>
              <w:t>as iestāžu strukturālas</w:t>
            </w:r>
            <w:r w:rsidR="00881663">
              <w:t xml:space="preserve"> </w:t>
            </w:r>
            <w:r>
              <w:t>izma</w:t>
            </w:r>
            <w:r w:rsidR="00FE57DA">
              <w:t>i</w:t>
            </w:r>
            <w:r>
              <w:t>ņas</w:t>
            </w:r>
            <w:r w:rsidR="00FE57DA">
              <w:t>.</w:t>
            </w:r>
          </w:p>
        </w:tc>
      </w:tr>
      <w:tr w:rsidR="00BD5588" w:rsidRPr="001A5641" w14:paraId="76C7464E" w14:textId="77777777" w:rsidTr="00B60BAD">
        <w:trPr>
          <w:cantSplit/>
        </w:trPr>
        <w:tc>
          <w:tcPr>
            <w:tcW w:w="311" w:type="pct"/>
            <w:hideMark/>
          </w:tcPr>
          <w:p w14:paraId="47E2BCD1" w14:textId="77777777" w:rsidR="00BD5588" w:rsidRPr="001A5641" w:rsidRDefault="00BD5588" w:rsidP="00D35EC5">
            <w:pPr>
              <w:jc w:val="center"/>
            </w:pPr>
            <w:r w:rsidRPr="001A5641">
              <w:t>3.</w:t>
            </w:r>
          </w:p>
        </w:tc>
        <w:tc>
          <w:tcPr>
            <w:tcW w:w="1479" w:type="pct"/>
            <w:hideMark/>
          </w:tcPr>
          <w:p w14:paraId="60726DCC" w14:textId="77777777" w:rsidR="00BD5588" w:rsidRPr="001A5641" w:rsidRDefault="00BD5588" w:rsidP="00D230A0">
            <w:r w:rsidRPr="001A5641">
              <w:t>Cita informācija</w:t>
            </w:r>
          </w:p>
        </w:tc>
        <w:tc>
          <w:tcPr>
            <w:tcW w:w="3210" w:type="pct"/>
            <w:hideMark/>
          </w:tcPr>
          <w:p w14:paraId="20EB1D14" w14:textId="77777777" w:rsidR="00BD5588" w:rsidRPr="001A5641" w:rsidRDefault="0033030B" w:rsidP="002F7479">
            <w:r>
              <w:t>Nav</w:t>
            </w:r>
          </w:p>
        </w:tc>
      </w:tr>
    </w:tbl>
    <w:p w14:paraId="4562E2C6" w14:textId="77777777" w:rsidR="00BD64FD" w:rsidRDefault="00BD64FD" w:rsidP="002F7479"/>
    <w:p w14:paraId="09B2523D" w14:textId="37CFF77C" w:rsidR="00BD64FD" w:rsidRDefault="00BD64FD">
      <w:r>
        <w:t xml:space="preserve">Zemkopības ministrs </w:t>
      </w:r>
      <w:r w:rsidR="00FE57DA">
        <w:tab/>
      </w:r>
      <w:r w:rsidR="00FE57DA">
        <w:tab/>
      </w:r>
      <w:r w:rsidR="00FE57DA">
        <w:tab/>
      </w:r>
      <w:r w:rsidR="00FE57DA">
        <w:tab/>
      </w:r>
      <w:r w:rsidR="00FE57DA">
        <w:tab/>
      </w:r>
      <w:r w:rsidR="00FE57DA">
        <w:tab/>
      </w:r>
      <w:r w:rsidR="00FE57DA">
        <w:tab/>
      </w:r>
      <w:r w:rsidR="00FE57DA">
        <w:tab/>
      </w:r>
      <w:r>
        <w:t>Jānis Dūklavs</w:t>
      </w:r>
    </w:p>
    <w:p w14:paraId="22795128" w14:textId="77777777" w:rsidR="00BD64FD" w:rsidRPr="00BD64FD" w:rsidRDefault="00BD64FD">
      <w:pPr>
        <w:rPr>
          <w:sz w:val="20"/>
          <w:szCs w:val="20"/>
        </w:rPr>
      </w:pPr>
      <w:r w:rsidRPr="00BD64FD">
        <w:rPr>
          <w:sz w:val="20"/>
          <w:szCs w:val="20"/>
        </w:rPr>
        <w:t>I.Krauja</w:t>
      </w:r>
      <w:r>
        <w:rPr>
          <w:sz w:val="20"/>
          <w:szCs w:val="20"/>
        </w:rPr>
        <w:t>,</w:t>
      </w:r>
    </w:p>
    <w:p w14:paraId="70382B82" w14:textId="20C98782" w:rsidR="00881663" w:rsidRPr="00BD64FD" w:rsidRDefault="00BD64FD">
      <w:pPr>
        <w:rPr>
          <w:sz w:val="20"/>
          <w:szCs w:val="20"/>
        </w:rPr>
      </w:pPr>
      <w:r w:rsidRPr="00BD64FD">
        <w:rPr>
          <w:sz w:val="20"/>
          <w:szCs w:val="20"/>
        </w:rPr>
        <w:t>67027099,</w:t>
      </w:r>
      <w:r w:rsidR="00881663" w:rsidRPr="00881663">
        <w:rPr>
          <w:sz w:val="20"/>
          <w:szCs w:val="20"/>
        </w:rPr>
        <w:t xml:space="preserve"> </w:t>
      </w:r>
      <w:r w:rsidR="00881663">
        <w:rPr>
          <w:sz w:val="20"/>
          <w:szCs w:val="20"/>
        </w:rPr>
        <w:t>Inta.Krauja@zm.gov.lv</w:t>
      </w:r>
    </w:p>
    <w:sectPr w:rsidR="00881663" w:rsidRPr="00BD64FD" w:rsidSect="000D3DE0">
      <w:headerReference w:type="default" r:id="rId15"/>
      <w:footerReference w:type="default" r:id="rId16"/>
      <w:footerReference w:type="first" r:id="rId1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BAA15" w14:textId="77777777" w:rsidR="00566FF2" w:rsidRDefault="00566FF2" w:rsidP="000D3DE0">
      <w:r>
        <w:separator/>
      </w:r>
    </w:p>
  </w:endnote>
  <w:endnote w:type="continuationSeparator" w:id="0">
    <w:p w14:paraId="1125F9FA" w14:textId="77777777" w:rsidR="00566FF2" w:rsidRDefault="00566FF2" w:rsidP="000D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51DBB" w14:textId="40561A14" w:rsidR="00BD64FD" w:rsidRDefault="00BD64FD">
    <w:pPr>
      <w:pStyle w:val="Kjene"/>
    </w:pPr>
    <w:r w:rsidRPr="00BD64FD">
      <w:rPr>
        <w:sz w:val="20"/>
        <w:szCs w:val="20"/>
      </w:rPr>
      <w:t>ZMAnot_2</w:t>
    </w:r>
    <w:r w:rsidR="0075306E">
      <w:rPr>
        <w:sz w:val="20"/>
        <w:szCs w:val="20"/>
      </w:rPr>
      <w:t>8</w:t>
    </w:r>
    <w:r w:rsidRPr="00BD64FD">
      <w:rPr>
        <w:sz w:val="20"/>
        <w:szCs w:val="20"/>
      </w:rPr>
      <w:t>0518</w:t>
    </w:r>
    <w:r>
      <w:rPr>
        <w:sz w:val="20"/>
        <w:szCs w:val="20"/>
      </w:rPr>
      <w:t>_grozzalimport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88D51" w14:textId="423341E3" w:rsidR="00BD64FD" w:rsidRDefault="00BD64FD">
    <w:pPr>
      <w:pStyle w:val="Kjene"/>
    </w:pPr>
    <w:r w:rsidRPr="00BD64FD">
      <w:rPr>
        <w:sz w:val="20"/>
        <w:szCs w:val="20"/>
      </w:rPr>
      <w:t>ZMAnot_2</w:t>
    </w:r>
    <w:r w:rsidR="0075306E">
      <w:rPr>
        <w:sz w:val="20"/>
        <w:szCs w:val="20"/>
      </w:rPr>
      <w:t>8</w:t>
    </w:r>
    <w:r w:rsidRPr="00BD64FD">
      <w:rPr>
        <w:sz w:val="20"/>
        <w:szCs w:val="20"/>
      </w:rPr>
      <w:t>0518</w:t>
    </w:r>
    <w:r>
      <w:rPr>
        <w:sz w:val="20"/>
        <w:szCs w:val="20"/>
      </w:rPr>
      <w:t>_</w:t>
    </w:r>
    <w:r w:rsidRPr="00BD64FD">
      <w:rPr>
        <w:sz w:val="20"/>
        <w:szCs w:val="20"/>
      </w:rPr>
      <w:t>grozzalimport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62081" w14:textId="77777777" w:rsidR="00566FF2" w:rsidRDefault="00566FF2" w:rsidP="000D3DE0">
      <w:r>
        <w:separator/>
      </w:r>
    </w:p>
  </w:footnote>
  <w:footnote w:type="continuationSeparator" w:id="0">
    <w:p w14:paraId="5C92FB5F" w14:textId="77777777" w:rsidR="00566FF2" w:rsidRDefault="00566FF2" w:rsidP="000D3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925103"/>
      <w:docPartObj>
        <w:docPartGallery w:val="Page Numbers (Top of Page)"/>
        <w:docPartUnique/>
      </w:docPartObj>
    </w:sdtPr>
    <w:sdtEndPr>
      <w:rPr>
        <w:noProof/>
      </w:rPr>
    </w:sdtEndPr>
    <w:sdtContent>
      <w:p w14:paraId="2B83A5BB" w14:textId="356893F8" w:rsidR="009250CC" w:rsidRDefault="009250CC">
        <w:pPr>
          <w:pStyle w:val="Galvene"/>
          <w:jc w:val="center"/>
        </w:pPr>
        <w:r>
          <w:fldChar w:fldCharType="begin"/>
        </w:r>
        <w:r>
          <w:instrText xml:space="preserve"> PAGE   \* MERGEFORMAT </w:instrText>
        </w:r>
        <w:r>
          <w:fldChar w:fldCharType="separate"/>
        </w:r>
        <w:r w:rsidR="00AB5EDA">
          <w:rPr>
            <w:noProof/>
          </w:rPr>
          <w:t>10</w:t>
        </w:r>
        <w:r>
          <w:rPr>
            <w:noProof/>
          </w:rPr>
          <w:fldChar w:fldCharType="end"/>
        </w:r>
      </w:p>
    </w:sdtContent>
  </w:sdt>
  <w:p w14:paraId="7479BE6A" w14:textId="77777777" w:rsidR="009250CC" w:rsidRDefault="009250C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30501"/>
    <w:multiLevelType w:val="hybridMultilevel"/>
    <w:tmpl w:val="56F09882"/>
    <w:lvl w:ilvl="0" w:tplc="D7D457B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F6123"/>
    <w:multiLevelType w:val="hybridMultilevel"/>
    <w:tmpl w:val="20026B46"/>
    <w:lvl w:ilvl="0" w:tplc="CB3667A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135FE"/>
    <w:rsid w:val="00014691"/>
    <w:rsid w:val="0001527C"/>
    <w:rsid w:val="000161A8"/>
    <w:rsid w:val="000448B6"/>
    <w:rsid w:val="00062EA2"/>
    <w:rsid w:val="00082BD4"/>
    <w:rsid w:val="000A08D8"/>
    <w:rsid w:val="000D3DE0"/>
    <w:rsid w:val="000E59DA"/>
    <w:rsid w:val="000F1125"/>
    <w:rsid w:val="001000B0"/>
    <w:rsid w:val="00115A67"/>
    <w:rsid w:val="00137187"/>
    <w:rsid w:val="0014278A"/>
    <w:rsid w:val="00155E8C"/>
    <w:rsid w:val="0016284D"/>
    <w:rsid w:val="00164AEC"/>
    <w:rsid w:val="00167F01"/>
    <w:rsid w:val="00173648"/>
    <w:rsid w:val="00180257"/>
    <w:rsid w:val="001872E3"/>
    <w:rsid w:val="001902C2"/>
    <w:rsid w:val="001A5641"/>
    <w:rsid w:val="001A579D"/>
    <w:rsid w:val="001B0B37"/>
    <w:rsid w:val="001E0883"/>
    <w:rsid w:val="00257EB5"/>
    <w:rsid w:val="00273EE9"/>
    <w:rsid w:val="00277BAE"/>
    <w:rsid w:val="00290A58"/>
    <w:rsid w:val="0029647A"/>
    <w:rsid w:val="002A4111"/>
    <w:rsid w:val="002F7479"/>
    <w:rsid w:val="003008DA"/>
    <w:rsid w:val="003102A2"/>
    <w:rsid w:val="00317187"/>
    <w:rsid w:val="00321975"/>
    <w:rsid w:val="0033030B"/>
    <w:rsid w:val="00354A1C"/>
    <w:rsid w:val="003668A8"/>
    <w:rsid w:val="003A22AE"/>
    <w:rsid w:val="003C58FE"/>
    <w:rsid w:val="003D1E6F"/>
    <w:rsid w:val="003E653C"/>
    <w:rsid w:val="003F050E"/>
    <w:rsid w:val="003F51EF"/>
    <w:rsid w:val="004021B4"/>
    <w:rsid w:val="0041156D"/>
    <w:rsid w:val="00412F08"/>
    <w:rsid w:val="004218E4"/>
    <w:rsid w:val="0045652A"/>
    <w:rsid w:val="00465B53"/>
    <w:rsid w:val="00466C39"/>
    <w:rsid w:val="00486B43"/>
    <w:rsid w:val="004961AF"/>
    <w:rsid w:val="004A7A2D"/>
    <w:rsid w:val="004B756D"/>
    <w:rsid w:val="00525E93"/>
    <w:rsid w:val="00534D00"/>
    <w:rsid w:val="005424B4"/>
    <w:rsid w:val="00553671"/>
    <w:rsid w:val="00566FF2"/>
    <w:rsid w:val="005865B2"/>
    <w:rsid w:val="005A6680"/>
    <w:rsid w:val="005D35F3"/>
    <w:rsid w:val="0063098C"/>
    <w:rsid w:val="006450FB"/>
    <w:rsid w:val="0066781E"/>
    <w:rsid w:val="00671DBB"/>
    <w:rsid w:val="00683A1A"/>
    <w:rsid w:val="006B192B"/>
    <w:rsid w:val="006D1F48"/>
    <w:rsid w:val="00732F18"/>
    <w:rsid w:val="00742B16"/>
    <w:rsid w:val="0075306E"/>
    <w:rsid w:val="00775377"/>
    <w:rsid w:val="00791ABE"/>
    <w:rsid w:val="007B1BBA"/>
    <w:rsid w:val="007C429C"/>
    <w:rsid w:val="007D2F21"/>
    <w:rsid w:val="007E4B7D"/>
    <w:rsid w:val="00835636"/>
    <w:rsid w:val="00881663"/>
    <w:rsid w:val="00894F02"/>
    <w:rsid w:val="008B2492"/>
    <w:rsid w:val="008C71E5"/>
    <w:rsid w:val="008E2BA4"/>
    <w:rsid w:val="008F611C"/>
    <w:rsid w:val="0090302C"/>
    <w:rsid w:val="009250CC"/>
    <w:rsid w:val="00926E99"/>
    <w:rsid w:val="00970C11"/>
    <w:rsid w:val="0097102F"/>
    <w:rsid w:val="00980E0B"/>
    <w:rsid w:val="00984503"/>
    <w:rsid w:val="009A6BFD"/>
    <w:rsid w:val="009D391C"/>
    <w:rsid w:val="00A03C06"/>
    <w:rsid w:val="00A15DCF"/>
    <w:rsid w:val="00A46284"/>
    <w:rsid w:val="00A545E0"/>
    <w:rsid w:val="00A669BE"/>
    <w:rsid w:val="00A960A4"/>
    <w:rsid w:val="00AB5EDA"/>
    <w:rsid w:val="00AC0F88"/>
    <w:rsid w:val="00B26734"/>
    <w:rsid w:val="00B304A1"/>
    <w:rsid w:val="00B418AD"/>
    <w:rsid w:val="00B5147E"/>
    <w:rsid w:val="00B60BAD"/>
    <w:rsid w:val="00B63F2C"/>
    <w:rsid w:val="00B94112"/>
    <w:rsid w:val="00BC108F"/>
    <w:rsid w:val="00BD27A2"/>
    <w:rsid w:val="00BD5588"/>
    <w:rsid w:val="00BD64FD"/>
    <w:rsid w:val="00BE6F24"/>
    <w:rsid w:val="00BE7423"/>
    <w:rsid w:val="00C1044C"/>
    <w:rsid w:val="00C17206"/>
    <w:rsid w:val="00C215B2"/>
    <w:rsid w:val="00C24E19"/>
    <w:rsid w:val="00C44662"/>
    <w:rsid w:val="00C518B3"/>
    <w:rsid w:val="00C5552B"/>
    <w:rsid w:val="00C853B7"/>
    <w:rsid w:val="00CA4E2D"/>
    <w:rsid w:val="00CB36FA"/>
    <w:rsid w:val="00CB5D9E"/>
    <w:rsid w:val="00CC6C62"/>
    <w:rsid w:val="00D145C0"/>
    <w:rsid w:val="00D230A0"/>
    <w:rsid w:val="00D342B3"/>
    <w:rsid w:val="00D35EC5"/>
    <w:rsid w:val="00D7161E"/>
    <w:rsid w:val="00D84A70"/>
    <w:rsid w:val="00DB7090"/>
    <w:rsid w:val="00DF0D31"/>
    <w:rsid w:val="00DF5990"/>
    <w:rsid w:val="00DF7BAE"/>
    <w:rsid w:val="00E15783"/>
    <w:rsid w:val="00E3432C"/>
    <w:rsid w:val="00E358E9"/>
    <w:rsid w:val="00E44472"/>
    <w:rsid w:val="00E51813"/>
    <w:rsid w:val="00E77C67"/>
    <w:rsid w:val="00EB6129"/>
    <w:rsid w:val="00EC473E"/>
    <w:rsid w:val="00EE5ED2"/>
    <w:rsid w:val="00F23450"/>
    <w:rsid w:val="00F26B1A"/>
    <w:rsid w:val="00F34A5A"/>
    <w:rsid w:val="00F640D6"/>
    <w:rsid w:val="00F741ED"/>
    <w:rsid w:val="00FB71D4"/>
    <w:rsid w:val="00FE57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95AF8"/>
  <w15:docId w15:val="{7884AF91-AA4F-41B7-9673-52167A92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customStyle="1" w:styleId="Bezatstarpm1">
    <w:name w:val="Bez atstarpēm1"/>
    <w:uiPriority w:val="99"/>
    <w:qFormat/>
    <w:rsid w:val="00CB5D9E"/>
    <w:pPr>
      <w:spacing w:after="0" w:line="240" w:lineRule="auto"/>
    </w:pPr>
    <w:rPr>
      <w:rFonts w:ascii="Calibri" w:eastAsia="Calibri" w:hAnsi="Calibri" w:cs="Times New Roman"/>
      <w:lang w:val="en-US"/>
    </w:rPr>
  </w:style>
  <w:style w:type="paragraph" w:styleId="Galvene">
    <w:name w:val="header"/>
    <w:basedOn w:val="Parasts"/>
    <w:link w:val="GalveneRakstz"/>
    <w:uiPriority w:val="99"/>
    <w:unhideWhenUsed/>
    <w:rsid w:val="000D3DE0"/>
    <w:pPr>
      <w:tabs>
        <w:tab w:val="center" w:pos="4153"/>
        <w:tab w:val="right" w:pos="8306"/>
      </w:tabs>
    </w:pPr>
  </w:style>
  <w:style w:type="character" w:customStyle="1" w:styleId="GalveneRakstz">
    <w:name w:val="Galvene Rakstz."/>
    <w:basedOn w:val="Noklusjumarindkopasfonts"/>
    <w:link w:val="Galvene"/>
    <w:uiPriority w:val="99"/>
    <w:rsid w:val="000D3DE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D3DE0"/>
    <w:pPr>
      <w:tabs>
        <w:tab w:val="center" w:pos="4153"/>
        <w:tab w:val="right" w:pos="8306"/>
      </w:tabs>
    </w:pPr>
  </w:style>
  <w:style w:type="character" w:customStyle="1" w:styleId="KjeneRakstz">
    <w:name w:val="Kājene Rakstz."/>
    <w:basedOn w:val="Noklusjumarindkopasfonts"/>
    <w:link w:val="Kjene"/>
    <w:uiPriority w:val="99"/>
    <w:rsid w:val="000D3DE0"/>
    <w:rPr>
      <w:rFonts w:ascii="Times New Roman" w:eastAsia="Times New Roman" w:hAnsi="Times New Roman" w:cs="Times New Roman"/>
      <w:sz w:val="24"/>
      <w:szCs w:val="24"/>
      <w:lang w:eastAsia="lv-LV"/>
    </w:rPr>
  </w:style>
  <w:style w:type="paragraph" w:styleId="Bezatstarpm">
    <w:name w:val="No Spacing"/>
    <w:link w:val="BezatstarpmRakstz"/>
    <w:uiPriority w:val="1"/>
    <w:qFormat/>
    <w:rsid w:val="000D3DE0"/>
    <w:pPr>
      <w:spacing w:after="0" w:line="240" w:lineRule="auto"/>
    </w:pPr>
    <w:rPr>
      <w:rFonts w:ascii="Calibri" w:eastAsia="Calibri" w:hAnsi="Calibri" w:cs="Times New Roman"/>
    </w:rPr>
  </w:style>
  <w:style w:type="character" w:customStyle="1" w:styleId="BezatstarpmRakstz">
    <w:name w:val="Bez atstarpēm Rakstz."/>
    <w:link w:val="Bezatstarpm"/>
    <w:uiPriority w:val="1"/>
    <w:rsid w:val="000D3DE0"/>
    <w:rPr>
      <w:rFonts w:ascii="Calibri" w:eastAsia="Calibri" w:hAnsi="Calibri" w:cs="Times New Roman"/>
    </w:rPr>
  </w:style>
  <w:style w:type="character" w:styleId="Komentraatsauce">
    <w:name w:val="annotation reference"/>
    <w:basedOn w:val="Noklusjumarindkopasfonts"/>
    <w:uiPriority w:val="99"/>
    <w:semiHidden/>
    <w:unhideWhenUsed/>
    <w:rsid w:val="00C24E19"/>
    <w:rPr>
      <w:sz w:val="16"/>
      <w:szCs w:val="16"/>
    </w:rPr>
  </w:style>
  <w:style w:type="paragraph" w:styleId="Komentrateksts">
    <w:name w:val="annotation text"/>
    <w:basedOn w:val="Parasts"/>
    <w:link w:val="KomentratekstsRakstz"/>
    <w:uiPriority w:val="99"/>
    <w:semiHidden/>
    <w:unhideWhenUsed/>
    <w:rsid w:val="00C24E19"/>
    <w:rPr>
      <w:sz w:val="20"/>
      <w:szCs w:val="20"/>
    </w:rPr>
  </w:style>
  <w:style w:type="character" w:customStyle="1" w:styleId="KomentratekstsRakstz">
    <w:name w:val="Komentāra teksts Rakstz."/>
    <w:basedOn w:val="Noklusjumarindkopasfonts"/>
    <w:link w:val="Komentrateksts"/>
    <w:uiPriority w:val="99"/>
    <w:semiHidden/>
    <w:rsid w:val="00C24E1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24E19"/>
    <w:rPr>
      <w:b/>
      <w:bCs/>
    </w:rPr>
  </w:style>
  <w:style w:type="character" w:customStyle="1" w:styleId="KomentratmaRakstz">
    <w:name w:val="Komentāra tēma Rakstz."/>
    <w:basedOn w:val="KomentratekstsRakstz"/>
    <w:link w:val="Komentratma"/>
    <w:uiPriority w:val="99"/>
    <w:semiHidden/>
    <w:rsid w:val="00C24E19"/>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C24E1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24E19"/>
    <w:rPr>
      <w:rFonts w:ascii="Segoe UI" w:eastAsia="Times New Roman" w:hAnsi="Segoe UI" w:cs="Segoe UI"/>
      <w:sz w:val="18"/>
      <w:szCs w:val="18"/>
      <w:lang w:eastAsia="lv-LV"/>
    </w:rPr>
  </w:style>
  <w:style w:type="paragraph" w:styleId="Sarakstarindkopa">
    <w:name w:val="List Paragraph"/>
    <w:basedOn w:val="Parasts"/>
    <w:uiPriority w:val="34"/>
    <w:qFormat/>
    <w:rsid w:val="004961AF"/>
    <w:pPr>
      <w:ind w:left="720"/>
      <w:contextualSpacing/>
    </w:pPr>
  </w:style>
  <w:style w:type="paragraph" w:customStyle="1" w:styleId="doc-ti">
    <w:name w:val="doc-ti"/>
    <w:basedOn w:val="Parasts"/>
    <w:rsid w:val="003F51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480680">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8">
          <w:marLeft w:val="720"/>
          <w:marRight w:val="0"/>
          <w:marTop w:val="86"/>
          <w:marBottom w:val="0"/>
          <w:divBdr>
            <w:top w:val="none" w:sz="0" w:space="0" w:color="auto"/>
            <w:left w:val="none" w:sz="0" w:space="0" w:color="auto"/>
            <w:bottom w:val="none" w:sz="0" w:space="0" w:color="auto"/>
            <w:right w:val="none" w:sz="0" w:space="0" w:color="auto"/>
          </w:divBdr>
        </w:div>
      </w:divsChild>
    </w:div>
    <w:div w:id="20321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8/765/oj/?locale=LV" TargetMode="External"/><Relationship Id="rId13" Type="http://schemas.openxmlformats.org/officeDocument/2006/relationships/hyperlink" Target="http://eur-lex.europa.eu/eli/reg/2006/816?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06/816/oj/?loca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6/816/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2008/765/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1993/339/oj/?locale=LV" TargetMode="External"/><Relationship Id="rId14" Type="http://schemas.openxmlformats.org/officeDocument/2006/relationships/hyperlink" Target="http://eur-lex.europa.eu/eli/reg/2008/765/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B27BC-D213-40AB-B4E7-F040F707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14989</Words>
  <Characters>8544</Characters>
  <Application>Microsoft Office Word</Application>
  <DocSecurity>4</DocSecurity>
  <Lines>71</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Sanita Žagare</cp:lastModifiedBy>
  <cp:revision>2</cp:revision>
  <cp:lastPrinted>2018-05-21T10:04:00Z</cp:lastPrinted>
  <dcterms:created xsi:type="dcterms:W3CDTF">2018-05-29T08:23:00Z</dcterms:created>
  <dcterms:modified xsi:type="dcterms:W3CDTF">2018-05-29T08:23:00Z</dcterms:modified>
</cp:coreProperties>
</file>