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A41B70" w:rsidRPr="00AC6820" w:rsidP="00A2624B" w14:paraId="2B5AC9A1" w14:textId="77777777">
      <w:pPr>
        <w:jc w:val="center"/>
        <w:rPr>
          <w:b/>
          <w:bCs/>
          <w:sz w:val="28"/>
          <w:szCs w:val="28"/>
        </w:rPr>
      </w:pPr>
      <w:r w:rsidRPr="00AC6820">
        <w:rPr>
          <w:b/>
          <w:bCs/>
          <w:sz w:val="28"/>
          <w:szCs w:val="28"/>
        </w:rPr>
        <w:t xml:space="preserve">Likumprojekta “Grozījumi likumā “Par sabiedrisko pakalpojumu regulatoriem”” </w:t>
      </w:r>
      <w:r w:rsidRPr="00AC6820" w:rsidR="00786BE3">
        <w:rPr>
          <w:b/>
          <w:bCs/>
          <w:sz w:val="28"/>
          <w:szCs w:val="28"/>
        </w:rPr>
        <w:t>sākotnējās ietekmes novērtējuma ziņojums (anotācija)</w:t>
      </w:r>
    </w:p>
    <w:p w:rsidR="007B6AF8" w:rsidRPr="00AC6820" w:rsidP="00A41B70" w14:paraId="54F5E759" w14:textId="77777777">
      <w:pPr>
        <w:jc w:val="both"/>
        <w:rPr>
          <w:b/>
          <w:bCs/>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325"/>
        <w:gridCol w:w="4965"/>
      </w:tblGrid>
      <w:tr w14:paraId="7422ACD0" w14:textId="77777777" w:rsidTr="007B6AF8">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B6AF8" w:rsidRPr="00AC6820" w:rsidP="007B6AF8" w14:paraId="78B93492" w14:textId="77777777">
            <w:pPr>
              <w:jc w:val="both"/>
              <w:rPr>
                <w:b/>
                <w:bCs/>
              </w:rPr>
            </w:pPr>
            <w:r w:rsidRPr="00AC6820">
              <w:rPr>
                <w:b/>
                <w:bCs/>
              </w:rPr>
              <w:t>Tiesību akta projekta anotācijas kopsavilkums</w:t>
            </w:r>
          </w:p>
        </w:tc>
      </w:tr>
      <w:tr w14:paraId="3942B4B3" w14:textId="77777777" w:rsidTr="007B6AF8">
        <w:tblPrEx>
          <w:tblW w:w="5000" w:type="pct"/>
          <w:tblCellSpacing w:w="15" w:type="dxa"/>
          <w:tblCellMar>
            <w:top w:w="30" w:type="dxa"/>
            <w:left w:w="30" w:type="dxa"/>
            <w:bottom w:w="30" w:type="dxa"/>
            <w:right w:w="30" w:type="dxa"/>
          </w:tblCellMar>
          <w:tblLook w:val="04A0"/>
        </w:tblPrEx>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rsidR="007B6AF8" w:rsidRPr="00AC6820" w:rsidP="007B6AF8" w14:paraId="714C976E" w14:textId="77777777">
            <w:pPr>
              <w:jc w:val="both"/>
            </w:pPr>
            <w:r w:rsidRPr="00AC6820">
              <w:t xml:space="preserve">Mērķis, risinājums un projekta spēkā stāšanās laiks </w:t>
            </w:r>
          </w:p>
        </w:tc>
        <w:tc>
          <w:tcPr>
            <w:tcW w:w="3000" w:type="pct"/>
            <w:tcBorders>
              <w:top w:val="outset" w:sz="6" w:space="0" w:color="auto"/>
              <w:left w:val="outset" w:sz="6" w:space="0" w:color="auto"/>
              <w:bottom w:val="outset" w:sz="6" w:space="0" w:color="auto"/>
              <w:right w:val="outset" w:sz="6" w:space="0" w:color="auto"/>
            </w:tcBorders>
            <w:hideMark/>
          </w:tcPr>
          <w:p w:rsidR="005864BD" w:rsidRPr="00AC6820" w:rsidP="00065B7D" w14:paraId="225A3825" w14:textId="77777777">
            <w:pPr>
              <w:spacing w:before="120" w:after="0" w:line="240" w:lineRule="auto"/>
              <w:jc w:val="both"/>
            </w:pPr>
            <w:r w:rsidRPr="00AC6820">
              <w:t xml:space="preserve">Likumprojekta mērķis ir ieviest Ekonomiskās sadarbības un attīstības organizācijas  rekomendācijas, kā arī nodrošināt Sabiedrisko pakalpojumu regulēšanas komisijas (turpmāk – regulators) </w:t>
            </w:r>
            <w:r w:rsidRPr="00AC6820">
              <w:t>pilnvaru un regulatora lēmējinstitūcijas pilnvaru termiņa organizācijas atbilstību Eiropas Savienības tiesību aktiem</w:t>
            </w:r>
            <w:r w:rsidRPr="00AC6820" w:rsidR="00725D87">
              <w:t>, kā arī sinhronizēt likumā “Par sabiedrisko pakalpojumu regulatoriem” (turpmāk – Likums) ietverto regulējumu atbilstoši attiecīgo regulējamo nozaru speciālajos tiesību aktos noteiktajam regulējumam</w:t>
            </w:r>
            <w:r w:rsidRPr="00AC6820" w:rsidR="00065B7D">
              <w:t>.</w:t>
            </w:r>
          </w:p>
          <w:p w:rsidR="005864BD" w:rsidRPr="00AC6820" w:rsidP="00065B7D" w14:paraId="7A28AD8B" w14:textId="77777777">
            <w:pPr>
              <w:spacing w:before="120" w:after="0" w:line="240" w:lineRule="auto"/>
            </w:pPr>
            <w:r w:rsidRPr="00AC6820">
              <w:t>Likumprojekts paredz:</w:t>
            </w:r>
          </w:p>
          <w:p w:rsidR="005864BD" w:rsidRPr="00AC6820" w:rsidP="00065B7D" w14:paraId="05969FFE" w14:textId="77777777">
            <w:pPr>
              <w:numPr>
                <w:ilvl w:val="0"/>
                <w:numId w:val="10"/>
              </w:numPr>
              <w:spacing w:before="120" w:after="0" w:line="240" w:lineRule="auto"/>
              <w:jc w:val="both"/>
            </w:pPr>
            <w:r w:rsidRPr="00AC6820">
              <w:t>ieviest un turpmāk nodrošināt  regulatora padomes locekļu  atbilstīgu rotāciju;</w:t>
            </w:r>
          </w:p>
          <w:p w:rsidR="005864BD" w:rsidRPr="00AC6820" w:rsidP="00065B7D" w14:paraId="7E84755D" w14:textId="77777777">
            <w:pPr>
              <w:numPr>
                <w:ilvl w:val="0"/>
                <w:numId w:val="10"/>
              </w:numPr>
              <w:spacing w:before="120" w:after="0" w:line="240" w:lineRule="auto"/>
              <w:jc w:val="both"/>
            </w:pPr>
            <w:r w:rsidRPr="00AC6820">
              <w:t xml:space="preserve">deleģēt regulatoram tiesības veikt operatīvās darbības, kas nepieciešamas enerģijas </w:t>
            </w:r>
            <w:r w:rsidRPr="00AC6820">
              <w:t>vairumtirgus</w:t>
            </w:r>
            <w:r w:rsidRPr="00AC6820">
              <w:t xml:space="preserve"> efektīvai uzraudzībai</w:t>
            </w:r>
            <w:r w:rsidRPr="00AC6820" w:rsidR="00725D87">
              <w:t>;</w:t>
            </w:r>
          </w:p>
          <w:p w:rsidR="00725D87" w:rsidRPr="00AC6820" w:rsidP="00065B7D" w14:paraId="3A97636D" w14:textId="77777777">
            <w:pPr>
              <w:numPr>
                <w:ilvl w:val="0"/>
                <w:numId w:val="10"/>
              </w:numPr>
              <w:spacing w:before="120" w:after="0" w:line="240" w:lineRule="auto"/>
              <w:jc w:val="both"/>
            </w:pPr>
            <w:r w:rsidRPr="00AC6820">
              <w:t>precizēt regulatora tiesības grozīt izsniegtās licences nosacījumus;</w:t>
            </w:r>
          </w:p>
          <w:p w:rsidR="00725D87" w:rsidRPr="00AC6820" w:rsidP="00065B7D" w14:paraId="5CCE2323" w14:textId="77777777">
            <w:pPr>
              <w:numPr>
                <w:ilvl w:val="0"/>
                <w:numId w:val="10"/>
              </w:numPr>
              <w:spacing w:before="120" w:after="0" w:line="240" w:lineRule="auto"/>
              <w:jc w:val="both"/>
            </w:pPr>
            <w:r w:rsidRPr="00AC6820">
              <w:t>precizēt regulatora tiesības un pienākumus sabiedrisko pakalpojumu sniedzēju reģistrācijas procesā;</w:t>
            </w:r>
          </w:p>
          <w:p w:rsidR="00987194" w:rsidRPr="00AC6820" w:rsidP="00065B7D" w14:paraId="6B26EE0C" w14:textId="77777777">
            <w:pPr>
              <w:numPr>
                <w:ilvl w:val="0"/>
                <w:numId w:val="10"/>
              </w:numPr>
              <w:spacing w:before="120" w:after="0" w:line="240" w:lineRule="auto"/>
              <w:jc w:val="both"/>
            </w:pPr>
            <w:r w:rsidRPr="00AC6820">
              <w:t>sinhronizēt tarifu noteikšanas procesu atbilstoši attiecīgo regulējamo nozaru speciālajos tiesību aktos noteiktajam regulējumam;</w:t>
            </w:r>
          </w:p>
          <w:p w:rsidR="00065B7D" w:rsidRPr="00AC6820" w:rsidP="00065B7D" w14:paraId="4F87379F" w14:textId="77777777">
            <w:pPr>
              <w:numPr>
                <w:ilvl w:val="0"/>
                <w:numId w:val="10"/>
              </w:numPr>
              <w:spacing w:before="120" w:after="0" w:line="240" w:lineRule="auto"/>
              <w:jc w:val="both"/>
            </w:pPr>
            <w:r w:rsidRPr="00AC6820">
              <w:t xml:space="preserve">pilnveidot strīdu </w:t>
            </w:r>
            <w:r w:rsidRPr="00AC6820" w:rsidR="00D25B7F">
              <w:t>izskatīšanas procesu regulatorā</w:t>
            </w:r>
            <w:r w:rsidRPr="00AC6820">
              <w:t>;</w:t>
            </w:r>
          </w:p>
          <w:p w:rsidR="00D25B7F" w:rsidRPr="00AC6820" w:rsidP="00065B7D" w14:paraId="116DB2F2" w14:textId="77777777">
            <w:pPr>
              <w:numPr>
                <w:ilvl w:val="0"/>
                <w:numId w:val="10"/>
              </w:numPr>
              <w:spacing w:before="120" w:after="0" w:line="240" w:lineRule="auto"/>
              <w:jc w:val="both"/>
            </w:pPr>
            <w:r w:rsidRPr="00AC6820">
              <w:t>izveidot konsultatīvo padomi</w:t>
            </w:r>
            <w:r w:rsidRPr="00AC6820">
              <w:t>.</w:t>
            </w:r>
          </w:p>
          <w:p w:rsidR="00D25B7F" w:rsidRPr="00AC6820" w:rsidP="00065B7D" w14:paraId="38769BC5" w14:textId="77777777">
            <w:pPr>
              <w:spacing w:before="120" w:after="0" w:line="240" w:lineRule="auto"/>
              <w:jc w:val="both"/>
              <w:rPr>
                <w:rFonts w:eastAsia="Times New Roman"/>
                <w:szCs w:val="24"/>
                <w:lang w:eastAsia="lv-LV"/>
              </w:rPr>
            </w:pPr>
            <w:r w:rsidRPr="00AC6820">
              <w:rPr>
                <w:rFonts w:eastAsia="Times New Roman"/>
                <w:szCs w:val="24"/>
                <w:lang w:eastAsia="lv-LV"/>
              </w:rPr>
              <w:t>Likumprojekta spēkā stāšanās paredzēta normatīvaj</w:t>
            </w:r>
            <w:bookmarkStart w:id="0" w:name="_GoBack"/>
            <w:bookmarkEnd w:id="0"/>
            <w:r w:rsidRPr="00AC6820">
              <w:rPr>
                <w:rFonts w:eastAsia="Times New Roman"/>
                <w:szCs w:val="24"/>
                <w:lang w:eastAsia="lv-LV"/>
              </w:rPr>
              <w:t>os aktos noteiktajā vispārējā kārtībā, neparedzot konkrētu spēkā stāšanās datumu.</w:t>
            </w:r>
          </w:p>
        </w:tc>
      </w:tr>
    </w:tbl>
    <w:p w:rsidR="00A41B70" w:rsidRPr="00AC6820" w:rsidP="00A41B70" w14:paraId="4F1B1297" w14:textId="77777777">
      <w:pPr>
        <w:jc w:val="both"/>
        <w:rPr>
          <w:b/>
          <w:bCs/>
          <w:szCs w:val="24"/>
        </w:rPr>
      </w:pPr>
    </w:p>
    <w:p w:rsidR="00065B7D" w:rsidRPr="00AC6820" w:rsidP="00A41B70" w14:paraId="5CA50358" w14:textId="77777777">
      <w:pPr>
        <w:jc w:val="both"/>
        <w:rPr>
          <w:b/>
          <w:bCs/>
          <w:szCs w:val="24"/>
        </w:rPr>
      </w:pPr>
    </w:p>
    <w:tbl>
      <w:tblPr>
        <w:tblW w:w="524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51"/>
        <w:gridCol w:w="2546"/>
        <w:gridCol w:w="5693"/>
      </w:tblGrid>
      <w:tr w14:paraId="21B7349A" w14:textId="77777777" w:rsidTr="00983892">
        <w:tblPrEx>
          <w:tblW w:w="524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405"/>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rsidR="00786BE3" w:rsidRPr="00AC6820" w:rsidP="00A2624B" w14:paraId="417E34AA" w14:textId="77777777">
            <w:pPr>
              <w:jc w:val="center"/>
              <w:rPr>
                <w:b/>
                <w:bCs/>
              </w:rPr>
            </w:pPr>
            <w:r w:rsidRPr="00AC6820">
              <w:rPr>
                <w:b/>
                <w:bCs/>
              </w:rPr>
              <w:t>I. Tiesību akta projekta izstrādes nepieciešamība</w:t>
            </w:r>
          </w:p>
        </w:tc>
      </w:tr>
      <w:tr w14:paraId="3B32AED9" w14:textId="77777777" w:rsidTr="00983892">
        <w:tblPrEx>
          <w:tblW w:w="5241" w:type="pct"/>
          <w:tblCellSpacing w:w="15" w:type="dxa"/>
          <w:tblCellMar>
            <w:top w:w="30" w:type="dxa"/>
            <w:left w:w="30" w:type="dxa"/>
            <w:bottom w:w="30" w:type="dxa"/>
            <w:right w:w="30" w:type="dxa"/>
          </w:tblCellMar>
          <w:tblLook w:val="04A0"/>
        </w:tblPrEx>
        <w:trPr>
          <w:trHeight w:val="405"/>
          <w:tblCellSpacing w:w="15" w:type="dxa"/>
        </w:trPr>
        <w:tc>
          <w:tcPr>
            <w:tcW w:w="235" w:type="pct"/>
            <w:tcBorders>
              <w:top w:val="outset" w:sz="6" w:space="0" w:color="auto"/>
              <w:left w:val="outset" w:sz="6" w:space="0" w:color="auto"/>
              <w:bottom w:val="outset" w:sz="6" w:space="0" w:color="auto"/>
              <w:right w:val="outset" w:sz="6" w:space="0" w:color="auto"/>
            </w:tcBorders>
            <w:hideMark/>
          </w:tcPr>
          <w:p w:rsidR="00786BE3" w:rsidRPr="00AC6820" w:rsidP="00786BE3" w14:paraId="0C69BF6E" w14:textId="77777777">
            <w:r w:rsidRPr="00AC6820">
              <w:t>1.</w:t>
            </w:r>
          </w:p>
        </w:tc>
        <w:tc>
          <w:tcPr>
            <w:tcW w:w="1458" w:type="pct"/>
            <w:tcBorders>
              <w:top w:val="outset" w:sz="6" w:space="0" w:color="auto"/>
              <w:left w:val="outset" w:sz="6" w:space="0" w:color="auto"/>
              <w:bottom w:val="outset" w:sz="6" w:space="0" w:color="auto"/>
              <w:right w:val="outset" w:sz="6" w:space="0" w:color="auto"/>
            </w:tcBorders>
            <w:hideMark/>
          </w:tcPr>
          <w:p w:rsidR="00786BE3" w:rsidRPr="00AC6820" w:rsidP="00786BE3" w14:paraId="4FE19D60" w14:textId="77777777">
            <w:r w:rsidRPr="00AC6820">
              <w:t>Pamatojums</w:t>
            </w:r>
          </w:p>
        </w:tc>
        <w:tc>
          <w:tcPr>
            <w:tcW w:w="3240" w:type="pct"/>
            <w:tcBorders>
              <w:top w:val="outset" w:sz="6" w:space="0" w:color="auto"/>
              <w:left w:val="outset" w:sz="6" w:space="0" w:color="auto"/>
              <w:bottom w:val="outset" w:sz="6" w:space="0" w:color="auto"/>
              <w:right w:val="outset" w:sz="6" w:space="0" w:color="auto"/>
            </w:tcBorders>
            <w:hideMark/>
          </w:tcPr>
          <w:p w:rsidR="00270E68" w:rsidRPr="00AC6820" w:rsidP="00065B7D" w14:paraId="1D5F517B" w14:textId="77777777">
            <w:pPr>
              <w:tabs>
                <w:tab w:val="left" w:pos="471"/>
              </w:tabs>
              <w:spacing w:before="120" w:after="0" w:line="240" w:lineRule="auto"/>
              <w:jc w:val="both"/>
            </w:pPr>
            <w:r w:rsidRPr="00AC6820">
              <w:t>L</w:t>
            </w:r>
            <w:r w:rsidRPr="00AC6820" w:rsidR="00EE0B8E">
              <w:t>ikumprojekts izstrādāts</w:t>
            </w:r>
            <w:r w:rsidRPr="00AC6820" w:rsidR="00C86E99">
              <w:t>,</w:t>
            </w:r>
            <w:r w:rsidRPr="00AC6820" w:rsidR="00EE0B8E">
              <w:t xml:space="preserve"> lai ieviestu</w:t>
            </w:r>
            <w:r w:rsidRPr="00AC6820">
              <w:t>:</w:t>
            </w:r>
          </w:p>
          <w:p w:rsidR="0095124B" w:rsidRPr="00AC6820" w:rsidP="00065B7D" w14:paraId="6CC59AD9" w14:textId="77777777">
            <w:pPr>
              <w:numPr>
                <w:ilvl w:val="0"/>
                <w:numId w:val="1"/>
              </w:numPr>
              <w:tabs>
                <w:tab w:val="left" w:pos="471"/>
              </w:tabs>
              <w:spacing w:before="120" w:after="0" w:line="240" w:lineRule="auto"/>
              <w:jc w:val="both"/>
            </w:pPr>
            <w:r w:rsidRPr="00AC6820">
              <w:t xml:space="preserve">Ekonomiskās sadarbības un attīstības organizācijas </w:t>
            </w:r>
            <w:r w:rsidRPr="00AC6820">
              <w:rPr>
                <w:i/>
              </w:rPr>
              <w:t>(</w:t>
            </w:r>
            <w:r w:rsidRPr="00AC6820">
              <w:rPr>
                <w:i/>
              </w:rPr>
              <w:t>The</w:t>
            </w:r>
            <w:r w:rsidRPr="00AC6820">
              <w:rPr>
                <w:i/>
              </w:rPr>
              <w:t xml:space="preserve"> </w:t>
            </w:r>
            <w:r w:rsidRPr="00AC6820">
              <w:rPr>
                <w:i/>
              </w:rPr>
              <w:t>Organisation</w:t>
            </w:r>
            <w:r w:rsidRPr="00AC6820">
              <w:rPr>
                <w:i/>
              </w:rPr>
              <w:t xml:space="preserve"> </w:t>
            </w:r>
            <w:r w:rsidRPr="00AC6820">
              <w:rPr>
                <w:i/>
              </w:rPr>
              <w:t>for</w:t>
            </w:r>
            <w:r w:rsidRPr="00AC6820">
              <w:rPr>
                <w:i/>
              </w:rPr>
              <w:t xml:space="preserve"> </w:t>
            </w:r>
            <w:r w:rsidRPr="00AC6820">
              <w:rPr>
                <w:i/>
              </w:rPr>
              <w:t>Economic</w:t>
            </w:r>
            <w:r w:rsidRPr="00AC6820">
              <w:rPr>
                <w:i/>
              </w:rPr>
              <w:t xml:space="preserve"> </w:t>
            </w:r>
            <w:r w:rsidRPr="00AC6820">
              <w:rPr>
                <w:i/>
              </w:rPr>
              <w:t>Co-operation</w:t>
            </w:r>
            <w:r w:rsidRPr="00AC6820">
              <w:rPr>
                <w:i/>
              </w:rPr>
              <w:t xml:space="preserve"> </w:t>
            </w:r>
            <w:r w:rsidRPr="00AC6820">
              <w:rPr>
                <w:i/>
              </w:rPr>
              <w:t>and</w:t>
            </w:r>
            <w:r w:rsidRPr="00AC6820">
              <w:rPr>
                <w:i/>
              </w:rPr>
              <w:t xml:space="preserve"> </w:t>
            </w:r>
            <w:r w:rsidRPr="00AC6820">
              <w:rPr>
                <w:i/>
              </w:rPr>
              <w:t>Development</w:t>
            </w:r>
            <w:r w:rsidRPr="00AC6820">
              <w:rPr>
                <w:i/>
              </w:rPr>
              <w:t xml:space="preserve">) </w:t>
            </w:r>
            <w:r w:rsidRPr="00AC6820">
              <w:t xml:space="preserve">(turpmāk - OECD) 2016.gada ziņojumā “Latvijas Sabiedrisko pakalpojumu regulēšanas komisijas </w:t>
            </w:r>
            <w:r w:rsidRPr="00AC6820" w:rsidR="00D03FE3">
              <w:t xml:space="preserve">(turpmāk – </w:t>
            </w:r>
            <w:r w:rsidRPr="00AC6820" w:rsidR="005B02C5">
              <w:t>r</w:t>
            </w:r>
            <w:r w:rsidRPr="00AC6820" w:rsidR="00D03FE3">
              <w:t xml:space="preserve">egulators) </w:t>
            </w:r>
            <w:r w:rsidRPr="00AC6820">
              <w:t>darbības rezultātu uzlabošana” (“</w:t>
            </w:r>
            <w:r w:rsidRPr="00AC6820">
              <w:rPr>
                <w:i/>
              </w:rPr>
              <w:t>Driving</w:t>
            </w:r>
            <w:r w:rsidRPr="00AC6820">
              <w:rPr>
                <w:i/>
              </w:rPr>
              <w:t xml:space="preserve"> Performance </w:t>
            </w:r>
            <w:r w:rsidRPr="00AC6820">
              <w:rPr>
                <w:i/>
              </w:rPr>
              <w:t>at</w:t>
            </w:r>
            <w:r w:rsidRPr="00AC6820">
              <w:rPr>
                <w:i/>
              </w:rPr>
              <w:t xml:space="preserve"> </w:t>
            </w:r>
            <w:r w:rsidRPr="00AC6820">
              <w:rPr>
                <w:i/>
              </w:rPr>
              <w:t>Latvia’s</w:t>
            </w:r>
            <w:r w:rsidRPr="00AC6820">
              <w:rPr>
                <w:i/>
              </w:rPr>
              <w:t xml:space="preserve"> </w:t>
            </w:r>
            <w:r w:rsidRPr="00AC6820">
              <w:rPr>
                <w:i/>
              </w:rPr>
              <w:t>Public</w:t>
            </w:r>
            <w:r w:rsidRPr="00AC6820">
              <w:rPr>
                <w:i/>
              </w:rPr>
              <w:t xml:space="preserve"> </w:t>
            </w:r>
            <w:r w:rsidRPr="00AC6820">
              <w:rPr>
                <w:i/>
              </w:rPr>
              <w:t>Utilities</w:t>
            </w:r>
            <w:r w:rsidRPr="00AC6820">
              <w:rPr>
                <w:i/>
              </w:rPr>
              <w:t xml:space="preserve"> </w:t>
            </w:r>
            <w:r w:rsidRPr="00AC6820">
              <w:rPr>
                <w:i/>
              </w:rPr>
              <w:t>Commission</w:t>
            </w:r>
            <w:r w:rsidRPr="00AC6820">
              <w:rPr>
                <w:i/>
              </w:rPr>
              <w:t>”</w:t>
            </w:r>
            <w:r w:rsidRPr="00AC6820">
              <w:t>) (turpmāk - OECD ziņojums) ietvertās rekomendācijas</w:t>
            </w:r>
            <w:r w:rsidRPr="00AC6820" w:rsidR="003B6763">
              <w:t>;</w:t>
            </w:r>
          </w:p>
          <w:p w:rsidR="00467482" w:rsidRPr="00AC6820" w:rsidP="00065B7D" w14:paraId="73D25564" w14:textId="77777777">
            <w:pPr>
              <w:numPr>
                <w:ilvl w:val="0"/>
                <w:numId w:val="1"/>
              </w:numPr>
              <w:tabs>
                <w:tab w:val="left" w:pos="471"/>
              </w:tabs>
              <w:spacing w:before="120" w:after="0" w:line="240" w:lineRule="auto"/>
              <w:jc w:val="both"/>
            </w:pPr>
            <w:r w:rsidRPr="00AC6820">
              <w:t>Eiropas Parlamenta un Padomes</w:t>
            </w:r>
            <w:r w:rsidRPr="00AC6820">
              <w:t xml:space="preserve"> 2009.gada 13.jūlija Direktīvu</w:t>
            </w:r>
            <w:r w:rsidRPr="00AC6820">
              <w:t xml:space="preserve"> 2009/72/EK par kopīgiem noteikumiem attiecībā uz elektroenerģijas iekšējo tirgu, ar ko atceļ Direktīvu 2003/54/EK (turpmāk – Direktīva 2009/72/EK), kā arī Eiropas Parlamenta un Padomes 2009.gad</w:t>
            </w:r>
            <w:r w:rsidRPr="00AC6820">
              <w:t>a 13.jūlija  Direktīvu</w:t>
            </w:r>
            <w:r w:rsidRPr="00AC6820">
              <w:t xml:space="preserve"> 2009/73/EK par kopīgiem noteikumiem attiecībā uz dabasgāzes</w:t>
            </w:r>
            <w:r w:rsidRPr="00AC6820">
              <w:t xml:space="preserve"> iekšējo tirgu un par Direktīvas</w:t>
            </w:r>
            <w:r w:rsidRPr="00AC6820">
              <w:t xml:space="preserve"> 2003/55/EK atcelšanu (</w:t>
            </w:r>
            <w:r w:rsidRPr="00AC6820">
              <w:t>turpmāk – Direktīva 2009/73/EK)  prasības, kas skar</w:t>
            </w:r>
            <w:r w:rsidRPr="00AC6820" w:rsidR="00270E68">
              <w:t xml:space="preserve"> </w:t>
            </w:r>
            <w:r w:rsidRPr="00AC6820">
              <w:t>regulatīvās iestādes vadības pilnvaru termiņu</w:t>
            </w:r>
            <w:r w:rsidRPr="00AC6820" w:rsidR="00270E68">
              <w:t xml:space="preserve"> </w:t>
            </w:r>
            <w:r w:rsidRPr="00AC6820" w:rsidR="00D03FE3">
              <w:t>un</w:t>
            </w:r>
            <w:r w:rsidRPr="00AC6820" w:rsidR="00270E68">
              <w:t xml:space="preserve"> </w:t>
            </w:r>
            <w:r w:rsidRPr="00AC6820">
              <w:t>atbilstīgu vadības rotācijas sistēmu</w:t>
            </w:r>
            <w:r w:rsidRPr="00AC6820" w:rsidR="00270E68">
              <w:t>;</w:t>
            </w:r>
          </w:p>
          <w:p w:rsidR="0017783D" w:rsidRPr="00AC6820" w:rsidP="00065B7D" w14:paraId="6722C028" w14:textId="77777777">
            <w:pPr>
              <w:numPr>
                <w:ilvl w:val="0"/>
                <w:numId w:val="1"/>
              </w:numPr>
              <w:tabs>
                <w:tab w:val="left" w:pos="471"/>
              </w:tabs>
              <w:spacing w:before="120" w:after="0" w:line="240" w:lineRule="auto"/>
              <w:jc w:val="both"/>
            </w:pPr>
            <w:r w:rsidRPr="00AC6820">
              <w:t xml:space="preserve">Eiropas Parlamenta un Padomes 2011.gada 25.oktobra </w:t>
            </w:r>
            <w:r w:rsidRPr="00AC6820" w:rsidR="00591544">
              <w:t>R</w:t>
            </w:r>
            <w:r w:rsidRPr="00AC6820">
              <w:t xml:space="preserve">egulas Nr.1227/2011 par enerģijas </w:t>
            </w:r>
            <w:r w:rsidRPr="00AC6820">
              <w:t>vairumtirgus</w:t>
            </w:r>
            <w:r w:rsidRPr="00AC6820">
              <w:t xml:space="preserve"> integritāti un </w:t>
            </w:r>
            <w:r w:rsidRPr="00AC6820">
              <w:t>pārredzamību</w:t>
            </w:r>
            <w:r w:rsidRPr="00AC6820">
              <w:t xml:space="preserve"> (REMIT) prasības</w:t>
            </w:r>
            <w:r w:rsidRPr="00AC6820">
              <w:t>.</w:t>
            </w:r>
          </w:p>
        </w:tc>
      </w:tr>
      <w:tr w14:paraId="27B3EA8C" w14:textId="77777777" w:rsidTr="00983892">
        <w:tblPrEx>
          <w:tblW w:w="5241" w:type="pct"/>
          <w:tblCellSpacing w:w="15" w:type="dxa"/>
          <w:tblCellMar>
            <w:top w:w="30" w:type="dxa"/>
            <w:left w:w="30" w:type="dxa"/>
            <w:bottom w:w="30" w:type="dxa"/>
            <w:right w:w="30" w:type="dxa"/>
          </w:tblCellMar>
          <w:tblLook w:val="04A0"/>
        </w:tblPrEx>
        <w:trPr>
          <w:trHeight w:val="465"/>
          <w:tblCellSpacing w:w="15" w:type="dxa"/>
        </w:trPr>
        <w:tc>
          <w:tcPr>
            <w:tcW w:w="235" w:type="pct"/>
            <w:tcBorders>
              <w:top w:val="outset" w:sz="6" w:space="0" w:color="auto"/>
              <w:left w:val="outset" w:sz="6" w:space="0" w:color="auto"/>
              <w:bottom w:val="outset" w:sz="6" w:space="0" w:color="auto"/>
              <w:right w:val="outset" w:sz="6" w:space="0" w:color="auto"/>
            </w:tcBorders>
            <w:shd w:val="clear" w:color="auto" w:fill="auto"/>
            <w:hideMark/>
          </w:tcPr>
          <w:p w:rsidR="00786BE3" w:rsidRPr="00AC6820" w:rsidP="00786BE3" w14:paraId="226A9F63" w14:textId="77777777">
            <w:r w:rsidRPr="00AC6820">
              <w:t>2.</w:t>
            </w:r>
          </w:p>
        </w:tc>
        <w:tc>
          <w:tcPr>
            <w:tcW w:w="1458" w:type="pct"/>
            <w:tcBorders>
              <w:top w:val="outset" w:sz="6" w:space="0" w:color="auto"/>
              <w:left w:val="outset" w:sz="6" w:space="0" w:color="auto"/>
              <w:bottom w:val="outset" w:sz="6" w:space="0" w:color="auto"/>
              <w:right w:val="outset" w:sz="6" w:space="0" w:color="auto"/>
            </w:tcBorders>
            <w:shd w:val="clear" w:color="auto" w:fill="auto"/>
            <w:hideMark/>
          </w:tcPr>
          <w:p w:rsidR="00786BE3" w:rsidRPr="00AC6820" w:rsidP="00786BE3" w14:paraId="6F7169A9" w14:textId="77777777">
            <w:r w:rsidRPr="00AC6820">
              <w:t>Pašreizējā situācija un problēmas, kuru risināšanai tiesību akta projekts izstrādāts, tiesiskā regulējuma mērķis un būtība</w:t>
            </w:r>
          </w:p>
        </w:tc>
        <w:tc>
          <w:tcPr>
            <w:tcW w:w="3240" w:type="pct"/>
            <w:tcBorders>
              <w:top w:val="outset" w:sz="6" w:space="0" w:color="auto"/>
              <w:left w:val="outset" w:sz="6" w:space="0" w:color="auto"/>
              <w:bottom w:val="outset" w:sz="6" w:space="0" w:color="auto"/>
              <w:right w:val="outset" w:sz="6" w:space="0" w:color="auto"/>
            </w:tcBorders>
            <w:shd w:val="clear" w:color="auto" w:fill="auto"/>
            <w:hideMark/>
          </w:tcPr>
          <w:p w:rsidR="00C97A21" w:rsidRPr="00AC6820" w:rsidP="00C97A21" w14:paraId="6CEF6A48" w14:textId="77777777">
            <w:pPr>
              <w:spacing w:after="0" w:line="240" w:lineRule="auto"/>
              <w:jc w:val="both"/>
              <w:rPr>
                <w:szCs w:val="24"/>
              </w:rPr>
            </w:pPr>
            <w:r w:rsidRPr="00AC6820">
              <w:rPr>
                <w:b/>
                <w:szCs w:val="24"/>
              </w:rPr>
              <w:t>1</w:t>
            </w:r>
            <w:r w:rsidRPr="00AC6820">
              <w:rPr>
                <w:szCs w:val="24"/>
              </w:rPr>
              <w:t xml:space="preserve">) OECD </w:t>
            </w:r>
            <w:r w:rsidRPr="00AC6820" w:rsidR="00D03FE3">
              <w:rPr>
                <w:szCs w:val="24"/>
              </w:rPr>
              <w:t xml:space="preserve">2016.gadā </w:t>
            </w:r>
            <w:r w:rsidRPr="00AC6820">
              <w:rPr>
                <w:szCs w:val="24"/>
              </w:rPr>
              <w:t xml:space="preserve">veica </w:t>
            </w:r>
            <w:r w:rsidRPr="00AC6820" w:rsidR="005B02C5">
              <w:rPr>
                <w:szCs w:val="24"/>
              </w:rPr>
              <w:t>r</w:t>
            </w:r>
            <w:r w:rsidRPr="00AC6820">
              <w:rPr>
                <w:szCs w:val="24"/>
              </w:rPr>
              <w:t>egulatora kā regulatīvas iestādes funkciju, procesu un prakses analīzi un sagatavoja OECD ziņojumu, kas iet</w:t>
            </w:r>
            <w:r w:rsidRPr="00AC6820" w:rsidR="00D03FE3">
              <w:rPr>
                <w:szCs w:val="24"/>
              </w:rPr>
              <w:t>vēra vairākas</w:t>
            </w:r>
            <w:r w:rsidRPr="00AC6820">
              <w:rPr>
                <w:szCs w:val="24"/>
              </w:rPr>
              <w:t xml:space="preserve"> rekomendācijas </w:t>
            </w:r>
            <w:r w:rsidRPr="00AC6820" w:rsidR="001E0B59">
              <w:rPr>
                <w:szCs w:val="24"/>
              </w:rPr>
              <w:t>r</w:t>
            </w:r>
            <w:r w:rsidRPr="00AC6820">
              <w:rPr>
                <w:szCs w:val="24"/>
              </w:rPr>
              <w:t>egulatora turpmākās darbības uzlabošanai</w:t>
            </w:r>
            <w:r w:rsidRPr="00AC6820">
              <w:rPr>
                <w:szCs w:val="24"/>
              </w:rPr>
              <w:t>.</w:t>
            </w:r>
          </w:p>
          <w:p w:rsidR="00D03FE3" w:rsidRPr="00AC6820" w:rsidP="00F73018" w14:paraId="37CD4FF5" w14:textId="77777777">
            <w:pPr>
              <w:spacing w:after="0" w:line="240" w:lineRule="auto"/>
              <w:jc w:val="both"/>
              <w:rPr>
                <w:szCs w:val="24"/>
              </w:rPr>
            </w:pPr>
            <w:r w:rsidRPr="00AC6820">
              <w:rPr>
                <w:szCs w:val="24"/>
              </w:rPr>
              <w:t xml:space="preserve">        </w:t>
            </w:r>
            <w:r w:rsidRPr="00AC6820">
              <w:rPr>
                <w:szCs w:val="24"/>
              </w:rPr>
              <w:t xml:space="preserve">Saskaņā ar </w:t>
            </w:r>
            <w:r w:rsidRPr="00AC6820" w:rsidR="0095124B">
              <w:rPr>
                <w:szCs w:val="24"/>
              </w:rPr>
              <w:t xml:space="preserve">OECD </w:t>
            </w:r>
            <w:r w:rsidRPr="00AC6820">
              <w:rPr>
                <w:szCs w:val="24"/>
              </w:rPr>
              <w:t>rekomendācijām</w:t>
            </w:r>
            <w:r w:rsidRPr="00AC6820" w:rsidR="0095124B">
              <w:rPr>
                <w:szCs w:val="24"/>
              </w:rPr>
              <w:t xml:space="preserve"> </w:t>
            </w:r>
            <w:r w:rsidRPr="00AC6820" w:rsidR="005B02C5">
              <w:rPr>
                <w:szCs w:val="24"/>
              </w:rPr>
              <w:t>r</w:t>
            </w:r>
            <w:r w:rsidRPr="00AC6820">
              <w:rPr>
                <w:szCs w:val="24"/>
              </w:rPr>
              <w:t>e</w:t>
            </w:r>
            <w:r w:rsidRPr="00AC6820" w:rsidR="0095124B">
              <w:rPr>
                <w:szCs w:val="24"/>
              </w:rPr>
              <w:t>gulatora padomes locekļu pilnvaru termiņiem nebūtu jāsākas un jābeidzas vienlaicīgi, bet gan būtu i</w:t>
            </w:r>
            <w:r w:rsidRPr="00AC6820" w:rsidR="003861E2">
              <w:rPr>
                <w:szCs w:val="24"/>
              </w:rPr>
              <w:t>e</w:t>
            </w:r>
            <w:r w:rsidRPr="00AC6820" w:rsidR="0095124B">
              <w:rPr>
                <w:szCs w:val="24"/>
              </w:rPr>
              <w:t>viešams to rotācijas princips, kas paredz, ka gada ietvaros pilnvaru termiņš beidzas tikai vienam padomes loceklim, tādā veidā nodrošinot padomes darba nepārtrauktību un stabilitāti</w:t>
            </w:r>
            <w:r w:rsidRPr="00AC6820">
              <w:rPr>
                <w:szCs w:val="24"/>
              </w:rPr>
              <w:t xml:space="preserve">. </w:t>
            </w:r>
          </w:p>
          <w:p w:rsidR="00385C56" w:rsidRPr="00AC6820" w:rsidP="00F73018" w14:paraId="5A8130F6" w14:textId="77777777">
            <w:pPr>
              <w:spacing w:after="0" w:line="240" w:lineRule="auto"/>
              <w:jc w:val="both"/>
              <w:rPr>
                <w:szCs w:val="24"/>
              </w:rPr>
            </w:pPr>
            <w:r w:rsidRPr="00AC6820">
              <w:rPr>
                <w:szCs w:val="24"/>
              </w:rPr>
              <w:t xml:space="preserve">       </w:t>
            </w:r>
            <w:r w:rsidRPr="00AC6820" w:rsidR="00C97A21">
              <w:rPr>
                <w:szCs w:val="24"/>
              </w:rPr>
              <w:t>Arī</w:t>
            </w:r>
            <w:r w:rsidRPr="00AC6820">
              <w:rPr>
                <w:szCs w:val="24"/>
              </w:rPr>
              <w:t xml:space="preserve"> Direktīva 2009/72/EK </w:t>
            </w:r>
            <w:r w:rsidRPr="00AC6820" w:rsidR="00E0103F">
              <w:rPr>
                <w:szCs w:val="24"/>
              </w:rPr>
              <w:t xml:space="preserve">un Direktīva 2009/73/EK </w:t>
            </w:r>
            <w:r w:rsidRPr="00AC6820" w:rsidR="00C97A21">
              <w:rPr>
                <w:szCs w:val="24"/>
              </w:rPr>
              <w:t>nosaka, ka</w:t>
            </w:r>
            <w:r w:rsidRPr="00AC6820">
              <w:rPr>
                <w:szCs w:val="24"/>
              </w:rPr>
              <w:t xml:space="preserve"> </w:t>
            </w:r>
            <w:r w:rsidRPr="00AC6820" w:rsidR="000E252E">
              <w:rPr>
                <w:szCs w:val="24"/>
              </w:rPr>
              <w:t xml:space="preserve">ieceļot </w:t>
            </w:r>
            <w:r w:rsidRPr="00AC6820">
              <w:rPr>
                <w:szCs w:val="24"/>
              </w:rPr>
              <w:t xml:space="preserve">regulatīvās iestādes vadību </w:t>
            </w:r>
            <w:r w:rsidRPr="00AC6820" w:rsidR="000E252E">
              <w:rPr>
                <w:szCs w:val="24"/>
              </w:rPr>
              <w:t xml:space="preserve">tā ir jāieceļ </w:t>
            </w:r>
            <w:r w:rsidRPr="00AC6820">
              <w:rPr>
                <w:szCs w:val="24"/>
              </w:rPr>
              <w:t>uz noteiktu laiku</w:t>
            </w:r>
            <w:r w:rsidRPr="00AC6820" w:rsidR="000E252E">
              <w:rPr>
                <w:szCs w:val="24"/>
              </w:rPr>
              <w:t xml:space="preserve"> (</w:t>
            </w:r>
            <w:r w:rsidRPr="00AC6820">
              <w:rPr>
                <w:szCs w:val="24"/>
              </w:rPr>
              <w:t>no pieciem līdz septiņiem gadiem</w:t>
            </w:r>
            <w:r w:rsidRPr="00AC6820" w:rsidR="000E252E">
              <w:rPr>
                <w:szCs w:val="24"/>
              </w:rPr>
              <w:t>)</w:t>
            </w:r>
            <w:r w:rsidRPr="00AC6820">
              <w:rPr>
                <w:szCs w:val="24"/>
              </w:rPr>
              <w:t xml:space="preserve"> </w:t>
            </w:r>
            <w:r w:rsidRPr="00AC6820" w:rsidR="000E252E">
              <w:rPr>
                <w:szCs w:val="24"/>
              </w:rPr>
              <w:t xml:space="preserve">un </w:t>
            </w:r>
            <w:r w:rsidRPr="00AC6820" w:rsidR="00C86E99">
              <w:rPr>
                <w:szCs w:val="24"/>
              </w:rPr>
              <w:t xml:space="preserve">ir jānodrošina </w:t>
            </w:r>
            <w:r w:rsidRPr="00AC6820" w:rsidR="000E252E">
              <w:rPr>
                <w:szCs w:val="24"/>
              </w:rPr>
              <w:t xml:space="preserve">arī </w:t>
            </w:r>
            <w:r w:rsidRPr="00AC6820" w:rsidR="00C86E99">
              <w:rPr>
                <w:szCs w:val="24"/>
              </w:rPr>
              <w:t>atbilstīga</w:t>
            </w:r>
            <w:r w:rsidRPr="00AC6820">
              <w:rPr>
                <w:szCs w:val="24"/>
              </w:rPr>
              <w:t xml:space="preserve"> vadības rotācijas sistēma.</w:t>
            </w:r>
          </w:p>
          <w:p w:rsidR="00926ADF" w:rsidRPr="00AC6820" w:rsidP="00AA22C8" w14:paraId="294027BB" w14:textId="58B922BE">
            <w:pPr>
              <w:spacing w:after="0" w:line="240" w:lineRule="auto"/>
              <w:ind w:firstLine="460"/>
              <w:jc w:val="both"/>
              <w:rPr>
                <w:szCs w:val="24"/>
              </w:rPr>
            </w:pPr>
            <w:r w:rsidRPr="00AC6820">
              <w:rPr>
                <w:szCs w:val="24"/>
              </w:rPr>
              <w:t xml:space="preserve">Atbilstoši </w:t>
            </w:r>
            <w:r w:rsidR="00876AA5">
              <w:rPr>
                <w:szCs w:val="24"/>
              </w:rPr>
              <w:t>L</w:t>
            </w:r>
            <w:r w:rsidRPr="00AC6820" w:rsidR="005E215B">
              <w:rPr>
                <w:szCs w:val="24"/>
              </w:rPr>
              <w:t>ikum</w:t>
            </w:r>
            <w:r w:rsidRPr="00AC6820">
              <w:rPr>
                <w:szCs w:val="24"/>
              </w:rPr>
              <w:t>ā ietvertajam regulējumam</w:t>
            </w:r>
            <w:r w:rsidRPr="00AC6820">
              <w:rPr>
                <w:szCs w:val="24"/>
              </w:rPr>
              <w:t xml:space="preserve"> </w:t>
            </w:r>
            <w:r w:rsidRPr="00AC6820" w:rsidR="005B02C5">
              <w:rPr>
                <w:szCs w:val="24"/>
              </w:rPr>
              <w:t>r</w:t>
            </w:r>
            <w:r w:rsidRPr="00AC6820">
              <w:rPr>
                <w:szCs w:val="24"/>
              </w:rPr>
              <w:t>egulator</w:t>
            </w:r>
            <w:r w:rsidRPr="00AC6820" w:rsidR="00D03FE3">
              <w:rPr>
                <w:szCs w:val="24"/>
              </w:rPr>
              <w:t>a</w:t>
            </w:r>
            <w:r w:rsidRPr="00AC6820">
              <w:rPr>
                <w:szCs w:val="24"/>
              </w:rPr>
              <w:t xml:space="preserve"> priekšsēdētāj</w:t>
            </w:r>
            <w:r w:rsidRPr="00AC6820">
              <w:rPr>
                <w:szCs w:val="24"/>
              </w:rPr>
              <w:t xml:space="preserve">u </w:t>
            </w:r>
            <w:r w:rsidRPr="00AC6820">
              <w:rPr>
                <w:szCs w:val="24"/>
              </w:rPr>
              <w:t>un četrus padomes locekļus</w:t>
            </w:r>
            <w:r w:rsidRPr="00AC6820" w:rsidR="00687A94">
              <w:rPr>
                <w:szCs w:val="24"/>
              </w:rPr>
              <w:t xml:space="preserve"> </w:t>
            </w:r>
            <w:r w:rsidRPr="00AC6820">
              <w:rPr>
                <w:szCs w:val="24"/>
              </w:rPr>
              <w:t>Saeima ieceļ uz pieciem gadiem</w:t>
            </w:r>
            <w:r w:rsidRPr="00AC6820" w:rsidR="0004431F">
              <w:rPr>
                <w:szCs w:val="24"/>
              </w:rPr>
              <w:t>. L</w:t>
            </w:r>
            <w:r w:rsidRPr="00AC6820" w:rsidR="00FA4481">
              <w:rPr>
                <w:szCs w:val="24"/>
              </w:rPr>
              <w:t>īdzšinējā prakse rāda, ka</w:t>
            </w:r>
            <w:r w:rsidRPr="00AC6820">
              <w:rPr>
                <w:szCs w:val="24"/>
              </w:rPr>
              <w:t xml:space="preserve"> </w:t>
            </w:r>
            <w:r w:rsidRPr="00AC6820">
              <w:rPr>
                <w:szCs w:val="24"/>
              </w:rPr>
              <w:t xml:space="preserve">visiem </w:t>
            </w:r>
            <w:r w:rsidRPr="00AC6820">
              <w:rPr>
                <w:szCs w:val="24"/>
              </w:rPr>
              <w:t>padomes locekļ</w:t>
            </w:r>
            <w:r w:rsidRPr="00AC6820">
              <w:rPr>
                <w:szCs w:val="24"/>
              </w:rPr>
              <w:t>iem</w:t>
            </w:r>
            <w:r w:rsidRPr="00AC6820" w:rsidR="00133A38">
              <w:rPr>
                <w:szCs w:val="24"/>
              </w:rPr>
              <w:t xml:space="preserve"> </w:t>
            </w:r>
            <w:r w:rsidRPr="00AC6820">
              <w:rPr>
                <w:szCs w:val="24"/>
              </w:rPr>
              <w:t>pilnvaru termiņš beidzas</w:t>
            </w:r>
            <w:r w:rsidRPr="00AC6820" w:rsidR="00FA4481">
              <w:rPr>
                <w:szCs w:val="24"/>
              </w:rPr>
              <w:t xml:space="preserve"> viena kalendārā gada ietvaros</w:t>
            </w:r>
            <w:r w:rsidRPr="00AC6820" w:rsidR="00270E68">
              <w:rPr>
                <w:szCs w:val="24"/>
              </w:rPr>
              <w:t>.</w:t>
            </w:r>
            <w:r w:rsidRPr="00AC6820">
              <w:rPr>
                <w:szCs w:val="24"/>
              </w:rPr>
              <w:t xml:space="preserve">  </w:t>
            </w:r>
          </w:p>
          <w:p w:rsidR="00F73018" w:rsidRPr="00AC6820" w:rsidP="00F73018" w14:paraId="1D410D06" w14:textId="77777777">
            <w:pPr>
              <w:spacing w:after="0" w:line="240" w:lineRule="auto"/>
              <w:ind w:firstLine="460"/>
              <w:jc w:val="both"/>
              <w:rPr>
                <w:szCs w:val="24"/>
              </w:rPr>
            </w:pPr>
            <w:r w:rsidRPr="00AC6820">
              <w:rPr>
                <w:szCs w:val="24"/>
              </w:rPr>
              <w:t>Likumprojekta 1.pants, kurš paredz izdarīt grozījumus Likuma 7.pantā</w:t>
            </w:r>
            <w:r w:rsidRPr="00AC6820" w:rsidR="00AB75EE">
              <w:rPr>
                <w:szCs w:val="24"/>
              </w:rPr>
              <w:t>,</w:t>
            </w:r>
            <w:r w:rsidRPr="00AC6820">
              <w:rPr>
                <w:szCs w:val="24"/>
              </w:rPr>
              <w:t xml:space="preserve"> </w:t>
            </w:r>
            <w:r w:rsidRPr="00AC6820">
              <w:rPr>
                <w:szCs w:val="24"/>
              </w:rPr>
              <w:t>un Likumprojekta 11.pants, kas paredz papildināt Likuma Pārejas noteikumus ar 28.punktu</w:t>
            </w:r>
            <w:r w:rsidRPr="00AC6820" w:rsidR="00AB75EE">
              <w:rPr>
                <w:szCs w:val="24"/>
              </w:rPr>
              <w:t>,</w:t>
            </w:r>
            <w:r w:rsidRPr="00AC6820">
              <w:rPr>
                <w:szCs w:val="24"/>
              </w:rPr>
              <w:t xml:space="preserve"> dod iespēju Saeimai </w:t>
            </w:r>
            <w:r w:rsidRPr="00AC6820" w:rsidR="009E1BE3">
              <w:rPr>
                <w:szCs w:val="24"/>
              </w:rPr>
              <w:t xml:space="preserve">2021.gadā ieceļot padomes locekļus ieviest un turpmāk nodrošināt  </w:t>
            </w:r>
            <w:r w:rsidRPr="00AC6820" w:rsidR="004F0934">
              <w:rPr>
                <w:szCs w:val="24"/>
              </w:rPr>
              <w:t xml:space="preserve">padomes locekļu </w:t>
            </w:r>
            <w:r w:rsidRPr="00AC6820">
              <w:rPr>
                <w:szCs w:val="24"/>
              </w:rPr>
              <w:t xml:space="preserve"> atbilstīgu rotāciju, t.i. nodrošinot, ka 12 kalendāro mēnešu periodā amata pilnvaru termiņš </w:t>
            </w:r>
            <w:r w:rsidRPr="00AC6820" w:rsidR="00AB75EE">
              <w:rPr>
                <w:szCs w:val="24"/>
              </w:rPr>
              <w:t xml:space="preserve">vienlaicīgi </w:t>
            </w:r>
            <w:r w:rsidRPr="00AC6820">
              <w:rPr>
                <w:szCs w:val="24"/>
              </w:rPr>
              <w:t>beidzas ne vairāk kā diviem padomes locekļiem.</w:t>
            </w:r>
          </w:p>
          <w:p w:rsidR="004F0934" w:rsidRPr="00AC6820" w:rsidP="004F0934" w14:paraId="639D5BB8" w14:textId="77777777">
            <w:pPr>
              <w:spacing w:after="0" w:line="240" w:lineRule="auto"/>
              <w:ind w:firstLine="460"/>
              <w:jc w:val="both"/>
              <w:rPr>
                <w:szCs w:val="24"/>
              </w:rPr>
            </w:pPr>
            <w:r w:rsidRPr="00AC6820">
              <w:rPr>
                <w:szCs w:val="24"/>
              </w:rPr>
              <w:t xml:space="preserve">Vienlaikus likumprojekts paredz, ka padomes loceklis pēc tā pilnvaru termiņa beigām, ja Saeima nav iecēlusi jaunu padomes locekli vai attiecīgo padomes locekli nav iecēlusi amatā atkārtoti, var turpināt pildīt savus pienākumus līdz brīdim, kad sāk pildīt amata pienākumus pēc atkārtotas iecelšanas vai kad amata pienākumus sāks pildīt </w:t>
            </w:r>
            <w:r w:rsidRPr="00AC6820">
              <w:rPr>
                <w:szCs w:val="24"/>
              </w:rPr>
              <w:t>jaunieceltais</w:t>
            </w:r>
            <w:r w:rsidRPr="00AC6820">
              <w:rPr>
                <w:szCs w:val="24"/>
              </w:rPr>
              <w:t xml:space="preserve"> padomes loceklis, saglabājot ierobežojumu, ka kopējais padomes locekļa pienākumu pildīšanas termiņš </w:t>
            </w:r>
            <w:r w:rsidRPr="00AC6820" w:rsidR="007601D3">
              <w:rPr>
                <w:szCs w:val="24"/>
              </w:rPr>
              <w:t xml:space="preserve">nav </w:t>
            </w:r>
            <w:r w:rsidRPr="00AC6820">
              <w:rPr>
                <w:szCs w:val="24"/>
              </w:rPr>
              <w:t>garāks par septiņiem gadiem.</w:t>
            </w:r>
          </w:p>
          <w:p w:rsidR="008B6162" w:rsidRPr="00AC6820" w:rsidP="008B6162" w14:paraId="26D4990E" w14:textId="77777777">
            <w:pPr>
              <w:spacing w:after="0" w:line="240" w:lineRule="auto"/>
              <w:ind w:firstLine="626"/>
              <w:jc w:val="both"/>
              <w:rPr>
                <w:rFonts w:eastAsia="Times New Roman"/>
                <w:szCs w:val="24"/>
              </w:rPr>
            </w:pPr>
            <w:r w:rsidRPr="00AC6820">
              <w:rPr>
                <w:szCs w:val="24"/>
              </w:rPr>
              <w:t xml:space="preserve">Likumprojekts </w:t>
            </w:r>
            <w:r w:rsidRPr="00AC6820" w:rsidR="002655A1">
              <w:rPr>
                <w:szCs w:val="24"/>
              </w:rPr>
              <w:t>2</w:t>
            </w:r>
            <w:r w:rsidRPr="00AC6820">
              <w:rPr>
                <w:szCs w:val="24"/>
              </w:rPr>
              <w:t>.pants, ar kuru papildina Likumu ar 15.</w:t>
            </w:r>
            <w:r w:rsidRPr="00AC6820">
              <w:rPr>
                <w:szCs w:val="24"/>
                <w:vertAlign w:val="superscript"/>
              </w:rPr>
              <w:t>2</w:t>
            </w:r>
            <w:r w:rsidRPr="00AC6820">
              <w:rPr>
                <w:szCs w:val="24"/>
              </w:rPr>
              <w:t xml:space="preserve"> pantu, atbilstoši OECD rekomendācijām paredz izveidot konsultatīvu padomi – </w:t>
            </w:r>
            <w:r w:rsidRPr="00AC6820">
              <w:rPr>
                <w:rFonts w:eastAsia="Times New Roman"/>
                <w:szCs w:val="24"/>
              </w:rPr>
              <w:t>konsultatīvu institūciju, kuras mērķis ir veicināt sadarbību un informācijas un viedokļu apmaiņu starp regulatoru, citām uzraudzības iestādēm, valsts un pašvaldību institūcijām un sabiedriskajām organizācijām sabiedrības interešu pārstāvēšanai regulējamās nozarēs.  </w:t>
            </w:r>
          </w:p>
          <w:p w:rsidR="008B6162" w:rsidRPr="00AC6820" w:rsidP="008B6162" w14:paraId="4500878D" w14:textId="77777777">
            <w:pPr>
              <w:spacing w:after="0" w:line="240" w:lineRule="auto"/>
              <w:jc w:val="both"/>
              <w:rPr>
                <w:rFonts w:eastAsia="Times New Roman"/>
                <w:szCs w:val="24"/>
              </w:rPr>
            </w:pPr>
            <w:r w:rsidRPr="00AC6820">
              <w:rPr>
                <w:rFonts w:eastAsia="Times New Roman"/>
                <w:szCs w:val="24"/>
              </w:rPr>
              <w:t>Konsultatīvās padomes uzdevums būs:</w:t>
            </w:r>
          </w:p>
          <w:p w:rsidR="008B6162" w:rsidRPr="00AC6820" w:rsidP="008B6162" w14:paraId="405D016B" w14:textId="77777777">
            <w:pPr>
              <w:numPr>
                <w:ilvl w:val="0"/>
                <w:numId w:val="13"/>
              </w:numPr>
              <w:spacing w:after="0" w:line="240" w:lineRule="auto"/>
              <w:jc w:val="both"/>
              <w:rPr>
                <w:rFonts w:eastAsia="Times New Roman"/>
                <w:szCs w:val="24"/>
              </w:rPr>
            </w:pPr>
            <w:r w:rsidRPr="00AC6820">
              <w:rPr>
                <w:rFonts w:eastAsia="Times New Roman"/>
                <w:szCs w:val="24"/>
              </w:rPr>
              <w:t>nodrošināt iespējami plašākas publiskās konsultācijas par regulatora darbības stratēģiju, sniedzot ieteikumus regulatora stratēģiskajiem darba virzieniem, izskatot regulatora stratēģijas īstenošanas gaitu un darba pilnveidošanas iespējas;</w:t>
            </w:r>
          </w:p>
          <w:p w:rsidR="008B6162" w:rsidRPr="00AC6820" w:rsidP="008B6162" w14:paraId="4B0C2D81" w14:textId="77777777">
            <w:pPr>
              <w:numPr>
                <w:ilvl w:val="0"/>
                <w:numId w:val="13"/>
              </w:numPr>
              <w:spacing w:after="0" w:line="240" w:lineRule="auto"/>
              <w:jc w:val="both"/>
              <w:rPr>
                <w:rFonts w:eastAsia="Times New Roman"/>
                <w:szCs w:val="24"/>
              </w:rPr>
            </w:pPr>
            <w:r w:rsidRPr="00AC6820">
              <w:rPr>
                <w:rFonts w:eastAsia="Times New Roman"/>
                <w:szCs w:val="24"/>
              </w:rPr>
              <w:t>sekmēt priekšlikumu sniegšanu jautājumos, kas saistīti ar politikas izstrādi un īstenošanu un attiecīgu normatīvo aktu vai plānošanas dokumentu sagatavošanu regulējamās nozarēs.</w:t>
            </w:r>
          </w:p>
          <w:p w:rsidR="008B6162" w:rsidRPr="00AC6820" w:rsidP="008B6162" w14:paraId="2D3A7A37" w14:textId="77777777">
            <w:pPr>
              <w:spacing w:after="0" w:line="240" w:lineRule="auto"/>
              <w:jc w:val="both"/>
              <w:rPr>
                <w:rFonts w:eastAsia="Times New Roman"/>
                <w:szCs w:val="24"/>
              </w:rPr>
            </w:pPr>
            <w:r w:rsidRPr="00AC6820">
              <w:rPr>
                <w:rFonts w:eastAsia="Times New Roman"/>
                <w:szCs w:val="24"/>
              </w:rPr>
              <w:t xml:space="preserve">Padomes lēmumiem būs ieteikuma raksturs un tās darbību nodrošinās </w:t>
            </w:r>
            <w:r w:rsidRPr="00AC6820">
              <w:rPr>
                <w:szCs w:val="24"/>
              </w:rPr>
              <w:t>Regulators.</w:t>
            </w:r>
          </w:p>
          <w:p w:rsidR="008B6162" w:rsidRPr="00AC6820" w:rsidP="004F0934" w14:paraId="376F6D58" w14:textId="77777777">
            <w:pPr>
              <w:spacing w:after="0" w:line="240" w:lineRule="auto"/>
              <w:ind w:firstLine="460"/>
              <w:jc w:val="both"/>
              <w:rPr>
                <w:szCs w:val="24"/>
              </w:rPr>
            </w:pPr>
          </w:p>
          <w:p w:rsidR="008774C3" w:rsidRPr="00AC6820" w:rsidP="00F73018" w14:paraId="48C288E2" w14:textId="77777777">
            <w:pPr>
              <w:spacing w:after="0" w:line="240" w:lineRule="auto"/>
              <w:jc w:val="both"/>
              <w:rPr>
                <w:szCs w:val="24"/>
              </w:rPr>
            </w:pPr>
            <w:r w:rsidRPr="00AC6820">
              <w:rPr>
                <w:b/>
              </w:rPr>
              <w:t>2)</w:t>
            </w:r>
            <w:r w:rsidRPr="00AC6820">
              <w:t xml:space="preserve"> </w:t>
            </w:r>
            <w:r w:rsidRPr="00AC6820">
              <w:t xml:space="preserve">Atbilstoši Eiropas Parlamenta un Padomes 2011.gada 25.oktobra regulas Nr.1227/2011 par enerģijas </w:t>
            </w:r>
            <w:r w:rsidRPr="00AC6820">
              <w:t>vairumtirgus</w:t>
            </w:r>
            <w:r w:rsidRPr="00AC6820">
              <w:t xml:space="preserve"> integritāti un </w:t>
            </w:r>
            <w:r w:rsidRPr="00AC6820">
              <w:t>pārredzamību</w:t>
            </w:r>
            <w:r w:rsidRPr="00AC6820" w:rsidR="00E0103F">
              <w:t xml:space="preserve"> (REMIT)</w:t>
            </w:r>
            <w:r w:rsidRPr="00AC6820">
              <w:t xml:space="preserve"> 13.panta prasībām paredzēts, ka valsts regulatīvā iestāde izmeklēšanas un izpildes pilnvaru ietvaros ir tiesīga veikt šādas darbības:</w:t>
            </w:r>
          </w:p>
          <w:p w:rsidR="0017783D" w:rsidRPr="00AC6820" w:rsidP="0017783D" w14:paraId="6A0A1D9E" w14:textId="77777777">
            <w:pPr>
              <w:pStyle w:val="ListParagraph"/>
              <w:numPr>
                <w:ilvl w:val="0"/>
                <w:numId w:val="7"/>
              </w:numPr>
              <w:spacing w:after="0" w:line="240" w:lineRule="auto"/>
              <w:jc w:val="both"/>
            </w:pPr>
            <w:r w:rsidRPr="00AC6820">
              <w:t>piekļūt jebkuram atbilstīgam dokumentam jebkādā formā un saņemt tā kopiju;</w:t>
            </w:r>
          </w:p>
          <w:p w:rsidR="0017783D" w:rsidRPr="00AC6820" w:rsidP="0017783D" w14:paraId="211F163C" w14:textId="77777777">
            <w:pPr>
              <w:pStyle w:val="ListParagraph"/>
              <w:numPr>
                <w:ilvl w:val="0"/>
                <w:numId w:val="7"/>
              </w:numPr>
              <w:spacing w:after="0" w:line="240" w:lineRule="auto"/>
              <w:jc w:val="both"/>
            </w:pPr>
            <w:r w:rsidRPr="00AC6820">
              <w:t>pieprasīt informāciju no visām attiecīgajām personām, tostarp arī no tām, kuras secīgi iesaistās rīkojumu nodošanā vai attiecīgo darbību veikšanā, kā arī no to vadītājiem un vajadzības gadījumā izsaukt kādu personu vai vadītāju un uzklausīt;</w:t>
            </w:r>
          </w:p>
          <w:p w:rsidR="0017783D" w:rsidRPr="00AC6820" w:rsidP="0017783D" w14:paraId="40A4BB7C" w14:textId="77777777">
            <w:pPr>
              <w:pStyle w:val="ListParagraph"/>
              <w:numPr>
                <w:ilvl w:val="0"/>
                <w:numId w:val="7"/>
              </w:numPr>
              <w:spacing w:after="0" w:line="240" w:lineRule="auto"/>
              <w:jc w:val="both"/>
            </w:pPr>
            <w:r w:rsidRPr="00AC6820">
              <w:t>veikt pārbaudes uz vietas;</w:t>
            </w:r>
          </w:p>
          <w:p w:rsidR="0017783D" w:rsidRPr="00AC6820" w:rsidP="0017783D" w14:paraId="0AB96D06" w14:textId="77777777">
            <w:pPr>
              <w:pStyle w:val="ListParagraph"/>
              <w:numPr>
                <w:ilvl w:val="0"/>
                <w:numId w:val="7"/>
              </w:numPr>
              <w:spacing w:after="0" w:line="240" w:lineRule="auto"/>
              <w:jc w:val="both"/>
            </w:pPr>
            <w:r w:rsidRPr="00AC6820">
              <w:t>pieprasīt esošus telefonsarunu ierakstus un esošus datu plūsmas ierakstus;</w:t>
            </w:r>
          </w:p>
          <w:p w:rsidR="0017783D" w:rsidRPr="00AC6820" w:rsidP="0017783D" w14:paraId="06984504" w14:textId="77777777">
            <w:pPr>
              <w:pStyle w:val="ListParagraph"/>
              <w:numPr>
                <w:ilvl w:val="0"/>
                <w:numId w:val="7"/>
              </w:numPr>
              <w:spacing w:after="0" w:line="240" w:lineRule="auto"/>
              <w:jc w:val="both"/>
            </w:pPr>
            <w:r w:rsidRPr="00AC6820">
              <w:t>pieprasīt izbeigt jebkuru praksi, kas ir pretrunā šai regulai vai deleģētajiem aktiem vai īstenošanas aktiem, kas pieņemti, pamatojoties uz to;</w:t>
            </w:r>
          </w:p>
          <w:p w:rsidR="0017783D" w:rsidRPr="00AC6820" w:rsidP="0017783D" w14:paraId="1A9C6905" w14:textId="77777777">
            <w:pPr>
              <w:pStyle w:val="ListParagraph"/>
              <w:numPr>
                <w:ilvl w:val="0"/>
                <w:numId w:val="7"/>
              </w:numPr>
              <w:spacing w:after="0" w:line="240" w:lineRule="auto"/>
              <w:jc w:val="both"/>
            </w:pPr>
            <w:r w:rsidRPr="00AC6820">
              <w:t xml:space="preserve">lūgt tiesai aktīvu iesaldēšanu un/vai </w:t>
            </w:r>
            <w:r w:rsidRPr="00AC6820">
              <w:t>sekvestrāciju</w:t>
            </w:r>
            <w:r w:rsidRPr="00AC6820">
              <w:t>;</w:t>
            </w:r>
          </w:p>
          <w:p w:rsidR="008774C3" w:rsidRPr="00AC6820" w:rsidP="0017783D" w14:paraId="7D75B1FD" w14:textId="77777777">
            <w:pPr>
              <w:pStyle w:val="ListParagraph"/>
              <w:numPr>
                <w:ilvl w:val="0"/>
                <w:numId w:val="7"/>
              </w:numPr>
              <w:spacing w:after="0" w:line="240" w:lineRule="auto"/>
              <w:jc w:val="both"/>
            </w:pPr>
            <w:r w:rsidRPr="00AC6820">
              <w:t>lūgt tiesai vai jebkurai kompetentajai iestādei noteikt profesionālās darbības pagaidu aizliegumu.</w:t>
            </w:r>
          </w:p>
          <w:p w:rsidR="009F7BC1" w:rsidRPr="00AC6820" w:rsidP="00E63B35" w14:paraId="273A3A90" w14:textId="77777777">
            <w:pPr>
              <w:pStyle w:val="ListParagraph"/>
              <w:spacing w:after="0" w:line="240" w:lineRule="auto"/>
              <w:ind w:left="0" w:firstLine="459"/>
              <w:jc w:val="both"/>
            </w:pPr>
            <w:r w:rsidRPr="00AC6820">
              <w:t>REMIT 13.pants noteic, ka iepriekš minētās izmeklēšanas un izpildes pilnvaras tiek īstenotas saskaņā ar</w:t>
            </w:r>
            <w:r w:rsidRPr="00AC6820" w:rsidR="00C04AC6">
              <w:t xml:space="preserve"> katras dalībvalsts tiesību aktiem.</w:t>
            </w:r>
            <w:r w:rsidRPr="00AC6820" w:rsidR="00B963D1">
              <w:t xml:space="preserve"> Tādējādi REMIT noteiktais pilnvaru apjoms neierobežo katras dalībvalsts tiesības noteikt plašāku regulējumu</w:t>
            </w:r>
            <w:r w:rsidRPr="00AC6820" w:rsidR="00123137">
              <w:t xml:space="preserve"> un izstrādātais Likumprojekts atbilst REMIT prasībām</w:t>
            </w:r>
            <w:r w:rsidRPr="00AC6820" w:rsidR="00B963D1">
              <w:t>.</w:t>
            </w:r>
            <w:r w:rsidRPr="00AC6820" w:rsidR="00113857">
              <w:t xml:space="preserve"> Vienlaikus jāpiebilst, ka dalībvalstu prakse, </w:t>
            </w:r>
            <w:r w:rsidRPr="00AC6820" w:rsidR="005A5C73">
              <w:t>uzraugot</w:t>
            </w:r>
            <w:r w:rsidRPr="00AC6820" w:rsidR="00113857">
              <w:t xml:space="preserve"> REMIT prasīb</w:t>
            </w:r>
            <w:r w:rsidRPr="00AC6820" w:rsidR="005A5C73">
              <w:t>u ievērošanu</w:t>
            </w:r>
            <w:r w:rsidRPr="00AC6820" w:rsidR="00113857">
              <w:t>, ir dažāda, piemēram</w:t>
            </w:r>
            <w:r w:rsidRPr="00AC6820" w:rsidR="001F0DE5">
              <w:t>, lielākā daļa dalībvalstu par REMIT pārkāpumiem paredz administratīvo atbildību</w:t>
            </w:r>
            <w:r w:rsidRPr="00AC6820" w:rsidR="00105F4B">
              <w:t>, bet daļā valstu ir paredzēta kriminālatbildība (piemēram, Austrija, Polija)</w:t>
            </w:r>
            <w:r w:rsidRPr="00AC6820" w:rsidR="000F29DC">
              <w:t>. Līdz ar to arī procesuālo tiesību apjoms</w:t>
            </w:r>
            <w:r w:rsidRPr="00AC6820" w:rsidR="00A84D62">
              <w:t xml:space="preserve"> katrā dalībvalstī var atšķirties.</w:t>
            </w:r>
          </w:p>
          <w:p w:rsidR="00172F2C" w:rsidRPr="00AC6820" w:rsidP="00E63B35" w14:paraId="7FE55F54" w14:textId="77777777">
            <w:pPr>
              <w:pStyle w:val="ListParagraph"/>
              <w:spacing w:after="0" w:line="240" w:lineRule="auto"/>
              <w:ind w:left="0" w:firstLine="459"/>
              <w:jc w:val="both"/>
            </w:pPr>
            <w:r w:rsidRPr="00AC6820">
              <w:t xml:space="preserve">Kā minēts REMIT preambulas 5.apsvērumā, enerģijas </w:t>
            </w:r>
            <w:r w:rsidRPr="00AC6820">
              <w:t>vairumtirgu</w:t>
            </w:r>
            <w:r w:rsidRPr="00AC6820">
              <w:t xml:space="preserve"> veido gan preču tirgi, gan atvasināto instrumentu tirgi, kas ārkārtīgi ietekmē enerģijas un finanšu tirgus, un cenu veidošana abu veidu tirgos ir savstarpēji saistīta. </w:t>
            </w:r>
            <w:r w:rsidRPr="00AC6820" w:rsidR="00AC4EDE">
              <w:t>Lai nodrošinātu efektīvu un rezultatīvu izmeklēšanu un izpildi</w:t>
            </w:r>
            <w:r w:rsidRPr="00AC6820" w:rsidR="00030CD3">
              <w:t xml:space="preserve"> un lai</w:t>
            </w:r>
            <w:r w:rsidRPr="00AC6820" w:rsidR="00AC4EDE">
              <w:t xml:space="preserve"> veicinātu saskaņotu un konsekventu pieeju izmeklēšanai</w:t>
            </w:r>
            <w:r w:rsidRPr="00AC6820" w:rsidR="00030CD3">
              <w:t>, atbilstoši REMIT 16.pantam</w:t>
            </w:r>
            <w:r w:rsidRPr="00AC6820" w:rsidR="006F2E77">
              <w:t xml:space="preserve"> valsts regulatīvās iestādes, kompetentās finanšu iestādes un valsts konkurences iestādes dalībvalstī var izveidot atbilstīgus sadarbības veidus.</w:t>
            </w:r>
            <w:r w:rsidRPr="00AC6820" w:rsidR="00F26E53">
              <w:t xml:space="preserve"> Ņemot vērā minēto</w:t>
            </w:r>
            <w:r w:rsidRPr="00AC6820" w:rsidR="00B45E62">
              <w:t>,</w:t>
            </w:r>
            <w:r w:rsidRPr="00AC6820" w:rsidR="00702D9A">
              <w:t xml:space="preserve"> </w:t>
            </w:r>
            <w:r w:rsidRPr="00AC6820" w:rsidR="00EC081C">
              <w:t>procesuālo</w:t>
            </w:r>
            <w:r w:rsidRPr="00AC6820" w:rsidR="00702D9A">
              <w:t xml:space="preserve"> tiesību apjoms ir analoģisks Finanšu un kapitāla tirgus komisijas likumā un Konkurences likumā noteiktajām procesuālajām pilnvarām.</w:t>
            </w:r>
          </w:p>
          <w:p w:rsidR="009D7F44" w:rsidRPr="00AC6820" w:rsidP="001859B7" w14:paraId="1D87227D" w14:textId="77777777">
            <w:pPr>
              <w:spacing w:after="0" w:line="240" w:lineRule="auto"/>
              <w:jc w:val="both"/>
            </w:pPr>
            <w:r w:rsidRPr="00AC6820">
              <w:t xml:space="preserve">        Spēkā esošais tiesiskais regulējums nodrošina </w:t>
            </w:r>
            <w:r w:rsidRPr="00AC6820" w:rsidR="005B02C5">
              <w:t>r</w:t>
            </w:r>
            <w:r w:rsidRPr="00AC6820">
              <w:t xml:space="preserve">egulatoram tiesības netraucēti pieprasīt un saņemt informāciju, kas nepieciešama likumā noteikto funkciju pildīšanai, neatkarīgi no tās apjoma, formas vai fiksēšanas veida un neatkarīgi no informācijas iegūšanas veida (informācijas pieprasījums, pārbaudes uz vietas). Neskatoties uz to, lai stiprinātu </w:t>
            </w:r>
            <w:r w:rsidRPr="00AC6820" w:rsidR="005B02C5">
              <w:t>r</w:t>
            </w:r>
            <w:r w:rsidRPr="00AC6820">
              <w:t xml:space="preserve">egulatora pilnvaru apjomu un nodrošinātu efektīvāku iespējamo pārkāpumu izvērtēšanu, </w:t>
            </w:r>
            <w:r w:rsidRPr="00AC6820" w:rsidR="00F73018">
              <w:t>Likumprojekta 2.pan</w:t>
            </w:r>
            <w:r w:rsidRPr="00AC6820">
              <w:t>ts</w:t>
            </w:r>
            <w:r w:rsidRPr="00AC6820" w:rsidR="003B5755">
              <w:t xml:space="preserve">, </w:t>
            </w:r>
            <w:r w:rsidRPr="00AC6820">
              <w:t>kas paredz papildināt Likumu ar jaunu II</w:t>
            </w:r>
            <w:r w:rsidRPr="00AC6820">
              <w:rPr>
                <w:vertAlign w:val="superscript"/>
              </w:rPr>
              <w:t>1</w:t>
            </w:r>
            <w:r w:rsidRPr="00AC6820">
              <w:t>.nodaļu</w:t>
            </w:r>
            <w:r w:rsidRPr="00AC6820" w:rsidR="003B5755">
              <w:t xml:space="preserve"> “Enerģijas </w:t>
            </w:r>
            <w:r w:rsidRPr="00AC6820" w:rsidR="003B5755">
              <w:t>vairumtirgus</w:t>
            </w:r>
            <w:r w:rsidRPr="00AC6820" w:rsidR="003B5755">
              <w:t xml:space="preserve"> uzraudzība”</w:t>
            </w:r>
            <w:r w:rsidRPr="00AC6820" w:rsidR="001859B7">
              <w:t>,</w:t>
            </w:r>
            <w:r w:rsidRPr="00AC6820" w:rsidR="003B5755">
              <w:t xml:space="preserve"> </w:t>
            </w:r>
            <w:r w:rsidRPr="00AC6820" w:rsidR="001859B7">
              <w:t>kas</w:t>
            </w:r>
            <w:r w:rsidRPr="00AC6820" w:rsidR="008912F5">
              <w:t xml:space="preserve"> izmeklēšanas un izpildes pilnvaru ietvaros</w:t>
            </w:r>
            <w:r w:rsidRPr="00AC6820" w:rsidR="001859B7">
              <w:t>:</w:t>
            </w:r>
          </w:p>
          <w:p w:rsidR="001859B7" w:rsidRPr="00AC6820" w:rsidP="001859B7" w14:paraId="6442CA62" w14:textId="77777777">
            <w:pPr>
              <w:numPr>
                <w:ilvl w:val="0"/>
                <w:numId w:val="3"/>
              </w:numPr>
              <w:spacing w:after="0" w:line="240" w:lineRule="auto"/>
              <w:jc w:val="both"/>
            </w:pPr>
            <w:r w:rsidRPr="00AC6820">
              <w:t xml:space="preserve">reglamentē </w:t>
            </w:r>
            <w:r w:rsidRPr="00AC6820" w:rsidR="005B02C5">
              <w:t>r</w:t>
            </w:r>
            <w:r w:rsidRPr="00AC6820">
              <w:t xml:space="preserve">egulatora tiesības un darbības, ko regulators var realizēt veicot enerģijas </w:t>
            </w:r>
            <w:r w:rsidRPr="00AC6820">
              <w:t>vairumtirgus</w:t>
            </w:r>
            <w:r w:rsidRPr="00AC6820">
              <w:t xml:space="preserve"> uzraudzību;</w:t>
            </w:r>
          </w:p>
          <w:p w:rsidR="009D7F44" w:rsidRPr="00AC6820" w:rsidP="001859B7" w14:paraId="715AFB8C" w14:textId="77777777">
            <w:pPr>
              <w:numPr>
                <w:ilvl w:val="0"/>
                <w:numId w:val="3"/>
              </w:numPr>
              <w:spacing w:after="0" w:line="240" w:lineRule="auto"/>
              <w:jc w:val="both"/>
            </w:pPr>
            <w:r w:rsidRPr="00AC6820">
              <w:t xml:space="preserve">reglamentē </w:t>
            </w:r>
            <w:r w:rsidRPr="00AC6820">
              <w:t xml:space="preserve">procesuālās darbības, kas </w:t>
            </w:r>
            <w:r w:rsidRPr="00AC6820" w:rsidR="005B02C5">
              <w:t>r</w:t>
            </w:r>
            <w:r w:rsidRPr="00AC6820">
              <w:t xml:space="preserve">egulatoram un </w:t>
            </w:r>
            <w:r w:rsidRPr="00AC6820" w:rsidR="005B02C5">
              <w:t>r</w:t>
            </w:r>
            <w:r w:rsidRPr="00AC6820">
              <w:t xml:space="preserve">egulatora pārstāvim jānodrošina veicot enerģijas </w:t>
            </w:r>
            <w:r w:rsidRPr="00AC6820">
              <w:t>vairumtirgus</w:t>
            </w:r>
            <w:r w:rsidRPr="00AC6820">
              <w:t xml:space="preserve"> uzraudzību;</w:t>
            </w:r>
          </w:p>
          <w:p w:rsidR="001859B7" w:rsidRPr="00AC6820" w:rsidP="008774C3" w14:paraId="4A7123EB" w14:textId="77777777">
            <w:pPr>
              <w:numPr>
                <w:ilvl w:val="0"/>
                <w:numId w:val="3"/>
              </w:numPr>
              <w:spacing w:after="0" w:line="240" w:lineRule="auto"/>
              <w:jc w:val="both"/>
            </w:pPr>
            <w:r w:rsidRPr="00AC6820">
              <w:t xml:space="preserve">reglamentē sabiedrisko pakalpojumu sniedzēja un citu personu tiesības gadījumos, kad </w:t>
            </w:r>
            <w:r w:rsidRPr="00AC6820" w:rsidR="005B02C5">
              <w:t>r</w:t>
            </w:r>
            <w:r w:rsidRPr="00AC6820">
              <w:t xml:space="preserve">egulators enerģijas </w:t>
            </w:r>
            <w:r w:rsidRPr="00AC6820">
              <w:t>vairumtirgus</w:t>
            </w:r>
            <w:r w:rsidRPr="00AC6820">
              <w:t xml:space="preserve"> uzraudzības ietvaros veic procesuālās darbības</w:t>
            </w:r>
            <w:r w:rsidRPr="00AC6820">
              <w:t>.</w:t>
            </w:r>
          </w:p>
          <w:p w:rsidR="0051420D" w:rsidRPr="00AC6820" w:rsidP="0051420D" w14:paraId="717BC429" w14:textId="77777777">
            <w:pPr>
              <w:spacing w:after="0" w:line="240" w:lineRule="auto"/>
              <w:ind w:left="360"/>
              <w:jc w:val="both"/>
            </w:pPr>
            <w:r w:rsidRPr="00AC6820">
              <w:t xml:space="preserve">Likumprojektā ietverto enerģijas </w:t>
            </w:r>
            <w:r w:rsidRPr="00AC6820">
              <w:t>vairumtirgus</w:t>
            </w:r>
            <w:r w:rsidRPr="00AC6820">
              <w:t xml:space="preserve"> uzraudzības tiesisko regulējumu p</w:t>
            </w:r>
            <w:r w:rsidRPr="00AC6820" w:rsidR="00563799">
              <w:t>aredzēts</w:t>
            </w:r>
            <w:r w:rsidRPr="00AC6820">
              <w:t xml:space="preserve"> realizēt Administratīvā procesa likum</w:t>
            </w:r>
            <w:r w:rsidRPr="00AC6820" w:rsidR="00563799">
              <w:t>ā noteiktā</w:t>
            </w:r>
            <w:r w:rsidRPr="00AC6820">
              <w:t xml:space="preserve"> </w:t>
            </w:r>
            <w:r w:rsidRPr="00AC6820" w:rsidR="00563799">
              <w:t xml:space="preserve">procesa </w:t>
            </w:r>
            <w:r w:rsidRPr="00AC6820">
              <w:t xml:space="preserve">ietvaros, ciktāl tas nebūs pretrunā ar Likumā noteiktajām speciālajām </w:t>
            </w:r>
            <w:r w:rsidRPr="00AC6820" w:rsidR="00563799">
              <w:t xml:space="preserve">tiesību </w:t>
            </w:r>
            <w:r w:rsidRPr="00AC6820">
              <w:t>normām.</w:t>
            </w:r>
          </w:p>
          <w:p w:rsidR="004D6082" w:rsidRPr="00AC6820" w:rsidP="004D6082" w14:paraId="34215846" w14:textId="77777777">
            <w:pPr>
              <w:spacing w:after="0" w:line="240" w:lineRule="auto"/>
              <w:jc w:val="both"/>
              <w:rPr>
                <w:szCs w:val="24"/>
              </w:rPr>
            </w:pPr>
            <w:r w:rsidRPr="00AC6820">
              <w:rPr>
                <w:b/>
                <w:szCs w:val="24"/>
              </w:rPr>
              <w:t>3)</w:t>
            </w:r>
            <w:r w:rsidRPr="00AC6820">
              <w:rPr>
                <w:szCs w:val="24"/>
              </w:rPr>
              <w:t xml:space="preserve"> Likuma 18.panta otrā daļa nosaka gadījumus, kad </w:t>
            </w:r>
            <w:r w:rsidRPr="00AC6820">
              <w:rPr>
                <w:szCs w:val="24"/>
              </w:rPr>
              <w:t>regulators</w:t>
            </w:r>
            <w:r w:rsidRPr="00AC6820">
              <w:t xml:space="preserve"> </w:t>
            </w:r>
            <w:r w:rsidRPr="00AC6820">
              <w:rPr>
                <w:szCs w:val="24"/>
              </w:rPr>
              <w:t>groza izsniegtās licences nosacījumus, t.i.,  ja:</w:t>
            </w:r>
          </w:p>
          <w:p w:rsidR="004D6082" w:rsidRPr="00AC6820" w:rsidP="004D6082" w14:paraId="7E44472C" w14:textId="77777777">
            <w:pPr>
              <w:numPr>
                <w:ilvl w:val="0"/>
                <w:numId w:val="4"/>
              </w:numPr>
              <w:spacing w:after="0" w:line="240" w:lineRule="auto"/>
              <w:jc w:val="both"/>
              <w:rPr>
                <w:szCs w:val="24"/>
              </w:rPr>
            </w:pPr>
            <w:r w:rsidRPr="00AC6820">
              <w:rPr>
                <w:szCs w:val="24"/>
              </w:rPr>
              <w:t>ir stājušies spēkā grozījumi normatīvajos aktos, kas attiecas uz regulējamo sabiedrisko pakalpojumu veidu;</w:t>
            </w:r>
          </w:p>
          <w:p w:rsidR="004D6082" w:rsidRPr="00AC6820" w:rsidP="004D6082" w14:paraId="1C6B69B5" w14:textId="77777777">
            <w:pPr>
              <w:numPr>
                <w:ilvl w:val="0"/>
                <w:numId w:val="4"/>
              </w:numPr>
              <w:spacing w:after="0" w:line="240" w:lineRule="auto"/>
              <w:jc w:val="both"/>
              <w:rPr>
                <w:szCs w:val="24"/>
              </w:rPr>
            </w:pPr>
            <w:r w:rsidRPr="00AC6820">
              <w:rPr>
                <w:szCs w:val="24"/>
              </w:rPr>
              <w:t>citādi nav iespējams nodrošināt ekonomiski pamatotu sabiedrisko pakalpojumu sniegšanu licences darbības zonā;</w:t>
            </w:r>
          </w:p>
          <w:p w:rsidR="004D6082" w:rsidRPr="00AC6820" w:rsidP="004D6082" w14:paraId="5FC30F02" w14:textId="77777777">
            <w:pPr>
              <w:numPr>
                <w:ilvl w:val="0"/>
                <w:numId w:val="4"/>
              </w:numPr>
              <w:spacing w:after="0" w:line="240" w:lineRule="auto"/>
              <w:jc w:val="both"/>
              <w:rPr>
                <w:szCs w:val="24"/>
              </w:rPr>
            </w:pPr>
            <w:r w:rsidRPr="00AC6820">
              <w:rPr>
                <w:szCs w:val="24"/>
              </w:rPr>
              <w:t>sabiedrisko pakalpojumu sniedzējs ir iesniedzis pamatotu ierosinājumu.</w:t>
            </w:r>
          </w:p>
          <w:p w:rsidR="00380DDB" w:rsidRPr="00AC6820" w:rsidP="00380DDB" w14:paraId="592399CA" w14:textId="77777777">
            <w:pPr>
              <w:spacing w:after="0" w:line="240" w:lineRule="auto"/>
              <w:jc w:val="both"/>
              <w:rPr>
                <w:szCs w:val="24"/>
              </w:rPr>
            </w:pPr>
            <w:r w:rsidRPr="00AC6820">
              <w:rPr>
                <w:szCs w:val="24"/>
              </w:rPr>
              <w:t xml:space="preserve">       Likumprojekts </w:t>
            </w:r>
            <w:r w:rsidRPr="00AC6820" w:rsidR="002655A1">
              <w:rPr>
                <w:szCs w:val="24"/>
              </w:rPr>
              <w:t>4</w:t>
            </w:r>
            <w:r w:rsidRPr="00AC6820">
              <w:rPr>
                <w:szCs w:val="24"/>
              </w:rPr>
              <w:t>.pants</w:t>
            </w:r>
            <w:r w:rsidRPr="00AC6820" w:rsidR="00EC47CB">
              <w:rPr>
                <w:szCs w:val="24"/>
              </w:rPr>
              <w:t xml:space="preserve">, </w:t>
            </w:r>
            <w:r w:rsidRPr="00AC6820">
              <w:rPr>
                <w:szCs w:val="24"/>
              </w:rPr>
              <w:t>ar kuru izdara grozījumus Likuma 18.pantā</w:t>
            </w:r>
            <w:r w:rsidRPr="00AC6820" w:rsidR="00EC47CB">
              <w:rPr>
                <w:szCs w:val="24"/>
              </w:rPr>
              <w:t>,</w:t>
            </w:r>
            <w:r w:rsidRPr="00AC6820">
              <w:rPr>
                <w:szCs w:val="24"/>
              </w:rPr>
              <w:t xml:space="preserve"> paplašina regulatoram tiesības grozīt izsniegtās licences nosacījumus</w:t>
            </w:r>
            <w:r w:rsidRPr="00AC6820">
              <w:t xml:space="preserve"> arī gadījumos, ja </w:t>
            </w:r>
            <w:r w:rsidRPr="00AC6820">
              <w:rPr>
                <w:szCs w:val="24"/>
              </w:rPr>
              <w:t xml:space="preserve">grozījumi licences nosacījumos uzlabos sabiedrisko pakalpojumu sniegšanas </w:t>
            </w:r>
            <w:r w:rsidRPr="00AC6820" w:rsidR="00F64B83">
              <w:rPr>
                <w:szCs w:val="24"/>
              </w:rPr>
              <w:t xml:space="preserve">lietotājiem </w:t>
            </w:r>
            <w:r w:rsidRPr="00AC6820">
              <w:rPr>
                <w:szCs w:val="24"/>
              </w:rPr>
              <w:t>pieejamību, drošumu, kvalitāti vai efektivitāti</w:t>
            </w:r>
            <w:r w:rsidRPr="00AC6820">
              <w:rPr>
                <w:szCs w:val="24"/>
              </w:rPr>
              <w:t>.</w:t>
            </w:r>
          </w:p>
          <w:p w:rsidR="00380DDB" w:rsidRPr="00AC6820" w:rsidP="00380DDB" w14:paraId="45CFC0F6" w14:textId="77777777">
            <w:pPr>
              <w:spacing w:after="0" w:line="240" w:lineRule="auto"/>
              <w:jc w:val="both"/>
              <w:rPr>
                <w:szCs w:val="24"/>
              </w:rPr>
            </w:pPr>
            <w:r w:rsidRPr="00AC6820">
              <w:rPr>
                <w:szCs w:val="24"/>
              </w:rPr>
              <w:t xml:space="preserve">      Piedāvāto izmaiņu rezultātā regulatoram būs tiesības cita starpā vērtēt plānoto licences nosacījumu grozījumu ietekmi uz lietotājiem, kā arī to, vai, grozot viena sabiedrisko pakalpojumu sniedzēja licences zonu un nododot to citam komersantam, būs pozitīva ietekme uz sabiedrisko pakalpojumu sniegšanu kopumā.</w:t>
            </w:r>
          </w:p>
          <w:p w:rsidR="001859B7" w:rsidRPr="00AC6820" w:rsidP="001859B7" w14:paraId="4E2A6A65" w14:textId="77777777">
            <w:pPr>
              <w:spacing w:after="0" w:line="240" w:lineRule="auto"/>
              <w:jc w:val="both"/>
              <w:rPr>
                <w:szCs w:val="24"/>
              </w:rPr>
            </w:pPr>
            <w:r w:rsidRPr="00AC6820">
              <w:rPr>
                <w:b/>
                <w:szCs w:val="24"/>
              </w:rPr>
              <w:t>4)</w:t>
            </w:r>
            <w:r w:rsidRPr="00AC6820">
              <w:rPr>
                <w:szCs w:val="24"/>
              </w:rPr>
              <w:t xml:space="preserve"> </w:t>
            </w:r>
            <w:r w:rsidRPr="00AC6820" w:rsidR="00B4383A">
              <w:rPr>
                <w:szCs w:val="24"/>
              </w:rPr>
              <w:t xml:space="preserve">Atbilstoši spēkā esošajiem normatīvajiem aktiem </w:t>
            </w:r>
            <w:r w:rsidRPr="00AC6820" w:rsidR="008912F5">
              <w:rPr>
                <w:szCs w:val="24"/>
              </w:rPr>
              <w:t xml:space="preserve">atsevišķās </w:t>
            </w:r>
            <w:r w:rsidRPr="00AC6820" w:rsidR="00B4383A">
              <w:rPr>
                <w:szCs w:val="24"/>
              </w:rPr>
              <w:t xml:space="preserve">regulējams nozarēs sabiedrisko pakalpojumu sniedzēju licencēšana ir aizstāta ar sabiedrisko pakalpojumu reģistrēšanu. </w:t>
            </w:r>
            <w:r w:rsidRPr="00AC6820">
              <w:rPr>
                <w:szCs w:val="24"/>
              </w:rPr>
              <w:t>Likums dod tiesības regulatoram noteikt sabiedriskā pakalpojuma sniegšanas vispārējās atļaujas noteikumus (turpmāk — vispārējās atļaujas noteikumi), kas ir saistoši visiem reģistrētajiem sabiedrisko pakalpojumu sniedzējiem, kuru darbību nepieciešams regulēt un kuriem saskaņā ar regulējamo nozaru speciālajiem normatīvajiem aktiem nav vajadzīga licence.</w:t>
            </w:r>
          </w:p>
          <w:p w:rsidR="00EC47CB" w:rsidRPr="00AC6820" w:rsidP="00EC47CB" w14:paraId="4C40740A" w14:textId="77777777">
            <w:pPr>
              <w:spacing w:after="0" w:line="240" w:lineRule="auto"/>
              <w:jc w:val="both"/>
              <w:rPr>
                <w:szCs w:val="24"/>
              </w:rPr>
            </w:pPr>
            <w:r w:rsidRPr="00AC6820">
              <w:rPr>
                <w:szCs w:val="24"/>
              </w:rPr>
              <w:t>Likum</w:t>
            </w:r>
            <w:r w:rsidRPr="00AC6820">
              <w:rPr>
                <w:szCs w:val="24"/>
              </w:rPr>
              <w:t xml:space="preserve">projekta </w:t>
            </w:r>
            <w:r w:rsidRPr="00AC6820" w:rsidR="002655A1">
              <w:rPr>
                <w:szCs w:val="24"/>
              </w:rPr>
              <w:t>5</w:t>
            </w:r>
            <w:r w:rsidRPr="00AC6820">
              <w:rPr>
                <w:szCs w:val="24"/>
              </w:rPr>
              <w:t xml:space="preserve">.pants, ar kuru izdara grozījumus Likuma </w:t>
            </w:r>
            <w:r w:rsidRPr="00AC6820">
              <w:rPr>
                <w:szCs w:val="24"/>
              </w:rPr>
              <w:t>18</w:t>
            </w:r>
            <w:r w:rsidRPr="00AC6820">
              <w:rPr>
                <w:szCs w:val="24"/>
                <w:vertAlign w:val="superscript"/>
              </w:rPr>
              <w:t>1</w:t>
            </w:r>
            <w:r w:rsidRPr="00AC6820">
              <w:rPr>
                <w:szCs w:val="24"/>
              </w:rPr>
              <w:t>.pant</w:t>
            </w:r>
            <w:r w:rsidRPr="00AC6820">
              <w:rPr>
                <w:szCs w:val="24"/>
              </w:rPr>
              <w:t>ā:</w:t>
            </w:r>
          </w:p>
          <w:p w:rsidR="00EC47CB" w:rsidRPr="00AC6820" w:rsidP="00EC47CB" w14:paraId="5FB08B2F" w14:textId="77777777">
            <w:pPr>
              <w:numPr>
                <w:ilvl w:val="0"/>
                <w:numId w:val="5"/>
              </w:numPr>
              <w:spacing w:after="0" w:line="240" w:lineRule="auto"/>
              <w:jc w:val="both"/>
              <w:rPr>
                <w:szCs w:val="24"/>
              </w:rPr>
            </w:pPr>
            <w:r w:rsidRPr="00AC6820">
              <w:rPr>
                <w:szCs w:val="24"/>
              </w:rPr>
              <w:t>dod tiesības regulatoram vispārējās atļaujas noteikumos iekļaut ne tikai prasības, kas attiecināmas tikai uz reģistrācijas procesu, bet arī dod tiesības regulatoram iekļaut prasības un nosacījumus, kas  komersantam ir jāievēro sniedzot sabiedrisko pakalpojumu;</w:t>
            </w:r>
          </w:p>
          <w:p w:rsidR="00380DDB" w:rsidRPr="00AC6820" w:rsidP="00EC47CB" w14:paraId="12D864F7" w14:textId="77777777">
            <w:pPr>
              <w:numPr>
                <w:ilvl w:val="0"/>
                <w:numId w:val="5"/>
              </w:numPr>
              <w:spacing w:after="0" w:line="240" w:lineRule="auto"/>
              <w:jc w:val="both"/>
              <w:rPr>
                <w:szCs w:val="24"/>
              </w:rPr>
            </w:pPr>
            <w:r w:rsidRPr="00AC6820">
              <w:rPr>
                <w:szCs w:val="24"/>
              </w:rPr>
              <w:t>dod tiesības regulatoram</w:t>
            </w:r>
            <w:r w:rsidRPr="00AC6820">
              <w:t xml:space="preserve"> </w:t>
            </w:r>
            <w:r w:rsidRPr="00AC6820">
              <w:rPr>
                <w:szCs w:val="24"/>
              </w:rPr>
              <w:t>izslēgt sabiedrisko pakalpojumu sniedzēju no reģistra, ja sabiedrisko pakalpojuma sniedzēja darbība ir izbeigta, pamatojoties uz tiesas nolēmumu vai uz komercreģistra iestādes lēmumu.</w:t>
            </w:r>
          </w:p>
          <w:p w:rsidR="000E252E" w:rsidRPr="00AC6820" w:rsidP="000E252E" w14:paraId="12A617DF" w14:textId="77777777">
            <w:pPr>
              <w:spacing w:after="0" w:line="240" w:lineRule="auto"/>
              <w:ind w:left="56"/>
              <w:jc w:val="both"/>
              <w:rPr>
                <w:szCs w:val="24"/>
              </w:rPr>
            </w:pPr>
            <w:r w:rsidRPr="00AC6820">
              <w:rPr>
                <w:b/>
                <w:szCs w:val="24"/>
              </w:rPr>
              <w:t xml:space="preserve">5) </w:t>
            </w:r>
            <w:r w:rsidRPr="00AC6820" w:rsidR="00270E68">
              <w:rPr>
                <w:szCs w:val="24"/>
              </w:rPr>
              <w:t xml:space="preserve">Likuma mērķis ir nodrošināt iespēju saņemt nepārtrauktus, drošus un kvalitatīvus sabiedriskos pakalpojumus, kuru tarifi (cenas) atbilst ekonomiski pamatotām izmaksām, kā arī veicināt attīstību un ekonomiski pamatotu konkurenci regulējamās nozarēs. </w:t>
            </w:r>
            <w:r w:rsidRPr="00AC6820">
              <w:rPr>
                <w:szCs w:val="24"/>
              </w:rPr>
              <w:t>Sabiedrisko pakalpojumu tarifus regulējamās nozarēs sabiedrisko pakalpojumu sniedzēji aprēķina saskaņā ar regulatora noteikto tarifu aprēķināšanas metodiku un pēc savas iniciatīvas vai regulatora pieprasījuma iesniedz regulatoram aprēķināto tarifu projektus kopā ar tarifu aprēķina projektā minēto tarifus veidojošo izmaksu pamatojumu.</w:t>
            </w:r>
            <w:r w:rsidRPr="00AC6820" w:rsidR="00D041AB">
              <w:rPr>
                <w:szCs w:val="24"/>
              </w:rPr>
              <w:t xml:space="preserve"> </w:t>
            </w:r>
            <w:r w:rsidRPr="00AC6820">
              <w:rPr>
                <w:szCs w:val="24"/>
              </w:rPr>
              <w:t>Regulators izvērtē sabiedrisko pakalpojumu sniedzēja iesniegto noteiktā kārtībā aprēķināto tarifu projektu un tarifu aprēķina projektā minēto tarifus veidojošo izmaksu pamatojumu 90 dienu laikā pēc tā saņemšanas. Ja regulators konstatē, ka tarifu projekts ir aprēķināts nepareizi vai tarifu aprēķina projektā minētās tarifus veidojošās izmaksas ir nepamatotas, regulators 10 darbdienu laikā var uzdot sabiedrisko pakalpojumu sniedzējam veikt tarifu projekta pārrēķinu vai noraidīt tarifu projektu.</w:t>
            </w:r>
            <w:r w:rsidRPr="00AC6820">
              <w:rPr>
                <w:szCs w:val="24"/>
              </w:rPr>
              <w:t xml:space="preserve">       </w:t>
            </w:r>
          </w:p>
          <w:p w:rsidR="00270E68" w:rsidRPr="00AC6820" w:rsidP="00270E68" w14:paraId="08EE8C13" w14:textId="77777777">
            <w:pPr>
              <w:spacing w:after="0" w:line="240" w:lineRule="auto"/>
              <w:ind w:firstLine="720"/>
              <w:jc w:val="both"/>
              <w:rPr>
                <w:szCs w:val="24"/>
              </w:rPr>
            </w:pPr>
            <w:r w:rsidRPr="00AC6820">
              <w:rPr>
                <w:szCs w:val="24"/>
              </w:rPr>
              <w:t xml:space="preserve">Likumprojekta </w:t>
            </w:r>
            <w:r w:rsidRPr="00AC6820" w:rsidR="002655A1">
              <w:rPr>
                <w:szCs w:val="24"/>
              </w:rPr>
              <w:t>6</w:t>
            </w:r>
            <w:r w:rsidRPr="00AC6820">
              <w:rPr>
                <w:szCs w:val="24"/>
              </w:rPr>
              <w:t>.pants, ar kuru tiek grozīts Likuma 19.pants paredz atteikties no Likumā noteiktā termiņa ierobežojuma uzdevuma sabiedrisko pakalpojumu sniedzējam došanai, jo no</w:t>
            </w:r>
            <w:r w:rsidRPr="00AC6820">
              <w:rPr>
                <w:szCs w:val="24"/>
              </w:rPr>
              <w:t xml:space="preserve">teiktais 10 darbdienu termiņš ir neskaidrs, </w:t>
            </w:r>
            <w:r w:rsidRPr="00AC6820" w:rsidR="00A12D58">
              <w:rPr>
                <w:szCs w:val="24"/>
              </w:rPr>
              <w:t xml:space="preserve">kā arī </w:t>
            </w:r>
            <w:r w:rsidRPr="00AC6820">
              <w:rPr>
                <w:szCs w:val="24"/>
              </w:rPr>
              <w:t xml:space="preserve">nav </w:t>
            </w:r>
            <w:r w:rsidRPr="00AC6820" w:rsidR="00A12D58">
              <w:rPr>
                <w:szCs w:val="24"/>
              </w:rPr>
              <w:t xml:space="preserve">viennozīmīgi </w:t>
            </w:r>
            <w:r w:rsidRPr="00AC6820">
              <w:rPr>
                <w:szCs w:val="24"/>
              </w:rPr>
              <w:t>nosakāms brīdis, no kura noteiktās 10 darbdienas tiek skaitītas. Vienlaikus no tiesību</w:t>
            </w:r>
            <w:r w:rsidRPr="00AC6820" w:rsidR="000E252E">
              <w:rPr>
                <w:szCs w:val="24"/>
              </w:rPr>
              <w:t xml:space="preserve"> normas izriet</w:t>
            </w:r>
            <w:r w:rsidRPr="00AC6820">
              <w:rPr>
                <w:szCs w:val="24"/>
              </w:rPr>
              <w:t xml:space="preserve">, ka noteiktais termiņš attiecas gan uz lēmumu uzdot sabiedrisko pakalpojumu sniedzējam veikt tarifu projekta pārrēķinu, gan uz lēmumu, ar kuru noraida tarifu projektu. Attiecībā uz lēmumu, ar kuru noraida tarifu projektu, likuma 19.panta otrajā daļā noteiktais 10 darbdienu termiņš ir pretrunā 19.panta septītajā daļā noteiktajam termiņam, proti, saskaņā ar 19.panta septīto daļu </w:t>
            </w:r>
            <w:r w:rsidRPr="00AC6820" w:rsidR="001E0B59">
              <w:rPr>
                <w:szCs w:val="24"/>
              </w:rPr>
              <w:t>r</w:t>
            </w:r>
            <w:r w:rsidRPr="00AC6820">
              <w:rPr>
                <w:szCs w:val="24"/>
              </w:rPr>
              <w:t xml:space="preserve">egulators lēmumu par tarifu projektu noraidīšanu pieņem 30 dienu laikā pēc tā izskatīšanas. Savukārt lēmums, ar kuru </w:t>
            </w:r>
            <w:r w:rsidRPr="00AC6820" w:rsidR="001E0B59">
              <w:rPr>
                <w:szCs w:val="24"/>
              </w:rPr>
              <w:t>r</w:t>
            </w:r>
            <w:r w:rsidRPr="00AC6820">
              <w:rPr>
                <w:szCs w:val="24"/>
              </w:rPr>
              <w:t xml:space="preserve">egulators uzdod sabiedrisko pakalpojumu sniedzējam veikt tarifu projekta pārrēķinu, ir </w:t>
            </w:r>
            <w:r w:rsidRPr="00AC6820">
              <w:rPr>
                <w:szCs w:val="24"/>
              </w:rPr>
              <w:t>starplēmums</w:t>
            </w:r>
            <w:r w:rsidRPr="00AC6820">
              <w:rPr>
                <w:szCs w:val="24"/>
              </w:rPr>
              <w:t xml:space="preserve">, un no procesuālā viedokļa nav lietderīgi Likumā saglabāt procesuālo termiņu, kas paredz </w:t>
            </w:r>
            <w:r w:rsidRPr="00AC6820" w:rsidR="001E0B59">
              <w:rPr>
                <w:szCs w:val="24"/>
              </w:rPr>
              <w:t>r</w:t>
            </w:r>
            <w:r w:rsidRPr="00AC6820">
              <w:rPr>
                <w:szCs w:val="24"/>
              </w:rPr>
              <w:t xml:space="preserve">egulatoru ierobežojošu laiku, kādā pieņemt </w:t>
            </w:r>
            <w:r w:rsidRPr="00AC6820">
              <w:rPr>
                <w:szCs w:val="24"/>
              </w:rPr>
              <w:t>starplēmumu</w:t>
            </w:r>
            <w:r w:rsidRPr="00AC6820">
              <w:rPr>
                <w:szCs w:val="24"/>
              </w:rPr>
              <w:t>. Administratīvā akta, ar kuru apstiprina vai noraida tarifu projektu, izdošanas termiņu noteic Likuma 19.panta septītā daļa, tādējādi privātpersonai ir nodrošināta zināma tiesiskā noteiktība.</w:t>
            </w:r>
          </w:p>
          <w:p w:rsidR="000B6D71" w:rsidRPr="00AC6820" w:rsidP="00D041AB" w14:paraId="42806202" w14:textId="77777777">
            <w:pPr>
              <w:spacing w:after="0" w:line="240" w:lineRule="auto"/>
              <w:ind w:firstLine="720"/>
              <w:jc w:val="both"/>
              <w:rPr>
                <w:szCs w:val="24"/>
              </w:rPr>
            </w:pPr>
            <w:r w:rsidRPr="00AC6820">
              <w:rPr>
                <w:szCs w:val="24"/>
              </w:rPr>
              <w:t xml:space="preserve">Likuma 19.panta piektajā daļā tiesiskās skaidrības nodrošināšanai ir veicams redakcionāls precizējums un vārdi “apstiprināšanai vai noraidīšanai” aizstājami ar vārdu “izvērtēšanai”. Vienlaikus ir svītrojams spēkā esošās Likuma 19.panta piektās daļas otrais teikums. Likuma  25.panta pirmā daļa ļauj </w:t>
            </w:r>
            <w:r w:rsidRPr="00AC6820" w:rsidR="00D668FE">
              <w:rPr>
                <w:szCs w:val="24"/>
              </w:rPr>
              <w:t>r</w:t>
            </w:r>
            <w:r w:rsidRPr="00AC6820">
              <w:rPr>
                <w:szCs w:val="24"/>
              </w:rPr>
              <w:t xml:space="preserve">egulatoram pašam noteikt laiku, kādā sabiedrisko pakalpojumu sniedzējam ir </w:t>
            </w:r>
            <w:r w:rsidRPr="00AC6820" w:rsidR="00A12D58">
              <w:rPr>
                <w:szCs w:val="24"/>
              </w:rPr>
              <w:t xml:space="preserve">jāsniedz </w:t>
            </w:r>
            <w:r w:rsidRPr="00AC6820">
              <w:rPr>
                <w:szCs w:val="24"/>
              </w:rPr>
              <w:t xml:space="preserve">papildu informāciju vai dokumenti. Šobrīd spēkā esošais Likuma 19.panta piektās daļas otrais teikums ierobežo </w:t>
            </w:r>
            <w:r w:rsidRPr="00AC6820" w:rsidR="00D668FE">
              <w:rPr>
                <w:szCs w:val="24"/>
              </w:rPr>
              <w:t>r</w:t>
            </w:r>
            <w:r w:rsidRPr="00AC6820">
              <w:rPr>
                <w:szCs w:val="24"/>
              </w:rPr>
              <w:t>egulatoru noteikt par 10 dienām īsāku termiņu arī gadījumos, ja objektīvi pieprasītā papildu informācija vai dokumenti ir sagatavojami un iesniedzami īsākā laikā. Tādējādi pastāv risks, ka nepamatoti vilcinās tarifu projekta izvērtēšanas process.</w:t>
            </w:r>
            <w:r w:rsidRPr="00AC6820" w:rsidR="008C68EF">
              <w:rPr>
                <w:szCs w:val="24"/>
              </w:rPr>
              <w:t xml:space="preserve"> </w:t>
            </w:r>
          </w:p>
          <w:p w:rsidR="00D041AB" w:rsidRPr="00AC6820" w:rsidP="00D041AB" w14:paraId="523CCDE7" w14:textId="2F148083">
            <w:pPr>
              <w:spacing w:after="0" w:line="240" w:lineRule="auto"/>
              <w:ind w:firstLine="720"/>
              <w:jc w:val="both"/>
              <w:rPr>
                <w:szCs w:val="24"/>
              </w:rPr>
            </w:pPr>
            <w:r w:rsidRPr="00AC6820">
              <w:rPr>
                <w:szCs w:val="24"/>
              </w:rPr>
              <w:t>Jāņem vērā, ka tarifu projekta izskatīšanā regulators ir pakļauts Administratīvā procesa likumā noteiktajam regulējumam, saskaņā ar kuru regulator</w:t>
            </w:r>
            <w:r w:rsidRPr="00AC6820" w:rsidR="000B6D71">
              <w:rPr>
                <w:szCs w:val="24"/>
              </w:rPr>
              <w:t>a</w:t>
            </w:r>
            <w:r w:rsidRPr="00AC6820">
              <w:rPr>
                <w:szCs w:val="24"/>
              </w:rPr>
              <w:t xml:space="preserve"> </w:t>
            </w:r>
            <w:r w:rsidRPr="00AC6820" w:rsidR="000B6D71">
              <w:rPr>
                <w:szCs w:val="24"/>
              </w:rPr>
              <w:t>uzdevums</w:t>
            </w:r>
            <w:r w:rsidRPr="00AC6820">
              <w:rPr>
                <w:szCs w:val="24"/>
              </w:rPr>
              <w:t xml:space="preserve"> sabiedrisko pakalpojumu sniedzējam veikt tarifu projekta pārrēķinu </w:t>
            </w:r>
            <w:r w:rsidRPr="00AC6820" w:rsidR="000B6D71">
              <w:rPr>
                <w:szCs w:val="24"/>
              </w:rPr>
              <w:t xml:space="preserve">vai pieprasīt papildus informāciju </w:t>
            </w:r>
            <w:r w:rsidRPr="00AC6820">
              <w:rPr>
                <w:szCs w:val="24"/>
              </w:rPr>
              <w:t xml:space="preserve">ir uzskatāms par </w:t>
            </w:r>
            <w:r w:rsidRPr="00AC6820">
              <w:rPr>
                <w:szCs w:val="24"/>
              </w:rPr>
              <w:t>starplēm</w:t>
            </w:r>
            <w:r w:rsidRPr="00AC6820" w:rsidR="000B6D71">
              <w:rPr>
                <w:szCs w:val="24"/>
              </w:rPr>
              <w:t>umiem</w:t>
            </w:r>
            <w:r w:rsidRPr="00AC6820">
              <w:rPr>
                <w:szCs w:val="24"/>
              </w:rPr>
              <w:t xml:space="preserve"> (procesuāl</w:t>
            </w:r>
            <w:r w:rsidRPr="00AC6820" w:rsidR="000B6D71">
              <w:rPr>
                <w:szCs w:val="24"/>
              </w:rPr>
              <w:t>iem</w:t>
            </w:r>
            <w:r w:rsidRPr="00AC6820">
              <w:rPr>
                <w:szCs w:val="24"/>
              </w:rPr>
              <w:t xml:space="preserve"> lēmum</w:t>
            </w:r>
            <w:r w:rsidRPr="00AC6820" w:rsidR="000B6D71">
              <w:rPr>
                <w:szCs w:val="24"/>
              </w:rPr>
              <w:t>iem</w:t>
            </w:r>
            <w:r w:rsidRPr="00AC6820">
              <w:rPr>
                <w:szCs w:val="24"/>
              </w:rPr>
              <w:t xml:space="preserve">) attiecīgā administratīvā procesa ietvaros, kas </w:t>
            </w:r>
            <w:r w:rsidRPr="00AC6820" w:rsidR="000B6D71">
              <w:rPr>
                <w:szCs w:val="24"/>
              </w:rPr>
              <w:t xml:space="preserve">neietekmē </w:t>
            </w:r>
            <w:r w:rsidRPr="00AC6820">
              <w:rPr>
                <w:szCs w:val="24"/>
              </w:rPr>
              <w:t xml:space="preserve">Likumā noteiktos </w:t>
            </w:r>
            <w:r w:rsidRPr="00AC6820" w:rsidR="000B6D71">
              <w:rPr>
                <w:szCs w:val="24"/>
              </w:rPr>
              <w:t xml:space="preserve">gala </w:t>
            </w:r>
            <w:r w:rsidRPr="00AC6820">
              <w:rPr>
                <w:szCs w:val="24"/>
              </w:rPr>
              <w:t xml:space="preserve">termiņus tarifa projekta apstiprināšanai vai noraidīšanai, bet atsevišķu procesuālo termiņu noteikšana </w:t>
            </w:r>
            <w:r w:rsidRPr="00AC6820">
              <w:rPr>
                <w:szCs w:val="24"/>
              </w:rPr>
              <w:t>starplēmuma</w:t>
            </w:r>
            <w:r w:rsidRPr="00AC6820">
              <w:rPr>
                <w:szCs w:val="24"/>
              </w:rPr>
              <w:t xml:space="preserve"> pieņemšanai var radīt papildus administratīvo slogu, kas var atstāt iespaidu uz attiecīgā administratīvā procesa ietvaros un termiņos pieņemamo administratīvo aktu, t.i. gala lēmumu par tarifa projekta apstiprināšanu vai noraidīšanu.</w:t>
            </w:r>
          </w:p>
          <w:p w:rsidR="000E252E" w:rsidRPr="00AC6820" w:rsidP="000E252E" w14:paraId="01B3F555" w14:textId="77777777">
            <w:pPr>
              <w:spacing w:after="0" w:line="240" w:lineRule="auto"/>
              <w:jc w:val="both"/>
              <w:rPr>
                <w:szCs w:val="24"/>
              </w:rPr>
            </w:pPr>
            <w:r w:rsidRPr="00AC6820">
              <w:rPr>
                <w:b/>
                <w:szCs w:val="24"/>
              </w:rPr>
              <w:t xml:space="preserve">     </w:t>
            </w:r>
            <w:r w:rsidRPr="00AC6820">
              <w:rPr>
                <w:szCs w:val="24"/>
              </w:rPr>
              <w:t>OECD ziņojumā ir ietverta</w:t>
            </w:r>
            <w:r w:rsidRPr="00AC6820" w:rsidR="001E0B59">
              <w:rPr>
                <w:szCs w:val="24"/>
              </w:rPr>
              <w:t>s</w:t>
            </w:r>
            <w:r w:rsidRPr="00AC6820">
              <w:rPr>
                <w:szCs w:val="24"/>
              </w:rPr>
              <w:t xml:space="preserve"> rekomendācija</w:t>
            </w:r>
            <w:r w:rsidRPr="00AC6820" w:rsidR="001E0B59">
              <w:rPr>
                <w:szCs w:val="24"/>
              </w:rPr>
              <w:t>s</w:t>
            </w:r>
            <w:r w:rsidRPr="00AC6820">
              <w:rPr>
                <w:szCs w:val="24"/>
              </w:rPr>
              <w:t xml:space="preserve"> piešķirt regulatoram tiesības ne tikai apstiprināt vai noraidīt komersant</w:t>
            </w:r>
            <w:r w:rsidRPr="00AC6820" w:rsidR="0088243F">
              <w:rPr>
                <w:szCs w:val="24"/>
              </w:rPr>
              <w:t>a</w:t>
            </w:r>
            <w:r w:rsidRPr="00AC6820">
              <w:rPr>
                <w:szCs w:val="24"/>
              </w:rPr>
              <w:t xml:space="preserve"> iesniegto sabiedrisko pakalpojumu tarifu projektu,</w:t>
            </w:r>
            <w:r w:rsidRPr="00AC6820" w:rsidR="0088243F">
              <w:t xml:space="preserve"> </w:t>
            </w:r>
            <w:r w:rsidRPr="00AC6820" w:rsidR="0088243F">
              <w:rPr>
                <w:szCs w:val="24"/>
              </w:rPr>
              <w:t xml:space="preserve">bet arī </w:t>
            </w:r>
            <w:r w:rsidRPr="00AC6820" w:rsidR="001E0B59">
              <w:rPr>
                <w:szCs w:val="24"/>
              </w:rPr>
              <w:t>komersanta iesniegto sabiedrisko pakalpojumu tarifu projektu</w:t>
            </w:r>
            <w:r w:rsidRPr="00AC6820" w:rsidR="0088243F">
              <w:rPr>
                <w:szCs w:val="24"/>
              </w:rPr>
              <w:t xml:space="preserve"> grozīt. OECD ieskatā tas varētu </w:t>
            </w:r>
            <w:r w:rsidRPr="00AC6820">
              <w:rPr>
                <w:szCs w:val="24"/>
              </w:rPr>
              <w:t>vienkāršo</w:t>
            </w:r>
            <w:r w:rsidRPr="00AC6820" w:rsidR="0088243F">
              <w:rPr>
                <w:szCs w:val="24"/>
              </w:rPr>
              <w:t>t</w:t>
            </w:r>
            <w:r w:rsidRPr="00AC6820">
              <w:rPr>
                <w:szCs w:val="24"/>
              </w:rPr>
              <w:t xml:space="preserve"> un saīsi</w:t>
            </w:r>
            <w:r w:rsidRPr="00AC6820" w:rsidR="0088243F">
              <w:rPr>
                <w:szCs w:val="24"/>
              </w:rPr>
              <w:t>nāt</w:t>
            </w:r>
            <w:r w:rsidRPr="00AC6820">
              <w:rPr>
                <w:szCs w:val="24"/>
              </w:rPr>
              <w:t xml:space="preserve"> </w:t>
            </w:r>
            <w:r w:rsidRPr="00AC6820" w:rsidR="001E0B59">
              <w:rPr>
                <w:szCs w:val="24"/>
              </w:rPr>
              <w:t xml:space="preserve">kopējo </w:t>
            </w:r>
            <w:r w:rsidRPr="00AC6820">
              <w:rPr>
                <w:szCs w:val="24"/>
              </w:rPr>
              <w:t>tarifu noteikšanas procesu</w:t>
            </w:r>
            <w:r w:rsidRPr="00AC6820" w:rsidR="0088243F">
              <w:rPr>
                <w:szCs w:val="24"/>
              </w:rPr>
              <w:t>, kas nodrošinātu</w:t>
            </w:r>
            <w:r w:rsidRPr="00AC6820">
              <w:rPr>
                <w:szCs w:val="24"/>
              </w:rPr>
              <w:t>, ka regulatoram piešķirtās funkcijas atbilst regulēšanas mērķim.</w:t>
            </w:r>
          </w:p>
          <w:p w:rsidR="00270E68" w:rsidRPr="00AC6820" w:rsidP="00D041AB" w14:paraId="6FD76C42" w14:textId="77777777">
            <w:pPr>
              <w:spacing w:after="0" w:line="240" w:lineRule="auto"/>
              <w:ind w:firstLine="720"/>
              <w:jc w:val="both"/>
              <w:rPr>
                <w:szCs w:val="24"/>
              </w:rPr>
            </w:pPr>
            <w:r w:rsidRPr="00AC6820">
              <w:rPr>
                <w:szCs w:val="24"/>
              </w:rPr>
              <w:t xml:space="preserve">Papildinot </w:t>
            </w:r>
            <w:r w:rsidRPr="00AC6820" w:rsidR="000A24F4">
              <w:rPr>
                <w:szCs w:val="24"/>
              </w:rPr>
              <w:t>L</w:t>
            </w:r>
            <w:r w:rsidRPr="00AC6820">
              <w:rPr>
                <w:szCs w:val="24"/>
              </w:rPr>
              <w:t xml:space="preserve">ikuma 19.pantu ar jaunu </w:t>
            </w:r>
            <w:r w:rsidRPr="00AC6820" w:rsidR="00D041AB">
              <w:rPr>
                <w:szCs w:val="24"/>
              </w:rPr>
              <w:t>7</w:t>
            </w:r>
            <w:r w:rsidRPr="00AC6820" w:rsidR="00D041AB">
              <w:rPr>
                <w:szCs w:val="24"/>
                <w:vertAlign w:val="superscript"/>
              </w:rPr>
              <w:t xml:space="preserve">1 </w:t>
            </w:r>
            <w:r w:rsidRPr="00AC6820">
              <w:rPr>
                <w:szCs w:val="24"/>
              </w:rPr>
              <w:t xml:space="preserve">daļu, </w:t>
            </w:r>
            <w:r w:rsidRPr="00AC6820" w:rsidR="001E0B59">
              <w:rPr>
                <w:szCs w:val="24"/>
              </w:rPr>
              <w:t>r</w:t>
            </w:r>
            <w:r w:rsidRPr="00AC6820">
              <w:rPr>
                <w:szCs w:val="24"/>
              </w:rPr>
              <w:t>egulatoram būs iespēja pēc savas iniciatīvas</w:t>
            </w:r>
            <w:r w:rsidR="00487F52">
              <w:rPr>
                <w:szCs w:val="24"/>
              </w:rPr>
              <w:t xml:space="preserve">, </w:t>
            </w:r>
            <w:r w:rsidR="00850DC5">
              <w:rPr>
                <w:szCs w:val="24"/>
              </w:rPr>
              <w:t xml:space="preserve">atbilstoši  noteiktai </w:t>
            </w:r>
            <w:r w:rsidR="00487F52">
              <w:rPr>
                <w:szCs w:val="24"/>
              </w:rPr>
              <w:t xml:space="preserve">tarifu aprēķināšanas </w:t>
            </w:r>
            <w:r w:rsidR="00850DC5">
              <w:rPr>
                <w:szCs w:val="24"/>
              </w:rPr>
              <w:t>metodikai</w:t>
            </w:r>
            <w:r w:rsidRPr="00AC6820">
              <w:rPr>
                <w:szCs w:val="24"/>
              </w:rPr>
              <w:t xml:space="preserve"> veikt korekcijas sabiedrisko pakalpojumu sniedzēja iesniegtajā tarifu projektā un noteikt tarifus, kas atšķiras no sabiedrisko pakalpojumu sniedzēja aprēķinātajiem tarifiem. Šāds regulējums nodrošinās sabiedrisko pakalpojumu lietotāju interešu aizsardzību gadījumos, ja turpmāka spēkā esošo tarifu piemērošana tiesisku vai faktisku apstākļu dēļ vairs nav iespējama, taču tarifu projekta vērtēšanas procesa ietvaros </w:t>
            </w:r>
            <w:r w:rsidRPr="00AC6820" w:rsidR="00D668FE">
              <w:rPr>
                <w:szCs w:val="24"/>
              </w:rPr>
              <w:t>r</w:t>
            </w:r>
            <w:r w:rsidRPr="00AC6820">
              <w:rPr>
                <w:szCs w:val="24"/>
              </w:rPr>
              <w:t xml:space="preserve">egulatoram objektīvu apstākļu dēļ nav iespējams iegūt no sabiedrisko pakalpojumu sniedzēja tādu tarifu projektu, kas pilnībā atbilstu </w:t>
            </w:r>
            <w:r w:rsidRPr="00AC6820" w:rsidR="000A24F4">
              <w:rPr>
                <w:szCs w:val="24"/>
              </w:rPr>
              <w:t>L</w:t>
            </w:r>
            <w:r w:rsidRPr="00AC6820">
              <w:rPr>
                <w:szCs w:val="24"/>
              </w:rPr>
              <w:t>ikuma 20.panta mērķim.</w:t>
            </w:r>
            <w:r w:rsidRPr="00AC6820" w:rsidR="00597E47">
              <w:rPr>
                <w:szCs w:val="24"/>
              </w:rPr>
              <w:t xml:space="preserve"> Likumprojektā p</w:t>
            </w:r>
            <w:r w:rsidRPr="00AC6820" w:rsidR="001F228A">
              <w:rPr>
                <w:szCs w:val="24"/>
              </w:rPr>
              <w:t>iedāvāt</w:t>
            </w:r>
            <w:r w:rsidRPr="00AC6820" w:rsidR="00ED413A">
              <w:rPr>
                <w:szCs w:val="24"/>
              </w:rPr>
              <w:t xml:space="preserve">ais regulējums paplašina regulatora pilnvaras </w:t>
            </w:r>
            <w:r w:rsidRPr="00AC6820" w:rsidR="001F228A">
              <w:rPr>
                <w:szCs w:val="24"/>
              </w:rPr>
              <w:t>gadījum</w:t>
            </w:r>
            <w:r w:rsidRPr="00AC6820" w:rsidR="00ED413A">
              <w:rPr>
                <w:szCs w:val="24"/>
              </w:rPr>
              <w:t>ā</w:t>
            </w:r>
            <w:r w:rsidRPr="00AC6820" w:rsidR="001F228A">
              <w:rPr>
                <w:szCs w:val="24"/>
              </w:rPr>
              <w:t xml:space="preserve">, </w:t>
            </w:r>
            <w:r w:rsidRPr="00AC6820" w:rsidR="00597E47">
              <w:rPr>
                <w:szCs w:val="24"/>
              </w:rPr>
              <w:t>ja</w:t>
            </w:r>
            <w:r w:rsidRPr="00AC6820" w:rsidR="001F228A">
              <w:rPr>
                <w:szCs w:val="24"/>
              </w:rPr>
              <w:t xml:space="preserve"> vērtējot  sabiedrisko pakalpojumu sniedzēja iesniegt</w:t>
            </w:r>
            <w:r w:rsidRPr="00AC6820" w:rsidR="00ED413A">
              <w:rPr>
                <w:szCs w:val="24"/>
              </w:rPr>
              <w:t>o</w:t>
            </w:r>
            <w:r w:rsidRPr="00AC6820" w:rsidR="001F228A">
              <w:rPr>
                <w:szCs w:val="24"/>
              </w:rPr>
              <w:t xml:space="preserve"> tarifu projekt</w:t>
            </w:r>
            <w:r w:rsidRPr="00AC6820" w:rsidR="00ED413A">
              <w:rPr>
                <w:szCs w:val="24"/>
              </w:rPr>
              <w:t>u regulator</w:t>
            </w:r>
            <w:r w:rsidRPr="00AC6820" w:rsidR="00597E47">
              <w:rPr>
                <w:szCs w:val="24"/>
              </w:rPr>
              <w:t>s konstatē</w:t>
            </w:r>
            <w:r w:rsidRPr="00AC6820" w:rsidR="00ED413A">
              <w:rPr>
                <w:szCs w:val="24"/>
              </w:rPr>
              <w:t xml:space="preserve"> iespēj</w:t>
            </w:r>
            <w:r w:rsidRPr="00AC6820" w:rsidR="00597E47">
              <w:rPr>
                <w:szCs w:val="24"/>
              </w:rPr>
              <w:t>u</w:t>
            </w:r>
            <w:r w:rsidRPr="00AC6820" w:rsidR="00ED413A">
              <w:rPr>
                <w:szCs w:val="24"/>
              </w:rPr>
              <w:t xml:space="preserve"> pārskatīt un samazināt tarifu projektā ietvertās sabiedrisko pakalpojumu sniedzēja izmaksas, kas savukārt dod iespēju </w:t>
            </w:r>
            <w:r w:rsidRPr="00AC6820" w:rsidR="00597E47">
              <w:rPr>
                <w:szCs w:val="24"/>
              </w:rPr>
              <w:t xml:space="preserve">regulatoram </w:t>
            </w:r>
            <w:r w:rsidRPr="00AC6820" w:rsidR="00ED413A">
              <w:rPr>
                <w:szCs w:val="24"/>
              </w:rPr>
              <w:t xml:space="preserve">noteikt zemāku </w:t>
            </w:r>
            <w:r w:rsidRPr="00AC6820" w:rsidR="00597E47">
              <w:rPr>
                <w:szCs w:val="24"/>
              </w:rPr>
              <w:t xml:space="preserve">kopējo </w:t>
            </w:r>
            <w:r w:rsidRPr="00AC6820" w:rsidR="00ED413A">
              <w:rPr>
                <w:szCs w:val="24"/>
              </w:rPr>
              <w:t>pakalpojuma tarifu.</w:t>
            </w:r>
          </w:p>
          <w:p w:rsidR="00D542F4" w:rsidRPr="00AC6820" w:rsidP="00D542F4" w14:paraId="36610A87" w14:textId="77777777">
            <w:pPr>
              <w:spacing w:after="0" w:line="240" w:lineRule="auto"/>
              <w:ind w:firstLine="720"/>
              <w:jc w:val="both"/>
              <w:rPr>
                <w:szCs w:val="24"/>
              </w:rPr>
            </w:pPr>
            <w:r w:rsidRPr="00AC6820">
              <w:rPr>
                <w:szCs w:val="24"/>
              </w:rPr>
              <w:t>Likumprojekts paredz</w:t>
            </w:r>
            <w:r w:rsidRPr="00AC6820" w:rsidR="00270E68">
              <w:rPr>
                <w:szCs w:val="24"/>
              </w:rPr>
              <w:t xml:space="preserve"> </w:t>
            </w:r>
            <w:r w:rsidRPr="00AC6820">
              <w:rPr>
                <w:szCs w:val="24"/>
              </w:rPr>
              <w:t xml:space="preserve">papildināt Likuma </w:t>
            </w:r>
            <w:r w:rsidRPr="00AC6820" w:rsidR="00270E68">
              <w:rPr>
                <w:szCs w:val="24"/>
              </w:rPr>
              <w:t>19.pant</w:t>
            </w:r>
            <w:r w:rsidRPr="00AC6820">
              <w:rPr>
                <w:szCs w:val="24"/>
              </w:rPr>
              <w:t>u</w:t>
            </w:r>
            <w:r w:rsidRPr="00AC6820" w:rsidR="00270E68">
              <w:rPr>
                <w:szCs w:val="24"/>
              </w:rPr>
              <w:t xml:space="preserve"> ar jaunu</w:t>
            </w:r>
            <w:r w:rsidRPr="00AC6820">
              <w:rPr>
                <w:szCs w:val="24"/>
              </w:rPr>
              <w:t xml:space="preserve"> </w:t>
            </w:r>
            <w:r w:rsidRPr="00AC6820" w:rsidR="00270E68">
              <w:rPr>
                <w:szCs w:val="24"/>
              </w:rPr>
              <w:t>daļu, lai</w:t>
            </w:r>
            <w:r w:rsidRPr="00AC6820">
              <w:rPr>
                <w:szCs w:val="24"/>
              </w:rPr>
              <w:t xml:space="preserve"> </w:t>
            </w:r>
            <w:r w:rsidRPr="00AC6820" w:rsidR="00270E68">
              <w:rPr>
                <w:szCs w:val="24"/>
              </w:rPr>
              <w:t xml:space="preserve">salāgotu </w:t>
            </w:r>
            <w:r w:rsidRPr="00AC6820">
              <w:rPr>
                <w:szCs w:val="24"/>
              </w:rPr>
              <w:t xml:space="preserve">Likumā ietverto </w:t>
            </w:r>
            <w:r w:rsidRPr="00AC6820" w:rsidR="00270E68">
              <w:rPr>
                <w:szCs w:val="24"/>
              </w:rPr>
              <w:t xml:space="preserve">regulējumu ar nozares speciālo likumu regulējumu, kas cita starpā paredz iespēju </w:t>
            </w:r>
            <w:r w:rsidRPr="00AC6820">
              <w:rPr>
                <w:szCs w:val="24"/>
              </w:rPr>
              <w:t>r</w:t>
            </w:r>
            <w:r w:rsidRPr="00AC6820" w:rsidR="00270E68">
              <w:rPr>
                <w:szCs w:val="24"/>
              </w:rPr>
              <w:t>egulatoram izsniegt sabiedrisko pakalpojumu sniedzējiem atļauju pašiem noteikt tarifus.</w:t>
            </w:r>
            <w:r w:rsidRPr="00AC6820" w:rsidR="00203354">
              <w:rPr>
                <w:szCs w:val="24"/>
              </w:rPr>
              <w:t xml:space="preserve"> </w:t>
            </w:r>
            <w:r w:rsidRPr="00AC6820">
              <w:rPr>
                <w:szCs w:val="24"/>
              </w:rPr>
              <w:t>Piedāvātā likumprojekta redakcija dod iespēju, pēc konsultācijas ar nozares pārstāvjiem un veicot atbilstošus grozījumus regulējamo nozaru speciālajos tiesību aktos vai attiecīgajās tarifu aprēķināšanas metodikās, arī citās regulējamās nozarēs ieviest elektronisko sakaro nozarē izmantoto praksi tarifu augšējās robežas noteikšanā, tajā pat laikā saglabājot Likuma 20.pantā noteikto mērķi, t.i. saglabājot tarifu noteikšanu tādā apmērā, lai lietotāju izdarītie tarifu maksājumi segtu ekonomiski pamatotas sabiedrisko pakalpojumu izmaksas un nodrošinātu sabiedrisko pakalpojumu rentabilitāti.</w:t>
            </w:r>
          </w:p>
          <w:p w:rsidR="008774C3" w:rsidRPr="00AC6820" w:rsidP="00CB7B7E" w14:paraId="43DDB2D6" w14:textId="77777777">
            <w:pPr>
              <w:spacing w:after="0" w:line="240" w:lineRule="auto"/>
              <w:ind w:firstLine="720"/>
              <w:jc w:val="both"/>
              <w:rPr>
                <w:szCs w:val="24"/>
              </w:rPr>
            </w:pPr>
            <w:r w:rsidRPr="00AC6820">
              <w:rPr>
                <w:szCs w:val="24"/>
              </w:rPr>
              <w:t xml:space="preserve">Šobrīd </w:t>
            </w:r>
            <w:r w:rsidRPr="00AC6820" w:rsidR="009E1BE3">
              <w:rPr>
                <w:szCs w:val="24"/>
              </w:rPr>
              <w:t>d</w:t>
            </w:r>
            <w:r w:rsidRPr="00AC6820" w:rsidR="007C0D03">
              <w:rPr>
                <w:szCs w:val="24"/>
              </w:rPr>
              <w:t>abasgāzes apgādē a</w:t>
            </w:r>
            <w:r w:rsidRPr="00AC6820" w:rsidR="00203354">
              <w:rPr>
                <w:szCs w:val="24"/>
              </w:rPr>
              <w:t>tbilstoši Enerģētikas likuma 15.panta</w:t>
            </w:r>
            <w:r w:rsidRPr="00AC6820" w:rsidR="002A7B49">
              <w:rPr>
                <w:szCs w:val="24"/>
              </w:rPr>
              <w:t xml:space="preserve"> 1.</w:t>
            </w:r>
            <w:r w:rsidRPr="00AC6820" w:rsidR="002A7B49">
              <w:rPr>
                <w:szCs w:val="24"/>
                <w:vertAlign w:val="superscript"/>
              </w:rPr>
              <w:t>1</w:t>
            </w:r>
            <w:r w:rsidRPr="00AC6820" w:rsidR="002A7B49">
              <w:rPr>
                <w:szCs w:val="24"/>
              </w:rPr>
              <w:t>daļai</w:t>
            </w:r>
            <w:r w:rsidRPr="00AC6820" w:rsidR="00205656">
              <w:rPr>
                <w:szCs w:val="24"/>
              </w:rPr>
              <w:t xml:space="preserve"> sistēmas operatori sniedz pārvades, sadales un dabasgāzes uzglabāšanas pakalpojumus</w:t>
            </w:r>
            <w:r w:rsidRPr="00AC6820" w:rsidR="001860FE">
              <w:rPr>
                <w:szCs w:val="24"/>
              </w:rPr>
              <w:t xml:space="preserve"> par tarifiem, ko noteicis attiecīgais pakalpojumu sniedzējs saskaņā ar</w:t>
            </w:r>
            <w:r w:rsidRPr="00AC6820" w:rsidR="00E07341">
              <w:rPr>
                <w:szCs w:val="24"/>
              </w:rPr>
              <w:t xml:space="preserve"> regulatora noteikto tarifu aprēķināšanas metodiku, ja ir saņemta regulatora atļauja.</w:t>
            </w:r>
            <w:r w:rsidRPr="00AC6820" w:rsidR="00CE2028">
              <w:rPr>
                <w:szCs w:val="24"/>
              </w:rPr>
              <w:t xml:space="preserve"> </w:t>
            </w:r>
            <w:r w:rsidRPr="00AC6820" w:rsidR="00B6552D">
              <w:rPr>
                <w:szCs w:val="24"/>
              </w:rPr>
              <w:t>S</w:t>
            </w:r>
            <w:r w:rsidRPr="00AC6820" w:rsidR="00CE2028">
              <w:rPr>
                <w:szCs w:val="24"/>
              </w:rPr>
              <w:t>avukārt</w:t>
            </w:r>
            <w:r w:rsidRPr="00AC6820" w:rsidR="00B26D34">
              <w:rPr>
                <w:szCs w:val="24"/>
              </w:rPr>
              <w:t xml:space="preserve"> atbilstoši Enerģētikas likuma 107.panta trešajai daļai</w:t>
            </w:r>
            <w:r w:rsidRPr="00AC6820" w:rsidR="00B5222F">
              <w:rPr>
                <w:szCs w:val="24"/>
              </w:rPr>
              <w:t>, ja ir saņemta regulatora</w:t>
            </w:r>
            <w:r w:rsidRPr="00AC6820" w:rsidR="00B127FC">
              <w:rPr>
                <w:szCs w:val="24"/>
              </w:rPr>
              <w:t xml:space="preserve"> atļauja,</w:t>
            </w:r>
            <w:r w:rsidRPr="00AC6820" w:rsidR="006F2017">
              <w:rPr>
                <w:szCs w:val="24"/>
              </w:rPr>
              <w:t xml:space="preserve"> dabasgāzes piegādi saistītajiem lietotājiem publiskais tirgotājs nodrošina par dabasgāzes cenu, ko noteicis publiskais tirgotājs, saskaņā ar regulatora noteikto dabasgāzes cenas aprēķināšanas metodiku.</w:t>
            </w:r>
            <w:r w:rsidRPr="00AC6820" w:rsidR="008B6E91">
              <w:rPr>
                <w:szCs w:val="24"/>
              </w:rPr>
              <w:t xml:space="preserve"> Elektroenerģijas apgādē</w:t>
            </w:r>
            <w:r w:rsidRPr="00AC6820" w:rsidR="007D3FE7">
              <w:rPr>
                <w:szCs w:val="24"/>
              </w:rPr>
              <w:t xml:space="preserve"> atbilstoši Elektroenerģijas tirgus likuma 16.panta pirmajai daļai</w:t>
            </w:r>
            <w:r w:rsidRPr="00AC6820" w:rsidR="00722061">
              <w:rPr>
                <w:szCs w:val="24"/>
              </w:rPr>
              <w:t xml:space="preserve"> pārvades sistēmas operators saskaņā ar regulatora noteikto tarifu aprēķināšanas metodiku</w:t>
            </w:r>
            <w:r w:rsidRPr="00AC6820" w:rsidR="00FA3367">
              <w:rPr>
                <w:szCs w:val="24"/>
              </w:rPr>
              <w:t xml:space="preserve"> </w:t>
            </w:r>
            <w:r w:rsidRPr="00AC6820" w:rsidR="00056C3D">
              <w:rPr>
                <w:szCs w:val="24"/>
              </w:rPr>
              <w:t xml:space="preserve">nosaka </w:t>
            </w:r>
            <w:r w:rsidRPr="00AC6820" w:rsidR="00FA3367">
              <w:rPr>
                <w:szCs w:val="24"/>
              </w:rPr>
              <w:t>pārvades sistēmas pakalpojumu tarifus, ja ir saņemta regulatora atļauja.</w:t>
            </w:r>
            <w:r w:rsidRPr="00AC6820" w:rsidR="007823FB">
              <w:rPr>
                <w:szCs w:val="24"/>
              </w:rPr>
              <w:t xml:space="preserve"> Savukārt atbilstoši Elektroenerģijas tirgus likuma 20.panta pirmajai daļai, ja ir saņemta regulatora atļauja, sadales sistēmas operators saskaņā ar regulatora noteikto tarifu aprēķināšanas metodiku </w:t>
            </w:r>
            <w:r w:rsidRPr="00AC6820" w:rsidR="00181F9C">
              <w:rPr>
                <w:szCs w:val="24"/>
              </w:rPr>
              <w:t>nosaka sadales sistēmas pakalpojumu tarifus.</w:t>
            </w:r>
            <w:r w:rsidRPr="00AC6820" w:rsidR="001A2A86">
              <w:rPr>
                <w:szCs w:val="24"/>
              </w:rPr>
              <w:t xml:space="preserve"> Siltumenerģijas apgādē atbilstoši</w:t>
            </w:r>
            <w:r w:rsidRPr="00AC6820" w:rsidR="00E217DC">
              <w:rPr>
                <w:szCs w:val="24"/>
              </w:rPr>
              <w:t xml:space="preserve"> Enerģētikas likuma 6.panta 3.</w:t>
            </w:r>
            <w:r w:rsidRPr="00AC6820" w:rsidR="00E217DC">
              <w:rPr>
                <w:szCs w:val="24"/>
                <w:vertAlign w:val="superscript"/>
              </w:rPr>
              <w:t>1</w:t>
            </w:r>
            <w:r w:rsidRPr="00AC6820" w:rsidR="00E217DC">
              <w:rPr>
                <w:szCs w:val="24"/>
              </w:rPr>
              <w:t>daļai</w:t>
            </w:r>
            <w:r w:rsidRPr="00AC6820" w:rsidR="00332AC9">
              <w:rPr>
                <w:szCs w:val="24"/>
              </w:rPr>
              <w:t xml:space="preserve"> energoapgādes komersants, kas piegādā siltumenerģiju enerģijas lietotājiem</w:t>
            </w:r>
            <w:r w:rsidRPr="00AC6820" w:rsidR="002F1684">
              <w:rPr>
                <w:szCs w:val="24"/>
              </w:rPr>
              <w:t>, pārdod siltumenerģiju par tarifiem, ko noteicis attiecīgais pakalpojumu sniedzējs saskaņā ar regulatora noteikto tarifu aprēķināšanas metodiku, ja ir saņemta regulatora atļauja.</w:t>
            </w:r>
          </w:p>
          <w:p w:rsidR="00784BD9" w:rsidRPr="00AC6820" w:rsidP="009E1BE3" w14:paraId="2B2294C2" w14:textId="77777777">
            <w:pPr>
              <w:spacing w:after="0" w:line="240" w:lineRule="auto"/>
              <w:ind w:firstLine="720"/>
              <w:jc w:val="both"/>
              <w:rPr>
                <w:szCs w:val="24"/>
              </w:rPr>
            </w:pPr>
            <w:r w:rsidRPr="00AC6820">
              <w:rPr>
                <w:szCs w:val="24"/>
              </w:rPr>
              <w:t>Arī Enerģētikas likuma 6.panta 3</w:t>
            </w:r>
            <w:r w:rsidRPr="00AC6820">
              <w:rPr>
                <w:szCs w:val="24"/>
                <w:vertAlign w:val="superscript"/>
              </w:rPr>
              <w:t xml:space="preserve">1 </w:t>
            </w:r>
            <w:r w:rsidRPr="00AC6820">
              <w:rPr>
                <w:szCs w:val="24"/>
              </w:rPr>
              <w:t xml:space="preserve">daļa noteic, ka energoapgādes komersants, kas piegādā siltumenerģiju enerģijas lietotājiem, pārdod siltumenerģiju tiem nepieciešamajā vai noteiktajā kvalitātē un pieprasītajā daudzumā par regulatora noteiktajiem tarifiem vai par tarifiem, ko noteicis attiecīgais pakalpojumu sniedzējs saskaņā ar regulatora noteikto tarifu aprēķināšanas metodiku, ja ir saņemta regulatora atļauja, izņemot Enerģētikas likuma 49.panta pirmajā daļā minētos gadījumus. Savukārt, regulatora 2010.gada 14.aprīļa lēmumā Nr.1/7 “Siltumenerģijas apgādes pakalpojumu tarifu aprēķināšanas metodika” noteikts, ka regulators var dot uz noteiktu termiņu atļauju komersantam pašam noteikt tarifus saskaņā ar minēto metodiku, gadījumos, kad ir mainījusies kurināmā cena vai iepirktās siltumenerģijas cena. Šāda nepieciešamība bija saistīta ar gāzes tirgus </w:t>
            </w:r>
            <w:r w:rsidRPr="00AC6820" w:rsidR="009E1BE3">
              <w:rPr>
                <w:szCs w:val="24"/>
              </w:rPr>
              <w:t>atvēršanu</w:t>
            </w:r>
            <w:r w:rsidRPr="00AC6820">
              <w:rPr>
                <w:szCs w:val="24"/>
              </w:rPr>
              <w:t>. Regulators arī noteicis, kā komersants aprēķina un nosaka siltumenerģijas apgādes pakalpojumu tarifus pēc regulatora atļaujas saņemšanas. Analoģisks regulējums ir arī regulatora 2010.gada 11.jūnija lēmumā Nr.1/10 “Koģenerācijas tarifu aprēķināšanas metodika”.</w:t>
            </w:r>
          </w:p>
          <w:p w:rsidR="00D668FE" w:rsidRPr="00AC6820" w:rsidP="00D668FE" w14:paraId="68B1A839" w14:textId="77777777">
            <w:pPr>
              <w:spacing w:after="0" w:line="240" w:lineRule="auto"/>
              <w:jc w:val="both"/>
              <w:rPr>
                <w:szCs w:val="24"/>
              </w:rPr>
            </w:pPr>
            <w:r w:rsidRPr="00AC6820">
              <w:rPr>
                <w:b/>
                <w:szCs w:val="24"/>
              </w:rPr>
              <w:t>6)</w:t>
            </w:r>
            <w:r w:rsidRPr="00AC6820">
              <w:rPr>
                <w:szCs w:val="24"/>
              </w:rPr>
              <w:t xml:space="preserve"> </w:t>
            </w:r>
            <w:r w:rsidRPr="00AC6820" w:rsidR="0026707B">
              <w:rPr>
                <w:szCs w:val="24"/>
              </w:rPr>
              <w:t>OECD ziņojumā ir ietverta</w:t>
            </w:r>
            <w:r w:rsidRPr="00AC6820" w:rsidR="001E0B59">
              <w:rPr>
                <w:szCs w:val="24"/>
              </w:rPr>
              <w:t>s</w:t>
            </w:r>
            <w:r w:rsidRPr="00AC6820" w:rsidR="0026707B">
              <w:rPr>
                <w:szCs w:val="24"/>
              </w:rPr>
              <w:t xml:space="preserve"> rekomendācija</w:t>
            </w:r>
            <w:r w:rsidRPr="00AC6820" w:rsidR="001E0B59">
              <w:rPr>
                <w:szCs w:val="24"/>
              </w:rPr>
              <w:t>s</w:t>
            </w:r>
            <w:r w:rsidRPr="00AC6820" w:rsidR="0026707B">
              <w:rPr>
                <w:szCs w:val="24"/>
              </w:rPr>
              <w:t>, veicot sabiedrisko pakalpojumu regulēšanu</w:t>
            </w:r>
            <w:r w:rsidRPr="00AC6820" w:rsidR="00E628DA">
              <w:rPr>
                <w:szCs w:val="24"/>
              </w:rPr>
              <w:t>,</w:t>
            </w:r>
            <w:r w:rsidRPr="00AC6820" w:rsidR="0026707B">
              <w:rPr>
                <w:szCs w:val="24"/>
              </w:rPr>
              <w:t xml:space="preserve"> lielāku uzmanību pievērst patērētāju labklājībai un regulēto nozaru kopējam veikumam, attiecīgi pārorientējot pieeju tarifu noteikšanā uz stimulējošo regulēšanu (</w:t>
            </w:r>
            <w:r w:rsidRPr="00AC6820" w:rsidR="0026707B">
              <w:rPr>
                <w:i/>
                <w:szCs w:val="24"/>
              </w:rPr>
              <w:t>incentive</w:t>
            </w:r>
            <w:r w:rsidRPr="00AC6820" w:rsidR="0026707B">
              <w:rPr>
                <w:i/>
                <w:szCs w:val="24"/>
              </w:rPr>
              <w:t xml:space="preserve"> </w:t>
            </w:r>
            <w:r w:rsidRPr="00AC6820" w:rsidR="0026707B">
              <w:rPr>
                <w:i/>
                <w:szCs w:val="24"/>
              </w:rPr>
              <w:t>regulation</w:t>
            </w:r>
            <w:r w:rsidRPr="00AC6820" w:rsidR="0026707B">
              <w:rPr>
                <w:szCs w:val="24"/>
              </w:rPr>
              <w:t>), kas varētu izpausties</w:t>
            </w:r>
            <w:r w:rsidRPr="00AC6820" w:rsidR="001E0B59">
              <w:rPr>
                <w:szCs w:val="24"/>
              </w:rPr>
              <w:t xml:space="preserve">, piemēram, </w:t>
            </w:r>
            <w:r w:rsidRPr="00AC6820" w:rsidR="0026707B">
              <w:rPr>
                <w:szCs w:val="24"/>
              </w:rPr>
              <w:t>kā cenas (tarifu) augšējās robežas n</w:t>
            </w:r>
            <w:r w:rsidRPr="00AC6820" w:rsidR="00E628DA">
              <w:rPr>
                <w:szCs w:val="24"/>
              </w:rPr>
              <w:t>o</w:t>
            </w:r>
            <w:r w:rsidRPr="00AC6820" w:rsidR="0026707B">
              <w:rPr>
                <w:szCs w:val="24"/>
              </w:rPr>
              <w:t xml:space="preserve">teikšana. </w:t>
            </w:r>
            <w:r w:rsidRPr="00AC6820">
              <w:rPr>
                <w:szCs w:val="24"/>
              </w:rPr>
              <w:t xml:space="preserve">Likumprojekta </w:t>
            </w:r>
            <w:r w:rsidRPr="00AC6820" w:rsidR="002655A1">
              <w:rPr>
                <w:szCs w:val="24"/>
              </w:rPr>
              <w:t>7</w:t>
            </w:r>
            <w:r w:rsidRPr="00AC6820">
              <w:rPr>
                <w:szCs w:val="24"/>
              </w:rPr>
              <w:t>.pants, ar kuru tiek grozīts Likuma 20.pants</w:t>
            </w:r>
            <w:r w:rsidRPr="00AC6820" w:rsidR="0046663D">
              <w:rPr>
                <w:szCs w:val="24"/>
              </w:rPr>
              <w:t>,</w:t>
            </w:r>
            <w:r w:rsidRPr="00AC6820">
              <w:rPr>
                <w:szCs w:val="24"/>
              </w:rPr>
              <w:t xml:space="preserve"> nosaka </w:t>
            </w:r>
            <w:r w:rsidRPr="00AC6820" w:rsidR="001E0B59">
              <w:rPr>
                <w:szCs w:val="24"/>
              </w:rPr>
              <w:t>r</w:t>
            </w:r>
            <w:r w:rsidRPr="00AC6820">
              <w:rPr>
                <w:szCs w:val="24"/>
              </w:rPr>
              <w:t>egulatora tiesības noteikt tarifu augšējo robežu,</w:t>
            </w:r>
            <w:r w:rsidRPr="00AC6820" w:rsidR="003B6763">
              <w:rPr>
                <w:szCs w:val="24"/>
              </w:rPr>
              <w:t xml:space="preserve"> saskaņā ar  tarifu aprēķināšanas metodikā paredzēto kārtību.</w:t>
            </w:r>
            <w:r w:rsidRPr="00AC6820" w:rsidR="00E628DA">
              <w:rPr>
                <w:szCs w:val="24"/>
              </w:rPr>
              <w:t xml:space="preserve"> Šāds grozījums </w:t>
            </w:r>
            <w:r w:rsidRPr="00AC6820">
              <w:rPr>
                <w:szCs w:val="24"/>
              </w:rPr>
              <w:t>nodrošin</w:t>
            </w:r>
            <w:r w:rsidRPr="00AC6820" w:rsidR="00E628DA">
              <w:rPr>
                <w:szCs w:val="24"/>
              </w:rPr>
              <w:t>ātu</w:t>
            </w:r>
            <w:r w:rsidRPr="00AC6820">
              <w:rPr>
                <w:szCs w:val="24"/>
              </w:rPr>
              <w:t xml:space="preserve"> Likumā ietvertā regulējuma sinhronizāciju</w:t>
            </w:r>
            <w:r w:rsidRPr="00AC6820" w:rsidR="00E628DA">
              <w:rPr>
                <w:szCs w:val="24"/>
              </w:rPr>
              <w:t xml:space="preserve"> arī </w:t>
            </w:r>
            <w:r w:rsidRPr="00AC6820">
              <w:rPr>
                <w:szCs w:val="24"/>
              </w:rPr>
              <w:t>ar regulējamo nozaru speciālajos tiesību aktos</w:t>
            </w:r>
            <w:r w:rsidRPr="00AC6820" w:rsidR="00E628DA">
              <w:rPr>
                <w:szCs w:val="24"/>
              </w:rPr>
              <w:t xml:space="preserve"> noteikto regulējumu</w:t>
            </w:r>
            <w:r w:rsidRPr="00AC6820">
              <w:rPr>
                <w:szCs w:val="24"/>
              </w:rPr>
              <w:t>.</w:t>
            </w:r>
          </w:p>
          <w:p w:rsidR="0046663D" w:rsidRPr="00AC6820" w:rsidP="00D668FE" w14:paraId="028F7312" w14:textId="77777777">
            <w:pPr>
              <w:spacing w:after="0" w:line="240" w:lineRule="auto"/>
              <w:jc w:val="both"/>
              <w:rPr>
                <w:szCs w:val="24"/>
              </w:rPr>
            </w:pPr>
            <w:r w:rsidRPr="00AC6820">
              <w:rPr>
                <w:b/>
                <w:szCs w:val="24"/>
              </w:rPr>
              <w:t>7)</w:t>
            </w:r>
            <w:r w:rsidRPr="00AC6820">
              <w:rPr>
                <w:szCs w:val="24"/>
              </w:rPr>
              <w:t xml:space="preserve"> Likumprojekta </w:t>
            </w:r>
            <w:r w:rsidRPr="00AC6820" w:rsidR="002655A1">
              <w:rPr>
                <w:szCs w:val="24"/>
              </w:rPr>
              <w:t>8</w:t>
            </w:r>
            <w:r w:rsidRPr="00AC6820">
              <w:rPr>
                <w:szCs w:val="24"/>
              </w:rPr>
              <w:t>.pants, ar kuru tiek grozīts Likuma 22.pants redakcionāli pilnveido Likuma 22.pantā ietverto tiesisko regulējumu, nodrošinot, ka tas tiek attiecināts ne tikai uz sabiedrisko pakalpojumu sniedzējiem, kas Likumā noteiktā kārtībā ir licencēti, bet arī tiem sabiedrisko pakalpojumu sniedzējiem, kas saskaņā ar Likumu vai nozares speciālajiem normatīvajiem aktiem ir nosūtījuši regulatoram reģistrācijas paziņojumu vai ir reģistrēti attiecīgajā sabiedrisko pakalpojumu sniedzēju reģistrā.</w:t>
            </w:r>
          </w:p>
          <w:p w:rsidR="0046663D" w:rsidRPr="00AC6820" w:rsidP="002655A1" w14:paraId="543E1D47" w14:textId="77777777">
            <w:pPr>
              <w:spacing w:after="0" w:line="240" w:lineRule="auto"/>
              <w:jc w:val="both"/>
              <w:rPr>
                <w:szCs w:val="24"/>
              </w:rPr>
            </w:pPr>
            <w:r w:rsidRPr="00AC6820">
              <w:rPr>
                <w:b/>
                <w:szCs w:val="24"/>
              </w:rPr>
              <w:t>8)</w:t>
            </w:r>
            <w:r w:rsidRPr="00AC6820">
              <w:rPr>
                <w:szCs w:val="24"/>
              </w:rPr>
              <w:t xml:space="preserve"> </w:t>
            </w:r>
            <w:r w:rsidRPr="00AC6820">
              <w:rPr>
                <w:szCs w:val="24"/>
              </w:rPr>
              <w:t xml:space="preserve">Likumprojekta </w:t>
            </w:r>
            <w:r w:rsidRPr="00AC6820">
              <w:rPr>
                <w:szCs w:val="24"/>
              </w:rPr>
              <w:t>9</w:t>
            </w:r>
            <w:r w:rsidRPr="00AC6820">
              <w:rPr>
                <w:szCs w:val="24"/>
              </w:rPr>
              <w:t>.pants, ar kuru tiek grozīts Likuma 35</w:t>
            </w:r>
            <w:r w:rsidRPr="00AC6820">
              <w:rPr>
                <w:szCs w:val="24"/>
                <w:vertAlign w:val="superscript"/>
              </w:rPr>
              <w:t>3</w:t>
            </w:r>
            <w:r w:rsidRPr="00AC6820">
              <w:rPr>
                <w:szCs w:val="24"/>
              </w:rPr>
              <w:t>.pants:</w:t>
            </w:r>
          </w:p>
          <w:p w:rsidR="0046663D" w:rsidRPr="00AC6820" w:rsidP="0046663D" w14:paraId="6DF61F49" w14:textId="77777777">
            <w:pPr>
              <w:numPr>
                <w:ilvl w:val="0"/>
                <w:numId w:val="6"/>
              </w:numPr>
              <w:spacing w:after="0" w:line="240" w:lineRule="auto"/>
              <w:jc w:val="both"/>
              <w:rPr>
                <w:szCs w:val="24"/>
              </w:rPr>
            </w:pPr>
            <w:r w:rsidRPr="00AC6820">
              <w:rPr>
                <w:szCs w:val="24"/>
              </w:rPr>
              <w:t>samazina gan regulatoram, gan strīda iesaistītām pusēm formālus šķēršļus lai izbeigtu strīda izskatīšanas procesu, ja strīdā iesaistīt</w:t>
            </w:r>
            <w:r w:rsidRPr="00AC6820" w:rsidR="00A12D58">
              <w:rPr>
                <w:szCs w:val="24"/>
              </w:rPr>
              <w:t>ā</w:t>
            </w:r>
            <w:r w:rsidRPr="00AC6820">
              <w:rPr>
                <w:szCs w:val="24"/>
              </w:rPr>
              <w:t>s puses strīda izskatīšanas laikā ir vienojuš</w:t>
            </w:r>
            <w:r w:rsidRPr="00AC6820" w:rsidR="00A12D58">
              <w:rPr>
                <w:szCs w:val="24"/>
              </w:rPr>
              <w:t>ā</w:t>
            </w:r>
            <w:r w:rsidRPr="00AC6820">
              <w:rPr>
                <w:szCs w:val="24"/>
              </w:rPr>
              <w:t>s par izlīgumu;</w:t>
            </w:r>
          </w:p>
          <w:p w:rsidR="0046663D" w:rsidRPr="00AC6820" w:rsidP="0046663D" w14:paraId="161B12FB" w14:textId="77777777">
            <w:pPr>
              <w:numPr>
                <w:ilvl w:val="0"/>
                <w:numId w:val="6"/>
              </w:numPr>
              <w:spacing w:after="0" w:line="240" w:lineRule="auto"/>
              <w:jc w:val="both"/>
              <w:rPr>
                <w:szCs w:val="24"/>
              </w:rPr>
            </w:pPr>
            <w:r w:rsidRPr="00AC6820">
              <w:rPr>
                <w:szCs w:val="24"/>
              </w:rPr>
              <w:t>ierobežo strīdā iesaistīto pušu tiesības no jauna iesniegt regulatorā iesniegumu par strīda izskatīšanu attiecībā uz to pašu priekšmetu uz tā paša pamata, ja pirms tam puses ir vienojuš</w:t>
            </w:r>
            <w:r w:rsidRPr="00AC6820" w:rsidR="00A12D58">
              <w:rPr>
                <w:szCs w:val="24"/>
              </w:rPr>
              <w:t>ā</w:t>
            </w:r>
            <w:r w:rsidRPr="00AC6820">
              <w:rPr>
                <w:szCs w:val="24"/>
              </w:rPr>
              <w:t>s par izlīgumu un regulators Likumā noteiktā kārtībā ir izbeidzis strīda izskatīšanas procesu.</w:t>
            </w:r>
          </w:p>
        </w:tc>
      </w:tr>
      <w:tr w14:paraId="65F62BE5" w14:textId="77777777" w:rsidTr="00983892">
        <w:tblPrEx>
          <w:tblW w:w="5241" w:type="pct"/>
          <w:tblCellSpacing w:w="15" w:type="dxa"/>
          <w:tblCellMar>
            <w:top w:w="30" w:type="dxa"/>
            <w:left w:w="30" w:type="dxa"/>
            <w:bottom w:w="30" w:type="dxa"/>
            <w:right w:w="30" w:type="dxa"/>
          </w:tblCellMar>
          <w:tblLook w:val="04A0"/>
        </w:tblPrEx>
        <w:trPr>
          <w:trHeight w:val="465"/>
          <w:tblCellSpacing w:w="15" w:type="dxa"/>
        </w:trPr>
        <w:tc>
          <w:tcPr>
            <w:tcW w:w="235" w:type="pct"/>
            <w:tcBorders>
              <w:top w:val="outset" w:sz="6" w:space="0" w:color="auto"/>
              <w:left w:val="outset" w:sz="6" w:space="0" w:color="auto"/>
              <w:bottom w:val="outset" w:sz="6" w:space="0" w:color="auto"/>
              <w:right w:val="outset" w:sz="6" w:space="0" w:color="auto"/>
            </w:tcBorders>
            <w:hideMark/>
          </w:tcPr>
          <w:p w:rsidR="00786BE3" w:rsidRPr="00AC6820" w:rsidP="00786BE3" w14:paraId="3C39BBA6" w14:textId="77777777">
            <w:r w:rsidRPr="00AC6820">
              <w:t>3.</w:t>
            </w:r>
          </w:p>
        </w:tc>
        <w:tc>
          <w:tcPr>
            <w:tcW w:w="1458" w:type="pct"/>
            <w:tcBorders>
              <w:top w:val="outset" w:sz="6" w:space="0" w:color="auto"/>
              <w:left w:val="outset" w:sz="6" w:space="0" w:color="auto"/>
              <w:bottom w:val="outset" w:sz="6" w:space="0" w:color="auto"/>
              <w:right w:val="outset" w:sz="6" w:space="0" w:color="auto"/>
            </w:tcBorders>
            <w:hideMark/>
          </w:tcPr>
          <w:p w:rsidR="00786BE3" w:rsidRPr="00AC6820" w:rsidP="00786BE3" w14:paraId="0DE0B164" w14:textId="77777777">
            <w:r w:rsidRPr="00AC6820">
              <w:t>Projekta izstrādē iesaistītās institūcijas</w:t>
            </w:r>
            <w:r w:rsidRPr="00AC6820" w:rsidR="005538AB">
              <w:t xml:space="preserve"> un publiskas personas kapitālsabiedrības</w:t>
            </w:r>
          </w:p>
        </w:tc>
        <w:tc>
          <w:tcPr>
            <w:tcW w:w="3240" w:type="pct"/>
            <w:tcBorders>
              <w:top w:val="outset" w:sz="6" w:space="0" w:color="auto"/>
              <w:left w:val="outset" w:sz="6" w:space="0" w:color="auto"/>
              <w:bottom w:val="outset" w:sz="6" w:space="0" w:color="auto"/>
              <w:right w:val="outset" w:sz="6" w:space="0" w:color="auto"/>
            </w:tcBorders>
            <w:hideMark/>
          </w:tcPr>
          <w:p w:rsidR="00786BE3" w:rsidRPr="00AC6820" w:rsidP="00786BE3" w14:paraId="0001F3E4" w14:textId="77777777">
            <w:r w:rsidRPr="00AC6820">
              <w:t>Ekonomikas ministrija un regulators.</w:t>
            </w:r>
          </w:p>
        </w:tc>
      </w:tr>
      <w:tr w14:paraId="0037B3A0" w14:textId="77777777" w:rsidTr="00983892">
        <w:tblPrEx>
          <w:tblW w:w="5241" w:type="pct"/>
          <w:tblCellSpacing w:w="15" w:type="dxa"/>
          <w:tblCellMar>
            <w:top w:w="30" w:type="dxa"/>
            <w:left w:w="30" w:type="dxa"/>
            <w:bottom w:w="30" w:type="dxa"/>
            <w:right w:w="30" w:type="dxa"/>
          </w:tblCellMar>
          <w:tblLook w:val="04A0"/>
        </w:tblPrEx>
        <w:trPr>
          <w:tblCellSpacing w:w="15" w:type="dxa"/>
        </w:trPr>
        <w:tc>
          <w:tcPr>
            <w:tcW w:w="235" w:type="pct"/>
            <w:tcBorders>
              <w:top w:val="outset" w:sz="6" w:space="0" w:color="auto"/>
              <w:left w:val="outset" w:sz="6" w:space="0" w:color="auto"/>
              <w:bottom w:val="outset" w:sz="6" w:space="0" w:color="auto"/>
              <w:right w:val="outset" w:sz="6" w:space="0" w:color="auto"/>
            </w:tcBorders>
            <w:hideMark/>
          </w:tcPr>
          <w:p w:rsidR="00786BE3" w:rsidRPr="00AC6820" w:rsidP="00786BE3" w14:paraId="2FFEE7A1" w14:textId="77777777">
            <w:r w:rsidRPr="00AC6820">
              <w:t>4.</w:t>
            </w:r>
          </w:p>
        </w:tc>
        <w:tc>
          <w:tcPr>
            <w:tcW w:w="1458" w:type="pct"/>
            <w:tcBorders>
              <w:top w:val="outset" w:sz="6" w:space="0" w:color="auto"/>
              <w:left w:val="outset" w:sz="6" w:space="0" w:color="auto"/>
              <w:bottom w:val="outset" w:sz="6" w:space="0" w:color="auto"/>
              <w:right w:val="outset" w:sz="6" w:space="0" w:color="auto"/>
            </w:tcBorders>
            <w:hideMark/>
          </w:tcPr>
          <w:p w:rsidR="00786BE3" w:rsidRPr="00AC6820" w:rsidP="00786BE3" w14:paraId="6108E15B" w14:textId="77777777">
            <w:r w:rsidRPr="00AC6820">
              <w:t>Cita informācija</w:t>
            </w:r>
          </w:p>
        </w:tc>
        <w:tc>
          <w:tcPr>
            <w:tcW w:w="3240" w:type="pct"/>
            <w:tcBorders>
              <w:top w:val="outset" w:sz="6" w:space="0" w:color="auto"/>
              <w:left w:val="outset" w:sz="6" w:space="0" w:color="auto"/>
              <w:bottom w:val="outset" w:sz="6" w:space="0" w:color="auto"/>
              <w:right w:val="outset" w:sz="6" w:space="0" w:color="auto"/>
            </w:tcBorders>
            <w:hideMark/>
          </w:tcPr>
          <w:p w:rsidR="00786BE3" w:rsidRPr="00AC6820" w:rsidP="0095124B" w14:paraId="2CBA400B" w14:textId="77777777">
            <w:pPr>
              <w:spacing w:after="0" w:line="240" w:lineRule="auto"/>
              <w:jc w:val="both"/>
            </w:pPr>
            <w:r w:rsidRPr="00AC6820">
              <w:t>Nav</w:t>
            </w:r>
          </w:p>
        </w:tc>
      </w:tr>
    </w:tbl>
    <w:p w:rsidR="00786BE3" w:rsidP="00786BE3" w14:paraId="73F2BB7E" w14:textId="4F061403">
      <w:r w:rsidRPr="00AC6820">
        <w:t> </w:t>
      </w:r>
    </w:p>
    <w:p w:rsidR="00496122" w:rsidRPr="00AC6820" w:rsidP="00786BE3" w14:paraId="373A8E28" w14:textId="77777777"/>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53"/>
        <w:gridCol w:w="2563"/>
        <w:gridCol w:w="5274"/>
      </w:tblGrid>
      <w:tr w14:paraId="70EE281D" w14:textId="77777777" w:rsidTr="00786BE3">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86BE3" w:rsidRPr="00AC6820" w:rsidP="00A2624B" w14:paraId="420FBDB9" w14:textId="77777777">
            <w:pPr>
              <w:jc w:val="center"/>
              <w:rPr>
                <w:b/>
                <w:bCs/>
              </w:rPr>
            </w:pPr>
            <w:r w:rsidRPr="00AC6820">
              <w:rPr>
                <w:b/>
                <w:bCs/>
              </w:rPr>
              <w:t>II. Tiesību akta projekta ietekme uz sabiedrību, tautsaimniecības attīstību un administratīvo slogu</w:t>
            </w:r>
          </w:p>
        </w:tc>
      </w:tr>
      <w:tr w14:paraId="715F4036" w14:textId="77777777" w:rsidTr="00786BE3">
        <w:tblPrEx>
          <w:tblW w:w="5000" w:type="pct"/>
          <w:tblCellSpacing w:w="15" w:type="dxa"/>
          <w:tblCellMar>
            <w:top w:w="30" w:type="dxa"/>
            <w:left w:w="30" w:type="dxa"/>
            <w:bottom w:w="30" w:type="dxa"/>
            <w:right w:w="30" w:type="dxa"/>
          </w:tblCellMar>
          <w:tblLook w:val="04A0"/>
        </w:tblPrEx>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786BE3" w:rsidRPr="00AC6820" w:rsidP="00786BE3" w14:paraId="7B85CC6E" w14:textId="77777777">
            <w:r w:rsidRPr="00AC6820">
              <w:t>1.</w:t>
            </w:r>
          </w:p>
        </w:tc>
        <w:tc>
          <w:tcPr>
            <w:tcW w:w="1550" w:type="pct"/>
            <w:tcBorders>
              <w:top w:val="outset" w:sz="6" w:space="0" w:color="auto"/>
              <w:left w:val="outset" w:sz="6" w:space="0" w:color="auto"/>
              <w:bottom w:val="outset" w:sz="6" w:space="0" w:color="auto"/>
              <w:right w:val="outset" w:sz="6" w:space="0" w:color="auto"/>
            </w:tcBorders>
            <w:hideMark/>
          </w:tcPr>
          <w:p w:rsidR="00786BE3" w:rsidRPr="00AC6820" w:rsidP="00786BE3" w14:paraId="57008761" w14:textId="77777777">
            <w:r w:rsidRPr="00AC6820">
              <w:t xml:space="preserve">Sabiedrības </w:t>
            </w:r>
            <w:r w:rsidRPr="00AC6820">
              <w:t>mērķgrupas</w:t>
            </w:r>
            <w:r w:rsidRPr="00AC6820">
              <w:t>,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1D4CA8" w:rsidRPr="00AC6820" w:rsidP="00065B7D" w14:paraId="4A5671F9" w14:textId="77777777">
            <w:pPr>
              <w:spacing w:after="0" w:line="240" w:lineRule="auto"/>
              <w:ind w:left="35" w:firstLine="425"/>
              <w:jc w:val="both"/>
            </w:pPr>
            <w:r w:rsidRPr="00AC6820">
              <w:t>Komersants, kurš Likumā noteiktajās regulējamās nozarēs sniedz regulējamos sabiedriskos pakalpojumus, un kura darbība sabiedrisko pakalpojumu sniegšanā tiek regulēta saskaņā ar Likumu un regulatora padomes loceklis</w:t>
            </w:r>
            <w:r w:rsidRPr="00AC6820" w:rsidR="00A12D58">
              <w:t>.</w:t>
            </w:r>
          </w:p>
        </w:tc>
      </w:tr>
      <w:tr w14:paraId="30DD6E6B" w14:textId="77777777" w:rsidTr="0046663D">
        <w:tblPrEx>
          <w:tblW w:w="5000" w:type="pct"/>
          <w:tblCellSpacing w:w="15" w:type="dxa"/>
          <w:tblCellMar>
            <w:top w:w="30" w:type="dxa"/>
            <w:left w:w="30" w:type="dxa"/>
            <w:bottom w:w="30" w:type="dxa"/>
            <w:right w:w="30" w:type="dxa"/>
          </w:tblCellMar>
          <w:tblLook w:val="04A0"/>
        </w:tblPrEx>
        <w:trPr>
          <w:trHeight w:val="1268"/>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786BE3" w:rsidRPr="00AC6820" w:rsidP="00786BE3" w14:paraId="6E2F40E4" w14:textId="77777777">
            <w:r w:rsidRPr="00AC6820">
              <w:t>2.</w:t>
            </w:r>
          </w:p>
        </w:tc>
        <w:tc>
          <w:tcPr>
            <w:tcW w:w="1550" w:type="pct"/>
            <w:tcBorders>
              <w:top w:val="outset" w:sz="6" w:space="0" w:color="auto"/>
              <w:left w:val="outset" w:sz="6" w:space="0" w:color="auto"/>
              <w:bottom w:val="outset" w:sz="6" w:space="0" w:color="auto"/>
              <w:right w:val="outset" w:sz="6" w:space="0" w:color="auto"/>
            </w:tcBorders>
            <w:hideMark/>
          </w:tcPr>
          <w:p w:rsidR="00786BE3" w:rsidRPr="00AC6820" w:rsidP="00786BE3" w14:paraId="25D94C9D" w14:textId="77777777">
            <w:r w:rsidRPr="00AC6820">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786BE3" w:rsidRPr="00AC6820" w:rsidP="00065B7D" w14:paraId="1C5CD829" w14:textId="77777777">
            <w:pPr>
              <w:spacing w:after="0" w:line="240" w:lineRule="auto"/>
              <w:ind w:firstLine="460"/>
              <w:jc w:val="both"/>
            </w:pPr>
            <w:r w:rsidRPr="00AC6820">
              <w:t>Sabiedrības grupām un institūcijām projekta tiesiskais regulējums nemaina tiesības un pienākumus, kā arī veicamās darbības</w:t>
            </w:r>
            <w:r w:rsidRPr="00AC6820" w:rsidR="00A12D58">
              <w:t>.</w:t>
            </w:r>
          </w:p>
        </w:tc>
      </w:tr>
      <w:tr w14:paraId="15AA803A" w14:textId="77777777" w:rsidTr="00786BE3">
        <w:tblPrEx>
          <w:tblW w:w="5000" w:type="pct"/>
          <w:tblCellSpacing w:w="15" w:type="dxa"/>
          <w:tblCellMar>
            <w:top w:w="30" w:type="dxa"/>
            <w:left w:w="30" w:type="dxa"/>
            <w:bottom w:w="30" w:type="dxa"/>
            <w:right w:w="30" w:type="dxa"/>
          </w:tblCellMar>
          <w:tblLook w:val="04A0"/>
        </w:tblPrEx>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786BE3" w:rsidRPr="00AC6820" w:rsidP="00786BE3" w14:paraId="39E1CA53" w14:textId="77777777">
            <w:r w:rsidRPr="00AC6820">
              <w:t>3.</w:t>
            </w:r>
          </w:p>
        </w:tc>
        <w:tc>
          <w:tcPr>
            <w:tcW w:w="1550" w:type="pct"/>
            <w:tcBorders>
              <w:top w:val="outset" w:sz="6" w:space="0" w:color="auto"/>
              <w:left w:val="outset" w:sz="6" w:space="0" w:color="auto"/>
              <w:bottom w:val="outset" w:sz="6" w:space="0" w:color="auto"/>
              <w:right w:val="outset" w:sz="6" w:space="0" w:color="auto"/>
            </w:tcBorders>
            <w:hideMark/>
          </w:tcPr>
          <w:p w:rsidR="00786BE3" w:rsidRPr="00AC6820" w:rsidP="00786BE3" w14:paraId="261BA89F" w14:textId="77777777">
            <w:r w:rsidRPr="00AC6820">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786BE3" w:rsidRPr="00AC6820" w:rsidP="00786BE3" w14:paraId="0E20A6C5" w14:textId="77777777">
            <w:r w:rsidRPr="00AC6820">
              <w:t>Projekts šo jomu neskar</w:t>
            </w:r>
          </w:p>
        </w:tc>
      </w:tr>
      <w:tr w14:paraId="00956D1B" w14:textId="77777777" w:rsidTr="00786BE3">
        <w:tblPrEx>
          <w:tblW w:w="5000" w:type="pct"/>
          <w:tblCellSpacing w:w="15" w:type="dxa"/>
          <w:tblCellMar>
            <w:top w:w="30" w:type="dxa"/>
            <w:left w:w="30" w:type="dxa"/>
            <w:bottom w:w="30" w:type="dxa"/>
            <w:right w:w="30" w:type="dxa"/>
          </w:tblCellMar>
          <w:tblLook w:val="04A0"/>
        </w:tblPrEx>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tcPr>
          <w:p w:rsidR="005538AB" w:rsidRPr="00AC6820" w:rsidP="00786BE3" w14:paraId="4905EE70" w14:textId="77777777">
            <w:r w:rsidRPr="00AC6820">
              <w:t>4.</w:t>
            </w:r>
          </w:p>
        </w:tc>
        <w:tc>
          <w:tcPr>
            <w:tcW w:w="1550" w:type="pct"/>
            <w:tcBorders>
              <w:top w:val="outset" w:sz="6" w:space="0" w:color="auto"/>
              <w:left w:val="outset" w:sz="6" w:space="0" w:color="auto"/>
              <w:bottom w:val="outset" w:sz="6" w:space="0" w:color="auto"/>
              <w:right w:val="outset" w:sz="6" w:space="0" w:color="auto"/>
            </w:tcBorders>
          </w:tcPr>
          <w:p w:rsidR="005538AB" w:rsidRPr="00AC6820" w:rsidP="00786BE3" w14:paraId="03990F77" w14:textId="77777777">
            <w:r w:rsidRPr="00AC6820">
              <w:t>Atbilstības izmaksu monetārs novērtējums</w:t>
            </w:r>
          </w:p>
        </w:tc>
        <w:tc>
          <w:tcPr>
            <w:tcW w:w="3200" w:type="pct"/>
            <w:tcBorders>
              <w:top w:val="outset" w:sz="6" w:space="0" w:color="auto"/>
              <w:left w:val="outset" w:sz="6" w:space="0" w:color="auto"/>
              <w:bottom w:val="outset" w:sz="6" w:space="0" w:color="auto"/>
              <w:right w:val="outset" w:sz="6" w:space="0" w:color="auto"/>
            </w:tcBorders>
          </w:tcPr>
          <w:p w:rsidR="005538AB" w:rsidRPr="00AC6820" w:rsidP="00786BE3" w14:paraId="21F2F45E" w14:textId="77777777">
            <w:r w:rsidRPr="00AC6820">
              <w:t>Projekts šo jomu neskar</w:t>
            </w:r>
          </w:p>
        </w:tc>
      </w:tr>
      <w:tr w14:paraId="10C2F6D4" w14:textId="77777777" w:rsidTr="00786BE3">
        <w:tblPrEx>
          <w:tblW w:w="5000" w:type="pct"/>
          <w:tblCellSpacing w:w="15" w:type="dxa"/>
          <w:tblCellMar>
            <w:top w:w="30" w:type="dxa"/>
            <w:left w:w="30" w:type="dxa"/>
            <w:bottom w:w="30" w:type="dxa"/>
            <w:right w:w="30" w:type="dxa"/>
          </w:tblCellMar>
          <w:tblLook w:val="04A0"/>
        </w:tblPrEx>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786BE3" w:rsidRPr="00AC6820" w:rsidP="00786BE3" w14:paraId="7F8745B3" w14:textId="77777777">
            <w:r w:rsidRPr="00AC6820">
              <w:t>5</w:t>
            </w:r>
            <w:r w:rsidRPr="00AC6820">
              <w:t>.</w:t>
            </w:r>
          </w:p>
        </w:tc>
        <w:tc>
          <w:tcPr>
            <w:tcW w:w="1550" w:type="pct"/>
            <w:tcBorders>
              <w:top w:val="outset" w:sz="6" w:space="0" w:color="auto"/>
              <w:left w:val="outset" w:sz="6" w:space="0" w:color="auto"/>
              <w:bottom w:val="outset" w:sz="6" w:space="0" w:color="auto"/>
              <w:right w:val="outset" w:sz="6" w:space="0" w:color="auto"/>
            </w:tcBorders>
            <w:hideMark/>
          </w:tcPr>
          <w:p w:rsidR="00786BE3" w:rsidRPr="00AC6820" w:rsidP="00786BE3" w14:paraId="0389DA45" w14:textId="77777777">
            <w:r w:rsidRPr="00AC6820">
              <w:t>Cita informācija</w:t>
            </w:r>
          </w:p>
        </w:tc>
        <w:tc>
          <w:tcPr>
            <w:tcW w:w="3200" w:type="pct"/>
            <w:tcBorders>
              <w:top w:val="outset" w:sz="6" w:space="0" w:color="auto"/>
              <w:left w:val="outset" w:sz="6" w:space="0" w:color="auto"/>
              <w:bottom w:val="outset" w:sz="6" w:space="0" w:color="auto"/>
              <w:right w:val="outset" w:sz="6" w:space="0" w:color="auto"/>
            </w:tcBorders>
            <w:hideMark/>
          </w:tcPr>
          <w:p w:rsidR="00786BE3" w:rsidRPr="00AC6820" w:rsidP="00786BE3" w14:paraId="5A8739D8" w14:textId="77777777">
            <w:r w:rsidRPr="00AC6820">
              <w:t>Nav</w:t>
            </w:r>
          </w:p>
        </w:tc>
      </w:tr>
    </w:tbl>
    <w:p w:rsidR="00786BE3" w:rsidRPr="00AC6820" w:rsidP="00786BE3" w14:paraId="2283D0F3" w14:textId="77777777">
      <w:r w:rsidRPr="00AC6820">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290"/>
      </w:tblGrid>
      <w:tr w14:paraId="625A5FE5" w14:textId="77777777" w:rsidTr="00786BE3">
        <w:tblPrEx>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36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86BE3" w:rsidRPr="00AC6820" w:rsidP="00786BE3" w14:paraId="35F3BB04" w14:textId="77777777">
            <w:pPr>
              <w:rPr>
                <w:b/>
                <w:bCs/>
              </w:rPr>
            </w:pPr>
            <w:r w:rsidRPr="00AC6820">
              <w:rPr>
                <w:b/>
                <w:bCs/>
              </w:rPr>
              <w:t>III. Tiesību akta projekta ietekme uz valsts budžetu un pašvaldību budžetiem</w:t>
            </w:r>
          </w:p>
        </w:tc>
      </w:tr>
      <w:tr w14:paraId="4D84DC42" w14:textId="77777777" w:rsidTr="00786BE3">
        <w:tblPrEx>
          <w:tblW w:w="5000" w:type="pct"/>
          <w:jc w:val="center"/>
          <w:tblCellSpacing w:w="15" w:type="dxa"/>
          <w:tblCellMar>
            <w:top w:w="30" w:type="dxa"/>
            <w:left w:w="30" w:type="dxa"/>
            <w:bottom w:w="30" w:type="dxa"/>
            <w:right w:w="30" w:type="dxa"/>
          </w:tblCellMar>
          <w:tblLook w:val="04A0"/>
        </w:tblPrEx>
        <w:trPr>
          <w:trHeight w:val="36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A24F4" w:rsidRPr="00AC6820" w:rsidP="00786BE3" w14:paraId="401DAD0F" w14:textId="77777777">
            <w:pPr>
              <w:rPr>
                <w:bCs/>
              </w:rPr>
            </w:pPr>
            <w:r w:rsidRPr="00AC6820">
              <w:rPr>
                <w:bCs/>
              </w:rPr>
              <w:t>Projekts šo jomu neskar</w:t>
            </w:r>
          </w:p>
        </w:tc>
      </w:tr>
    </w:tbl>
    <w:p w:rsidR="00786BE3" w:rsidP="00786BE3" w14:paraId="7D02B893" w14:textId="6482CAB9">
      <w:r w:rsidRPr="00AC6820">
        <w:t> </w:t>
      </w:r>
    </w:p>
    <w:p w:rsidR="00496122" w:rsidRPr="00AC6820" w:rsidP="00786BE3" w14:paraId="08A81472" w14:textId="77777777"/>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54"/>
        <w:gridCol w:w="2399"/>
        <w:gridCol w:w="5437"/>
      </w:tblGrid>
      <w:tr w14:paraId="1869AB83" w14:textId="77777777" w:rsidTr="00786BE3">
        <w:tblPrEx>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86BE3" w:rsidRPr="00AC6820" w:rsidP="00A2624B" w14:paraId="6C6FCF1E" w14:textId="77777777">
            <w:pPr>
              <w:jc w:val="center"/>
              <w:rPr>
                <w:b/>
                <w:bCs/>
              </w:rPr>
            </w:pPr>
            <w:r w:rsidRPr="00AC6820">
              <w:rPr>
                <w:b/>
                <w:bCs/>
              </w:rPr>
              <w:t>IV. Tiesību akta projekta ietekme uz spēkā esošo tiesību normu sistēmu</w:t>
            </w:r>
          </w:p>
        </w:tc>
      </w:tr>
      <w:tr w14:paraId="6126C6AD" w14:textId="77777777" w:rsidTr="00786BE3">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786BE3" w:rsidRPr="00AC6820" w:rsidP="00786BE3" w14:paraId="28E56C93" w14:textId="77777777">
            <w:r w:rsidRPr="00AC6820">
              <w:t>1.</w:t>
            </w:r>
          </w:p>
        </w:tc>
        <w:tc>
          <w:tcPr>
            <w:tcW w:w="1450" w:type="pct"/>
            <w:tcBorders>
              <w:top w:val="outset" w:sz="6" w:space="0" w:color="auto"/>
              <w:left w:val="outset" w:sz="6" w:space="0" w:color="auto"/>
              <w:bottom w:val="outset" w:sz="6" w:space="0" w:color="auto"/>
              <w:right w:val="outset" w:sz="6" w:space="0" w:color="auto"/>
            </w:tcBorders>
            <w:hideMark/>
          </w:tcPr>
          <w:p w:rsidR="00786BE3" w:rsidRPr="00AC6820" w:rsidP="00786BE3" w14:paraId="04830EC9" w14:textId="77777777">
            <w:r w:rsidRPr="00AC6820">
              <w:t>Nepieciešamie saistītie tiesību aktu projekti</w:t>
            </w:r>
          </w:p>
        </w:tc>
        <w:tc>
          <w:tcPr>
            <w:tcW w:w="3300" w:type="pct"/>
            <w:tcBorders>
              <w:top w:val="outset" w:sz="6" w:space="0" w:color="auto"/>
              <w:left w:val="outset" w:sz="6" w:space="0" w:color="auto"/>
              <w:bottom w:val="outset" w:sz="6" w:space="0" w:color="auto"/>
              <w:right w:val="outset" w:sz="6" w:space="0" w:color="auto"/>
            </w:tcBorders>
            <w:hideMark/>
          </w:tcPr>
          <w:p w:rsidR="00786BE3" w:rsidRPr="00AC6820" w:rsidP="004224BC" w14:paraId="32DADE28" w14:textId="77777777">
            <w:pPr>
              <w:jc w:val="both"/>
            </w:pPr>
            <w:r w:rsidRPr="00AC6820">
              <w:t>Pēc Likuma spēkā stāšanās jāveic atbilstoši grozījumi Ministru kabineta 2001.gada 6.februārī noteikumos Nr.59 “Sabiedrisko pakalpojumu regulēšanas komisijas amatpersonu kandidātu konkursa nolikums”</w:t>
            </w:r>
            <w:r w:rsidRPr="00AC6820" w:rsidR="002D1FD3">
              <w:t xml:space="preserve"> (turpm</w:t>
            </w:r>
            <w:r w:rsidR="005A2130">
              <w:t>āk</w:t>
            </w:r>
            <w:r w:rsidRPr="00AC6820" w:rsidR="002D1FD3">
              <w:t xml:space="preserve"> – MK noteikumi) </w:t>
            </w:r>
            <w:r w:rsidRPr="00AC6820" w:rsidR="00A12D58">
              <w:t>.</w:t>
            </w:r>
          </w:p>
          <w:p w:rsidR="002D1FD3" w:rsidRPr="00AC6820" w:rsidP="00065B7D" w14:paraId="118973A9" w14:textId="77777777">
            <w:pPr>
              <w:spacing w:after="0" w:line="240" w:lineRule="auto"/>
              <w:jc w:val="both"/>
            </w:pPr>
            <w:r w:rsidRPr="00AC6820">
              <w:t>Grozījumi MK noteikumos pilnveidotu un precizētu regulatora padomes locekļu kandidātu virzīšanu apstiprināšanai Saeimā, vienlaicīgi nodrošinot regulatora padomes locekļu  atbilstīgu rotāciju.</w:t>
            </w:r>
          </w:p>
        </w:tc>
      </w:tr>
      <w:tr w14:paraId="24E65756" w14:textId="77777777" w:rsidTr="00786BE3">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786BE3" w:rsidRPr="00AC6820" w:rsidP="00786BE3" w14:paraId="27A0C21A" w14:textId="77777777">
            <w:r w:rsidRPr="00AC6820">
              <w:t>2.</w:t>
            </w:r>
          </w:p>
        </w:tc>
        <w:tc>
          <w:tcPr>
            <w:tcW w:w="1450" w:type="pct"/>
            <w:tcBorders>
              <w:top w:val="outset" w:sz="6" w:space="0" w:color="auto"/>
              <w:left w:val="outset" w:sz="6" w:space="0" w:color="auto"/>
              <w:bottom w:val="outset" w:sz="6" w:space="0" w:color="auto"/>
              <w:right w:val="outset" w:sz="6" w:space="0" w:color="auto"/>
            </w:tcBorders>
            <w:hideMark/>
          </w:tcPr>
          <w:p w:rsidR="00786BE3" w:rsidRPr="00AC6820" w:rsidP="00786BE3" w14:paraId="5D431E75" w14:textId="77777777">
            <w:r w:rsidRPr="00AC6820">
              <w:t>Atbildīgā institūcija</w:t>
            </w:r>
          </w:p>
        </w:tc>
        <w:tc>
          <w:tcPr>
            <w:tcW w:w="3300" w:type="pct"/>
            <w:tcBorders>
              <w:top w:val="outset" w:sz="6" w:space="0" w:color="auto"/>
              <w:left w:val="outset" w:sz="6" w:space="0" w:color="auto"/>
              <w:bottom w:val="outset" w:sz="6" w:space="0" w:color="auto"/>
              <w:right w:val="outset" w:sz="6" w:space="0" w:color="auto"/>
            </w:tcBorders>
            <w:hideMark/>
          </w:tcPr>
          <w:p w:rsidR="00786BE3" w:rsidRPr="00AC6820" w:rsidP="00786BE3" w14:paraId="72F4657D" w14:textId="77777777">
            <w:r w:rsidRPr="00AC6820">
              <w:t>Ekonomikas ministrija</w:t>
            </w:r>
          </w:p>
        </w:tc>
      </w:tr>
      <w:tr w14:paraId="39238948" w14:textId="77777777" w:rsidTr="00786BE3">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786BE3" w:rsidRPr="00AC6820" w:rsidP="00786BE3" w14:paraId="33B13983" w14:textId="77777777">
            <w:r w:rsidRPr="00AC6820">
              <w:t>3.</w:t>
            </w:r>
          </w:p>
        </w:tc>
        <w:tc>
          <w:tcPr>
            <w:tcW w:w="1450" w:type="pct"/>
            <w:tcBorders>
              <w:top w:val="outset" w:sz="6" w:space="0" w:color="auto"/>
              <w:left w:val="outset" w:sz="6" w:space="0" w:color="auto"/>
              <w:bottom w:val="outset" w:sz="6" w:space="0" w:color="auto"/>
              <w:right w:val="outset" w:sz="6" w:space="0" w:color="auto"/>
            </w:tcBorders>
            <w:hideMark/>
          </w:tcPr>
          <w:p w:rsidR="00786BE3" w:rsidRPr="00AC6820" w:rsidP="00786BE3" w14:paraId="30F82411" w14:textId="77777777">
            <w:r w:rsidRPr="00AC6820">
              <w:t>Cita informācija</w:t>
            </w:r>
          </w:p>
        </w:tc>
        <w:tc>
          <w:tcPr>
            <w:tcW w:w="3300" w:type="pct"/>
            <w:tcBorders>
              <w:top w:val="outset" w:sz="6" w:space="0" w:color="auto"/>
              <w:left w:val="outset" w:sz="6" w:space="0" w:color="auto"/>
              <w:bottom w:val="outset" w:sz="6" w:space="0" w:color="auto"/>
              <w:right w:val="outset" w:sz="6" w:space="0" w:color="auto"/>
            </w:tcBorders>
            <w:hideMark/>
          </w:tcPr>
          <w:p w:rsidR="00786BE3" w:rsidRPr="00AC6820" w:rsidP="00786BE3" w14:paraId="3A8C72F9" w14:textId="77777777">
            <w:r w:rsidRPr="00AC6820">
              <w:t>Nav</w:t>
            </w:r>
          </w:p>
        </w:tc>
      </w:tr>
    </w:tbl>
    <w:p w:rsidR="00786BE3" w:rsidP="00786BE3" w14:paraId="23566C4B" w14:textId="2C6A7058">
      <w:r w:rsidRPr="00AC6820">
        <w:t> </w:t>
      </w:r>
    </w:p>
    <w:p w:rsidR="00496122" w:rsidRPr="00AC6820" w:rsidP="00786BE3" w14:paraId="0A649805" w14:textId="77777777"/>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54"/>
        <w:gridCol w:w="2399"/>
        <w:gridCol w:w="5437"/>
      </w:tblGrid>
      <w:tr w14:paraId="258C7348" w14:textId="77777777" w:rsidTr="00786BE3">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86BE3" w:rsidRPr="00AC6820" w:rsidP="00A2624B" w14:paraId="45854A9E" w14:textId="77777777">
            <w:pPr>
              <w:jc w:val="center"/>
              <w:rPr>
                <w:b/>
                <w:bCs/>
              </w:rPr>
            </w:pPr>
            <w:r w:rsidRPr="00AC6820">
              <w:rPr>
                <w:b/>
                <w:bCs/>
              </w:rPr>
              <w:t>V. Tiesību akta projekta atbilstība Latvijas Republikas starptautiskajām saistībām</w:t>
            </w:r>
          </w:p>
        </w:tc>
      </w:tr>
      <w:tr w14:paraId="70A3261A" w14:textId="77777777" w:rsidTr="00786BE3">
        <w:tblPrEx>
          <w:tblW w:w="5000" w:type="pct"/>
          <w:tblCellSpacing w:w="15" w:type="dxa"/>
          <w:tblCellMar>
            <w:top w:w="30" w:type="dxa"/>
            <w:left w:w="30" w:type="dxa"/>
            <w:bottom w:w="30" w:type="dxa"/>
            <w:right w:w="30" w:type="dxa"/>
          </w:tblCellMar>
          <w:tblLook w:val="04A0"/>
        </w:tblPrEx>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786BE3" w:rsidRPr="00AC6820" w:rsidP="00786BE3" w14:paraId="182F4981" w14:textId="77777777">
            <w:r w:rsidRPr="00AC6820">
              <w:t>1.</w:t>
            </w:r>
          </w:p>
        </w:tc>
        <w:tc>
          <w:tcPr>
            <w:tcW w:w="4890" w:type="dxa"/>
            <w:tcBorders>
              <w:top w:val="outset" w:sz="6" w:space="0" w:color="auto"/>
              <w:left w:val="outset" w:sz="6" w:space="0" w:color="auto"/>
              <w:bottom w:val="outset" w:sz="6" w:space="0" w:color="auto"/>
              <w:right w:val="outset" w:sz="6" w:space="0" w:color="auto"/>
            </w:tcBorders>
            <w:hideMark/>
          </w:tcPr>
          <w:p w:rsidR="00786BE3" w:rsidRPr="00AC6820" w:rsidP="00786BE3" w14:paraId="6923A41D" w14:textId="77777777">
            <w:r w:rsidRPr="00AC6820">
              <w:t>Saistības pret Eiropas Savienību</w:t>
            </w:r>
          </w:p>
        </w:tc>
        <w:tc>
          <w:tcPr>
            <w:tcW w:w="3300" w:type="pct"/>
            <w:tcBorders>
              <w:top w:val="outset" w:sz="6" w:space="0" w:color="auto"/>
              <w:left w:val="outset" w:sz="6" w:space="0" w:color="auto"/>
              <w:bottom w:val="outset" w:sz="6" w:space="0" w:color="auto"/>
              <w:right w:val="outset" w:sz="6" w:space="0" w:color="auto"/>
            </w:tcBorders>
            <w:hideMark/>
          </w:tcPr>
          <w:p w:rsidR="002D1FD3" w:rsidRPr="00AC6820" w:rsidP="00065B7D" w14:paraId="175BECF7" w14:textId="77777777">
            <w:pPr>
              <w:spacing w:before="120" w:after="0" w:line="240" w:lineRule="auto"/>
              <w:jc w:val="both"/>
            </w:pPr>
            <w:r w:rsidRPr="00AC6820">
              <w:t>Likumprojektā ir iekļautas tiesību normas, kas izriet no:</w:t>
            </w:r>
          </w:p>
          <w:p w:rsidR="002D1FD3" w:rsidRPr="00AC6820" w:rsidP="00065B7D" w14:paraId="3C9E7FF2" w14:textId="77777777">
            <w:pPr>
              <w:numPr>
                <w:ilvl w:val="0"/>
                <w:numId w:val="11"/>
              </w:numPr>
              <w:spacing w:before="120" w:after="0" w:line="240" w:lineRule="auto"/>
              <w:jc w:val="both"/>
            </w:pPr>
            <w:r w:rsidRPr="00AC6820">
              <w:t>Eiropas Parlamenta un Padomes 2009.gada 13.jūlija Direktīv</w:t>
            </w:r>
            <w:r w:rsidRPr="00AC6820" w:rsidR="00B341F9">
              <w:t>a</w:t>
            </w:r>
            <w:r w:rsidRPr="00AC6820">
              <w:t xml:space="preserve"> 2009/72/EK par kopīgiem noteikumiem attiecībā uz elektroenerģijas iekšējo tirgu, ar ko atceļ Direktīvu 2003/54/EK;</w:t>
            </w:r>
          </w:p>
          <w:p w:rsidR="002D1FD3" w:rsidRPr="00AC6820" w:rsidP="00065B7D" w14:paraId="279F33F1" w14:textId="77777777">
            <w:pPr>
              <w:numPr>
                <w:ilvl w:val="0"/>
                <w:numId w:val="11"/>
              </w:numPr>
              <w:spacing w:before="120" w:after="0" w:line="240" w:lineRule="auto"/>
              <w:jc w:val="both"/>
            </w:pPr>
            <w:r w:rsidRPr="00AC6820">
              <w:t>Eiropas Parlamenta un Padomes 2009.gada 13.jūlija  Direktīv</w:t>
            </w:r>
            <w:r w:rsidRPr="00AC6820" w:rsidR="00B341F9">
              <w:t>as</w:t>
            </w:r>
            <w:r w:rsidRPr="00AC6820">
              <w:t xml:space="preserve"> 2009/73/EK par kopīgiem noteikumiem attiecībā uz dabasgāzes iekšējo tirgu un par Direktīvas 2003/55/EK atcelšanu;</w:t>
            </w:r>
          </w:p>
          <w:p w:rsidR="002D1FD3" w:rsidRPr="00AC6820" w:rsidP="00065B7D" w14:paraId="219873E7" w14:textId="77777777">
            <w:pPr>
              <w:numPr>
                <w:ilvl w:val="0"/>
                <w:numId w:val="11"/>
              </w:numPr>
              <w:spacing w:before="120" w:after="0" w:line="240" w:lineRule="auto"/>
              <w:jc w:val="both"/>
            </w:pPr>
            <w:r w:rsidRPr="00AC6820">
              <w:t xml:space="preserve">Eiropas Parlamenta un Padomes 2011.gada 25.oktobra Regulas Nr.1227/2011 par enerģijas </w:t>
            </w:r>
            <w:r w:rsidRPr="00AC6820">
              <w:t>vairumtirgus</w:t>
            </w:r>
            <w:r w:rsidRPr="00AC6820">
              <w:t xml:space="preserve"> integritāti un </w:t>
            </w:r>
            <w:r w:rsidRPr="00AC6820">
              <w:t>pārredzamību</w:t>
            </w:r>
            <w:r w:rsidRPr="00AC6820">
              <w:t xml:space="preserve"> (REMIT).</w:t>
            </w:r>
          </w:p>
        </w:tc>
      </w:tr>
      <w:tr w14:paraId="16AC3A93" w14:textId="77777777" w:rsidTr="00786BE3">
        <w:tblPrEx>
          <w:tblW w:w="5000" w:type="pct"/>
          <w:tblCellSpacing w:w="15" w:type="dxa"/>
          <w:tblCellMar>
            <w:top w:w="30" w:type="dxa"/>
            <w:left w:w="30" w:type="dxa"/>
            <w:bottom w:w="30" w:type="dxa"/>
            <w:right w:w="30" w:type="dxa"/>
          </w:tblCellMar>
          <w:tblLook w:val="04A0"/>
        </w:tblPrEx>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786BE3" w:rsidRPr="00AC6820" w:rsidP="00786BE3" w14:paraId="3DF9B4B2" w14:textId="77777777">
            <w:r w:rsidRPr="00AC6820">
              <w:t>2.</w:t>
            </w:r>
          </w:p>
        </w:tc>
        <w:tc>
          <w:tcPr>
            <w:tcW w:w="4890" w:type="dxa"/>
            <w:tcBorders>
              <w:top w:val="outset" w:sz="6" w:space="0" w:color="auto"/>
              <w:left w:val="outset" w:sz="6" w:space="0" w:color="auto"/>
              <w:bottom w:val="outset" w:sz="6" w:space="0" w:color="auto"/>
              <w:right w:val="outset" w:sz="6" w:space="0" w:color="auto"/>
            </w:tcBorders>
            <w:hideMark/>
          </w:tcPr>
          <w:p w:rsidR="00786BE3" w:rsidRPr="00AC6820" w:rsidP="00786BE3" w14:paraId="2F95F73E" w14:textId="77777777">
            <w:r w:rsidRPr="00AC6820">
              <w:t>Citas starptautiskās saistības</w:t>
            </w:r>
          </w:p>
        </w:tc>
        <w:tc>
          <w:tcPr>
            <w:tcW w:w="3300" w:type="pct"/>
            <w:tcBorders>
              <w:top w:val="outset" w:sz="6" w:space="0" w:color="auto"/>
              <w:left w:val="outset" w:sz="6" w:space="0" w:color="auto"/>
              <w:bottom w:val="outset" w:sz="6" w:space="0" w:color="auto"/>
              <w:right w:val="outset" w:sz="6" w:space="0" w:color="auto"/>
            </w:tcBorders>
            <w:hideMark/>
          </w:tcPr>
          <w:p w:rsidR="005538AB" w:rsidRPr="00AC6820" w:rsidP="00786BE3" w14:paraId="273AD28D" w14:textId="77777777">
            <w:r w:rsidRPr="00AC6820">
              <w:t>Projekts šo jomu neskar</w:t>
            </w:r>
          </w:p>
        </w:tc>
      </w:tr>
      <w:tr w14:paraId="7CCC5919" w14:textId="77777777" w:rsidTr="00786BE3">
        <w:tblPrEx>
          <w:tblW w:w="5000" w:type="pct"/>
          <w:tblCellSpacing w:w="15" w:type="dxa"/>
          <w:tblCellMar>
            <w:top w:w="30" w:type="dxa"/>
            <w:left w:w="30" w:type="dxa"/>
            <w:bottom w:w="30" w:type="dxa"/>
            <w:right w:w="30" w:type="dxa"/>
          </w:tblCellMar>
          <w:tblLook w:val="04A0"/>
        </w:tblPrEx>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786BE3" w:rsidRPr="00AC6820" w:rsidP="00786BE3" w14:paraId="684FDA96" w14:textId="77777777">
            <w:r w:rsidRPr="00AC6820">
              <w:t>3.</w:t>
            </w:r>
          </w:p>
        </w:tc>
        <w:tc>
          <w:tcPr>
            <w:tcW w:w="4890" w:type="dxa"/>
            <w:tcBorders>
              <w:top w:val="outset" w:sz="6" w:space="0" w:color="auto"/>
              <w:left w:val="outset" w:sz="6" w:space="0" w:color="auto"/>
              <w:bottom w:val="outset" w:sz="6" w:space="0" w:color="auto"/>
              <w:right w:val="outset" w:sz="6" w:space="0" w:color="auto"/>
            </w:tcBorders>
            <w:hideMark/>
          </w:tcPr>
          <w:p w:rsidR="00786BE3" w:rsidRPr="00AC6820" w:rsidP="00786BE3" w14:paraId="5A81ADBE" w14:textId="77777777">
            <w:r w:rsidRPr="00AC6820">
              <w:t>Cita informācija</w:t>
            </w:r>
          </w:p>
        </w:tc>
        <w:tc>
          <w:tcPr>
            <w:tcW w:w="3300" w:type="pct"/>
            <w:tcBorders>
              <w:top w:val="outset" w:sz="6" w:space="0" w:color="auto"/>
              <w:left w:val="outset" w:sz="6" w:space="0" w:color="auto"/>
              <w:bottom w:val="outset" w:sz="6" w:space="0" w:color="auto"/>
              <w:right w:val="outset" w:sz="6" w:space="0" w:color="auto"/>
            </w:tcBorders>
            <w:hideMark/>
          </w:tcPr>
          <w:p w:rsidR="00786BE3" w:rsidRPr="00AC6820" w:rsidP="00786BE3" w14:paraId="3BF33887" w14:textId="77777777">
            <w:r w:rsidRPr="00AC6820">
              <w:t>Nav</w:t>
            </w:r>
          </w:p>
        </w:tc>
      </w:tr>
    </w:tbl>
    <w:p w:rsidR="00786BE3" w:rsidRPr="00AC6820" w:rsidP="00786BE3" w14:paraId="46830DEA" w14:textId="77777777">
      <w:r w:rsidRPr="00AC6820">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78"/>
        <w:gridCol w:w="1813"/>
        <w:gridCol w:w="2288"/>
        <w:gridCol w:w="2311"/>
      </w:tblGrid>
      <w:tr w14:paraId="6AD4F639" w14:textId="77777777" w:rsidTr="00786BE3">
        <w:tblPrEx>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786BE3" w:rsidRPr="00AC6820" w:rsidP="00A2624B" w14:paraId="2CB9B156" w14:textId="77777777">
            <w:pPr>
              <w:jc w:val="center"/>
              <w:rPr>
                <w:b/>
                <w:bCs/>
              </w:rPr>
            </w:pPr>
            <w:r w:rsidRPr="00AC6820">
              <w:rPr>
                <w:b/>
                <w:bCs/>
              </w:rPr>
              <w:t>1.tabula</w:t>
            </w:r>
            <w:r w:rsidRPr="00AC6820">
              <w:rPr>
                <w:b/>
                <w:bCs/>
              </w:rPr>
              <w:br/>
              <w:t>Tiesību akta projekta atbilstība ES tiesību aktiem</w:t>
            </w:r>
          </w:p>
        </w:tc>
      </w:tr>
      <w:tr w14:paraId="663775F2" w14:textId="77777777" w:rsidTr="00275B33">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1113" w:type="pct"/>
            <w:tcBorders>
              <w:top w:val="outset" w:sz="6" w:space="0" w:color="auto"/>
              <w:left w:val="outset" w:sz="6" w:space="0" w:color="auto"/>
              <w:bottom w:val="outset" w:sz="6" w:space="0" w:color="auto"/>
              <w:right w:val="outset" w:sz="6" w:space="0" w:color="auto"/>
            </w:tcBorders>
            <w:hideMark/>
          </w:tcPr>
          <w:p w:rsidR="00786BE3" w:rsidRPr="00AC6820" w:rsidP="00786BE3" w14:paraId="06F6DB93" w14:textId="77777777">
            <w:r w:rsidRPr="00AC6820">
              <w:t>Attiecīgā ES tiesību akta datums, numurs un nosaukums</w:t>
            </w:r>
          </w:p>
        </w:tc>
        <w:tc>
          <w:tcPr>
            <w:tcW w:w="3832" w:type="pct"/>
            <w:gridSpan w:val="3"/>
            <w:tcBorders>
              <w:top w:val="outset" w:sz="6" w:space="0" w:color="auto"/>
              <w:left w:val="outset" w:sz="6" w:space="0" w:color="auto"/>
              <w:bottom w:val="outset" w:sz="6" w:space="0" w:color="auto"/>
              <w:right w:val="outset" w:sz="6" w:space="0" w:color="auto"/>
            </w:tcBorders>
            <w:hideMark/>
          </w:tcPr>
          <w:p w:rsidR="00275B33" w:rsidRPr="00AC6820" w:rsidP="00065B7D" w14:paraId="47525B69" w14:textId="77777777">
            <w:pPr>
              <w:spacing w:before="120" w:after="0" w:line="240" w:lineRule="auto"/>
            </w:pPr>
            <w:r w:rsidRPr="00AC6820">
              <w:t>Eiropas Parlamenta un Padomes 2009. gada 13. jūlija Direktīvu 2009/72/EK par kopīgiem noteikumiem attiecībā uz elektroenerģijas iekšējo tirgu, ar ko atceļ Direktīvu 2003/54/EK (turpmāk – Direktīva 2009/72/EK)</w:t>
            </w:r>
            <w:r w:rsidRPr="00AC6820" w:rsidR="00A12D58">
              <w:t>.</w:t>
            </w:r>
          </w:p>
          <w:p w:rsidR="00786BE3" w:rsidRPr="00AC6820" w:rsidP="00065B7D" w14:paraId="3D89B026" w14:textId="77777777">
            <w:pPr>
              <w:spacing w:before="120" w:after="0" w:line="240" w:lineRule="auto"/>
            </w:pPr>
            <w:r w:rsidRPr="00AC6820">
              <w:t>Eiropas Parlamenta un Padomes 2009. gada 13. jūlija  Direktīvu 2009/73/EK par kopīgiem noteikumiem attiecībā uz dabasgāzes iekšējo tirgu un par Direktīvas 2003/55/EK atcelšanu (turpmāk – Direktīva 2009/73/EK)</w:t>
            </w:r>
            <w:r w:rsidRPr="00AC6820" w:rsidR="00A12D58">
              <w:t>.</w:t>
            </w:r>
          </w:p>
        </w:tc>
      </w:tr>
      <w:tr w14:paraId="1C9725C3" w14:textId="77777777" w:rsidTr="00275B33">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1113" w:type="pct"/>
            <w:tcBorders>
              <w:top w:val="outset" w:sz="6" w:space="0" w:color="auto"/>
              <w:left w:val="outset" w:sz="6" w:space="0" w:color="auto"/>
              <w:bottom w:val="outset" w:sz="6" w:space="0" w:color="auto"/>
              <w:right w:val="outset" w:sz="6" w:space="0" w:color="auto"/>
            </w:tcBorders>
            <w:vAlign w:val="center"/>
            <w:hideMark/>
          </w:tcPr>
          <w:p w:rsidR="00786BE3" w:rsidRPr="00AC6820" w:rsidP="00786BE3" w14:paraId="78B4C470" w14:textId="77777777">
            <w:r w:rsidRPr="00AC6820">
              <w:t>A</w:t>
            </w:r>
          </w:p>
        </w:tc>
        <w:tc>
          <w:tcPr>
            <w:tcW w:w="1083" w:type="pct"/>
            <w:tcBorders>
              <w:top w:val="outset" w:sz="6" w:space="0" w:color="auto"/>
              <w:left w:val="outset" w:sz="6" w:space="0" w:color="auto"/>
              <w:bottom w:val="outset" w:sz="6" w:space="0" w:color="auto"/>
              <w:right w:val="outset" w:sz="6" w:space="0" w:color="auto"/>
            </w:tcBorders>
            <w:vAlign w:val="center"/>
            <w:hideMark/>
          </w:tcPr>
          <w:p w:rsidR="00786BE3" w:rsidRPr="00AC6820" w:rsidP="00786BE3" w14:paraId="49E102BC" w14:textId="77777777">
            <w:r w:rsidRPr="00AC6820">
              <w:t>B</w:t>
            </w:r>
          </w:p>
        </w:tc>
        <w:tc>
          <w:tcPr>
            <w:tcW w:w="1372" w:type="pct"/>
            <w:tcBorders>
              <w:top w:val="outset" w:sz="6" w:space="0" w:color="auto"/>
              <w:left w:val="outset" w:sz="6" w:space="0" w:color="auto"/>
              <w:bottom w:val="outset" w:sz="6" w:space="0" w:color="auto"/>
              <w:right w:val="outset" w:sz="6" w:space="0" w:color="auto"/>
            </w:tcBorders>
            <w:vAlign w:val="center"/>
            <w:hideMark/>
          </w:tcPr>
          <w:p w:rsidR="00786BE3" w:rsidRPr="00AC6820" w:rsidP="00786BE3" w14:paraId="5832BE7C" w14:textId="77777777">
            <w:r w:rsidRPr="00AC6820">
              <w:t>C</w:t>
            </w:r>
          </w:p>
        </w:tc>
        <w:tc>
          <w:tcPr>
            <w:tcW w:w="1342" w:type="pct"/>
            <w:tcBorders>
              <w:top w:val="outset" w:sz="6" w:space="0" w:color="auto"/>
              <w:left w:val="outset" w:sz="6" w:space="0" w:color="auto"/>
              <w:bottom w:val="outset" w:sz="6" w:space="0" w:color="auto"/>
              <w:right w:val="outset" w:sz="6" w:space="0" w:color="auto"/>
            </w:tcBorders>
            <w:vAlign w:val="center"/>
            <w:hideMark/>
          </w:tcPr>
          <w:p w:rsidR="00786BE3" w:rsidRPr="00AC6820" w:rsidP="00786BE3" w14:paraId="2DC2933C" w14:textId="77777777">
            <w:r w:rsidRPr="00AC6820">
              <w:t>D</w:t>
            </w:r>
          </w:p>
        </w:tc>
      </w:tr>
      <w:tr w14:paraId="61714495" w14:textId="77777777" w:rsidTr="00275B33">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1113" w:type="pct"/>
            <w:tcBorders>
              <w:top w:val="outset" w:sz="6" w:space="0" w:color="auto"/>
              <w:left w:val="outset" w:sz="6" w:space="0" w:color="auto"/>
              <w:bottom w:val="outset" w:sz="6" w:space="0" w:color="auto"/>
              <w:right w:val="outset" w:sz="6" w:space="0" w:color="auto"/>
            </w:tcBorders>
            <w:hideMark/>
          </w:tcPr>
          <w:p w:rsidR="00275B33" w:rsidRPr="00AC6820" w:rsidP="00275B33" w14:paraId="6D906FD2" w14:textId="77777777">
            <w:r w:rsidRPr="00AC6820">
              <w:t>Direktīvas 2009/72/EK 35.panta 5.punkts</w:t>
            </w:r>
          </w:p>
          <w:p w:rsidR="00786BE3" w:rsidRPr="00AC6820" w:rsidP="00275B33" w14:paraId="591EBE27" w14:textId="77777777">
            <w:r w:rsidRPr="00AC6820">
              <w:t>Direktīvas 2009/73/EK 39.panta 5.punkts</w:t>
            </w:r>
          </w:p>
          <w:p w:rsidR="00275B33" w:rsidRPr="00AC6820" w:rsidP="00275B33" w14:paraId="0B71C98B" w14:textId="77777777"/>
        </w:tc>
        <w:tc>
          <w:tcPr>
            <w:tcW w:w="1083" w:type="pct"/>
            <w:tcBorders>
              <w:top w:val="outset" w:sz="6" w:space="0" w:color="auto"/>
              <w:left w:val="outset" w:sz="6" w:space="0" w:color="auto"/>
              <w:bottom w:val="outset" w:sz="6" w:space="0" w:color="auto"/>
              <w:right w:val="outset" w:sz="6" w:space="0" w:color="auto"/>
            </w:tcBorders>
            <w:hideMark/>
          </w:tcPr>
          <w:p w:rsidR="00786BE3" w:rsidRPr="00AC6820" w:rsidP="00786BE3" w14:paraId="274D9823" w14:textId="77777777">
            <w:r w:rsidRPr="00AC6820">
              <w:t xml:space="preserve">Likumprojekta </w:t>
            </w:r>
            <w:r w:rsidRPr="00AC6820" w:rsidR="006162BF">
              <w:t>1.</w:t>
            </w:r>
            <w:r w:rsidRPr="00AC6820">
              <w:t xml:space="preserve"> pants</w:t>
            </w:r>
          </w:p>
        </w:tc>
        <w:tc>
          <w:tcPr>
            <w:tcW w:w="1372" w:type="pct"/>
            <w:tcBorders>
              <w:top w:val="outset" w:sz="6" w:space="0" w:color="auto"/>
              <w:left w:val="outset" w:sz="6" w:space="0" w:color="auto"/>
              <w:bottom w:val="outset" w:sz="6" w:space="0" w:color="auto"/>
              <w:right w:val="outset" w:sz="6" w:space="0" w:color="auto"/>
            </w:tcBorders>
            <w:hideMark/>
          </w:tcPr>
          <w:p w:rsidR="00275B33" w:rsidRPr="00AC6820" w:rsidP="00275B33" w14:paraId="66D24ADB" w14:textId="77777777">
            <w:r w:rsidRPr="00AC6820">
              <w:t xml:space="preserve">Prasības tiek </w:t>
            </w:r>
            <w:r w:rsidRPr="00AC6820" w:rsidR="00786BE3">
              <w:t xml:space="preserve">pārņemtas pilnībā </w:t>
            </w:r>
          </w:p>
          <w:p w:rsidR="00786BE3" w:rsidRPr="00AC6820" w:rsidP="00786BE3" w14:paraId="2C8EB317" w14:textId="77777777"/>
        </w:tc>
        <w:tc>
          <w:tcPr>
            <w:tcW w:w="1342" w:type="pct"/>
            <w:tcBorders>
              <w:top w:val="outset" w:sz="6" w:space="0" w:color="auto"/>
              <w:left w:val="outset" w:sz="6" w:space="0" w:color="auto"/>
              <w:bottom w:val="outset" w:sz="6" w:space="0" w:color="auto"/>
              <w:right w:val="outset" w:sz="6" w:space="0" w:color="auto"/>
            </w:tcBorders>
            <w:hideMark/>
          </w:tcPr>
          <w:p w:rsidR="00275B33" w:rsidRPr="00AC6820" w:rsidP="00275B33" w14:paraId="797932AC" w14:textId="77777777">
            <w:r w:rsidRPr="00AC6820">
              <w:t>Likumprojekts ne</w:t>
            </w:r>
            <w:r w:rsidRPr="00AC6820" w:rsidR="00786BE3">
              <w:t>paredz stin</w:t>
            </w:r>
            <w:r w:rsidRPr="00AC6820">
              <w:t>grākas prasības.</w:t>
            </w:r>
          </w:p>
          <w:p w:rsidR="00786BE3" w:rsidRPr="00AC6820" w:rsidP="00786BE3" w14:paraId="3999EEF7" w14:textId="77777777"/>
        </w:tc>
      </w:tr>
      <w:tr w14:paraId="6C6544E5" w14:textId="77777777" w:rsidTr="00275B33">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1113" w:type="pct"/>
            <w:tcBorders>
              <w:top w:val="outset" w:sz="6" w:space="0" w:color="auto"/>
              <w:left w:val="outset" w:sz="6" w:space="0" w:color="auto"/>
              <w:bottom w:val="outset" w:sz="6" w:space="0" w:color="auto"/>
              <w:right w:val="outset" w:sz="6" w:space="0" w:color="auto"/>
            </w:tcBorders>
            <w:hideMark/>
          </w:tcPr>
          <w:p w:rsidR="00786BE3" w:rsidRPr="00AC6820" w:rsidP="00786BE3" w14:paraId="5160F393" w14:textId="77777777">
            <w:r w:rsidRPr="00AC6820">
              <w:t>Kā ir izmantota ES tiesību aktā paredzētā rīcības brīvība dalībvalstij pārņemt vai ieviest noteiktas ES tiesību akta normas?</w:t>
            </w:r>
            <w:r w:rsidRPr="00AC6820">
              <w:br/>
              <w:t>Kādēļ?</w:t>
            </w:r>
          </w:p>
        </w:tc>
        <w:tc>
          <w:tcPr>
            <w:tcW w:w="3832" w:type="pct"/>
            <w:gridSpan w:val="3"/>
            <w:tcBorders>
              <w:top w:val="outset" w:sz="6" w:space="0" w:color="auto"/>
              <w:left w:val="outset" w:sz="6" w:space="0" w:color="auto"/>
              <w:bottom w:val="outset" w:sz="6" w:space="0" w:color="auto"/>
              <w:right w:val="outset" w:sz="6" w:space="0" w:color="auto"/>
            </w:tcBorders>
            <w:hideMark/>
          </w:tcPr>
          <w:p w:rsidR="00786BE3" w:rsidRPr="00AC6820" w:rsidP="00786BE3" w14:paraId="0F6D3A61" w14:textId="77777777">
            <w:r w:rsidRPr="00AC6820">
              <w:t>Projekts šo jomu neskar</w:t>
            </w:r>
          </w:p>
        </w:tc>
      </w:tr>
      <w:tr w14:paraId="5E71927B" w14:textId="77777777" w:rsidTr="00275B33">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1113" w:type="pct"/>
            <w:tcBorders>
              <w:top w:val="outset" w:sz="6" w:space="0" w:color="auto"/>
              <w:left w:val="outset" w:sz="6" w:space="0" w:color="auto"/>
              <w:bottom w:val="outset" w:sz="6" w:space="0" w:color="auto"/>
              <w:right w:val="outset" w:sz="6" w:space="0" w:color="auto"/>
            </w:tcBorders>
            <w:hideMark/>
          </w:tcPr>
          <w:p w:rsidR="00786BE3" w:rsidRPr="00AC6820" w:rsidP="00786BE3" w14:paraId="04110519" w14:textId="77777777">
            <w:r w:rsidRPr="00AC6820">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32" w:type="pct"/>
            <w:gridSpan w:val="3"/>
            <w:tcBorders>
              <w:top w:val="outset" w:sz="6" w:space="0" w:color="auto"/>
              <w:left w:val="outset" w:sz="6" w:space="0" w:color="auto"/>
              <w:bottom w:val="outset" w:sz="6" w:space="0" w:color="auto"/>
              <w:right w:val="outset" w:sz="6" w:space="0" w:color="auto"/>
            </w:tcBorders>
            <w:hideMark/>
          </w:tcPr>
          <w:p w:rsidR="00786BE3" w:rsidRPr="00AC6820" w:rsidP="00786BE3" w14:paraId="1BFD45F5" w14:textId="77777777">
            <w:r w:rsidRPr="00AC6820">
              <w:t>Projekts šo jomu neskar</w:t>
            </w:r>
          </w:p>
        </w:tc>
      </w:tr>
      <w:tr w14:paraId="55C1EB40" w14:textId="77777777" w:rsidTr="00275B33">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1113" w:type="pct"/>
            <w:tcBorders>
              <w:top w:val="outset" w:sz="6" w:space="0" w:color="auto"/>
              <w:left w:val="outset" w:sz="6" w:space="0" w:color="auto"/>
              <w:bottom w:val="outset" w:sz="6" w:space="0" w:color="auto"/>
              <w:right w:val="outset" w:sz="6" w:space="0" w:color="auto"/>
            </w:tcBorders>
            <w:hideMark/>
          </w:tcPr>
          <w:p w:rsidR="00786BE3" w:rsidRPr="00AC6820" w:rsidP="00786BE3" w14:paraId="460D67A7" w14:textId="77777777">
            <w:r w:rsidRPr="00AC6820">
              <w:t>Cita informācija</w:t>
            </w:r>
          </w:p>
        </w:tc>
        <w:tc>
          <w:tcPr>
            <w:tcW w:w="3832" w:type="pct"/>
            <w:gridSpan w:val="3"/>
            <w:tcBorders>
              <w:top w:val="outset" w:sz="6" w:space="0" w:color="auto"/>
              <w:left w:val="outset" w:sz="6" w:space="0" w:color="auto"/>
              <w:bottom w:val="outset" w:sz="6" w:space="0" w:color="auto"/>
              <w:right w:val="outset" w:sz="6" w:space="0" w:color="auto"/>
            </w:tcBorders>
            <w:hideMark/>
          </w:tcPr>
          <w:p w:rsidR="00786BE3" w:rsidRPr="00AC6820" w:rsidP="00786BE3" w14:paraId="0B4E4BE3" w14:textId="77777777">
            <w:r w:rsidRPr="00AC6820">
              <w:t>Nav</w:t>
            </w:r>
          </w:p>
        </w:tc>
      </w:tr>
    </w:tbl>
    <w:p w:rsidR="00786BE3" w:rsidP="00786BE3" w14:paraId="0B6AE167" w14:textId="78487C24">
      <w:r w:rsidRPr="00AC6820">
        <w:t> </w:t>
      </w:r>
    </w:p>
    <w:p w:rsidR="00496122" w:rsidRPr="00AC6820" w:rsidP="00786BE3" w14:paraId="0FCF58B5" w14:textId="77777777"/>
    <w:tbl>
      <w:tblPr>
        <w:tblW w:w="5000"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535"/>
        <w:gridCol w:w="2808"/>
        <w:gridCol w:w="4947"/>
      </w:tblGrid>
      <w:tr w14:paraId="5E0576AD" w14:textId="77777777" w:rsidTr="005538AB">
        <w:tblPrEx>
          <w:tblW w:w="5000"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538AB" w:rsidRPr="00AC6820" w:rsidP="005538AB" w14:paraId="1E55D628" w14:textId="77777777">
            <w:pPr>
              <w:spacing w:before="100" w:beforeAutospacing="1" w:after="100" w:afterAutospacing="1" w:line="240" w:lineRule="auto"/>
              <w:jc w:val="center"/>
              <w:rPr>
                <w:rFonts w:eastAsia="Times New Roman"/>
                <w:b/>
                <w:bCs/>
                <w:szCs w:val="24"/>
                <w:lang w:eastAsia="lv-LV"/>
              </w:rPr>
            </w:pPr>
            <w:r w:rsidRPr="00AC6820">
              <w:rPr>
                <w:rFonts w:eastAsia="Times New Roman"/>
                <w:b/>
                <w:bCs/>
                <w:szCs w:val="24"/>
                <w:lang w:eastAsia="lv-LV"/>
              </w:rPr>
              <w:t>VI. Sabiedrības līdzdalība un komunikācijas aktivitātes</w:t>
            </w:r>
          </w:p>
        </w:tc>
      </w:tr>
      <w:tr w14:paraId="358F6188" w14:textId="77777777" w:rsidTr="005538AB">
        <w:tblPrEx>
          <w:tblW w:w="5000" w:type="pct"/>
          <w:tblCellSpacing w:w="15" w:type="dxa"/>
          <w:tblCellMar>
            <w:top w:w="24" w:type="dxa"/>
            <w:left w:w="24" w:type="dxa"/>
            <w:bottom w:w="24" w:type="dxa"/>
            <w:right w:w="24"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D221D" w:rsidRPr="00AC6820" w:rsidP="000D221D" w14:paraId="12A6A2E4" w14:textId="77777777">
            <w:pPr>
              <w:spacing w:before="100" w:beforeAutospacing="1" w:after="100" w:afterAutospacing="1" w:line="240" w:lineRule="auto"/>
              <w:jc w:val="center"/>
              <w:rPr>
                <w:rFonts w:eastAsia="Times New Roman"/>
                <w:szCs w:val="24"/>
                <w:lang w:eastAsia="lv-LV"/>
              </w:rPr>
            </w:pPr>
            <w:r w:rsidRPr="00AC6820">
              <w:rPr>
                <w:rFonts w:eastAsia="Times New Roman"/>
                <w:szCs w:val="24"/>
                <w:lang w:eastAsia="lv-LV"/>
              </w:rPr>
              <w:t>1.</w:t>
            </w:r>
          </w:p>
        </w:tc>
        <w:tc>
          <w:tcPr>
            <w:tcW w:w="1676" w:type="pct"/>
            <w:tcBorders>
              <w:top w:val="outset" w:sz="6" w:space="0" w:color="auto"/>
              <w:left w:val="outset" w:sz="6" w:space="0" w:color="auto"/>
              <w:bottom w:val="outset" w:sz="6" w:space="0" w:color="auto"/>
              <w:right w:val="outset" w:sz="6" w:space="0" w:color="auto"/>
            </w:tcBorders>
            <w:hideMark/>
          </w:tcPr>
          <w:p w:rsidR="000D221D" w:rsidRPr="00AC6820" w:rsidP="000D221D" w14:paraId="1DC3C8B7" w14:textId="77777777">
            <w:pPr>
              <w:spacing w:after="0" w:line="240" w:lineRule="auto"/>
              <w:rPr>
                <w:rFonts w:eastAsia="Times New Roman"/>
                <w:szCs w:val="24"/>
                <w:lang w:eastAsia="lv-LV"/>
              </w:rPr>
            </w:pPr>
            <w:r w:rsidRPr="00AC6820">
              <w:rPr>
                <w:rFonts w:eastAsia="Times New Roman"/>
                <w:szCs w:val="24"/>
                <w:lang w:eastAsia="lv-LV"/>
              </w:rPr>
              <w:t>Plānotās sabiedrības līdzdalības un komunikācijas aktivitātes saistībā ar projektu</w:t>
            </w:r>
          </w:p>
        </w:tc>
        <w:tc>
          <w:tcPr>
            <w:tcW w:w="2957" w:type="pct"/>
            <w:tcBorders>
              <w:top w:val="outset" w:sz="6" w:space="0" w:color="auto"/>
              <w:left w:val="outset" w:sz="6" w:space="0" w:color="auto"/>
              <w:bottom w:val="outset" w:sz="6" w:space="0" w:color="auto"/>
              <w:right w:val="outset" w:sz="6" w:space="0" w:color="auto"/>
            </w:tcBorders>
            <w:hideMark/>
          </w:tcPr>
          <w:p w:rsidR="00D55A44" w:rsidRPr="00AC6820" w:rsidP="000D221D" w14:paraId="7AF7DDAF" w14:textId="77777777">
            <w:pPr>
              <w:pStyle w:val="naiskr"/>
              <w:spacing w:before="0" w:after="0"/>
              <w:ind w:left="57" w:right="57"/>
              <w:jc w:val="both"/>
              <w:rPr>
                <w:iCs/>
              </w:rPr>
            </w:pPr>
            <w:r w:rsidRPr="00AC6820">
              <w:rPr>
                <w:rStyle w:val="st1"/>
                <w:bCs/>
              </w:rPr>
              <w:t>S</w:t>
            </w:r>
            <w:r w:rsidRPr="00AC6820">
              <w:rPr>
                <w:iCs/>
              </w:rPr>
              <w:t xml:space="preserve">abiedrības līdzdalība likumprojekta izstrādē </w:t>
            </w:r>
            <w:r w:rsidR="005A2130">
              <w:rPr>
                <w:iCs/>
              </w:rPr>
              <w:t>ir</w:t>
            </w:r>
            <w:r w:rsidRPr="00AC6820">
              <w:rPr>
                <w:iCs/>
              </w:rPr>
              <w:t xml:space="preserve"> nodrošināta, 1) nosūtot aicinājumu sociālajiem partneriem sniegt viedokli par sagatavotajiem priekšlikumiem pirms tā izsludināšanas Valsts sekretāru sanāksmē, kā arī 2) publicējot likumprojektu Ekonomikas ministrijas mājas lapā 2 nedēļas pirms tā izsludināšanas Valsts sekretāru sanāksmē.</w:t>
            </w:r>
          </w:p>
          <w:p w:rsidR="000D221D" w:rsidRPr="00AC6820" w:rsidP="00B670A4" w14:paraId="12006E2D" w14:textId="77777777">
            <w:pPr>
              <w:pStyle w:val="naiskr"/>
              <w:spacing w:before="0" w:after="0"/>
              <w:ind w:left="57" w:right="57"/>
              <w:jc w:val="both"/>
            </w:pPr>
            <w:r w:rsidRPr="00AC6820">
              <w:rPr>
                <w:iCs/>
              </w:rPr>
              <w:t>Pēc likumprojekta izsludināšanas Valsts sekretāru sanāksmē, t</w:t>
            </w:r>
            <w:r w:rsidRPr="00AC6820" w:rsidR="00D55A44">
              <w:rPr>
                <w:iCs/>
              </w:rPr>
              <w:t xml:space="preserve">urpmākā likumprojekta saskaņošanas gaita tiks nodrošināta </w:t>
            </w:r>
            <w:r w:rsidRPr="00AC6820">
              <w:rPr>
                <w:iCs/>
              </w:rPr>
              <w:t>Ministru kabineta kārtības rullī noteiktajā kārtībā.</w:t>
            </w:r>
          </w:p>
        </w:tc>
      </w:tr>
      <w:tr w14:paraId="0C474BF8" w14:textId="77777777" w:rsidTr="005538AB">
        <w:tblPrEx>
          <w:tblW w:w="5000" w:type="pct"/>
          <w:tblCellSpacing w:w="15" w:type="dxa"/>
          <w:tblCellMar>
            <w:top w:w="24" w:type="dxa"/>
            <w:left w:w="24" w:type="dxa"/>
            <w:bottom w:w="24" w:type="dxa"/>
            <w:right w:w="24"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D221D" w:rsidRPr="00AC6820" w:rsidP="000D221D" w14:paraId="589D6630" w14:textId="77777777">
            <w:pPr>
              <w:spacing w:before="100" w:beforeAutospacing="1" w:after="100" w:afterAutospacing="1" w:line="240" w:lineRule="auto"/>
              <w:jc w:val="center"/>
              <w:rPr>
                <w:rFonts w:eastAsia="Times New Roman"/>
                <w:szCs w:val="24"/>
                <w:lang w:eastAsia="lv-LV"/>
              </w:rPr>
            </w:pPr>
            <w:r w:rsidRPr="00AC6820">
              <w:rPr>
                <w:rFonts w:eastAsia="Times New Roman"/>
                <w:szCs w:val="24"/>
                <w:lang w:eastAsia="lv-LV"/>
              </w:rPr>
              <w:t>2.</w:t>
            </w:r>
          </w:p>
        </w:tc>
        <w:tc>
          <w:tcPr>
            <w:tcW w:w="1676" w:type="pct"/>
            <w:tcBorders>
              <w:top w:val="outset" w:sz="6" w:space="0" w:color="auto"/>
              <w:left w:val="outset" w:sz="6" w:space="0" w:color="auto"/>
              <w:bottom w:val="outset" w:sz="6" w:space="0" w:color="auto"/>
              <w:right w:val="outset" w:sz="6" w:space="0" w:color="auto"/>
            </w:tcBorders>
            <w:hideMark/>
          </w:tcPr>
          <w:p w:rsidR="000D221D" w:rsidRPr="00AC6820" w:rsidP="000D221D" w14:paraId="296619BA" w14:textId="77777777">
            <w:pPr>
              <w:spacing w:after="0" w:line="240" w:lineRule="auto"/>
              <w:rPr>
                <w:rFonts w:eastAsia="Times New Roman"/>
                <w:szCs w:val="24"/>
                <w:lang w:eastAsia="lv-LV"/>
              </w:rPr>
            </w:pPr>
            <w:r w:rsidRPr="00AC6820">
              <w:rPr>
                <w:rFonts w:eastAsia="Times New Roman"/>
                <w:szCs w:val="24"/>
                <w:lang w:eastAsia="lv-LV"/>
              </w:rPr>
              <w:t>Sabiedrības līdzdalība projekta izstrādē</w:t>
            </w:r>
          </w:p>
        </w:tc>
        <w:tc>
          <w:tcPr>
            <w:tcW w:w="2957" w:type="pct"/>
            <w:tcBorders>
              <w:top w:val="outset" w:sz="6" w:space="0" w:color="auto"/>
              <w:left w:val="outset" w:sz="6" w:space="0" w:color="auto"/>
              <w:bottom w:val="outset" w:sz="6" w:space="0" w:color="auto"/>
              <w:right w:val="outset" w:sz="6" w:space="0" w:color="auto"/>
            </w:tcBorders>
            <w:hideMark/>
          </w:tcPr>
          <w:p w:rsidR="000D221D" w:rsidRPr="00AC6820" w:rsidP="00B34418" w14:paraId="4CF5C9B0" w14:textId="77777777">
            <w:pPr>
              <w:spacing w:after="0" w:line="240" w:lineRule="auto"/>
              <w:jc w:val="both"/>
              <w:rPr>
                <w:rFonts w:eastAsia="Times New Roman"/>
                <w:szCs w:val="24"/>
                <w:lang w:eastAsia="lv-LV"/>
              </w:rPr>
            </w:pPr>
            <w:r w:rsidRPr="00AC6820">
              <w:rPr>
                <w:rFonts w:eastAsia="Times New Roman"/>
                <w:szCs w:val="24"/>
                <w:lang w:eastAsia="lv-LV"/>
              </w:rPr>
              <w:t xml:space="preserve">Likumprojekts </w:t>
            </w:r>
            <w:r w:rsidR="005A2130">
              <w:rPr>
                <w:rFonts w:eastAsia="Times New Roman"/>
                <w:szCs w:val="24"/>
                <w:lang w:eastAsia="lv-LV"/>
              </w:rPr>
              <w:t xml:space="preserve">2018.gada </w:t>
            </w:r>
            <w:r w:rsidR="001D2FBA">
              <w:rPr>
                <w:rFonts w:eastAsia="Times New Roman"/>
                <w:szCs w:val="24"/>
                <w:lang w:eastAsia="lv-LV"/>
              </w:rPr>
              <w:t>3.aprīlī</w:t>
            </w:r>
            <w:r w:rsidR="005A2130">
              <w:rPr>
                <w:rFonts w:eastAsia="Times New Roman"/>
                <w:szCs w:val="24"/>
                <w:lang w:eastAsia="lv-LV"/>
              </w:rPr>
              <w:t xml:space="preserve"> tika</w:t>
            </w:r>
            <w:r w:rsidRPr="00AC6820">
              <w:rPr>
                <w:rFonts w:eastAsia="Times New Roman"/>
                <w:szCs w:val="24"/>
                <w:lang w:eastAsia="lv-LV"/>
              </w:rPr>
              <w:t xml:space="preserve"> nosūtīts saskaņošanai Latvijas Tirdzniecības un rūpniecības kamerai, Latvijas Darba devēju konfederācijai un Latvijas Informācijas un komunikācijas tehnoloģijas asociācijai.</w:t>
            </w:r>
            <w:r w:rsidR="001D2FBA">
              <w:rPr>
                <w:rFonts w:eastAsia="Times New Roman"/>
                <w:szCs w:val="24"/>
                <w:lang w:eastAsia="lv-LV"/>
              </w:rPr>
              <w:t xml:space="preserve"> </w:t>
            </w:r>
          </w:p>
        </w:tc>
      </w:tr>
      <w:tr w14:paraId="0C2CBF21" w14:textId="77777777" w:rsidTr="005538AB">
        <w:tblPrEx>
          <w:tblW w:w="5000" w:type="pct"/>
          <w:tblCellSpacing w:w="15" w:type="dxa"/>
          <w:tblCellMar>
            <w:top w:w="24" w:type="dxa"/>
            <w:left w:w="24" w:type="dxa"/>
            <w:bottom w:w="24" w:type="dxa"/>
            <w:right w:w="24"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D221D" w:rsidRPr="00AC6820" w:rsidP="000D221D" w14:paraId="263A1335" w14:textId="77777777">
            <w:pPr>
              <w:spacing w:before="100" w:beforeAutospacing="1" w:after="100" w:afterAutospacing="1" w:line="240" w:lineRule="auto"/>
              <w:jc w:val="center"/>
              <w:rPr>
                <w:rFonts w:eastAsia="Times New Roman"/>
                <w:szCs w:val="24"/>
                <w:lang w:eastAsia="lv-LV"/>
              </w:rPr>
            </w:pPr>
            <w:r w:rsidRPr="00AC6820">
              <w:rPr>
                <w:rFonts w:eastAsia="Times New Roman"/>
                <w:szCs w:val="24"/>
                <w:lang w:eastAsia="lv-LV"/>
              </w:rPr>
              <w:t>3.</w:t>
            </w:r>
          </w:p>
        </w:tc>
        <w:tc>
          <w:tcPr>
            <w:tcW w:w="1676" w:type="pct"/>
            <w:tcBorders>
              <w:top w:val="outset" w:sz="6" w:space="0" w:color="auto"/>
              <w:left w:val="outset" w:sz="6" w:space="0" w:color="auto"/>
              <w:bottom w:val="outset" w:sz="6" w:space="0" w:color="auto"/>
              <w:right w:val="outset" w:sz="6" w:space="0" w:color="auto"/>
            </w:tcBorders>
            <w:hideMark/>
          </w:tcPr>
          <w:p w:rsidR="000D221D" w:rsidRPr="00AC6820" w:rsidP="000D221D" w14:paraId="1CFF8EE1" w14:textId="77777777">
            <w:pPr>
              <w:spacing w:after="0" w:line="240" w:lineRule="auto"/>
              <w:rPr>
                <w:rFonts w:eastAsia="Times New Roman"/>
                <w:szCs w:val="24"/>
                <w:lang w:eastAsia="lv-LV"/>
              </w:rPr>
            </w:pPr>
            <w:r w:rsidRPr="00AC6820">
              <w:rPr>
                <w:rFonts w:eastAsia="Times New Roman"/>
                <w:szCs w:val="24"/>
                <w:lang w:eastAsia="lv-LV"/>
              </w:rPr>
              <w:t>Sabiedrības līdzdalības rezultāti</w:t>
            </w:r>
          </w:p>
        </w:tc>
        <w:tc>
          <w:tcPr>
            <w:tcW w:w="2957" w:type="pct"/>
            <w:tcBorders>
              <w:top w:val="outset" w:sz="6" w:space="0" w:color="auto"/>
              <w:left w:val="outset" w:sz="6" w:space="0" w:color="auto"/>
              <w:bottom w:val="outset" w:sz="6" w:space="0" w:color="auto"/>
              <w:right w:val="outset" w:sz="6" w:space="0" w:color="auto"/>
            </w:tcBorders>
            <w:hideMark/>
          </w:tcPr>
          <w:p w:rsidR="001D2FBA" w:rsidRPr="0058105A" w:rsidP="001D2FBA" w14:paraId="1319112D" w14:textId="77777777">
            <w:pPr>
              <w:spacing w:after="0" w:line="240" w:lineRule="auto"/>
              <w:jc w:val="both"/>
              <w:rPr>
                <w:rFonts w:eastAsia="Times New Roman"/>
                <w:szCs w:val="24"/>
                <w:lang w:eastAsia="lv-LV"/>
              </w:rPr>
            </w:pPr>
            <w:r w:rsidRPr="0058105A">
              <w:rPr>
                <w:rFonts w:eastAsia="Times New Roman"/>
                <w:szCs w:val="24"/>
                <w:lang w:eastAsia="lv-LV"/>
              </w:rPr>
              <w:t>Latvijas Darba devēju konfederācija:</w:t>
            </w:r>
          </w:p>
          <w:p w:rsidR="001D2FBA" w:rsidRPr="0058105A" w:rsidP="001D2FBA" w14:paraId="43B4B11B" w14:textId="77777777">
            <w:pPr>
              <w:numPr>
                <w:ilvl w:val="0"/>
                <w:numId w:val="14"/>
              </w:numPr>
              <w:spacing w:after="0" w:line="240" w:lineRule="auto"/>
              <w:jc w:val="both"/>
              <w:rPr>
                <w:szCs w:val="24"/>
              </w:rPr>
            </w:pPr>
            <w:r w:rsidRPr="0058105A">
              <w:rPr>
                <w:szCs w:val="24"/>
              </w:rPr>
              <w:t>aicina tiesību normas, kas izriet no REMIT</w:t>
            </w:r>
            <w:r w:rsidRPr="0058105A" w:rsidR="00C711EB">
              <w:rPr>
                <w:szCs w:val="24"/>
              </w:rPr>
              <w:t xml:space="preserve">, </w:t>
            </w:r>
            <w:r w:rsidRPr="0058105A">
              <w:rPr>
                <w:szCs w:val="24"/>
              </w:rPr>
              <w:t xml:space="preserve"> iestrādāt atsevišķā nodaļā (</w:t>
            </w:r>
            <w:r w:rsidRPr="0058105A" w:rsidR="008F69FA">
              <w:rPr>
                <w:i/>
                <w:szCs w:val="24"/>
              </w:rPr>
              <w:t>Ņ</w:t>
            </w:r>
            <w:r w:rsidRPr="0058105A">
              <w:rPr>
                <w:i/>
                <w:szCs w:val="24"/>
              </w:rPr>
              <w:t>emts vērā</w:t>
            </w:r>
            <w:r w:rsidRPr="0058105A">
              <w:rPr>
                <w:szCs w:val="24"/>
              </w:rPr>
              <w:t>);</w:t>
            </w:r>
          </w:p>
          <w:p w:rsidR="001D2FBA" w:rsidRPr="0058105A" w:rsidP="001D2FBA" w14:paraId="05FB36C6" w14:textId="77777777">
            <w:pPr>
              <w:numPr>
                <w:ilvl w:val="0"/>
                <w:numId w:val="14"/>
              </w:numPr>
              <w:spacing w:after="0" w:line="240" w:lineRule="auto"/>
              <w:jc w:val="both"/>
              <w:rPr>
                <w:szCs w:val="24"/>
              </w:rPr>
            </w:pPr>
            <w:r w:rsidRPr="0058105A">
              <w:rPr>
                <w:szCs w:val="24"/>
              </w:rPr>
              <w:t xml:space="preserve">aicina tiesību normas, kas nosaka regulatora izmeklēšanas procesu REMIT prasību nodrošināšanai, papildināt ar tiesību normām </w:t>
            </w:r>
            <w:r w:rsidRPr="0058105A">
              <w:rPr>
                <w:bCs/>
                <w:szCs w:val="24"/>
              </w:rPr>
              <w:t>par procesa norisi iestādē</w:t>
            </w:r>
            <w:r w:rsidRPr="0058105A" w:rsidR="0094662A">
              <w:rPr>
                <w:bCs/>
                <w:szCs w:val="24"/>
              </w:rPr>
              <w:t xml:space="preserve"> (likumprojekta 3.pants)</w:t>
            </w:r>
            <w:r w:rsidRPr="0058105A" w:rsidR="00C711EB">
              <w:rPr>
                <w:bCs/>
                <w:szCs w:val="24"/>
              </w:rPr>
              <w:t>;</w:t>
            </w:r>
            <w:r w:rsidRPr="0058105A">
              <w:rPr>
                <w:bCs/>
                <w:szCs w:val="24"/>
              </w:rPr>
              <w:t xml:space="preserve"> </w:t>
            </w:r>
          </w:p>
          <w:p w:rsidR="00C71E12" w:rsidRPr="0058105A" w:rsidP="00C71E12" w14:paraId="1170F4DE" w14:textId="77777777">
            <w:pPr>
              <w:spacing w:after="0" w:line="240" w:lineRule="auto"/>
              <w:ind w:left="360"/>
              <w:jc w:val="both"/>
              <w:rPr>
                <w:szCs w:val="24"/>
              </w:rPr>
            </w:pPr>
            <w:r w:rsidRPr="0058105A">
              <w:rPr>
                <w:szCs w:val="24"/>
              </w:rPr>
              <w:t>(</w:t>
            </w:r>
            <w:r w:rsidRPr="0058105A">
              <w:rPr>
                <w:i/>
                <w:szCs w:val="24"/>
              </w:rPr>
              <w:t>Nav ņemts vērā</w:t>
            </w:r>
            <w:r w:rsidRPr="0058105A">
              <w:rPr>
                <w:szCs w:val="24"/>
              </w:rPr>
              <w:t xml:space="preserve">. Likumprojektā ietverto enerģijas </w:t>
            </w:r>
            <w:r w:rsidRPr="0058105A">
              <w:rPr>
                <w:szCs w:val="24"/>
              </w:rPr>
              <w:t>vairumtirgus</w:t>
            </w:r>
            <w:r w:rsidRPr="0058105A">
              <w:rPr>
                <w:szCs w:val="24"/>
              </w:rPr>
              <w:t xml:space="preserve"> uzraudzības tiesisko regulējumu ir iespējams realizēt Administratīvā procesa likumā noteiktā procesa ietvaros, atsevišķos Likumprojektā paredzētajos gadījumos piemērojot speciālo regulējumu.)</w:t>
            </w:r>
          </w:p>
          <w:p w:rsidR="00C711EB" w:rsidRPr="0058105A" w:rsidP="00EB4FA5" w14:paraId="356E9F32" w14:textId="77777777">
            <w:pPr>
              <w:numPr>
                <w:ilvl w:val="0"/>
                <w:numId w:val="14"/>
              </w:numPr>
              <w:spacing w:after="0" w:line="240" w:lineRule="auto"/>
              <w:jc w:val="both"/>
              <w:rPr>
                <w:szCs w:val="24"/>
              </w:rPr>
            </w:pPr>
            <w:r w:rsidRPr="0058105A">
              <w:rPr>
                <w:szCs w:val="24"/>
              </w:rPr>
              <w:t>i</w:t>
            </w:r>
            <w:r w:rsidRPr="0058105A" w:rsidR="00C71E12">
              <w:rPr>
                <w:szCs w:val="24"/>
              </w:rPr>
              <w:t xml:space="preserve">ebilst pret regulatoram </w:t>
            </w:r>
            <w:r w:rsidRPr="0058105A">
              <w:rPr>
                <w:szCs w:val="24"/>
              </w:rPr>
              <w:t xml:space="preserve">likumprojektā paredzētajām tiesībām, lai </w:t>
            </w:r>
            <w:r w:rsidRPr="0058105A" w:rsidR="00C71E12">
              <w:rPr>
                <w:szCs w:val="24"/>
              </w:rPr>
              <w:t>vei</w:t>
            </w:r>
            <w:r w:rsidRPr="0058105A">
              <w:rPr>
                <w:szCs w:val="24"/>
              </w:rPr>
              <w:t>ktu</w:t>
            </w:r>
            <w:r w:rsidRPr="0058105A" w:rsidR="00C71E12">
              <w:rPr>
                <w:szCs w:val="24"/>
              </w:rPr>
              <w:t xml:space="preserve"> enerģijas </w:t>
            </w:r>
            <w:r w:rsidRPr="0058105A" w:rsidR="00C71E12">
              <w:rPr>
                <w:szCs w:val="24"/>
              </w:rPr>
              <w:t>vairumtirgus</w:t>
            </w:r>
            <w:r w:rsidRPr="0058105A" w:rsidR="00C71E12">
              <w:rPr>
                <w:szCs w:val="24"/>
              </w:rPr>
              <w:t xml:space="preserve"> uzraudzību atbilstoši </w:t>
            </w:r>
            <w:r w:rsidRPr="0058105A">
              <w:rPr>
                <w:szCs w:val="24"/>
              </w:rPr>
              <w:t xml:space="preserve">REMIT </w:t>
            </w:r>
            <w:r w:rsidRPr="0058105A" w:rsidR="00C71E12">
              <w:rPr>
                <w:szCs w:val="24"/>
              </w:rPr>
              <w:t>prasībām</w:t>
            </w:r>
            <w:r w:rsidRPr="0058105A" w:rsidR="0094662A">
              <w:rPr>
                <w:szCs w:val="24"/>
              </w:rPr>
              <w:t xml:space="preserve"> </w:t>
            </w:r>
            <w:r w:rsidRPr="0058105A" w:rsidR="0094662A">
              <w:rPr>
                <w:bCs/>
                <w:szCs w:val="24"/>
              </w:rPr>
              <w:t xml:space="preserve">(likumprojekta 3.pants; likuma </w:t>
            </w:r>
            <w:r w:rsidRPr="0058105A" w:rsidR="0094662A">
              <w:rPr>
                <w:szCs w:val="24"/>
              </w:rPr>
              <w:t>15.</w:t>
            </w:r>
            <w:r w:rsidRPr="0058105A" w:rsidR="0094662A">
              <w:rPr>
                <w:szCs w:val="24"/>
                <w:vertAlign w:val="superscript"/>
              </w:rPr>
              <w:t xml:space="preserve">3 </w:t>
            </w:r>
            <w:r w:rsidRPr="0058105A" w:rsidR="0094662A">
              <w:rPr>
                <w:szCs w:val="24"/>
              </w:rPr>
              <w:t>pants</w:t>
            </w:r>
            <w:r w:rsidRPr="0058105A" w:rsidR="0094662A">
              <w:rPr>
                <w:bCs/>
                <w:szCs w:val="24"/>
              </w:rPr>
              <w:t>)</w:t>
            </w:r>
            <w:r w:rsidRPr="0058105A" w:rsidR="00EB4FA5">
              <w:rPr>
                <w:szCs w:val="24"/>
              </w:rPr>
              <w:t>;</w:t>
            </w:r>
          </w:p>
          <w:p w:rsidR="00C711EB" w:rsidRPr="0058105A" w:rsidP="00EB4FA5" w14:paraId="6FDE23FE" w14:textId="77777777">
            <w:pPr>
              <w:spacing w:after="0" w:line="240" w:lineRule="auto"/>
              <w:ind w:left="360"/>
              <w:jc w:val="both"/>
              <w:rPr>
                <w:szCs w:val="24"/>
              </w:rPr>
            </w:pPr>
            <w:r w:rsidRPr="0058105A">
              <w:rPr>
                <w:szCs w:val="24"/>
              </w:rPr>
              <w:t>(</w:t>
            </w:r>
            <w:r w:rsidRPr="0058105A">
              <w:rPr>
                <w:i/>
                <w:szCs w:val="24"/>
              </w:rPr>
              <w:t>Nav ņemts vērā</w:t>
            </w:r>
            <w:r w:rsidRPr="0058105A">
              <w:rPr>
                <w:szCs w:val="24"/>
              </w:rPr>
              <w:t>. REMIT 13.pant</w:t>
            </w:r>
            <w:r w:rsidRPr="0058105A" w:rsidR="00EB4FA5">
              <w:rPr>
                <w:szCs w:val="24"/>
              </w:rPr>
              <w:t>s</w:t>
            </w:r>
            <w:r w:rsidRPr="0058105A">
              <w:rPr>
                <w:szCs w:val="24"/>
              </w:rPr>
              <w:t xml:space="preserve"> paredz, ka valsts regulatīvā iestāde izmeklēšanas un izpildes pilnvaru ietvaros ir tiesīga veikt </w:t>
            </w:r>
            <w:r w:rsidRPr="0058105A" w:rsidR="00EB4FA5">
              <w:rPr>
                <w:szCs w:val="24"/>
              </w:rPr>
              <w:t xml:space="preserve">attiecīgas </w:t>
            </w:r>
            <w:r w:rsidRPr="0058105A">
              <w:rPr>
                <w:szCs w:val="24"/>
              </w:rPr>
              <w:t xml:space="preserve"> darbības</w:t>
            </w:r>
            <w:r w:rsidRPr="0058105A" w:rsidR="00EB4FA5">
              <w:rPr>
                <w:szCs w:val="24"/>
              </w:rPr>
              <w:t>. Šajā pantā minētās darbības ir nostiprinātas arī likumprojektā.)</w:t>
            </w:r>
          </w:p>
          <w:p w:rsidR="00EB4FA5" w:rsidRPr="0058105A" w:rsidP="00B52FB6" w14:paraId="3817B784" w14:textId="77777777">
            <w:pPr>
              <w:numPr>
                <w:ilvl w:val="0"/>
                <w:numId w:val="14"/>
              </w:numPr>
              <w:spacing w:after="0" w:line="240" w:lineRule="auto"/>
              <w:jc w:val="both"/>
              <w:rPr>
                <w:bCs/>
                <w:szCs w:val="24"/>
              </w:rPr>
            </w:pPr>
            <w:r w:rsidRPr="0058105A">
              <w:rPr>
                <w:szCs w:val="24"/>
              </w:rPr>
              <w:t>i</w:t>
            </w:r>
            <w:r w:rsidRPr="0058105A">
              <w:rPr>
                <w:szCs w:val="24"/>
              </w:rPr>
              <w:t>ebilst pret grozījumiem l</w:t>
            </w:r>
            <w:r w:rsidRPr="0058105A">
              <w:rPr>
                <w:bCs/>
                <w:szCs w:val="24"/>
              </w:rPr>
              <w:t>ikuma 19. panta otrajā daļā</w:t>
            </w:r>
            <w:r w:rsidRPr="0058105A" w:rsidR="0094662A">
              <w:rPr>
                <w:bCs/>
                <w:szCs w:val="24"/>
              </w:rPr>
              <w:t xml:space="preserve"> (likumprojekta 6.pants)</w:t>
            </w:r>
            <w:r w:rsidRPr="0058105A">
              <w:rPr>
                <w:bCs/>
                <w:szCs w:val="24"/>
              </w:rPr>
              <w:t xml:space="preserve">, kas paredz </w:t>
            </w:r>
            <w:r w:rsidRPr="0058105A" w:rsidR="00A40124">
              <w:rPr>
                <w:bCs/>
                <w:szCs w:val="24"/>
              </w:rPr>
              <w:t>izslēgt skaitli un vārdus “10 darbdienu laikā”, jo regulatoram šobrīd noteiktā termiņa esamība tarifu projekta iesniedzējam ļauj izdarīt vismaz kaut cik ticamas prognozes par tarifa projekta izskatīšanas gaitu</w:t>
            </w:r>
            <w:r w:rsidRPr="0058105A">
              <w:rPr>
                <w:bCs/>
                <w:szCs w:val="24"/>
              </w:rPr>
              <w:t>;</w:t>
            </w:r>
          </w:p>
          <w:p w:rsidR="00A40124" w:rsidRPr="0058105A" w:rsidP="00EB4FA5" w14:paraId="00E820B1" w14:textId="09EFEE64">
            <w:pPr>
              <w:spacing w:after="0" w:line="240" w:lineRule="auto"/>
              <w:ind w:left="360"/>
              <w:jc w:val="both"/>
              <w:rPr>
                <w:szCs w:val="24"/>
                <w:lang w:eastAsia="lv-LV"/>
              </w:rPr>
            </w:pPr>
            <w:r w:rsidRPr="0058105A">
              <w:rPr>
                <w:bCs/>
                <w:i/>
                <w:szCs w:val="24"/>
              </w:rPr>
              <w:t>(Nav ņemts vērā</w:t>
            </w:r>
            <w:r w:rsidRPr="0058105A">
              <w:rPr>
                <w:bCs/>
                <w:szCs w:val="24"/>
              </w:rPr>
              <w:t xml:space="preserve">. </w:t>
            </w:r>
            <w:r w:rsidR="00496122">
              <w:rPr>
                <w:szCs w:val="24"/>
                <w:lang w:eastAsia="lv-LV"/>
              </w:rPr>
              <w:t>T</w:t>
            </w:r>
            <w:r w:rsidRPr="0058105A" w:rsidR="00B52FB6">
              <w:rPr>
                <w:szCs w:val="24"/>
                <w:lang w:eastAsia="lv-LV"/>
              </w:rPr>
              <w:t xml:space="preserve">arifu projekta izskatīšanas gaitā Regulators ir pakļauts Likumā un Administratīvā procesa likumā noteiktajam regulējumam, saskaņā ar kuru Regulatoram Likumā deleģētā tiesība uzdot sabiedrisko pakalpojumu sniedzējam veikt tarifu projekta pārrēķinu ir uzskatāma par </w:t>
            </w:r>
            <w:r w:rsidRPr="0058105A" w:rsidR="00B52FB6">
              <w:rPr>
                <w:szCs w:val="24"/>
                <w:lang w:eastAsia="lv-LV"/>
              </w:rPr>
              <w:t>starplēmumu</w:t>
            </w:r>
            <w:r w:rsidRPr="0058105A" w:rsidR="00B52FB6">
              <w:rPr>
                <w:szCs w:val="24"/>
                <w:lang w:eastAsia="lv-LV"/>
              </w:rPr>
              <w:t xml:space="preserve"> (procesuālu lēmumu) attiecīgā administratīvā procesa ietvaros, kas nevar ietekmēt kopējos Likumā noteiktos termiņus tarifa projekta apstiprināšanai vai noraidīšanai, savukārt atsevišķu procesuālo termiņu noteikšana </w:t>
            </w:r>
            <w:r w:rsidRPr="0058105A" w:rsidR="00B52FB6">
              <w:rPr>
                <w:szCs w:val="24"/>
                <w:lang w:eastAsia="lv-LV"/>
              </w:rPr>
              <w:t>starplēmuma</w:t>
            </w:r>
            <w:r w:rsidRPr="0058105A" w:rsidR="00B52FB6">
              <w:rPr>
                <w:szCs w:val="24"/>
                <w:lang w:eastAsia="lv-LV"/>
              </w:rPr>
              <w:t xml:space="preserve"> pieņemšanai var radīt papildus administratīvo slogu, kas var atstāt iespaidu uz attiecīgā administratīvā procesa ietvaros un termiņos pieņemamo administratīvo aktu, t.i. gala lēmumu par tarifa projekta apstiprināšanu vai noraidīšanu.</w:t>
            </w:r>
            <w:r w:rsidRPr="0058105A" w:rsidR="008F69FA">
              <w:rPr>
                <w:szCs w:val="24"/>
                <w:lang w:eastAsia="lv-LV"/>
              </w:rPr>
              <w:t>)</w:t>
            </w:r>
          </w:p>
          <w:p w:rsidR="00496122" w:rsidP="00487F52" w14:paraId="2B84B595" w14:textId="4445F449">
            <w:pPr>
              <w:numPr>
                <w:ilvl w:val="0"/>
                <w:numId w:val="14"/>
              </w:numPr>
              <w:spacing w:after="0" w:line="240" w:lineRule="auto"/>
              <w:jc w:val="both"/>
              <w:rPr>
                <w:bCs/>
                <w:szCs w:val="24"/>
              </w:rPr>
            </w:pPr>
            <w:r w:rsidRPr="0058105A">
              <w:rPr>
                <w:bCs/>
                <w:szCs w:val="24"/>
              </w:rPr>
              <w:t>i</w:t>
            </w:r>
            <w:r w:rsidRPr="0058105A" w:rsidR="008F69FA">
              <w:rPr>
                <w:bCs/>
                <w:szCs w:val="24"/>
              </w:rPr>
              <w:t>ebilst pret likumprojektā ietverto tiesību normu, kas paredz regulatora tiesības grozīt jau iesniegtu tarifu projektu</w:t>
            </w:r>
            <w:r w:rsidRPr="0058105A" w:rsidR="00241B48">
              <w:rPr>
                <w:bCs/>
                <w:szCs w:val="24"/>
              </w:rPr>
              <w:t xml:space="preserve"> (likumprojekta 6.pants; likuma </w:t>
            </w:r>
            <w:r w:rsidRPr="0058105A" w:rsidR="0094662A">
              <w:rPr>
                <w:bCs/>
                <w:szCs w:val="24"/>
              </w:rPr>
              <w:t xml:space="preserve">19.panta </w:t>
            </w:r>
            <w:r w:rsidRPr="0058105A" w:rsidR="0094662A">
              <w:rPr>
                <w:szCs w:val="24"/>
              </w:rPr>
              <w:t>7.</w:t>
            </w:r>
            <w:r w:rsidRPr="0058105A" w:rsidR="0094662A">
              <w:rPr>
                <w:szCs w:val="24"/>
                <w:vertAlign w:val="superscript"/>
              </w:rPr>
              <w:t>1</w:t>
            </w:r>
            <w:r w:rsidRPr="0058105A" w:rsidR="0094662A">
              <w:rPr>
                <w:szCs w:val="24"/>
              </w:rPr>
              <w:t xml:space="preserve"> daļa)</w:t>
            </w:r>
            <w:r w:rsidRPr="0058105A" w:rsidR="008F69FA">
              <w:rPr>
                <w:bCs/>
                <w:szCs w:val="24"/>
              </w:rPr>
              <w:t xml:space="preserve">. Ja šāda norma tomēr tiek ieviesta, </w:t>
            </w:r>
            <w:r w:rsidRPr="0058105A" w:rsidR="00241B48">
              <w:rPr>
                <w:bCs/>
                <w:szCs w:val="24"/>
              </w:rPr>
              <w:t xml:space="preserve">uzskata, ka </w:t>
            </w:r>
            <w:r w:rsidRPr="0058105A" w:rsidR="008F69FA">
              <w:rPr>
                <w:bCs/>
                <w:szCs w:val="24"/>
              </w:rPr>
              <w:t>tā būtu papildināma ar pienākumu noteikt  kritērijus, kādiem iestājoties regulators pēc savas iniciatīvas var grozīt iesniegto tarifu</w:t>
            </w:r>
            <w:r>
              <w:rPr>
                <w:bCs/>
                <w:szCs w:val="24"/>
              </w:rPr>
              <w:t>;</w:t>
            </w:r>
            <w:r w:rsidR="00850DC5">
              <w:rPr>
                <w:bCs/>
                <w:szCs w:val="24"/>
              </w:rPr>
              <w:t xml:space="preserve"> </w:t>
            </w:r>
          </w:p>
          <w:p w:rsidR="00850DC5" w:rsidRPr="00487F52" w:rsidP="00496122" w14:paraId="643AE2B1" w14:textId="4F74501F">
            <w:pPr>
              <w:spacing w:after="0" w:line="240" w:lineRule="auto"/>
              <w:ind w:left="360"/>
              <w:jc w:val="both"/>
              <w:rPr>
                <w:bCs/>
                <w:szCs w:val="24"/>
              </w:rPr>
            </w:pPr>
            <w:r>
              <w:rPr>
                <w:bCs/>
                <w:szCs w:val="24"/>
              </w:rPr>
              <w:t>(</w:t>
            </w:r>
            <w:r w:rsidRPr="00850DC5">
              <w:rPr>
                <w:bCs/>
                <w:i/>
                <w:szCs w:val="24"/>
              </w:rPr>
              <w:t>Ņemts vērā</w:t>
            </w:r>
            <w:r w:rsidR="00487F52">
              <w:rPr>
                <w:bCs/>
                <w:i/>
                <w:szCs w:val="24"/>
              </w:rPr>
              <w:t xml:space="preserve">. </w:t>
            </w:r>
            <w:r w:rsidRPr="00487F52" w:rsidR="00487F52">
              <w:rPr>
                <w:bCs/>
                <w:szCs w:val="24"/>
              </w:rPr>
              <w:t>Atbilstoši precizētajam regulējumam regulatoram būs iespēja pēc savas iniciatīvas, atbilstoši noteiktai tarifu aprēķināšanas metodikai veikt korekcijas sabiedrisko pakalpojumu sniedzēja iesniegtajā tarifu projektā.)</w:t>
            </w:r>
          </w:p>
          <w:p w:rsidR="00030BCE" w:rsidRPr="0058105A" w:rsidP="00241B48" w14:paraId="42178994" w14:textId="0AA14FBC">
            <w:pPr>
              <w:numPr>
                <w:ilvl w:val="0"/>
                <w:numId w:val="14"/>
              </w:numPr>
              <w:spacing w:after="0" w:line="240" w:lineRule="auto"/>
              <w:jc w:val="both"/>
              <w:rPr>
                <w:rFonts w:eastAsia="Times New Roman"/>
                <w:szCs w:val="24"/>
                <w:lang w:eastAsia="lv-LV"/>
              </w:rPr>
            </w:pPr>
            <w:r w:rsidRPr="0058105A">
              <w:rPr>
                <w:bCs/>
                <w:szCs w:val="24"/>
              </w:rPr>
              <w:t>i</w:t>
            </w:r>
            <w:r w:rsidRPr="0058105A" w:rsidR="0094662A">
              <w:rPr>
                <w:bCs/>
                <w:szCs w:val="24"/>
              </w:rPr>
              <w:t>ebilst</w:t>
            </w:r>
            <w:r w:rsidRPr="0058105A">
              <w:rPr>
                <w:bCs/>
                <w:szCs w:val="24"/>
              </w:rPr>
              <w:t xml:space="preserve"> pret </w:t>
            </w:r>
            <w:r w:rsidRPr="0058105A" w:rsidR="0094662A">
              <w:rPr>
                <w:bCs/>
                <w:szCs w:val="24"/>
              </w:rPr>
              <w:t> regulatora</w:t>
            </w:r>
            <w:r w:rsidRPr="0058105A">
              <w:rPr>
                <w:bCs/>
                <w:szCs w:val="24"/>
              </w:rPr>
              <w:t xml:space="preserve">m paredzētajām </w:t>
            </w:r>
            <w:r w:rsidRPr="0058105A" w:rsidR="0094662A">
              <w:rPr>
                <w:bCs/>
                <w:szCs w:val="24"/>
              </w:rPr>
              <w:t>tiesīb</w:t>
            </w:r>
            <w:r w:rsidR="00C828E8">
              <w:rPr>
                <w:bCs/>
                <w:szCs w:val="24"/>
              </w:rPr>
              <w:t>ām</w:t>
            </w:r>
            <w:r w:rsidRPr="0058105A" w:rsidR="0094662A">
              <w:rPr>
                <w:bCs/>
                <w:szCs w:val="24"/>
              </w:rPr>
              <w:t xml:space="preserve"> noteikt sabiedrisko pakalpojumu tarifu augšējo robežu</w:t>
            </w:r>
            <w:r w:rsidRPr="0058105A">
              <w:rPr>
                <w:bCs/>
                <w:szCs w:val="24"/>
              </w:rPr>
              <w:t xml:space="preserve"> (likumprojekta 7.pants; likuma 20.panta otrā daļa);</w:t>
            </w:r>
          </w:p>
          <w:p w:rsidR="00241B48" w:rsidRPr="0058105A" w:rsidP="00030BCE" w14:paraId="1C05B993" w14:textId="77777777">
            <w:pPr>
              <w:spacing w:after="0" w:line="240" w:lineRule="auto"/>
              <w:ind w:left="360"/>
              <w:jc w:val="both"/>
              <w:rPr>
                <w:rFonts w:eastAsia="Times New Roman"/>
                <w:szCs w:val="24"/>
                <w:lang w:eastAsia="lv-LV"/>
              </w:rPr>
            </w:pPr>
            <w:r w:rsidRPr="0058105A">
              <w:rPr>
                <w:rFonts w:eastAsia="Times New Roman"/>
                <w:szCs w:val="24"/>
                <w:lang w:eastAsia="lv-LV"/>
              </w:rPr>
              <w:t>(</w:t>
            </w:r>
            <w:r w:rsidRPr="0058105A">
              <w:rPr>
                <w:rFonts w:eastAsia="Times New Roman"/>
                <w:i/>
                <w:szCs w:val="24"/>
                <w:lang w:eastAsia="lv-LV"/>
              </w:rPr>
              <w:t>Nav ņemts vērā</w:t>
            </w:r>
            <w:r w:rsidRPr="0058105A">
              <w:rPr>
                <w:rFonts w:eastAsia="Times New Roman"/>
                <w:szCs w:val="24"/>
                <w:lang w:eastAsia="lv-LV"/>
              </w:rPr>
              <w:t xml:space="preserve">. Tiesību norma </w:t>
            </w:r>
            <w:r w:rsidRPr="0058105A">
              <w:rPr>
                <w:szCs w:val="24"/>
              </w:rPr>
              <w:t xml:space="preserve">ir izstrādāta, ņemot vērā OECD ieteikumu </w:t>
            </w:r>
            <w:r w:rsidRPr="0058105A" w:rsidR="0058105A">
              <w:rPr>
                <w:szCs w:val="24"/>
              </w:rPr>
              <w:t xml:space="preserve">pārorientēt pieeju tarifu noteikšanā uz stimulējošo regulēšanu </w:t>
            </w:r>
            <w:r w:rsidRPr="0058105A">
              <w:rPr>
                <w:szCs w:val="24"/>
              </w:rPr>
              <w:t xml:space="preserve"> </w:t>
            </w:r>
            <w:r w:rsidRPr="0058105A" w:rsidR="0058105A">
              <w:rPr>
                <w:szCs w:val="24"/>
              </w:rPr>
              <w:t>(</w:t>
            </w:r>
            <w:r w:rsidRPr="0058105A">
              <w:rPr>
                <w:i/>
                <w:szCs w:val="24"/>
              </w:rPr>
              <w:t>incentive</w:t>
            </w:r>
            <w:r w:rsidRPr="0058105A">
              <w:rPr>
                <w:i/>
                <w:szCs w:val="24"/>
              </w:rPr>
              <w:t xml:space="preserve"> </w:t>
            </w:r>
            <w:r w:rsidRPr="0058105A">
              <w:rPr>
                <w:i/>
                <w:szCs w:val="24"/>
              </w:rPr>
              <w:t>regulation</w:t>
            </w:r>
            <w:r w:rsidRPr="0058105A" w:rsidR="0058105A">
              <w:rPr>
                <w:i/>
                <w:szCs w:val="24"/>
              </w:rPr>
              <w:t>)</w:t>
            </w:r>
            <w:r w:rsidRPr="0058105A">
              <w:rPr>
                <w:szCs w:val="24"/>
              </w:rPr>
              <w:t xml:space="preserve">, kas var izpausties </w:t>
            </w:r>
            <w:r w:rsidRPr="0058105A" w:rsidR="0058105A">
              <w:rPr>
                <w:szCs w:val="24"/>
              </w:rPr>
              <w:t xml:space="preserve">arī </w:t>
            </w:r>
            <w:r w:rsidRPr="0058105A">
              <w:rPr>
                <w:szCs w:val="24"/>
              </w:rPr>
              <w:t>kā cenas (tarifu) augšējās robežas noteikšana, lai tādējādi pievērstu lielāku uzmanību patērētāju labklājībai</w:t>
            </w:r>
            <w:r w:rsidRPr="0058105A" w:rsidR="0058105A">
              <w:rPr>
                <w:szCs w:val="24"/>
              </w:rPr>
              <w:t>.)</w:t>
            </w:r>
          </w:p>
          <w:p w:rsidR="0058105A" w:rsidP="0058105A" w14:paraId="22AD08D5" w14:textId="77777777">
            <w:pPr>
              <w:spacing w:before="120" w:after="0" w:line="240" w:lineRule="auto"/>
              <w:jc w:val="both"/>
              <w:rPr>
                <w:szCs w:val="24"/>
              </w:rPr>
            </w:pPr>
            <w:r w:rsidRPr="00DD3C66">
              <w:rPr>
                <w:rFonts w:eastAsia="Times New Roman"/>
                <w:szCs w:val="24"/>
                <w:lang w:eastAsia="lv-LV"/>
              </w:rPr>
              <w:t xml:space="preserve">Latvijas Informācijas un komunikācijas tehnoloģijas asociācija uzskata, ka </w:t>
            </w:r>
            <w:r w:rsidRPr="00DD3C66">
              <w:rPr>
                <w:szCs w:val="24"/>
              </w:rPr>
              <w:t xml:space="preserve">enerģijas </w:t>
            </w:r>
            <w:r w:rsidRPr="00DD3C66">
              <w:rPr>
                <w:szCs w:val="24"/>
              </w:rPr>
              <w:t>vairumtirgus</w:t>
            </w:r>
            <w:r w:rsidRPr="00DD3C66">
              <w:rPr>
                <w:szCs w:val="24"/>
              </w:rPr>
              <w:t xml:space="preserve"> uzraudzības nodrošināšanai </w:t>
            </w:r>
            <w:r w:rsidRPr="00DD3C66">
              <w:rPr>
                <w:rFonts w:eastAsia="Times New Roman"/>
                <w:szCs w:val="24"/>
                <w:lang w:eastAsia="lv-LV"/>
              </w:rPr>
              <w:t xml:space="preserve">regulatoram paredzētās tiesības </w:t>
            </w:r>
            <w:r w:rsidRPr="00DD3C66">
              <w:rPr>
                <w:szCs w:val="24"/>
              </w:rPr>
              <w:t xml:space="preserve">pieprasīt un  saņemt telefonsarunu un datu plūsmas ierakstus </w:t>
            </w:r>
            <w:r w:rsidRPr="00DD3C66" w:rsidR="00DD3C66">
              <w:rPr>
                <w:szCs w:val="24"/>
              </w:rPr>
              <w:t xml:space="preserve">būtu nosakāmas </w:t>
            </w:r>
            <w:r w:rsidRPr="00DD3C66">
              <w:rPr>
                <w:szCs w:val="24"/>
              </w:rPr>
              <w:t>tikai pamatojoties uz tiesneša lēmumu</w:t>
            </w:r>
            <w:r w:rsidRPr="00DD3C66" w:rsidR="00DD3C66">
              <w:rPr>
                <w:szCs w:val="24"/>
              </w:rPr>
              <w:t>.</w:t>
            </w:r>
          </w:p>
          <w:p w:rsidR="0058105A" w:rsidRPr="00AC6820" w:rsidP="00DD3C66" w14:paraId="63389158" w14:textId="1698A2AC">
            <w:pPr>
              <w:spacing w:after="0" w:line="240" w:lineRule="auto"/>
              <w:jc w:val="both"/>
              <w:rPr>
                <w:rFonts w:eastAsia="Times New Roman"/>
                <w:szCs w:val="24"/>
                <w:lang w:eastAsia="lv-LV"/>
              </w:rPr>
            </w:pPr>
            <w:r>
              <w:rPr>
                <w:szCs w:val="24"/>
              </w:rPr>
              <w:t>(</w:t>
            </w:r>
            <w:r w:rsidRPr="00496122">
              <w:rPr>
                <w:i/>
              </w:rPr>
              <w:t>Nav ņemts vērā.</w:t>
            </w:r>
            <w:r>
              <w:rPr>
                <w:szCs w:val="24"/>
              </w:rPr>
              <w:t xml:space="preserve"> </w:t>
            </w:r>
            <w:r w:rsidRPr="00DD3C66">
              <w:rPr>
                <w:szCs w:val="24"/>
              </w:rPr>
              <w:t>S</w:t>
            </w:r>
            <w:r w:rsidRPr="00DD3C66">
              <w:t xml:space="preserve">askaņā ar </w:t>
            </w:r>
            <w:r w:rsidR="00C828E8">
              <w:t>L</w:t>
            </w:r>
            <w:r w:rsidRPr="00DD3C66">
              <w:t>ikuma 10.panta pirmajā daļā noteikto, veicot sabiedrisko pakalpojumus sniedzēju uzraudzību, Regulatoram ir tiesības pieprasīt un netraucēti saņemt no sabiedrisko pakalpojumu sniedzējiem un lietotājiem, no valsts un pašvaldību iestādēm, kā arī no amatpersonām šo uzdevumu veikšanai nepieciešamo informāciju neatkarīgi no tās slepenības pakāpes.</w:t>
            </w:r>
            <w:r w:rsidRPr="00DD3C66">
              <w:rPr>
                <w:szCs w:val="24"/>
              </w:rPr>
              <w:t>)</w:t>
            </w:r>
          </w:p>
        </w:tc>
      </w:tr>
      <w:tr w14:paraId="178038A8" w14:textId="77777777" w:rsidTr="005538AB">
        <w:tblPrEx>
          <w:tblW w:w="5000" w:type="pct"/>
          <w:tblCellSpacing w:w="15" w:type="dxa"/>
          <w:tblCellMar>
            <w:top w:w="24" w:type="dxa"/>
            <w:left w:w="24" w:type="dxa"/>
            <w:bottom w:w="24" w:type="dxa"/>
            <w:right w:w="24"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538AB" w:rsidRPr="00AC6820" w:rsidP="005538AB" w14:paraId="2BAD0684" w14:textId="77777777">
            <w:pPr>
              <w:spacing w:before="100" w:beforeAutospacing="1" w:after="100" w:afterAutospacing="1" w:line="240" w:lineRule="auto"/>
              <w:jc w:val="center"/>
              <w:rPr>
                <w:rFonts w:eastAsia="Times New Roman"/>
                <w:szCs w:val="24"/>
                <w:lang w:eastAsia="lv-LV"/>
              </w:rPr>
            </w:pPr>
            <w:r w:rsidRPr="00AC6820">
              <w:rPr>
                <w:rFonts w:eastAsia="Times New Roman"/>
                <w:szCs w:val="24"/>
                <w:lang w:eastAsia="lv-LV"/>
              </w:rPr>
              <w:t>4.</w:t>
            </w:r>
          </w:p>
        </w:tc>
        <w:tc>
          <w:tcPr>
            <w:tcW w:w="1676" w:type="pct"/>
            <w:tcBorders>
              <w:top w:val="outset" w:sz="6" w:space="0" w:color="auto"/>
              <w:left w:val="outset" w:sz="6" w:space="0" w:color="auto"/>
              <w:bottom w:val="outset" w:sz="6" w:space="0" w:color="auto"/>
              <w:right w:val="outset" w:sz="6" w:space="0" w:color="auto"/>
            </w:tcBorders>
            <w:hideMark/>
          </w:tcPr>
          <w:p w:rsidR="005538AB" w:rsidRPr="00AC6820" w:rsidP="005538AB" w14:paraId="27DFD244" w14:textId="77777777">
            <w:pPr>
              <w:spacing w:after="0" w:line="240" w:lineRule="auto"/>
              <w:rPr>
                <w:rFonts w:eastAsia="Times New Roman"/>
                <w:szCs w:val="24"/>
                <w:lang w:eastAsia="lv-LV"/>
              </w:rPr>
            </w:pPr>
            <w:r w:rsidRPr="00AC6820">
              <w:rPr>
                <w:rFonts w:eastAsia="Times New Roman"/>
                <w:szCs w:val="24"/>
                <w:lang w:eastAsia="lv-LV"/>
              </w:rPr>
              <w:t>Cita informācija</w:t>
            </w:r>
          </w:p>
        </w:tc>
        <w:tc>
          <w:tcPr>
            <w:tcW w:w="2957" w:type="pct"/>
            <w:tcBorders>
              <w:top w:val="outset" w:sz="6" w:space="0" w:color="auto"/>
              <w:left w:val="outset" w:sz="6" w:space="0" w:color="auto"/>
              <w:bottom w:val="outset" w:sz="6" w:space="0" w:color="auto"/>
              <w:right w:val="outset" w:sz="6" w:space="0" w:color="auto"/>
            </w:tcBorders>
            <w:hideMark/>
          </w:tcPr>
          <w:p w:rsidR="005538AB" w:rsidRPr="00AC6820" w:rsidP="005538AB" w14:paraId="50924C26" w14:textId="77777777">
            <w:pPr>
              <w:spacing w:after="0" w:line="240" w:lineRule="auto"/>
              <w:rPr>
                <w:rFonts w:eastAsia="Times New Roman"/>
                <w:szCs w:val="24"/>
                <w:lang w:eastAsia="lv-LV"/>
              </w:rPr>
            </w:pPr>
            <w:r w:rsidRPr="00AC6820">
              <w:rPr>
                <w:rFonts w:eastAsia="Times New Roman"/>
                <w:szCs w:val="24"/>
                <w:lang w:eastAsia="lv-LV"/>
              </w:rPr>
              <w:t>Nav</w:t>
            </w:r>
          </w:p>
        </w:tc>
      </w:tr>
    </w:tbl>
    <w:p w:rsidR="005538AB" w:rsidP="00786BE3" w14:paraId="2D0A3942" w14:textId="049B7DAA"/>
    <w:p w:rsidR="00496122" w:rsidRPr="00AC6820" w:rsidP="00786BE3" w14:paraId="5C30A538" w14:textId="77777777"/>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53"/>
        <w:gridCol w:w="3135"/>
        <w:gridCol w:w="4702"/>
      </w:tblGrid>
      <w:tr w14:paraId="405107DA" w14:textId="77777777" w:rsidTr="00786BE3">
        <w:tblPrEx>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86BE3" w:rsidRPr="00AC6820" w:rsidP="00A2624B" w14:paraId="7C43639A" w14:textId="77777777">
            <w:pPr>
              <w:jc w:val="center"/>
              <w:rPr>
                <w:b/>
                <w:bCs/>
              </w:rPr>
            </w:pPr>
            <w:r w:rsidRPr="00AC6820">
              <w:rPr>
                <w:b/>
                <w:bCs/>
              </w:rPr>
              <w:t>VII. Tiesību akta projekta izpildes nodrošināšana un tās ietekme uz institūcijām</w:t>
            </w:r>
          </w:p>
        </w:tc>
      </w:tr>
      <w:tr w14:paraId="2567BE6E" w14:textId="77777777" w:rsidTr="00786BE3">
        <w:tblPrEx>
          <w:tblW w:w="5000" w:type="pct"/>
          <w:jc w:val="center"/>
          <w:tblCellSpacing w:w="15" w:type="dxa"/>
          <w:tblCellMar>
            <w:top w:w="30" w:type="dxa"/>
            <w:left w:w="30" w:type="dxa"/>
            <w:bottom w:w="30" w:type="dxa"/>
            <w:right w:w="30" w:type="dxa"/>
          </w:tblCellMar>
          <w:tblLook w:val="04A0"/>
        </w:tblPrEx>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786BE3" w:rsidRPr="00AC6820" w:rsidP="00786BE3" w14:paraId="7FA7083D" w14:textId="77777777">
            <w:r w:rsidRPr="00AC6820">
              <w:t>1.</w:t>
            </w:r>
          </w:p>
        </w:tc>
        <w:tc>
          <w:tcPr>
            <w:tcW w:w="1900" w:type="pct"/>
            <w:tcBorders>
              <w:top w:val="outset" w:sz="6" w:space="0" w:color="auto"/>
              <w:left w:val="outset" w:sz="6" w:space="0" w:color="auto"/>
              <w:bottom w:val="outset" w:sz="6" w:space="0" w:color="auto"/>
              <w:right w:val="outset" w:sz="6" w:space="0" w:color="auto"/>
            </w:tcBorders>
            <w:hideMark/>
          </w:tcPr>
          <w:p w:rsidR="00786BE3" w:rsidRPr="00AC6820" w:rsidP="00786BE3" w14:paraId="45F40864" w14:textId="77777777">
            <w:r w:rsidRPr="00AC6820">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786BE3" w:rsidRPr="00AC6820" w:rsidP="00786BE3" w14:paraId="3DF2C476" w14:textId="77777777">
            <w:r w:rsidRPr="00AC6820">
              <w:t xml:space="preserve">Regulators, </w:t>
            </w:r>
            <w:r w:rsidRPr="00AC6820" w:rsidR="00275B33">
              <w:t>Ekonomikas ministrija</w:t>
            </w:r>
          </w:p>
        </w:tc>
      </w:tr>
      <w:tr w14:paraId="71338936" w14:textId="77777777" w:rsidTr="00786BE3">
        <w:tblPrEx>
          <w:tblW w:w="5000" w:type="pct"/>
          <w:jc w:val="center"/>
          <w:tblCellSpacing w:w="15" w:type="dxa"/>
          <w:tblCellMar>
            <w:top w:w="30" w:type="dxa"/>
            <w:left w:w="30" w:type="dxa"/>
            <w:bottom w:w="30" w:type="dxa"/>
            <w:right w:w="30" w:type="dxa"/>
          </w:tblCellMar>
          <w:tblLook w:val="04A0"/>
        </w:tblPrEx>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786BE3" w:rsidRPr="00AC6820" w:rsidP="00786BE3" w14:paraId="18015A74" w14:textId="77777777">
            <w:r w:rsidRPr="00AC6820">
              <w:t>2.</w:t>
            </w:r>
          </w:p>
        </w:tc>
        <w:tc>
          <w:tcPr>
            <w:tcW w:w="1900" w:type="pct"/>
            <w:tcBorders>
              <w:top w:val="outset" w:sz="6" w:space="0" w:color="auto"/>
              <w:left w:val="outset" w:sz="6" w:space="0" w:color="auto"/>
              <w:bottom w:val="outset" w:sz="6" w:space="0" w:color="auto"/>
              <w:right w:val="outset" w:sz="6" w:space="0" w:color="auto"/>
            </w:tcBorders>
            <w:hideMark/>
          </w:tcPr>
          <w:p w:rsidR="00786BE3" w:rsidRPr="00AC6820" w:rsidP="00786BE3" w14:paraId="06F7DB7A" w14:textId="77777777">
            <w:r w:rsidRPr="00AC6820">
              <w:t xml:space="preserve">Projekta izpildes ietekme uz pārvaldes funkcijām un institucionālo struktūru. </w:t>
            </w:r>
          </w:p>
          <w:p w:rsidR="00786BE3" w:rsidRPr="00AC6820" w:rsidP="00786BE3" w14:paraId="6DAB87CC" w14:textId="77777777">
            <w:r w:rsidRPr="00AC6820">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6B4737" w:rsidRPr="00AC6820" w:rsidP="009E1BE3" w14:paraId="68858AF4" w14:textId="77777777">
            <w:pPr>
              <w:jc w:val="both"/>
            </w:pPr>
            <w:r w:rsidRPr="00AC6820">
              <w:t>Projekts šo jomu neskar</w:t>
            </w:r>
            <w:r w:rsidRPr="00AC6820" w:rsidR="00CD3073">
              <w:t xml:space="preserve"> </w:t>
            </w:r>
          </w:p>
          <w:p w:rsidR="00786BE3" w:rsidRPr="00AC6820" w:rsidP="00065B7D" w14:paraId="66309791" w14:textId="77777777">
            <w:pPr>
              <w:spacing w:before="120" w:after="0" w:line="240" w:lineRule="auto"/>
              <w:jc w:val="both"/>
            </w:pPr>
            <w:r w:rsidRPr="00AC6820">
              <w:t>Likumprojekta izpilde</w:t>
            </w:r>
            <w:r w:rsidRPr="00AC6820" w:rsidR="00CF04F2">
              <w:t xml:space="preserve"> attiecībā uz REMIT prasību ieviešanu tiks nodrošināta esošo cilvēkresursu un finansējuma ietvaros.</w:t>
            </w:r>
          </w:p>
        </w:tc>
      </w:tr>
      <w:tr w14:paraId="1F776EEC" w14:textId="77777777" w:rsidTr="00786BE3">
        <w:tblPrEx>
          <w:tblW w:w="5000" w:type="pct"/>
          <w:jc w:val="center"/>
          <w:tblCellSpacing w:w="15" w:type="dxa"/>
          <w:tblCellMar>
            <w:top w:w="30" w:type="dxa"/>
            <w:left w:w="30" w:type="dxa"/>
            <w:bottom w:w="30" w:type="dxa"/>
            <w:right w:w="30" w:type="dxa"/>
          </w:tblCellMar>
          <w:tblLook w:val="04A0"/>
        </w:tblPrEx>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786BE3" w:rsidRPr="00AC6820" w:rsidP="00786BE3" w14:paraId="6123E044" w14:textId="77777777">
            <w:r w:rsidRPr="00AC6820">
              <w:t>3.</w:t>
            </w:r>
          </w:p>
        </w:tc>
        <w:tc>
          <w:tcPr>
            <w:tcW w:w="1900" w:type="pct"/>
            <w:tcBorders>
              <w:top w:val="outset" w:sz="6" w:space="0" w:color="auto"/>
              <w:left w:val="outset" w:sz="6" w:space="0" w:color="auto"/>
              <w:bottom w:val="outset" w:sz="6" w:space="0" w:color="auto"/>
              <w:right w:val="outset" w:sz="6" w:space="0" w:color="auto"/>
            </w:tcBorders>
            <w:hideMark/>
          </w:tcPr>
          <w:p w:rsidR="00786BE3" w:rsidRPr="00AC6820" w:rsidP="00786BE3" w14:paraId="385F7016" w14:textId="77777777">
            <w:r w:rsidRPr="00AC6820">
              <w:t>Cita informācija</w:t>
            </w:r>
          </w:p>
        </w:tc>
        <w:tc>
          <w:tcPr>
            <w:tcW w:w="2850" w:type="pct"/>
            <w:tcBorders>
              <w:top w:val="outset" w:sz="6" w:space="0" w:color="auto"/>
              <w:left w:val="outset" w:sz="6" w:space="0" w:color="auto"/>
              <w:bottom w:val="outset" w:sz="6" w:space="0" w:color="auto"/>
              <w:right w:val="outset" w:sz="6" w:space="0" w:color="auto"/>
            </w:tcBorders>
            <w:hideMark/>
          </w:tcPr>
          <w:p w:rsidR="00786BE3" w:rsidRPr="00AC6820" w:rsidP="00786BE3" w14:paraId="405BDE99" w14:textId="77777777">
            <w:r w:rsidRPr="00AC6820">
              <w:t>Nav</w:t>
            </w:r>
          </w:p>
        </w:tc>
      </w:tr>
    </w:tbl>
    <w:p w:rsidR="00BE712D" w:rsidRPr="00AC6820" w:rsidP="00BE712D" w14:paraId="43E71752" w14:textId="77777777">
      <w:pPr>
        <w:spacing w:after="0" w:line="240" w:lineRule="auto"/>
        <w:rPr>
          <w:sz w:val="20"/>
          <w:szCs w:val="20"/>
        </w:rPr>
      </w:pPr>
      <w:r w:rsidRPr="00AC6820">
        <w:rPr>
          <w:sz w:val="20"/>
          <w:szCs w:val="20"/>
        </w:rPr>
        <w:t xml:space="preserve"> </w:t>
      </w:r>
    </w:p>
    <w:p w:rsidR="006B4737" w:rsidP="00BE712D" w14:paraId="1376787D" w14:textId="286ED1CC">
      <w:pPr>
        <w:spacing w:after="0" w:line="240" w:lineRule="auto"/>
        <w:rPr>
          <w:sz w:val="20"/>
          <w:szCs w:val="20"/>
        </w:rPr>
      </w:pPr>
    </w:p>
    <w:p w:rsidR="00496122" w:rsidRPr="00AC6820" w:rsidP="00BE712D" w14:paraId="3E73429F" w14:textId="77777777">
      <w:pPr>
        <w:spacing w:after="0" w:line="240" w:lineRule="auto"/>
        <w:rPr>
          <w:sz w:val="20"/>
          <w:szCs w:val="20"/>
        </w:rPr>
      </w:pPr>
    </w:p>
    <w:p w:rsidR="00896C05" w:rsidRPr="00AC6820" w:rsidP="00896C05" w14:paraId="42F902C4" w14:textId="77777777">
      <w:pPr>
        <w:tabs>
          <w:tab w:val="left" w:pos="6521"/>
        </w:tabs>
        <w:spacing w:after="0" w:line="240" w:lineRule="auto"/>
        <w:rPr>
          <w:bCs/>
          <w:iCs/>
          <w:sz w:val="25"/>
          <w:szCs w:val="25"/>
        </w:rPr>
      </w:pPr>
      <w:r w:rsidRPr="00AC6820">
        <w:rPr>
          <w:bCs/>
          <w:iCs/>
          <w:sz w:val="25"/>
          <w:szCs w:val="25"/>
        </w:rPr>
        <w:t>Ministru prezidenta biedrs,</w:t>
      </w:r>
    </w:p>
    <w:p w:rsidR="00896C05" w:rsidRPr="00AC6820" w:rsidP="00896C05" w14:paraId="65EBEB3F" w14:textId="77777777">
      <w:pPr>
        <w:tabs>
          <w:tab w:val="left" w:pos="6521"/>
        </w:tabs>
        <w:spacing w:line="240" w:lineRule="auto"/>
        <w:rPr>
          <w:bCs/>
          <w:iCs/>
          <w:sz w:val="25"/>
          <w:szCs w:val="25"/>
        </w:rPr>
      </w:pPr>
      <w:r w:rsidRPr="00AC6820">
        <w:rPr>
          <w:bCs/>
          <w:iCs/>
          <w:sz w:val="25"/>
          <w:szCs w:val="25"/>
        </w:rPr>
        <w:t>ekonomikas ministrs</w:t>
      </w:r>
      <w:r w:rsidRPr="00AC6820">
        <w:rPr>
          <w:bCs/>
          <w:iCs/>
          <w:sz w:val="25"/>
          <w:szCs w:val="25"/>
        </w:rPr>
        <w:tab/>
      </w:r>
      <w:r w:rsidRPr="00AC6820">
        <w:rPr>
          <w:bCs/>
          <w:iCs/>
          <w:sz w:val="25"/>
          <w:szCs w:val="25"/>
        </w:rPr>
        <w:t>A.Ašeradens</w:t>
      </w:r>
    </w:p>
    <w:p w:rsidR="00896C05" w:rsidRPr="00AC6820" w:rsidP="00896C05" w14:paraId="26ACCC1F" w14:textId="77777777">
      <w:pPr>
        <w:tabs>
          <w:tab w:val="left" w:pos="6521"/>
        </w:tabs>
        <w:rPr>
          <w:bCs/>
          <w:iCs/>
          <w:sz w:val="25"/>
          <w:szCs w:val="25"/>
        </w:rPr>
      </w:pPr>
    </w:p>
    <w:p w:rsidR="00896C05" w:rsidRPr="00AC6820" w:rsidP="00896C05" w14:paraId="4E1F7AE2" w14:textId="77777777">
      <w:pPr>
        <w:tabs>
          <w:tab w:val="left" w:pos="6521"/>
        </w:tabs>
        <w:rPr>
          <w:bCs/>
          <w:iCs/>
          <w:sz w:val="25"/>
          <w:szCs w:val="25"/>
        </w:rPr>
      </w:pPr>
      <w:r w:rsidRPr="00AC6820">
        <w:rPr>
          <w:bCs/>
          <w:iCs/>
          <w:sz w:val="25"/>
          <w:szCs w:val="25"/>
        </w:rPr>
        <w:t>Vīza:</w:t>
      </w:r>
    </w:p>
    <w:p w:rsidR="00896C05" w:rsidRPr="00AC6820" w:rsidP="00896C05" w14:paraId="28B9FDBB" w14:textId="77777777">
      <w:pPr>
        <w:tabs>
          <w:tab w:val="left" w:pos="6521"/>
        </w:tabs>
        <w:rPr>
          <w:bCs/>
          <w:iCs/>
          <w:sz w:val="25"/>
          <w:szCs w:val="25"/>
        </w:rPr>
      </w:pPr>
      <w:r w:rsidRPr="00AC6820">
        <w:rPr>
          <w:bCs/>
          <w:iCs/>
          <w:sz w:val="25"/>
          <w:szCs w:val="25"/>
        </w:rPr>
        <w:t>valsts sekretārs</w:t>
      </w:r>
      <w:r w:rsidRPr="00AC6820">
        <w:rPr>
          <w:bCs/>
          <w:iCs/>
          <w:sz w:val="25"/>
          <w:szCs w:val="25"/>
        </w:rPr>
        <w:tab/>
      </w:r>
      <w:r w:rsidR="00C7049C">
        <w:rPr>
          <w:bCs/>
          <w:iCs/>
          <w:sz w:val="25"/>
          <w:szCs w:val="25"/>
        </w:rPr>
        <w:t>Ē. Eglītis</w:t>
      </w:r>
    </w:p>
    <w:p w:rsidR="00896C05" w:rsidRPr="00AC6820" w:rsidP="00896C05" w14:paraId="0247A94F" w14:textId="77777777">
      <w:pPr>
        <w:tabs>
          <w:tab w:val="left" w:pos="990"/>
        </w:tabs>
        <w:rPr>
          <w:rFonts w:eastAsia="Times New Roman"/>
          <w:sz w:val="26"/>
          <w:szCs w:val="26"/>
          <w:lang w:eastAsia="lv-LV"/>
        </w:rPr>
      </w:pPr>
    </w:p>
    <w:p w:rsidR="00896C05" w:rsidP="00896C05" w14:paraId="1236DBEC" w14:textId="34EA64F5">
      <w:pPr>
        <w:spacing w:after="0" w:line="240" w:lineRule="auto"/>
        <w:rPr>
          <w:sz w:val="20"/>
          <w:szCs w:val="20"/>
        </w:rPr>
      </w:pPr>
      <w:r w:rsidRPr="00AC6820">
        <w:rPr>
          <w:sz w:val="20"/>
          <w:szCs w:val="20"/>
        </w:rPr>
        <w:t>J.Stepiņš</w:t>
      </w:r>
      <w:r w:rsidRPr="00AC6820">
        <w:rPr>
          <w:sz w:val="20"/>
          <w:szCs w:val="20"/>
        </w:rPr>
        <w:t>,</w:t>
      </w:r>
    </w:p>
    <w:p w:rsidR="004C2D0A" w:rsidRPr="00AC6820" w:rsidP="00896C05" w14:paraId="1F2FDBEE" w14:textId="7334B2A7">
      <w:pPr>
        <w:spacing w:after="0" w:line="240" w:lineRule="auto"/>
        <w:rPr>
          <w:sz w:val="20"/>
          <w:szCs w:val="20"/>
        </w:rPr>
      </w:pPr>
      <w:r w:rsidRPr="004C2D0A">
        <w:rPr>
          <w:sz w:val="20"/>
          <w:szCs w:val="20"/>
        </w:rPr>
        <w:t>Janis.Stepins@sprk.gov.lv</w:t>
      </w:r>
      <w:r>
        <w:rPr>
          <w:sz w:val="20"/>
          <w:szCs w:val="20"/>
        </w:rPr>
        <w:t>; 67097229</w:t>
      </w:r>
    </w:p>
    <w:p w:rsidR="00896C05" w:rsidRPr="00AC6820" w:rsidP="00896C05" w14:paraId="506D594F" w14:textId="77777777">
      <w:pPr>
        <w:spacing w:after="0" w:line="240" w:lineRule="auto"/>
        <w:rPr>
          <w:sz w:val="20"/>
          <w:szCs w:val="20"/>
        </w:rPr>
      </w:pPr>
      <w:r w:rsidRPr="00AC6820">
        <w:rPr>
          <w:sz w:val="20"/>
          <w:szCs w:val="20"/>
        </w:rPr>
        <w:t>I.Eglītis</w:t>
      </w:r>
    </w:p>
    <w:p w:rsidR="00896C05" w:rsidRPr="00AC6820" w:rsidP="00896C05" w14:paraId="3B4D903B" w14:textId="206FAD56">
      <w:pPr>
        <w:spacing w:after="0" w:line="240" w:lineRule="auto"/>
        <w:rPr>
          <w:sz w:val="20"/>
          <w:szCs w:val="20"/>
        </w:rPr>
      </w:pPr>
      <w:r w:rsidRPr="004C2D0A">
        <w:rPr>
          <w:sz w:val="20"/>
          <w:szCs w:val="20"/>
        </w:rPr>
        <w:t>Intars.Eglitis@em.gov.lv</w:t>
      </w:r>
      <w:r w:rsidRPr="00AC6820">
        <w:rPr>
          <w:sz w:val="20"/>
          <w:szCs w:val="20"/>
        </w:rPr>
        <w:t>; 67013236</w:t>
      </w:r>
    </w:p>
    <w:p w:rsidR="00896C05" w:rsidRPr="00AC6820" w:rsidP="00BE712D" w14:paraId="64817409" w14:textId="77777777">
      <w:pPr>
        <w:spacing w:after="0" w:line="240" w:lineRule="auto"/>
        <w:rPr>
          <w:sz w:val="20"/>
          <w:szCs w:val="20"/>
        </w:rPr>
      </w:pPr>
    </w:p>
    <w:sectPr>
      <w:footerReference w:type="default" r:id="rId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4F86" w14:paraId="0FA65224" w14:textId="4B5C8B1E">
    <w:pPr>
      <w:pStyle w:val="Footer"/>
      <w:jc w:val="center"/>
    </w:pPr>
    <w:r>
      <w:fldChar w:fldCharType="begin"/>
    </w:r>
    <w:r>
      <w:instrText>PAGE   \* MERGEFORMAT</w:instrText>
    </w:r>
    <w:r>
      <w:fldChar w:fldCharType="separate"/>
    </w:r>
    <w:r w:rsidR="000614D0">
      <w:rPr>
        <w:noProof/>
      </w:rPr>
      <w:t>16</w:t>
    </w:r>
    <w:r>
      <w:fldChar w:fldCharType="end"/>
    </w:r>
  </w:p>
  <w:p w:rsidR="00D74F86" w:rsidRPr="00C5609A" w:rsidP="00C5609A" w14:paraId="7AA9E519" w14:textId="1A8B022A">
    <w:pPr>
      <w:pStyle w:val="Footer"/>
      <w:spacing w:after="0" w:line="240" w:lineRule="auto"/>
      <w:rPr>
        <w:sz w:val="20"/>
        <w:szCs w:val="20"/>
      </w:rPr>
    </w:pPr>
    <w:r w:rsidRPr="00C5609A">
      <w:rPr>
        <w:sz w:val="20"/>
        <w:szCs w:val="20"/>
      </w:rPr>
      <w:t>EMAnot_</w:t>
    </w:r>
    <w:r w:rsidR="000614D0">
      <w:rPr>
        <w:sz w:val="20"/>
        <w:szCs w:val="20"/>
      </w:rPr>
      <w:t>0806</w:t>
    </w:r>
    <w:r w:rsidR="002A416A">
      <w:rPr>
        <w:sz w:val="20"/>
        <w:szCs w:val="20"/>
      </w:rPr>
      <w:t>18_</w:t>
    </w:r>
    <w:r w:rsidR="006F048F">
      <w:rPr>
        <w:sz w:val="20"/>
        <w:szCs w:val="20"/>
      </w:rPr>
      <w:t>REGULATORS</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CB6553C"/>
    <w:multiLevelType w:val="hybridMultilevel"/>
    <w:tmpl w:val="4D2866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1">
    <w:nsid w:val="204C327D"/>
    <w:multiLevelType w:val="hybridMultilevel"/>
    <w:tmpl w:val="F852065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15:restartNumberingAfterBreak="1">
    <w:nsid w:val="22501EAE"/>
    <w:multiLevelType w:val="hybridMultilevel"/>
    <w:tmpl w:val="3C38A2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1">
    <w:nsid w:val="248B18C6"/>
    <w:multiLevelType w:val="hybridMultilevel"/>
    <w:tmpl w:val="4BB6E5D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2B6B601A"/>
    <w:multiLevelType w:val="hybridMultilevel"/>
    <w:tmpl w:val="71568F04"/>
    <w:lvl w:ilvl="0">
      <w:start w:val="1"/>
      <w:numFmt w:val="decimal"/>
      <w:lvlText w:val="%1)"/>
      <w:lvlJc w:val="left"/>
      <w:pPr>
        <w:ind w:left="643" w:hanging="360"/>
      </w:pPr>
    </w:lvl>
    <w:lvl w:ilvl="1" w:tentative="1">
      <w:start w:val="1"/>
      <w:numFmt w:val="lowerLetter"/>
      <w:lvlText w:val="%2."/>
      <w:lvlJc w:val="left"/>
      <w:pPr>
        <w:ind w:left="1363" w:hanging="360"/>
      </w:pPr>
    </w:lvl>
    <w:lvl w:ilvl="2" w:tentative="1">
      <w:start w:val="1"/>
      <w:numFmt w:val="lowerRoman"/>
      <w:lvlText w:val="%3."/>
      <w:lvlJc w:val="right"/>
      <w:pPr>
        <w:ind w:left="2083" w:hanging="180"/>
      </w:pPr>
    </w:lvl>
    <w:lvl w:ilvl="3" w:tentative="1">
      <w:start w:val="1"/>
      <w:numFmt w:val="decimal"/>
      <w:lvlText w:val="%4."/>
      <w:lvlJc w:val="left"/>
      <w:pPr>
        <w:ind w:left="2803" w:hanging="360"/>
      </w:pPr>
    </w:lvl>
    <w:lvl w:ilvl="4" w:tentative="1">
      <w:start w:val="1"/>
      <w:numFmt w:val="lowerLetter"/>
      <w:lvlText w:val="%5."/>
      <w:lvlJc w:val="left"/>
      <w:pPr>
        <w:ind w:left="3523" w:hanging="360"/>
      </w:pPr>
    </w:lvl>
    <w:lvl w:ilvl="5" w:tentative="1">
      <w:start w:val="1"/>
      <w:numFmt w:val="lowerRoman"/>
      <w:lvlText w:val="%6."/>
      <w:lvlJc w:val="right"/>
      <w:pPr>
        <w:ind w:left="4243" w:hanging="180"/>
      </w:pPr>
    </w:lvl>
    <w:lvl w:ilvl="6" w:tentative="1">
      <w:start w:val="1"/>
      <w:numFmt w:val="decimal"/>
      <w:lvlText w:val="%7."/>
      <w:lvlJc w:val="left"/>
      <w:pPr>
        <w:ind w:left="4963" w:hanging="360"/>
      </w:pPr>
    </w:lvl>
    <w:lvl w:ilvl="7" w:tentative="1">
      <w:start w:val="1"/>
      <w:numFmt w:val="lowerLetter"/>
      <w:lvlText w:val="%8."/>
      <w:lvlJc w:val="left"/>
      <w:pPr>
        <w:ind w:left="5683" w:hanging="360"/>
      </w:pPr>
    </w:lvl>
    <w:lvl w:ilvl="8" w:tentative="1">
      <w:start w:val="1"/>
      <w:numFmt w:val="lowerRoman"/>
      <w:lvlText w:val="%9."/>
      <w:lvlJc w:val="right"/>
      <w:pPr>
        <w:ind w:left="6403" w:hanging="180"/>
      </w:pPr>
    </w:lvl>
  </w:abstractNum>
  <w:abstractNum w:abstractNumId="5" w15:restartNumberingAfterBreak="1">
    <w:nsid w:val="3C42761B"/>
    <w:multiLevelType w:val="hybridMultilevel"/>
    <w:tmpl w:val="550E7E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1">
    <w:nsid w:val="4CBF7A9D"/>
    <w:multiLevelType w:val="hybridMultilevel"/>
    <w:tmpl w:val="5F9C6536"/>
    <w:lvl w:ilvl="0">
      <w:start w:val="1"/>
      <w:numFmt w:val="bullet"/>
      <w:lvlText w:val=""/>
      <w:lvlJc w:val="left"/>
      <w:pPr>
        <w:ind w:left="644" w:hanging="360"/>
      </w:pPr>
      <w:rPr>
        <w:rFonts w:ascii="Symbol" w:hAnsi="Symbol" w:hint="default"/>
      </w:rPr>
    </w:lvl>
    <w:lvl w:ilvl="1" w:tentative="1">
      <w:start w:val="1"/>
      <w:numFmt w:val="bullet"/>
      <w:lvlText w:val="o"/>
      <w:lvlJc w:val="left"/>
      <w:pPr>
        <w:ind w:left="1364" w:hanging="360"/>
      </w:pPr>
      <w:rPr>
        <w:rFonts w:ascii="Courier New" w:hAnsi="Courier New" w:cs="Courier New" w:hint="default"/>
      </w:rPr>
    </w:lvl>
    <w:lvl w:ilvl="2" w:tentative="1">
      <w:start w:val="1"/>
      <w:numFmt w:val="bullet"/>
      <w:lvlText w:val=""/>
      <w:lvlJc w:val="left"/>
      <w:pPr>
        <w:ind w:left="2084" w:hanging="360"/>
      </w:pPr>
      <w:rPr>
        <w:rFonts w:ascii="Wingdings" w:hAnsi="Wingdings" w:hint="default"/>
      </w:rPr>
    </w:lvl>
    <w:lvl w:ilvl="3" w:tentative="1">
      <w:start w:val="1"/>
      <w:numFmt w:val="bullet"/>
      <w:lvlText w:val=""/>
      <w:lvlJc w:val="left"/>
      <w:pPr>
        <w:ind w:left="2804" w:hanging="360"/>
      </w:pPr>
      <w:rPr>
        <w:rFonts w:ascii="Symbol" w:hAnsi="Symbol" w:hint="default"/>
      </w:rPr>
    </w:lvl>
    <w:lvl w:ilvl="4" w:tentative="1">
      <w:start w:val="1"/>
      <w:numFmt w:val="bullet"/>
      <w:lvlText w:val="o"/>
      <w:lvlJc w:val="left"/>
      <w:pPr>
        <w:ind w:left="3524" w:hanging="360"/>
      </w:pPr>
      <w:rPr>
        <w:rFonts w:ascii="Courier New" w:hAnsi="Courier New" w:cs="Courier New" w:hint="default"/>
      </w:rPr>
    </w:lvl>
    <w:lvl w:ilvl="5" w:tentative="1">
      <w:start w:val="1"/>
      <w:numFmt w:val="bullet"/>
      <w:lvlText w:val=""/>
      <w:lvlJc w:val="left"/>
      <w:pPr>
        <w:ind w:left="4244" w:hanging="360"/>
      </w:pPr>
      <w:rPr>
        <w:rFonts w:ascii="Wingdings" w:hAnsi="Wingdings" w:hint="default"/>
      </w:rPr>
    </w:lvl>
    <w:lvl w:ilvl="6" w:tentative="1">
      <w:start w:val="1"/>
      <w:numFmt w:val="bullet"/>
      <w:lvlText w:val=""/>
      <w:lvlJc w:val="left"/>
      <w:pPr>
        <w:ind w:left="4964" w:hanging="360"/>
      </w:pPr>
      <w:rPr>
        <w:rFonts w:ascii="Symbol" w:hAnsi="Symbol" w:hint="default"/>
      </w:rPr>
    </w:lvl>
    <w:lvl w:ilvl="7" w:tentative="1">
      <w:start w:val="1"/>
      <w:numFmt w:val="bullet"/>
      <w:lvlText w:val="o"/>
      <w:lvlJc w:val="left"/>
      <w:pPr>
        <w:ind w:left="5684" w:hanging="360"/>
      </w:pPr>
      <w:rPr>
        <w:rFonts w:ascii="Courier New" w:hAnsi="Courier New" w:cs="Courier New" w:hint="default"/>
      </w:rPr>
    </w:lvl>
    <w:lvl w:ilvl="8" w:tentative="1">
      <w:start w:val="1"/>
      <w:numFmt w:val="bullet"/>
      <w:lvlText w:val=""/>
      <w:lvlJc w:val="left"/>
      <w:pPr>
        <w:ind w:left="6404" w:hanging="360"/>
      </w:pPr>
      <w:rPr>
        <w:rFonts w:ascii="Wingdings" w:hAnsi="Wingdings" w:hint="default"/>
      </w:rPr>
    </w:lvl>
  </w:abstractNum>
  <w:abstractNum w:abstractNumId="7" w15:restartNumberingAfterBreak="1">
    <w:nsid w:val="509B236C"/>
    <w:multiLevelType w:val="hybridMultilevel"/>
    <w:tmpl w:val="E4C274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1">
    <w:nsid w:val="543F38C1"/>
    <w:multiLevelType w:val="hybridMultilevel"/>
    <w:tmpl w:val="F8E6385C"/>
    <w:lvl w:ilvl="0">
      <w:start w:val="1"/>
      <w:numFmt w:val="bullet"/>
      <w:lvlText w:val=""/>
      <w:lvlJc w:val="left"/>
      <w:pPr>
        <w:ind w:left="501" w:hanging="360"/>
      </w:pPr>
      <w:rPr>
        <w:rFonts w:ascii="Symbol" w:hAnsi="Symbol" w:hint="default"/>
      </w:rPr>
    </w:lvl>
    <w:lvl w:ilvl="1" w:tentative="1">
      <w:start w:val="1"/>
      <w:numFmt w:val="bullet"/>
      <w:lvlText w:val="o"/>
      <w:lvlJc w:val="left"/>
      <w:pPr>
        <w:ind w:left="1221" w:hanging="360"/>
      </w:pPr>
      <w:rPr>
        <w:rFonts w:ascii="Courier New" w:hAnsi="Courier New" w:cs="Courier New" w:hint="default"/>
      </w:rPr>
    </w:lvl>
    <w:lvl w:ilvl="2" w:tentative="1">
      <w:start w:val="1"/>
      <w:numFmt w:val="bullet"/>
      <w:lvlText w:val=""/>
      <w:lvlJc w:val="left"/>
      <w:pPr>
        <w:ind w:left="1941" w:hanging="360"/>
      </w:pPr>
      <w:rPr>
        <w:rFonts w:ascii="Wingdings" w:hAnsi="Wingdings" w:hint="default"/>
      </w:rPr>
    </w:lvl>
    <w:lvl w:ilvl="3" w:tentative="1">
      <w:start w:val="1"/>
      <w:numFmt w:val="bullet"/>
      <w:lvlText w:val=""/>
      <w:lvlJc w:val="left"/>
      <w:pPr>
        <w:ind w:left="2661" w:hanging="360"/>
      </w:pPr>
      <w:rPr>
        <w:rFonts w:ascii="Symbol" w:hAnsi="Symbol" w:hint="default"/>
      </w:rPr>
    </w:lvl>
    <w:lvl w:ilvl="4" w:tentative="1">
      <w:start w:val="1"/>
      <w:numFmt w:val="bullet"/>
      <w:lvlText w:val="o"/>
      <w:lvlJc w:val="left"/>
      <w:pPr>
        <w:ind w:left="3381" w:hanging="360"/>
      </w:pPr>
      <w:rPr>
        <w:rFonts w:ascii="Courier New" w:hAnsi="Courier New" w:cs="Courier New" w:hint="default"/>
      </w:rPr>
    </w:lvl>
    <w:lvl w:ilvl="5" w:tentative="1">
      <w:start w:val="1"/>
      <w:numFmt w:val="bullet"/>
      <w:lvlText w:val=""/>
      <w:lvlJc w:val="left"/>
      <w:pPr>
        <w:ind w:left="4101" w:hanging="360"/>
      </w:pPr>
      <w:rPr>
        <w:rFonts w:ascii="Wingdings" w:hAnsi="Wingdings" w:hint="default"/>
      </w:rPr>
    </w:lvl>
    <w:lvl w:ilvl="6" w:tentative="1">
      <w:start w:val="1"/>
      <w:numFmt w:val="bullet"/>
      <w:lvlText w:val=""/>
      <w:lvlJc w:val="left"/>
      <w:pPr>
        <w:ind w:left="4821" w:hanging="360"/>
      </w:pPr>
      <w:rPr>
        <w:rFonts w:ascii="Symbol" w:hAnsi="Symbol" w:hint="default"/>
      </w:rPr>
    </w:lvl>
    <w:lvl w:ilvl="7" w:tentative="1">
      <w:start w:val="1"/>
      <w:numFmt w:val="bullet"/>
      <w:lvlText w:val="o"/>
      <w:lvlJc w:val="left"/>
      <w:pPr>
        <w:ind w:left="5541" w:hanging="360"/>
      </w:pPr>
      <w:rPr>
        <w:rFonts w:ascii="Courier New" w:hAnsi="Courier New" w:cs="Courier New" w:hint="default"/>
      </w:rPr>
    </w:lvl>
    <w:lvl w:ilvl="8" w:tentative="1">
      <w:start w:val="1"/>
      <w:numFmt w:val="bullet"/>
      <w:lvlText w:val=""/>
      <w:lvlJc w:val="left"/>
      <w:pPr>
        <w:ind w:left="6261" w:hanging="360"/>
      </w:pPr>
      <w:rPr>
        <w:rFonts w:ascii="Wingdings" w:hAnsi="Wingdings" w:hint="default"/>
      </w:rPr>
    </w:lvl>
  </w:abstractNum>
  <w:abstractNum w:abstractNumId="9" w15:restartNumberingAfterBreak="1">
    <w:nsid w:val="557C4B37"/>
    <w:multiLevelType w:val="hybridMultilevel"/>
    <w:tmpl w:val="6928A40E"/>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0" w15:restartNumberingAfterBreak="1">
    <w:nsid w:val="67DB0C56"/>
    <w:multiLevelType w:val="hybridMultilevel"/>
    <w:tmpl w:val="E09EAD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1">
    <w:nsid w:val="68F95B5C"/>
    <w:multiLevelType w:val="hybridMultilevel"/>
    <w:tmpl w:val="4D901F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1">
    <w:nsid w:val="6F3B74C8"/>
    <w:multiLevelType w:val="hybridMultilevel"/>
    <w:tmpl w:val="D7C0A0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1">
    <w:nsid w:val="7018209B"/>
    <w:multiLevelType w:val="hybridMultilevel"/>
    <w:tmpl w:val="B72E02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2"/>
  </w:num>
  <w:num w:numId="4">
    <w:abstractNumId w:val="8"/>
  </w:num>
  <w:num w:numId="5">
    <w:abstractNumId w:val="11"/>
  </w:num>
  <w:num w:numId="6">
    <w:abstractNumId w:val="10"/>
  </w:num>
  <w:num w:numId="7">
    <w:abstractNumId w:val="6"/>
  </w:num>
  <w:num w:numId="8">
    <w:abstractNumId w:val="12"/>
  </w:num>
  <w:num w:numId="9">
    <w:abstractNumId w:val="9"/>
  </w:num>
  <w:num w:numId="10">
    <w:abstractNumId w:val="5"/>
  </w:num>
  <w:num w:numId="11">
    <w:abstractNumId w:val="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BE3"/>
    <w:rsid w:val="00011B48"/>
    <w:rsid w:val="00012E07"/>
    <w:rsid w:val="00014705"/>
    <w:rsid w:val="000213B1"/>
    <w:rsid w:val="000247EC"/>
    <w:rsid w:val="00030BCE"/>
    <w:rsid w:val="00030CD3"/>
    <w:rsid w:val="00036CA5"/>
    <w:rsid w:val="0004431F"/>
    <w:rsid w:val="000453DD"/>
    <w:rsid w:val="00056C3D"/>
    <w:rsid w:val="000614D0"/>
    <w:rsid w:val="00065B7D"/>
    <w:rsid w:val="000A24F4"/>
    <w:rsid w:val="000B2BCD"/>
    <w:rsid w:val="000B6D71"/>
    <w:rsid w:val="000C39B5"/>
    <w:rsid w:val="000D1F7C"/>
    <w:rsid w:val="000D221D"/>
    <w:rsid w:val="000D3CA2"/>
    <w:rsid w:val="000D5D43"/>
    <w:rsid w:val="000E252E"/>
    <w:rsid w:val="000F29DC"/>
    <w:rsid w:val="000F300D"/>
    <w:rsid w:val="000F3DC6"/>
    <w:rsid w:val="000F4C3D"/>
    <w:rsid w:val="00102F2E"/>
    <w:rsid w:val="00105F4B"/>
    <w:rsid w:val="00113857"/>
    <w:rsid w:val="00116DA8"/>
    <w:rsid w:val="00123137"/>
    <w:rsid w:val="00124596"/>
    <w:rsid w:val="00133A38"/>
    <w:rsid w:val="00135CAC"/>
    <w:rsid w:val="00172F2C"/>
    <w:rsid w:val="0017783D"/>
    <w:rsid w:val="00181F9C"/>
    <w:rsid w:val="001847E3"/>
    <w:rsid w:val="001859B7"/>
    <w:rsid w:val="001860FE"/>
    <w:rsid w:val="00192548"/>
    <w:rsid w:val="001944C1"/>
    <w:rsid w:val="0019784D"/>
    <w:rsid w:val="001A2A86"/>
    <w:rsid w:val="001B212A"/>
    <w:rsid w:val="001C0A59"/>
    <w:rsid w:val="001D2FBA"/>
    <w:rsid w:val="001D4CA8"/>
    <w:rsid w:val="001E0B59"/>
    <w:rsid w:val="001E0FB5"/>
    <w:rsid w:val="001E18B9"/>
    <w:rsid w:val="001F0DE5"/>
    <w:rsid w:val="001F228A"/>
    <w:rsid w:val="00203354"/>
    <w:rsid w:val="00205656"/>
    <w:rsid w:val="002107E3"/>
    <w:rsid w:val="00221ABC"/>
    <w:rsid w:val="00231E6A"/>
    <w:rsid w:val="00241B48"/>
    <w:rsid w:val="002444E5"/>
    <w:rsid w:val="002462D8"/>
    <w:rsid w:val="00252800"/>
    <w:rsid w:val="0026226A"/>
    <w:rsid w:val="002655A1"/>
    <w:rsid w:val="0026707B"/>
    <w:rsid w:val="00270E68"/>
    <w:rsid w:val="00275B33"/>
    <w:rsid w:val="00293E3B"/>
    <w:rsid w:val="002A416A"/>
    <w:rsid w:val="002A46FA"/>
    <w:rsid w:val="002A7B49"/>
    <w:rsid w:val="002C46E6"/>
    <w:rsid w:val="002D0725"/>
    <w:rsid w:val="002D1FD3"/>
    <w:rsid w:val="002D330B"/>
    <w:rsid w:val="002E10DC"/>
    <w:rsid w:val="002F1684"/>
    <w:rsid w:val="002F5130"/>
    <w:rsid w:val="002F662B"/>
    <w:rsid w:val="00312C46"/>
    <w:rsid w:val="0032060F"/>
    <w:rsid w:val="00327667"/>
    <w:rsid w:val="00332AC9"/>
    <w:rsid w:val="00337180"/>
    <w:rsid w:val="00344F77"/>
    <w:rsid w:val="00350811"/>
    <w:rsid w:val="00365F14"/>
    <w:rsid w:val="00380DDB"/>
    <w:rsid w:val="00385C56"/>
    <w:rsid w:val="003861E2"/>
    <w:rsid w:val="003965D9"/>
    <w:rsid w:val="003A4A05"/>
    <w:rsid w:val="003B5755"/>
    <w:rsid w:val="003B5FE4"/>
    <w:rsid w:val="003B6763"/>
    <w:rsid w:val="003E7CFC"/>
    <w:rsid w:val="004137FF"/>
    <w:rsid w:val="004156FC"/>
    <w:rsid w:val="00417E7C"/>
    <w:rsid w:val="004206DA"/>
    <w:rsid w:val="004224BC"/>
    <w:rsid w:val="00436290"/>
    <w:rsid w:val="0046663D"/>
    <w:rsid w:val="00467482"/>
    <w:rsid w:val="00487F52"/>
    <w:rsid w:val="00496122"/>
    <w:rsid w:val="004B0786"/>
    <w:rsid w:val="004B1467"/>
    <w:rsid w:val="004C2D0A"/>
    <w:rsid w:val="004D6082"/>
    <w:rsid w:val="004E4C6C"/>
    <w:rsid w:val="004E70CF"/>
    <w:rsid w:val="004F0934"/>
    <w:rsid w:val="004F29DC"/>
    <w:rsid w:val="00506928"/>
    <w:rsid w:val="0051420D"/>
    <w:rsid w:val="0054446A"/>
    <w:rsid w:val="005538AB"/>
    <w:rsid w:val="005623F2"/>
    <w:rsid w:val="00563799"/>
    <w:rsid w:val="00564483"/>
    <w:rsid w:val="00564E9E"/>
    <w:rsid w:val="0058105A"/>
    <w:rsid w:val="005864BD"/>
    <w:rsid w:val="00591544"/>
    <w:rsid w:val="00597E47"/>
    <w:rsid w:val="005A2130"/>
    <w:rsid w:val="005A5C73"/>
    <w:rsid w:val="005A7EFA"/>
    <w:rsid w:val="005B02C5"/>
    <w:rsid w:val="005B0DD0"/>
    <w:rsid w:val="005B2438"/>
    <w:rsid w:val="005C1F3C"/>
    <w:rsid w:val="005D2C08"/>
    <w:rsid w:val="005E215B"/>
    <w:rsid w:val="005F63F9"/>
    <w:rsid w:val="006162BF"/>
    <w:rsid w:val="00646FC6"/>
    <w:rsid w:val="006869B5"/>
    <w:rsid w:val="00686C3A"/>
    <w:rsid w:val="00687A94"/>
    <w:rsid w:val="00696E3F"/>
    <w:rsid w:val="006A499C"/>
    <w:rsid w:val="006B4737"/>
    <w:rsid w:val="006C2443"/>
    <w:rsid w:val="006D1BB7"/>
    <w:rsid w:val="006E13F8"/>
    <w:rsid w:val="006E3A92"/>
    <w:rsid w:val="006F048F"/>
    <w:rsid w:val="006F2017"/>
    <w:rsid w:val="006F2E77"/>
    <w:rsid w:val="00702D9A"/>
    <w:rsid w:val="0070308E"/>
    <w:rsid w:val="007111D6"/>
    <w:rsid w:val="00722061"/>
    <w:rsid w:val="00725D87"/>
    <w:rsid w:val="0074091F"/>
    <w:rsid w:val="00747FCA"/>
    <w:rsid w:val="00752E21"/>
    <w:rsid w:val="007601D3"/>
    <w:rsid w:val="007609CE"/>
    <w:rsid w:val="007779D4"/>
    <w:rsid w:val="007823FB"/>
    <w:rsid w:val="00784BD9"/>
    <w:rsid w:val="00786BE3"/>
    <w:rsid w:val="007B3DFF"/>
    <w:rsid w:val="007B6AF8"/>
    <w:rsid w:val="007C0D03"/>
    <w:rsid w:val="007C0DEC"/>
    <w:rsid w:val="007C371F"/>
    <w:rsid w:val="007C4A02"/>
    <w:rsid w:val="007C6D1F"/>
    <w:rsid w:val="007D3FE7"/>
    <w:rsid w:val="007E16CE"/>
    <w:rsid w:val="007E4ABD"/>
    <w:rsid w:val="00850DC5"/>
    <w:rsid w:val="00863AE2"/>
    <w:rsid w:val="00876AA5"/>
    <w:rsid w:val="008774C3"/>
    <w:rsid w:val="0088188E"/>
    <w:rsid w:val="0088243F"/>
    <w:rsid w:val="008912F5"/>
    <w:rsid w:val="00896C05"/>
    <w:rsid w:val="008B1BA9"/>
    <w:rsid w:val="008B6162"/>
    <w:rsid w:val="008B6E91"/>
    <w:rsid w:val="008C0395"/>
    <w:rsid w:val="008C68EF"/>
    <w:rsid w:val="008D5397"/>
    <w:rsid w:val="008F69FA"/>
    <w:rsid w:val="00907190"/>
    <w:rsid w:val="00913186"/>
    <w:rsid w:val="00915DB2"/>
    <w:rsid w:val="00917748"/>
    <w:rsid w:val="00926ADF"/>
    <w:rsid w:val="0094662A"/>
    <w:rsid w:val="0095124B"/>
    <w:rsid w:val="00952D82"/>
    <w:rsid w:val="00971D6A"/>
    <w:rsid w:val="00980268"/>
    <w:rsid w:val="00983892"/>
    <w:rsid w:val="00987194"/>
    <w:rsid w:val="00991153"/>
    <w:rsid w:val="00993C9E"/>
    <w:rsid w:val="009B5679"/>
    <w:rsid w:val="009B7CFC"/>
    <w:rsid w:val="009D7F44"/>
    <w:rsid w:val="009E1BE3"/>
    <w:rsid w:val="009F46B5"/>
    <w:rsid w:val="009F7BC1"/>
    <w:rsid w:val="00A002D0"/>
    <w:rsid w:val="00A02D3F"/>
    <w:rsid w:val="00A07AE3"/>
    <w:rsid w:val="00A10ED2"/>
    <w:rsid w:val="00A12D58"/>
    <w:rsid w:val="00A2624B"/>
    <w:rsid w:val="00A3624C"/>
    <w:rsid w:val="00A40124"/>
    <w:rsid w:val="00A41B70"/>
    <w:rsid w:val="00A55596"/>
    <w:rsid w:val="00A67ECB"/>
    <w:rsid w:val="00A84D62"/>
    <w:rsid w:val="00A91580"/>
    <w:rsid w:val="00A974A1"/>
    <w:rsid w:val="00AA22C8"/>
    <w:rsid w:val="00AB75EE"/>
    <w:rsid w:val="00AC4EDE"/>
    <w:rsid w:val="00AC6820"/>
    <w:rsid w:val="00AC6BEF"/>
    <w:rsid w:val="00AE3737"/>
    <w:rsid w:val="00AF1A39"/>
    <w:rsid w:val="00AF6EE2"/>
    <w:rsid w:val="00B040C2"/>
    <w:rsid w:val="00B127FC"/>
    <w:rsid w:val="00B26D34"/>
    <w:rsid w:val="00B341F9"/>
    <w:rsid w:val="00B34418"/>
    <w:rsid w:val="00B4117F"/>
    <w:rsid w:val="00B437AF"/>
    <w:rsid w:val="00B4383A"/>
    <w:rsid w:val="00B45E62"/>
    <w:rsid w:val="00B5222F"/>
    <w:rsid w:val="00B52FB6"/>
    <w:rsid w:val="00B605F2"/>
    <w:rsid w:val="00B61AF8"/>
    <w:rsid w:val="00B6552D"/>
    <w:rsid w:val="00B670A4"/>
    <w:rsid w:val="00B6714D"/>
    <w:rsid w:val="00B85787"/>
    <w:rsid w:val="00B963D1"/>
    <w:rsid w:val="00B96A44"/>
    <w:rsid w:val="00BA7EEC"/>
    <w:rsid w:val="00BD516B"/>
    <w:rsid w:val="00BE0E7D"/>
    <w:rsid w:val="00BE712D"/>
    <w:rsid w:val="00C04AC6"/>
    <w:rsid w:val="00C23835"/>
    <w:rsid w:val="00C23D03"/>
    <w:rsid w:val="00C5609A"/>
    <w:rsid w:val="00C7049C"/>
    <w:rsid w:val="00C711EB"/>
    <w:rsid w:val="00C71E12"/>
    <w:rsid w:val="00C828E8"/>
    <w:rsid w:val="00C85D95"/>
    <w:rsid w:val="00C86E99"/>
    <w:rsid w:val="00C932A4"/>
    <w:rsid w:val="00C97A21"/>
    <w:rsid w:val="00CA646F"/>
    <w:rsid w:val="00CA78E6"/>
    <w:rsid w:val="00CB7B7E"/>
    <w:rsid w:val="00CD3073"/>
    <w:rsid w:val="00CD7BEC"/>
    <w:rsid w:val="00CE10D1"/>
    <w:rsid w:val="00CE2028"/>
    <w:rsid w:val="00CE6906"/>
    <w:rsid w:val="00CE777D"/>
    <w:rsid w:val="00CF04F2"/>
    <w:rsid w:val="00D03FE3"/>
    <w:rsid w:val="00D041AB"/>
    <w:rsid w:val="00D06F0C"/>
    <w:rsid w:val="00D25B7F"/>
    <w:rsid w:val="00D329C8"/>
    <w:rsid w:val="00D4581C"/>
    <w:rsid w:val="00D504CA"/>
    <w:rsid w:val="00D53191"/>
    <w:rsid w:val="00D542F4"/>
    <w:rsid w:val="00D55A44"/>
    <w:rsid w:val="00D566EE"/>
    <w:rsid w:val="00D65A85"/>
    <w:rsid w:val="00D668FE"/>
    <w:rsid w:val="00D74F86"/>
    <w:rsid w:val="00D841A0"/>
    <w:rsid w:val="00DB06B9"/>
    <w:rsid w:val="00DB09B9"/>
    <w:rsid w:val="00DD3C66"/>
    <w:rsid w:val="00DE35D6"/>
    <w:rsid w:val="00DF5FFB"/>
    <w:rsid w:val="00E0103F"/>
    <w:rsid w:val="00E07341"/>
    <w:rsid w:val="00E135B5"/>
    <w:rsid w:val="00E169DC"/>
    <w:rsid w:val="00E217DC"/>
    <w:rsid w:val="00E33104"/>
    <w:rsid w:val="00E57476"/>
    <w:rsid w:val="00E628DA"/>
    <w:rsid w:val="00E63B35"/>
    <w:rsid w:val="00E77F26"/>
    <w:rsid w:val="00E80B2F"/>
    <w:rsid w:val="00E841CE"/>
    <w:rsid w:val="00EB4FA5"/>
    <w:rsid w:val="00EB7F4C"/>
    <w:rsid w:val="00EC081C"/>
    <w:rsid w:val="00EC47CB"/>
    <w:rsid w:val="00EC5A46"/>
    <w:rsid w:val="00EC6FD0"/>
    <w:rsid w:val="00ED413A"/>
    <w:rsid w:val="00ED5207"/>
    <w:rsid w:val="00ED686C"/>
    <w:rsid w:val="00EE0B8E"/>
    <w:rsid w:val="00EF079F"/>
    <w:rsid w:val="00F064AC"/>
    <w:rsid w:val="00F10431"/>
    <w:rsid w:val="00F26E53"/>
    <w:rsid w:val="00F34F9D"/>
    <w:rsid w:val="00F63290"/>
    <w:rsid w:val="00F64B83"/>
    <w:rsid w:val="00F66F75"/>
    <w:rsid w:val="00F73018"/>
    <w:rsid w:val="00F83543"/>
    <w:rsid w:val="00F91988"/>
    <w:rsid w:val="00FA3367"/>
    <w:rsid w:val="00FA4481"/>
    <w:rsid w:val="00FB34F4"/>
    <w:rsid w:val="00FB4300"/>
    <w:rsid w:val="00FC2E01"/>
    <w:rsid w:val="00FD17B4"/>
    <w:rsid w:val="00FD5025"/>
  </w:rsids>
  <m:mathPr>
    <m:mathFont m:val="Cambria Math"/>
    <m:wrapRight/>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C55BF4FF-82F0-4F8E-8E1B-1DA2C05E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86BE3"/>
    <w:rPr>
      <w:color w:val="0563C1"/>
      <w:u w:val="single"/>
    </w:rPr>
  </w:style>
  <w:style w:type="paragraph" w:styleId="BalloonText">
    <w:name w:val="Balloon Text"/>
    <w:basedOn w:val="Normal"/>
    <w:link w:val="BalloonTextChar"/>
    <w:uiPriority w:val="99"/>
    <w:semiHidden/>
    <w:unhideWhenUsed/>
    <w:rsid w:val="00786BE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86BE3"/>
    <w:rPr>
      <w:rFonts w:ascii="Segoe UI" w:hAnsi="Segoe UI" w:cs="Segoe UI"/>
      <w:sz w:val="18"/>
      <w:szCs w:val="18"/>
    </w:rPr>
  </w:style>
  <w:style w:type="paragraph" w:styleId="ListParagraph">
    <w:name w:val="List Paragraph"/>
    <w:basedOn w:val="Normal"/>
    <w:uiPriority w:val="34"/>
    <w:qFormat/>
    <w:rsid w:val="00385C56"/>
    <w:pPr>
      <w:ind w:left="720"/>
      <w:contextualSpacing/>
    </w:pPr>
  </w:style>
  <w:style w:type="paragraph" w:styleId="CommentText">
    <w:name w:val="annotation text"/>
    <w:basedOn w:val="Normal"/>
    <w:link w:val="CommentTextChar"/>
    <w:uiPriority w:val="99"/>
    <w:semiHidden/>
    <w:unhideWhenUsed/>
    <w:rsid w:val="001D4CA8"/>
    <w:pPr>
      <w:spacing w:line="240" w:lineRule="auto"/>
    </w:pPr>
    <w:rPr>
      <w:sz w:val="20"/>
      <w:szCs w:val="20"/>
    </w:rPr>
  </w:style>
  <w:style w:type="character" w:customStyle="1" w:styleId="CommentTextChar">
    <w:name w:val="Comment Text Char"/>
    <w:link w:val="CommentText"/>
    <w:uiPriority w:val="99"/>
    <w:semiHidden/>
    <w:rsid w:val="001D4CA8"/>
    <w:rPr>
      <w:sz w:val="20"/>
      <w:szCs w:val="20"/>
    </w:rPr>
  </w:style>
  <w:style w:type="character" w:styleId="CommentReference">
    <w:name w:val="annotation reference"/>
    <w:uiPriority w:val="99"/>
    <w:semiHidden/>
    <w:unhideWhenUsed/>
    <w:rsid w:val="001D4CA8"/>
    <w:rPr>
      <w:sz w:val="16"/>
      <w:szCs w:val="16"/>
    </w:rPr>
  </w:style>
  <w:style w:type="paragraph" w:styleId="CommentSubject">
    <w:name w:val="annotation subject"/>
    <w:basedOn w:val="CommentText"/>
    <w:next w:val="CommentText"/>
    <w:link w:val="CommentSubjectChar"/>
    <w:uiPriority w:val="99"/>
    <w:semiHidden/>
    <w:unhideWhenUsed/>
    <w:rsid w:val="00C86E99"/>
    <w:pPr>
      <w:spacing w:line="259" w:lineRule="auto"/>
    </w:pPr>
    <w:rPr>
      <w:b/>
      <w:bCs/>
    </w:rPr>
  </w:style>
  <w:style w:type="character" w:customStyle="1" w:styleId="CommentSubjectChar">
    <w:name w:val="Comment Subject Char"/>
    <w:link w:val="CommentSubject"/>
    <w:uiPriority w:val="99"/>
    <w:semiHidden/>
    <w:rsid w:val="00C86E99"/>
    <w:rPr>
      <w:b/>
      <w:bCs/>
      <w:sz w:val="20"/>
      <w:szCs w:val="20"/>
      <w:lang w:eastAsia="en-US"/>
    </w:rPr>
  </w:style>
  <w:style w:type="paragraph" w:styleId="Header">
    <w:name w:val="header"/>
    <w:basedOn w:val="Normal"/>
    <w:link w:val="HeaderChar"/>
    <w:uiPriority w:val="99"/>
    <w:unhideWhenUsed/>
    <w:rsid w:val="00C86E99"/>
    <w:pPr>
      <w:tabs>
        <w:tab w:val="center" w:pos="4153"/>
        <w:tab w:val="right" w:pos="8306"/>
      </w:tabs>
    </w:pPr>
  </w:style>
  <w:style w:type="character" w:customStyle="1" w:styleId="HeaderChar">
    <w:name w:val="Header Char"/>
    <w:link w:val="Header"/>
    <w:uiPriority w:val="99"/>
    <w:rsid w:val="00C86E99"/>
    <w:rPr>
      <w:sz w:val="24"/>
      <w:szCs w:val="22"/>
      <w:lang w:eastAsia="en-US"/>
    </w:rPr>
  </w:style>
  <w:style w:type="paragraph" w:styleId="Footer">
    <w:name w:val="footer"/>
    <w:basedOn w:val="Normal"/>
    <w:link w:val="FooterChar"/>
    <w:uiPriority w:val="99"/>
    <w:unhideWhenUsed/>
    <w:rsid w:val="00C86E99"/>
    <w:pPr>
      <w:tabs>
        <w:tab w:val="center" w:pos="4153"/>
        <w:tab w:val="right" w:pos="8306"/>
      </w:tabs>
    </w:pPr>
  </w:style>
  <w:style w:type="character" w:customStyle="1" w:styleId="FooterChar">
    <w:name w:val="Footer Char"/>
    <w:link w:val="Footer"/>
    <w:uiPriority w:val="99"/>
    <w:rsid w:val="00C86E99"/>
    <w:rPr>
      <w:sz w:val="24"/>
      <w:szCs w:val="22"/>
      <w:lang w:eastAsia="en-US"/>
    </w:rPr>
  </w:style>
  <w:style w:type="character" w:customStyle="1" w:styleId="UnresolvedMention">
    <w:name w:val="Unresolved Mention"/>
    <w:uiPriority w:val="99"/>
    <w:semiHidden/>
    <w:unhideWhenUsed/>
    <w:rsid w:val="00784BD9"/>
    <w:rPr>
      <w:color w:val="808080"/>
      <w:shd w:val="clear" w:color="auto" w:fill="E6E6E6"/>
    </w:rPr>
  </w:style>
  <w:style w:type="paragraph" w:styleId="NormalWeb">
    <w:name w:val="Normal (Web)"/>
    <w:basedOn w:val="Normal"/>
    <w:uiPriority w:val="99"/>
    <w:semiHidden/>
    <w:unhideWhenUsed/>
    <w:rsid w:val="005538AB"/>
    <w:pPr>
      <w:spacing w:before="100" w:beforeAutospacing="1" w:after="100" w:afterAutospacing="1" w:line="240" w:lineRule="auto"/>
    </w:pPr>
    <w:rPr>
      <w:rFonts w:eastAsia="Times New Roman"/>
      <w:szCs w:val="24"/>
      <w:lang w:eastAsia="lv-LV"/>
    </w:rPr>
  </w:style>
  <w:style w:type="paragraph" w:customStyle="1" w:styleId="naiskr">
    <w:name w:val="naiskr"/>
    <w:basedOn w:val="Normal"/>
    <w:uiPriority w:val="99"/>
    <w:rsid w:val="000D221D"/>
    <w:pPr>
      <w:spacing w:before="75" w:after="75" w:line="240" w:lineRule="auto"/>
    </w:pPr>
    <w:rPr>
      <w:rFonts w:eastAsia="Times New Roman"/>
      <w:szCs w:val="24"/>
      <w:lang w:eastAsia="lv-LV"/>
    </w:rPr>
  </w:style>
  <w:style w:type="character" w:customStyle="1" w:styleId="st1">
    <w:name w:val="st1"/>
    <w:uiPriority w:val="99"/>
    <w:rsid w:val="000D221D"/>
  </w:style>
  <w:style w:type="table" w:styleId="TableGrid">
    <w:name w:val="Table Grid"/>
    <w:basedOn w:val="TableNormal"/>
    <w:uiPriority w:val="39"/>
    <w:rsid w:val="007B6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A6149-34B8-4701-948E-F9F0F7519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19531</Words>
  <Characters>11133</Characters>
  <Application>Microsoft Office Word</Application>
  <DocSecurity>0</DocSecurity>
  <Lines>92</Lines>
  <Paragraphs>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likumā “Par sabiedrisko pakalpojumu regulatoriem””</vt:lpstr>
      <vt:lpstr>Grozījumi likumā “Par sabiedrisko pakalpojumu regulatoriem””</vt:lpstr>
    </vt:vector>
  </TitlesOfParts>
  <Company/>
  <LinksUpToDate>false</LinksUpToDate>
  <CharactersWithSpaces>30603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sabiedrisko pakalpojumu regulatoriem””</dc:title>
  <dc:creator>Jānis Stepiņš</dc:creator>
  <cp:keywords>Sākotnējās ietekmes novērtējuma ziņojums</cp:keywords>
  <cp:lastModifiedBy>Intars Eglītis</cp:lastModifiedBy>
  <cp:revision>4</cp:revision>
  <cp:lastPrinted>2018-05-10T07:47:00Z</cp:lastPrinted>
  <dcterms:created xsi:type="dcterms:W3CDTF">2018-05-17T08:57:00Z</dcterms:created>
  <dcterms:modified xsi:type="dcterms:W3CDTF">2018-06-08T05:02:00Z</dcterms:modified>
</cp:coreProperties>
</file>