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32692B" w:rsidRPr="007D027A" w:rsidP="0032692B">
      <w:pPr>
        <w:shd w:val="clear" w:color="auto" w:fill="FFFFFF"/>
        <w:jc w:val="right"/>
        <w:rPr>
          <w:rFonts w:eastAsia="Times New Roman" w:cs="Times New Roman"/>
          <w:szCs w:val="28"/>
          <w:lang w:eastAsia="lv-LV"/>
        </w:rPr>
      </w:pPr>
      <w:r w:rsidRPr="007D027A">
        <w:rPr>
          <w:rFonts w:eastAsia="Times New Roman" w:cs="Times New Roman"/>
          <w:szCs w:val="28"/>
          <w:lang w:eastAsia="lv-LV"/>
        </w:rPr>
        <w:t>Likumprojekts</w:t>
      </w:r>
    </w:p>
    <w:p w:rsidR="00D25469" w:rsidRPr="009A5F98" w:rsidP="0032692B">
      <w:pPr>
        <w:shd w:val="clear" w:color="auto" w:fill="FFFFFF"/>
        <w:rPr>
          <w:rFonts w:eastAsia="Times New Roman" w:cs="Times New Roman"/>
          <w:szCs w:val="28"/>
          <w:lang w:eastAsia="lv-LV"/>
        </w:rPr>
      </w:pPr>
    </w:p>
    <w:p w:rsidR="00F4087C" w:rsidRPr="009A5F98" w:rsidP="0032692B">
      <w:pPr>
        <w:shd w:val="clear" w:color="auto" w:fill="FFFFFF"/>
        <w:rPr>
          <w:rFonts w:eastAsia="Times New Roman" w:cs="Times New Roman"/>
          <w:szCs w:val="28"/>
          <w:lang w:eastAsia="lv-LV"/>
        </w:rPr>
      </w:pPr>
    </w:p>
    <w:p w:rsidR="0032692B" w:rsidRPr="009A5F98" w:rsidP="0032692B">
      <w:pPr>
        <w:shd w:val="clear" w:color="auto" w:fill="FFFFFF"/>
        <w:jc w:val="center"/>
        <w:rPr>
          <w:rFonts w:eastAsia="Times New Roman" w:cs="Times New Roman"/>
          <w:szCs w:val="28"/>
          <w:lang w:eastAsia="lv-LV"/>
        </w:rPr>
      </w:pPr>
      <w:r w:rsidRPr="009A5F98">
        <w:rPr>
          <w:rFonts w:eastAsia="Times New Roman" w:cs="Times New Roman"/>
          <w:b/>
          <w:bCs/>
          <w:szCs w:val="28"/>
          <w:lang w:eastAsia="lv-LV"/>
        </w:rPr>
        <w:t>Grozījumi Latvijas Administratīvo pārkāpumu kodeksā</w:t>
      </w:r>
    </w:p>
    <w:p w:rsidR="009F2FF8" w:rsidRPr="009A5F98" w:rsidP="0032692B">
      <w:pPr>
        <w:shd w:val="clear" w:color="auto" w:fill="FFFFFF"/>
        <w:rPr>
          <w:rFonts w:eastAsia="Times New Roman" w:cs="Times New Roman"/>
          <w:szCs w:val="28"/>
          <w:lang w:eastAsia="lv-LV"/>
        </w:rPr>
      </w:pPr>
    </w:p>
    <w:p w:rsidR="00F4087C" w:rsidRPr="009A5F98" w:rsidP="0032692B">
      <w:pPr>
        <w:shd w:val="clear" w:color="auto" w:fill="FFFFFF"/>
        <w:rPr>
          <w:rFonts w:eastAsia="Times New Roman" w:cs="Times New Roman"/>
          <w:szCs w:val="28"/>
          <w:lang w:eastAsia="lv-LV"/>
        </w:rPr>
      </w:pPr>
    </w:p>
    <w:p w:rsidR="0032692B" w:rsidRPr="00C41CE0" w:rsidP="000B0C9A">
      <w:pPr>
        <w:shd w:val="clear" w:color="auto" w:fill="FFFFFF"/>
        <w:spacing w:after="120"/>
        <w:ind w:firstLine="709"/>
        <w:rPr>
          <w:rFonts w:eastAsia="Times New Roman" w:cs="Times New Roman"/>
          <w:szCs w:val="28"/>
          <w:lang w:eastAsia="lv-LV"/>
        </w:rPr>
      </w:pPr>
      <w:r w:rsidRPr="00C41CE0">
        <w:rPr>
          <w:rFonts w:eastAsia="Times New Roman" w:cs="Times New Roman"/>
          <w:szCs w:val="28"/>
          <w:lang w:eastAsia="lv-LV"/>
        </w:rPr>
        <w:t>Izdarīt Latvijas Administratīvo pārkāpumu kodeksā šādus grozījumus:</w:t>
      </w:r>
    </w:p>
    <w:p w:rsidR="00FD53BA" w:rsidRPr="00C41CE0" w:rsidP="00862EC8">
      <w:pPr>
        <w:pStyle w:val="ListParagraph"/>
        <w:numPr>
          <w:ilvl w:val="0"/>
          <w:numId w:val="1"/>
        </w:numPr>
        <w:shd w:val="clear" w:color="auto" w:fill="FFFFFF"/>
        <w:spacing w:after="120"/>
        <w:ind w:left="993" w:hanging="284"/>
        <w:jc w:val="both"/>
        <w:rPr>
          <w:szCs w:val="28"/>
        </w:rPr>
      </w:pPr>
      <w:r w:rsidRPr="00C41CE0">
        <w:rPr>
          <w:szCs w:val="28"/>
        </w:rPr>
        <w:t>26.panta pirm</w:t>
      </w:r>
      <w:r w:rsidRPr="00C41CE0" w:rsidR="008E7BF9">
        <w:rPr>
          <w:szCs w:val="28"/>
        </w:rPr>
        <w:t>ajā</w:t>
      </w:r>
      <w:r w:rsidRPr="00C41CE0">
        <w:rPr>
          <w:szCs w:val="28"/>
        </w:rPr>
        <w:t xml:space="preserve"> daļ</w:t>
      </w:r>
      <w:r w:rsidRPr="00C41CE0" w:rsidR="008E7BF9">
        <w:rPr>
          <w:szCs w:val="28"/>
        </w:rPr>
        <w:t>ā</w:t>
      </w:r>
      <w:r w:rsidRPr="00C41CE0">
        <w:rPr>
          <w:szCs w:val="28"/>
        </w:rPr>
        <w:t>:</w:t>
      </w:r>
    </w:p>
    <w:p w:rsidR="00177B37" w:rsidRPr="00C41CE0" w:rsidP="00C41CE0">
      <w:pPr>
        <w:shd w:val="clear" w:color="auto" w:fill="FFFFFF"/>
        <w:spacing w:after="120"/>
        <w:ind w:firstLine="709"/>
        <w:jc w:val="both"/>
        <w:rPr>
          <w:szCs w:val="28"/>
        </w:rPr>
      </w:pPr>
      <w:r w:rsidRPr="00C41CE0">
        <w:rPr>
          <w:szCs w:val="28"/>
        </w:rPr>
        <w:t xml:space="preserve">aizstāt </w:t>
      </w:r>
      <w:r w:rsidRPr="00C41CE0" w:rsidR="00892787">
        <w:rPr>
          <w:szCs w:val="28"/>
        </w:rPr>
        <w:t>skait</w:t>
      </w:r>
      <w:r w:rsidRPr="00C41CE0" w:rsidR="008E7BF9">
        <w:rPr>
          <w:szCs w:val="28"/>
        </w:rPr>
        <w:t>li</w:t>
      </w:r>
      <w:r w:rsidRPr="00C41CE0" w:rsidR="003712DA">
        <w:rPr>
          <w:szCs w:val="28"/>
        </w:rPr>
        <w:t xml:space="preserve"> un vārd</w:t>
      </w:r>
      <w:r w:rsidRPr="00C41CE0" w:rsidR="008E7BF9">
        <w:rPr>
          <w:szCs w:val="28"/>
        </w:rPr>
        <w:t>u</w:t>
      </w:r>
      <w:r w:rsidRPr="00C41CE0" w:rsidR="00892787">
        <w:rPr>
          <w:szCs w:val="28"/>
        </w:rPr>
        <w:t xml:space="preserve"> “159.</w:t>
      </w:r>
      <w:r w:rsidRPr="00C41CE0" w:rsidR="00892787">
        <w:rPr>
          <w:szCs w:val="28"/>
          <w:vertAlign w:val="superscript"/>
        </w:rPr>
        <w:t>10</w:t>
      </w:r>
      <w:r w:rsidRPr="00C41CE0" w:rsidR="003712DA">
        <w:rPr>
          <w:szCs w:val="28"/>
          <w:vertAlign w:val="superscript"/>
        </w:rPr>
        <w:t xml:space="preserve"> </w:t>
      </w:r>
      <w:r w:rsidRPr="00C41CE0" w:rsidR="003712DA">
        <w:rPr>
          <w:szCs w:val="28"/>
        </w:rPr>
        <w:t>pantā</w:t>
      </w:r>
      <w:r w:rsidRPr="00C41CE0" w:rsidR="00892787">
        <w:rPr>
          <w:szCs w:val="28"/>
        </w:rPr>
        <w:t>” ar skait</w:t>
      </w:r>
      <w:r w:rsidRPr="00C41CE0" w:rsidR="008E7BF9">
        <w:rPr>
          <w:szCs w:val="28"/>
        </w:rPr>
        <w:t>ļiem</w:t>
      </w:r>
      <w:r w:rsidRPr="00C41CE0" w:rsidR="00892787">
        <w:rPr>
          <w:szCs w:val="28"/>
        </w:rPr>
        <w:t xml:space="preserve"> un vārd</w:t>
      </w:r>
      <w:r w:rsidRPr="00C41CE0" w:rsidR="006B2D5F">
        <w:rPr>
          <w:szCs w:val="28"/>
        </w:rPr>
        <w:t>iem</w:t>
      </w:r>
      <w:r w:rsidRPr="00C41CE0" w:rsidR="00892787">
        <w:rPr>
          <w:szCs w:val="28"/>
        </w:rPr>
        <w:t xml:space="preserve"> “</w:t>
      </w:r>
      <w:r w:rsidRPr="00C41CE0" w:rsidR="005615E1">
        <w:rPr>
          <w:szCs w:val="28"/>
        </w:rPr>
        <w:t>159.</w:t>
      </w:r>
      <w:r w:rsidRPr="00C41CE0" w:rsidR="005615E1">
        <w:rPr>
          <w:szCs w:val="28"/>
          <w:vertAlign w:val="superscript"/>
        </w:rPr>
        <w:t>10</w:t>
      </w:r>
      <w:r w:rsidRPr="00C41CE0">
        <w:rPr>
          <w:szCs w:val="28"/>
          <w:vertAlign w:val="superscript"/>
        </w:rPr>
        <w:t> </w:t>
      </w:r>
      <w:r w:rsidRPr="00C41CE0" w:rsidR="005615E1">
        <w:rPr>
          <w:szCs w:val="28"/>
        </w:rPr>
        <w:t>pantā</w:t>
      </w:r>
      <w:r w:rsidRPr="00C41CE0" w:rsidR="00007545">
        <w:rPr>
          <w:szCs w:val="28"/>
        </w:rPr>
        <w:t xml:space="preserve">, </w:t>
      </w:r>
      <w:r w:rsidRPr="00C41CE0" w:rsidR="00892787">
        <w:rPr>
          <w:szCs w:val="28"/>
        </w:rPr>
        <w:t>159.</w:t>
      </w:r>
      <w:r w:rsidRPr="00C41CE0" w:rsidR="00892787">
        <w:rPr>
          <w:szCs w:val="28"/>
          <w:vertAlign w:val="superscript"/>
        </w:rPr>
        <w:t>11</w:t>
      </w:r>
      <w:r w:rsidRPr="00C41CE0" w:rsidR="007D366A">
        <w:rPr>
          <w:szCs w:val="28"/>
        </w:rPr>
        <w:t xml:space="preserve"> pantā</w:t>
      </w:r>
      <w:r w:rsidRPr="00C41CE0" w:rsidR="00892787">
        <w:rPr>
          <w:szCs w:val="28"/>
        </w:rPr>
        <w:t>”</w:t>
      </w:r>
      <w:r w:rsidRPr="00C41CE0">
        <w:rPr>
          <w:szCs w:val="28"/>
        </w:rPr>
        <w:t>;</w:t>
      </w:r>
    </w:p>
    <w:p w:rsidR="009A5F98" w:rsidRPr="00C41CE0" w:rsidP="00C41CE0">
      <w:pPr>
        <w:shd w:val="clear" w:color="auto" w:fill="FFFFFF"/>
        <w:spacing w:after="120"/>
        <w:ind w:firstLine="709"/>
        <w:jc w:val="both"/>
        <w:rPr>
          <w:rFonts w:eastAsia="Times New Roman" w:cs="Times New Roman"/>
          <w:szCs w:val="28"/>
          <w:lang w:eastAsia="lv-LV"/>
        </w:rPr>
      </w:pPr>
      <w:r w:rsidRPr="00C41CE0">
        <w:rPr>
          <w:szCs w:val="28"/>
        </w:rPr>
        <w:t xml:space="preserve">aizstāt </w:t>
      </w:r>
      <w:r w:rsidRPr="00C41CE0" w:rsidR="00F4675F">
        <w:rPr>
          <w:szCs w:val="28"/>
        </w:rPr>
        <w:t xml:space="preserve">skaitļus un </w:t>
      </w:r>
      <w:r w:rsidRPr="00C41CE0">
        <w:rPr>
          <w:szCs w:val="28"/>
        </w:rPr>
        <w:t>vārdus “114.</w:t>
      </w:r>
      <w:r w:rsidRPr="00C41CE0">
        <w:rPr>
          <w:szCs w:val="28"/>
          <w:vertAlign w:val="superscript"/>
        </w:rPr>
        <w:t>2</w:t>
      </w:r>
      <w:r w:rsidRPr="00C41CE0">
        <w:rPr>
          <w:szCs w:val="28"/>
        </w:rPr>
        <w:t xml:space="preserve"> pantā un 159.</w:t>
      </w:r>
      <w:r w:rsidRPr="00C41CE0">
        <w:rPr>
          <w:szCs w:val="28"/>
          <w:vertAlign w:val="superscript"/>
        </w:rPr>
        <w:t>8</w:t>
      </w:r>
      <w:r w:rsidRPr="00C41CE0">
        <w:rPr>
          <w:szCs w:val="28"/>
        </w:rPr>
        <w:t xml:space="preserve"> panta septītajā daļā” ar skaitļiem</w:t>
      </w:r>
      <w:r w:rsidRPr="00C41CE0" w:rsidR="00F4675F">
        <w:rPr>
          <w:szCs w:val="28"/>
        </w:rPr>
        <w:t xml:space="preserve"> un vārdiem</w:t>
      </w:r>
      <w:r w:rsidRPr="00C41CE0">
        <w:rPr>
          <w:szCs w:val="28"/>
        </w:rPr>
        <w:t xml:space="preserve"> “114.</w:t>
      </w:r>
      <w:r w:rsidRPr="00C41CE0">
        <w:rPr>
          <w:szCs w:val="28"/>
          <w:vertAlign w:val="superscript"/>
        </w:rPr>
        <w:t>2</w:t>
      </w:r>
      <w:r w:rsidRPr="00C41CE0" w:rsidR="003534A6">
        <w:rPr>
          <w:szCs w:val="28"/>
          <w:vertAlign w:val="superscript"/>
        </w:rPr>
        <w:t> </w:t>
      </w:r>
      <w:r w:rsidRPr="00C41CE0">
        <w:rPr>
          <w:szCs w:val="28"/>
        </w:rPr>
        <w:t>pantā, 159.</w:t>
      </w:r>
      <w:r w:rsidRPr="00C41CE0">
        <w:rPr>
          <w:szCs w:val="28"/>
          <w:vertAlign w:val="superscript"/>
        </w:rPr>
        <w:t>8</w:t>
      </w:r>
      <w:r w:rsidRPr="00C41CE0" w:rsidR="003534A6">
        <w:rPr>
          <w:szCs w:val="28"/>
          <w:vertAlign w:val="superscript"/>
        </w:rPr>
        <w:t> </w:t>
      </w:r>
      <w:r w:rsidRPr="00C41CE0">
        <w:rPr>
          <w:szCs w:val="28"/>
        </w:rPr>
        <w:t>panta septītajā daļā un 159.</w:t>
      </w:r>
      <w:r w:rsidRPr="00C41CE0">
        <w:rPr>
          <w:szCs w:val="28"/>
          <w:vertAlign w:val="superscript"/>
        </w:rPr>
        <w:t>11</w:t>
      </w:r>
      <w:r w:rsidRPr="00C41CE0">
        <w:rPr>
          <w:szCs w:val="28"/>
        </w:rPr>
        <w:t> pantā”.</w:t>
      </w:r>
    </w:p>
    <w:p w:rsidR="001740D2" w:rsidRPr="009A5F98" w:rsidP="0023383B">
      <w:pPr>
        <w:spacing w:after="120"/>
        <w:ind w:firstLine="709"/>
        <w:rPr>
          <w:szCs w:val="28"/>
        </w:rPr>
      </w:pPr>
      <w:r>
        <w:rPr>
          <w:szCs w:val="28"/>
        </w:rPr>
        <w:t>2</w:t>
      </w:r>
      <w:r w:rsidRPr="009A5F98" w:rsidR="009F2FF8">
        <w:rPr>
          <w:szCs w:val="28"/>
        </w:rPr>
        <w:t>. </w:t>
      </w:r>
      <w:r w:rsidRPr="009A5F98" w:rsidR="0032692B">
        <w:rPr>
          <w:szCs w:val="28"/>
        </w:rPr>
        <w:t>Papildināt kodeksu ar 159.</w:t>
      </w:r>
      <w:r w:rsidRPr="009A5F98" w:rsidR="0032692B">
        <w:rPr>
          <w:szCs w:val="28"/>
          <w:vertAlign w:val="superscript"/>
        </w:rPr>
        <w:t>11</w:t>
      </w:r>
      <w:r w:rsidRPr="009A5F98" w:rsidR="0032692B">
        <w:rPr>
          <w:szCs w:val="28"/>
        </w:rPr>
        <w:t xml:space="preserve"> pantu šādā redakcijā:</w:t>
      </w:r>
    </w:p>
    <w:p w:rsidR="00F030B9" w:rsidP="00277A7B">
      <w:pPr>
        <w:spacing w:after="120"/>
        <w:ind w:firstLine="709"/>
        <w:rPr>
          <w:b/>
          <w:szCs w:val="28"/>
        </w:rPr>
      </w:pPr>
      <w:r w:rsidRPr="009A5F98">
        <w:rPr>
          <w:szCs w:val="28"/>
        </w:rPr>
        <w:t>“</w:t>
      </w:r>
      <w:r w:rsidRPr="009A5F98">
        <w:rPr>
          <w:b/>
          <w:szCs w:val="28"/>
        </w:rPr>
        <w:t>159.</w:t>
      </w:r>
      <w:r w:rsidRPr="009A5F98">
        <w:rPr>
          <w:b/>
          <w:szCs w:val="28"/>
          <w:vertAlign w:val="superscript"/>
        </w:rPr>
        <w:t>11</w:t>
      </w:r>
      <w:r w:rsidRPr="009A5F98">
        <w:rPr>
          <w:b/>
          <w:szCs w:val="28"/>
        </w:rPr>
        <w:t> </w:t>
      </w:r>
      <w:r w:rsidRPr="009A5F98" w:rsidR="006B03EA">
        <w:rPr>
          <w:b/>
          <w:szCs w:val="28"/>
        </w:rPr>
        <w:t>pants. </w:t>
      </w:r>
      <w:r w:rsidRPr="009A5F98" w:rsidR="00DC6376">
        <w:rPr>
          <w:b/>
          <w:szCs w:val="28"/>
        </w:rPr>
        <w:t>Elektroniskās informācijas uzskaites būvlaukumā</w:t>
      </w:r>
      <w:r w:rsidR="00FF2051">
        <w:rPr>
          <w:b/>
          <w:szCs w:val="28"/>
        </w:rPr>
        <w:t xml:space="preserve"> </w:t>
      </w:r>
    </w:p>
    <w:p w:rsidR="0032692B" w:rsidRPr="009A5F98" w:rsidP="00475684">
      <w:pPr>
        <w:spacing w:after="120"/>
        <w:rPr>
          <w:szCs w:val="28"/>
        </w:rPr>
      </w:pPr>
      <w:r w:rsidRPr="009A5F98">
        <w:rPr>
          <w:b/>
          <w:szCs w:val="28"/>
        </w:rPr>
        <w:t xml:space="preserve"> regulējuma neievērošan</w:t>
      </w:r>
      <w:r w:rsidR="00F030B9">
        <w:rPr>
          <w:b/>
          <w:szCs w:val="28"/>
        </w:rPr>
        <w:t>a</w:t>
      </w:r>
    </w:p>
    <w:p w:rsidR="00E35987" w:rsidRPr="00FB2CA0" w:rsidP="0023383B">
      <w:pPr>
        <w:spacing w:after="120"/>
        <w:ind w:firstLine="709"/>
        <w:jc w:val="both"/>
        <w:rPr>
          <w:szCs w:val="28"/>
        </w:rPr>
      </w:pPr>
      <w:r w:rsidRPr="00FB2CA0">
        <w:rPr>
          <w:szCs w:val="28"/>
        </w:rPr>
        <w:t xml:space="preserve">Par būvlaukumā nodarbinātas personas </w:t>
      </w:r>
      <w:r w:rsidRPr="00FB2CA0" w:rsidR="00492DB1">
        <w:rPr>
          <w:szCs w:val="28"/>
        </w:rPr>
        <w:t xml:space="preserve">pienākuma </w:t>
      </w:r>
      <w:r w:rsidRPr="00FB2CA0" w:rsidR="00E967CE">
        <w:rPr>
          <w:szCs w:val="28"/>
        </w:rPr>
        <w:t xml:space="preserve">veikt darba laika reģistrāciju elektroniskās darba laika uzskaites sistēmā </w:t>
      </w:r>
      <w:r w:rsidRPr="00FB2CA0" w:rsidR="009317B4">
        <w:rPr>
          <w:szCs w:val="28"/>
        </w:rPr>
        <w:t>nepildīšanu</w:t>
      </w:r>
      <w:r w:rsidRPr="00FB2CA0" w:rsidR="00E967CE">
        <w:rPr>
          <w:szCs w:val="28"/>
        </w:rPr>
        <w:t xml:space="preserve"> </w:t>
      </w:r>
      <w:r w:rsidRPr="00FB2CA0" w:rsidR="002C1229">
        <w:rPr>
          <w:szCs w:val="28"/>
        </w:rPr>
        <w:t>vai par personas, kas uzturas norobežota būvlaukuma teritorijā, bet nav nodarbināta būvdarbu veikšanā būvlaukumā un nav uzskatāma par</w:t>
      </w:r>
      <w:r w:rsidR="007B2F40">
        <w:rPr>
          <w:szCs w:val="28"/>
        </w:rPr>
        <w:t xml:space="preserve"> būvlaukumā nodarbinātu personu</w:t>
      </w:r>
      <w:r w:rsidRPr="00FB2CA0" w:rsidR="002C1229">
        <w:rPr>
          <w:szCs w:val="28"/>
        </w:rPr>
        <w:t xml:space="preserve"> </w:t>
      </w:r>
      <w:r w:rsidRPr="00C318FE" w:rsidR="00C26F2A">
        <w:rPr>
          <w:szCs w:val="28"/>
        </w:rPr>
        <w:t>(</w:t>
      </w:r>
      <w:r w:rsidRPr="00C318FE" w:rsidR="007B2F40">
        <w:rPr>
          <w:szCs w:val="28"/>
        </w:rPr>
        <w:t>izņemot būvizstrādājumu vai citu izstrādājumu piegādes automašīnas autovadītāju</w:t>
      </w:r>
      <w:r w:rsidRPr="00C318FE" w:rsidR="00C26F2A">
        <w:rPr>
          <w:szCs w:val="28"/>
        </w:rPr>
        <w:t>)</w:t>
      </w:r>
      <w:r w:rsidR="00C26F2A">
        <w:rPr>
          <w:szCs w:val="28"/>
        </w:rPr>
        <w:t xml:space="preserve"> </w:t>
      </w:r>
      <w:r w:rsidRPr="00FB2CA0" w:rsidR="002C1229">
        <w:rPr>
          <w:szCs w:val="28"/>
        </w:rPr>
        <w:t xml:space="preserve">nereģistrēšanos elektroniskās darba laika uzskaites sistēmā </w:t>
      </w:r>
      <w:r w:rsidRPr="00FB2CA0" w:rsidR="009A5F98">
        <w:rPr>
          <w:szCs w:val="28"/>
        </w:rPr>
        <w:t>–</w:t>
      </w:r>
    </w:p>
    <w:p w:rsidR="00E35987" w:rsidRPr="00FB2CA0" w:rsidP="0023383B">
      <w:pPr>
        <w:spacing w:after="120"/>
        <w:ind w:firstLine="709"/>
        <w:jc w:val="both"/>
        <w:rPr>
          <w:szCs w:val="28"/>
        </w:rPr>
      </w:pPr>
      <w:r w:rsidRPr="00FB2CA0">
        <w:rPr>
          <w:szCs w:val="28"/>
        </w:rPr>
        <w:t xml:space="preserve">uzliek naudas sodu būvlaukumā nodarbinātas personas darba devējam </w:t>
      </w:r>
      <w:r w:rsidRPr="00FB2CA0" w:rsidR="002C1229">
        <w:rPr>
          <w:szCs w:val="28"/>
        </w:rPr>
        <w:t xml:space="preserve">no </w:t>
      </w:r>
      <w:r w:rsidRPr="00FB2CA0">
        <w:rPr>
          <w:szCs w:val="28"/>
        </w:rPr>
        <w:t xml:space="preserve">simt </w:t>
      </w:r>
      <w:r w:rsidRPr="00FB2CA0" w:rsidR="002C1229">
        <w:rPr>
          <w:szCs w:val="28"/>
        </w:rPr>
        <w:t xml:space="preserve">līdz četrtūkstoš </w:t>
      </w:r>
      <w:r w:rsidRPr="004040E8">
        <w:rPr>
          <w:i/>
          <w:szCs w:val="28"/>
        </w:rPr>
        <w:t>euro</w:t>
      </w:r>
      <w:r w:rsidRPr="00FB2CA0" w:rsidR="00A539B6">
        <w:rPr>
          <w:szCs w:val="28"/>
        </w:rPr>
        <w:t xml:space="preserve"> par katru </w:t>
      </w:r>
      <w:r w:rsidRPr="00FB2CA0" w:rsidR="008D0462">
        <w:rPr>
          <w:szCs w:val="28"/>
        </w:rPr>
        <w:t>būvlaukumā nodarbināto personu</w:t>
      </w:r>
      <w:r w:rsidRPr="00FB2CA0" w:rsidR="002C1229">
        <w:rPr>
          <w:szCs w:val="28"/>
        </w:rPr>
        <w:t xml:space="preserve"> vai uzliek naudas sodu galvenajam būvdarbu veicējam no simt līdz četrtūkstoš </w:t>
      </w:r>
      <w:r w:rsidRPr="004040E8" w:rsidR="00A83A81">
        <w:rPr>
          <w:i/>
          <w:szCs w:val="28"/>
        </w:rPr>
        <w:t>euro</w:t>
      </w:r>
      <w:r w:rsidRPr="00FB2CA0" w:rsidR="00A83A81">
        <w:rPr>
          <w:szCs w:val="28"/>
        </w:rPr>
        <w:t xml:space="preserve"> </w:t>
      </w:r>
      <w:r w:rsidRPr="00FB2CA0" w:rsidR="002C1229">
        <w:rPr>
          <w:szCs w:val="28"/>
        </w:rPr>
        <w:t>par katru norobežotā būvlaukuma te</w:t>
      </w:r>
      <w:r w:rsidR="001D0CFA">
        <w:rPr>
          <w:szCs w:val="28"/>
        </w:rPr>
        <w:t>r</w:t>
      </w:r>
      <w:r w:rsidRPr="00FB2CA0" w:rsidR="002C1229">
        <w:rPr>
          <w:szCs w:val="28"/>
        </w:rPr>
        <w:t>itorijā esošu personu, kas uzturas norobežota būvlaukuma teritorijā, bet nav nodarbināta būvdarbu veikšanā būvlaukumā un nav uzskatāma par būvlaukumā nodarbinātu personu</w:t>
      </w:r>
      <w:r w:rsidR="00C26F2A">
        <w:rPr>
          <w:szCs w:val="28"/>
        </w:rPr>
        <w:t xml:space="preserve"> </w:t>
      </w:r>
      <w:r w:rsidRPr="00C318FE" w:rsidR="007B2F40">
        <w:rPr>
          <w:szCs w:val="28"/>
        </w:rPr>
        <w:t>(izņemot</w:t>
      </w:r>
      <w:r w:rsidRPr="00C318FE" w:rsidR="00C26F2A">
        <w:rPr>
          <w:szCs w:val="28"/>
        </w:rPr>
        <w:t xml:space="preserve"> būviz</w:t>
      </w:r>
      <w:r w:rsidRPr="00C318FE" w:rsidR="00774B13">
        <w:rPr>
          <w:szCs w:val="28"/>
        </w:rPr>
        <w:t>strādājumu vai citu izstrādājumu</w:t>
      </w:r>
      <w:r w:rsidRPr="00C318FE" w:rsidR="00BA407B">
        <w:rPr>
          <w:szCs w:val="28"/>
        </w:rPr>
        <w:t xml:space="preserve"> pieg</w:t>
      </w:r>
      <w:r w:rsidRPr="00C318FE" w:rsidR="007B2F40">
        <w:rPr>
          <w:szCs w:val="28"/>
        </w:rPr>
        <w:t>ādes automašīnas autovadītāju</w:t>
      </w:r>
      <w:r w:rsidRPr="00C318FE" w:rsidR="00C26F2A">
        <w:rPr>
          <w:szCs w:val="28"/>
        </w:rPr>
        <w:t>)</w:t>
      </w:r>
      <w:r w:rsidRPr="00FB2CA0">
        <w:rPr>
          <w:szCs w:val="28"/>
        </w:rPr>
        <w:t>.</w:t>
      </w:r>
    </w:p>
    <w:p w:rsidR="00FB2CA0" w:rsidRPr="00FB2CA0" w:rsidP="0023383B">
      <w:pPr>
        <w:spacing w:after="120"/>
        <w:ind w:firstLine="709"/>
        <w:jc w:val="both"/>
        <w:rPr>
          <w:szCs w:val="28"/>
        </w:rPr>
      </w:pPr>
      <w:r w:rsidRPr="00FB2CA0">
        <w:rPr>
          <w:szCs w:val="28"/>
        </w:rPr>
        <w:t xml:space="preserve">Par </w:t>
      </w:r>
      <w:r w:rsidR="00C32B59">
        <w:rPr>
          <w:szCs w:val="28"/>
        </w:rPr>
        <w:t>š</w:t>
      </w:r>
      <w:r w:rsidR="00BD1F7D">
        <w:rPr>
          <w:szCs w:val="28"/>
        </w:rPr>
        <w:t>ā</w:t>
      </w:r>
      <w:r w:rsidR="00C32B59">
        <w:rPr>
          <w:szCs w:val="28"/>
        </w:rPr>
        <w:t xml:space="preserve"> panta pirmajā daļā minēto pārkāpumu</w:t>
      </w:r>
      <w:r w:rsidRPr="00FB2CA0">
        <w:rPr>
          <w:szCs w:val="28"/>
        </w:rPr>
        <w:t>, ja reģistrācijas pienākumu nav veikušas vai nepienācīgi veikušas vismaz trīsdesmit procenti no būvlaukumā nodarbinātajām personām un personām, kas uzturas norobežota būvlaukuma teritorijā, bet nav nodarbināta</w:t>
      </w:r>
      <w:r w:rsidR="00DA11D6">
        <w:rPr>
          <w:szCs w:val="28"/>
        </w:rPr>
        <w:t>s</w:t>
      </w:r>
      <w:r w:rsidRPr="00FB2CA0">
        <w:rPr>
          <w:szCs w:val="28"/>
        </w:rPr>
        <w:t xml:space="preserve"> būvdarbu veikšanā būvlaukumā un nav uzskatāma</w:t>
      </w:r>
      <w:r w:rsidR="00DA11D6">
        <w:rPr>
          <w:szCs w:val="28"/>
        </w:rPr>
        <w:t>s</w:t>
      </w:r>
      <w:r w:rsidRPr="00FB2CA0">
        <w:rPr>
          <w:szCs w:val="28"/>
        </w:rPr>
        <w:t xml:space="preserve"> par</w:t>
      </w:r>
      <w:r w:rsidR="007B2F40">
        <w:rPr>
          <w:szCs w:val="28"/>
        </w:rPr>
        <w:t xml:space="preserve"> būvlaukumā nodarbināt</w:t>
      </w:r>
      <w:r w:rsidR="00DA11D6">
        <w:rPr>
          <w:szCs w:val="28"/>
        </w:rPr>
        <w:t>ām</w:t>
      </w:r>
      <w:r w:rsidR="007B2F40">
        <w:rPr>
          <w:szCs w:val="28"/>
        </w:rPr>
        <w:t xml:space="preserve"> person</w:t>
      </w:r>
      <w:r w:rsidR="00DA11D6">
        <w:rPr>
          <w:szCs w:val="28"/>
        </w:rPr>
        <w:t>ām</w:t>
      </w:r>
      <w:r w:rsidRPr="00FB2CA0">
        <w:rPr>
          <w:szCs w:val="28"/>
        </w:rPr>
        <w:t xml:space="preserve"> (bet ne mazāk par divdesmit šādām personām) – </w:t>
      </w:r>
    </w:p>
    <w:p w:rsidR="00FB2CA0" w:rsidRPr="00C318FE" w:rsidP="0023383B">
      <w:pPr>
        <w:spacing w:after="120"/>
        <w:ind w:firstLine="709"/>
        <w:jc w:val="both"/>
        <w:rPr>
          <w:szCs w:val="28"/>
        </w:rPr>
      </w:pPr>
      <w:r w:rsidRPr="00FB2CA0">
        <w:rPr>
          <w:szCs w:val="28"/>
        </w:rPr>
        <w:t>uzliek naudas sodu galvenajam būvd</w:t>
      </w:r>
      <w:bookmarkStart w:id="0" w:name="_GoBack"/>
      <w:bookmarkEnd w:id="0"/>
      <w:r w:rsidRPr="00FB2CA0">
        <w:rPr>
          <w:szCs w:val="28"/>
        </w:rPr>
        <w:t xml:space="preserve">arbu veicējam no divtūkstoš līdz astoņtūkstoš </w:t>
      </w:r>
      <w:r w:rsidRPr="004040E8" w:rsidR="00E40F41">
        <w:rPr>
          <w:i/>
          <w:szCs w:val="28"/>
        </w:rPr>
        <w:t>euro</w:t>
      </w:r>
      <w:r w:rsidR="00E40F41">
        <w:rPr>
          <w:szCs w:val="28"/>
        </w:rPr>
        <w:t xml:space="preserve"> </w:t>
      </w:r>
      <w:r w:rsidRPr="00FB2CA0">
        <w:rPr>
          <w:szCs w:val="28"/>
        </w:rPr>
        <w:t>par katru būvlaukumā nodarbināto personu un katru norobežotā būvlaukuma te</w:t>
      </w:r>
      <w:r w:rsidR="00AE1F8D">
        <w:rPr>
          <w:szCs w:val="28"/>
        </w:rPr>
        <w:t>r</w:t>
      </w:r>
      <w:r w:rsidRPr="00FB2CA0">
        <w:rPr>
          <w:szCs w:val="28"/>
        </w:rPr>
        <w:t>itorijā esošu personu, kas uzturas norobežota būvlaukuma teritorijā, bet nav nodarbināta būvdarbu veikšanā būvlaukumā un nav uzskatāma par</w:t>
      </w:r>
      <w:r w:rsidR="007220A2">
        <w:rPr>
          <w:szCs w:val="28"/>
        </w:rPr>
        <w:t xml:space="preserve"> būvlaukumā nodarbinātu personu, </w:t>
      </w:r>
      <w:r w:rsidRPr="00C318FE" w:rsidR="007220A2">
        <w:rPr>
          <w:szCs w:val="28"/>
        </w:rPr>
        <w:t xml:space="preserve">bet nepārsniedzot desmit </w:t>
      </w:r>
      <w:r w:rsidRPr="00C318FE" w:rsidR="001F5213">
        <w:rPr>
          <w:szCs w:val="28"/>
        </w:rPr>
        <w:t>procentus no būvdarbu līguma summas.</w:t>
      </w:r>
    </w:p>
    <w:p w:rsidR="006D357E" w:rsidRPr="00957EA7" w:rsidP="0023383B">
      <w:pPr>
        <w:spacing w:after="120"/>
        <w:ind w:firstLine="709"/>
        <w:jc w:val="both"/>
        <w:rPr>
          <w:szCs w:val="28"/>
        </w:rPr>
      </w:pPr>
      <w:r w:rsidRPr="00957EA7">
        <w:rPr>
          <w:szCs w:val="28"/>
        </w:rPr>
        <w:t xml:space="preserve">Par informācijas nesniegšanu par iepriekšējā mēnesī </w:t>
      </w:r>
      <w:r w:rsidRPr="00957EA7" w:rsidR="00952F86">
        <w:rPr>
          <w:szCs w:val="28"/>
        </w:rPr>
        <w:t xml:space="preserve">ar apakšuzņēmējiem </w:t>
      </w:r>
      <w:r w:rsidRPr="00957EA7">
        <w:rPr>
          <w:szCs w:val="28"/>
        </w:rPr>
        <w:t xml:space="preserve">noslēgtajiem būvdarbu līgumiem, kuru summa ir piecpadsmit tūkštoš </w:t>
      </w:r>
      <w:r w:rsidRPr="00957EA7">
        <w:rPr>
          <w:i/>
          <w:szCs w:val="28"/>
        </w:rPr>
        <w:t>euro</w:t>
      </w:r>
      <w:r w:rsidRPr="00957EA7">
        <w:rPr>
          <w:szCs w:val="28"/>
        </w:rPr>
        <w:t xml:space="preserve"> vai vairāk – </w:t>
      </w:r>
    </w:p>
    <w:p w:rsidR="006D357E" w:rsidRPr="00957EA7" w:rsidP="0023383B">
      <w:pPr>
        <w:spacing w:after="120"/>
        <w:ind w:firstLine="709"/>
        <w:jc w:val="both"/>
        <w:rPr>
          <w:szCs w:val="28"/>
        </w:rPr>
      </w:pPr>
      <w:r w:rsidRPr="00957EA7">
        <w:rPr>
          <w:szCs w:val="28"/>
        </w:rPr>
        <w:t xml:space="preserve">uzliek naudas sodu </w:t>
      </w:r>
      <w:r w:rsidRPr="007E6C1B">
        <w:rPr>
          <w:szCs w:val="28"/>
        </w:rPr>
        <w:t xml:space="preserve">galvenajam būvdarbu veicējam </w:t>
      </w:r>
      <w:r w:rsidRPr="007E6C1B" w:rsidR="00E471BD">
        <w:rPr>
          <w:szCs w:val="28"/>
        </w:rPr>
        <w:t xml:space="preserve">vai apakšuzņēmējam </w:t>
      </w:r>
      <w:r w:rsidRPr="00957EA7">
        <w:rPr>
          <w:szCs w:val="28"/>
        </w:rPr>
        <w:t xml:space="preserve">divtūkstoš piecsimt </w:t>
      </w:r>
      <w:r w:rsidRPr="00957EA7">
        <w:rPr>
          <w:i/>
          <w:szCs w:val="28"/>
        </w:rPr>
        <w:t>euro</w:t>
      </w:r>
      <w:r w:rsidRPr="00957EA7">
        <w:rPr>
          <w:szCs w:val="28"/>
        </w:rPr>
        <w:t>.</w:t>
      </w:r>
    </w:p>
    <w:p w:rsidR="007D2D0C" w:rsidRPr="00FB2CA0" w:rsidP="00881FBF">
      <w:pPr>
        <w:spacing w:after="120"/>
        <w:ind w:firstLine="709"/>
        <w:jc w:val="both"/>
        <w:rPr>
          <w:szCs w:val="28"/>
        </w:rPr>
      </w:pPr>
      <w:r w:rsidRPr="00FB2CA0">
        <w:rPr>
          <w:szCs w:val="28"/>
        </w:rPr>
        <w:t xml:space="preserve">Par elektroniskās darba laika uzskaites sistēmas (elektroniskā darba laika uzskaite katrā būvlaukumā) </w:t>
      </w:r>
      <w:r w:rsidR="00D41332">
        <w:rPr>
          <w:szCs w:val="28"/>
        </w:rPr>
        <w:t>ne</w:t>
      </w:r>
      <w:r w:rsidR="00354CF5">
        <w:rPr>
          <w:szCs w:val="28"/>
        </w:rPr>
        <w:t>ieviešanu</w:t>
      </w:r>
      <w:r w:rsidR="00C32B59">
        <w:rPr>
          <w:szCs w:val="28"/>
        </w:rPr>
        <w:t xml:space="preserve"> </w:t>
      </w:r>
      <w:r w:rsidRPr="00FB2CA0">
        <w:rPr>
          <w:szCs w:val="28"/>
        </w:rPr>
        <w:t>–</w:t>
      </w:r>
    </w:p>
    <w:p w:rsidR="00881FBF" w:rsidRPr="00881FBF" w:rsidP="00B9551A">
      <w:pPr>
        <w:spacing w:after="120"/>
        <w:ind w:firstLine="709"/>
        <w:jc w:val="both"/>
        <w:rPr>
          <w:szCs w:val="28"/>
        </w:rPr>
      </w:pPr>
      <w:r w:rsidRPr="00881FBF">
        <w:rPr>
          <w:szCs w:val="28"/>
        </w:rPr>
        <w:t xml:space="preserve">uzliek naudas sodu galvenajam būvdarbu veicējam no piecsimt līdz piectūkstoš </w:t>
      </w:r>
      <w:r w:rsidRPr="00881FBF">
        <w:rPr>
          <w:i/>
          <w:szCs w:val="28"/>
        </w:rPr>
        <w:t>euro</w:t>
      </w:r>
      <w:r w:rsidRPr="00881FBF">
        <w:rPr>
          <w:szCs w:val="28"/>
        </w:rPr>
        <w:t xml:space="preserve"> par katru dienu, skaitot no </w:t>
      </w:r>
      <w:r w:rsidRPr="00881FBF">
        <w:rPr>
          <w:rFonts w:cs="Times New Roman"/>
          <w:szCs w:val="28"/>
        </w:rPr>
        <w:t xml:space="preserve">dienas, kad būvdarbu žurnālā veikta pirmā atzīme par būvdarbu uzsākšanu </w:t>
      </w:r>
      <w:r w:rsidRPr="00881FBF">
        <w:rPr>
          <w:szCs w:val="28"/>
        </w:rPr>
        <w:t>vai no dienas, kad elektroniskās darba laika uzskaites sistēmas dati pēdējo reizi ir nodoti vienotajā elektroniskās darba laika uzskaites datu bāzē, bet nepārsniedzot desmit procentus no būvdarbu līguma summas.”</w:t>
      </w:r>
    </w:p>
    <w:p w:rsidR="0032692B" w:rsidRPr="00C22EA1" w:rsidP="00322EA7">
      <w:pPr>
        <w:spacing w:after="120"/>
        <w:ind w:firstLine="709"/>
        <w:jc w:val="both"/>
        <w:rPr>
          <w:szCs w:val="28"/>
        </w:rPr>
      </w:pPr>
      <w:r w:rsidRPr="00C22EA1">
        <w:rPr>
          <w:szCs w:val="28"/>
        </w:rPr>
        <w:t>3</w:t>
      </w:r>
      <w:r w:rsidRPr="00C22EA1" w:rsidR="009F2FF8">
        <w:rPr>
          <w:szCs w:val="28"/>
        </w:rPr>
        <w:t>. </w:t>
      </w:r>
      <w:r w:rsidRPr="00C22EA1" w:rsidR="00DB0561">
        <w:rPr>
          <w:szCs w:val="28"/>
        </w:rPr>
        <w:t xml:space="preserve">Aizstāt </w:t>
      </w:r>
      <w:r w:rsidRPr="00C22EA1">
        <w:rPr>
          <w:szCs w:val="28"/>
        </w:rPr>
        <w:t>215.</w:t>
      </w:r>
      <w:r w:rsidRPr="00C22EA1">
        <w:rPr>
          <w:szCs w:val="28"/>
          <w:vertAlign w:val="superscript"/>
        </w:rPr>
        <w:t>1</w:t>
      </w:r>
      <w:r w:rsidRPr="00C22EA1">
        <w:rPr>
          <w:szCs w:val="28"/>
        </w:rPr>
        <w:t xml:space="preserve"> panta pirm</w:t>
      </w:r>
      <w:r w:rsidRPr="00C22EA1" w:rsidR="00DB0561">
        <w:rPr>
          <w:szCs w:val="28"/>
        </w:rPr>
        <w:t>ajā</w:t>
      </w:r>
      <w:r w:rsidRPr="00C22EA1">
        <w:rPr>
          <w:szCs w:val="28"/>
        </w:rPr>
        <w:t xml:space="preserve"> daļ</w:t>
      </w:r>
      <w:r w:rsidRPr="00C22EA1" w:rsidR="00DB0561">
        <w:rPr>
          <w:szCs w:val="28"/>
        </w:rPr>
        <w:t>ā</w:t>
      </w:r>
      <w:r w:rsidRPr="00C22EA1" w:rsidR="00322EA7">
        <w:rPr>
          <w:szCs w:val="28"/>
        </w:rPr>
        <w:t xml:space="preserve"> skaitli un vārdu</w:t>
      </w:r>
      <w:r w:rsidRPr="00C22EA1">
        <w:rPr>
          <w:szCs w:val="28"/>
        </w:rPr>
        <w:t xml:space="preserve"> “159.</w:t>
      </w:r>
      <w:r w:rsidRPr="00C22EA1">
        <w:rPr>
          <w:szCs w:val="28"/>
          <w:vertAlign w:val="superscript"/>
        </w:rPr>
        <w:t>10</w:t>
      </w:r>
      <w:r w:rsidRPr="00C22EA1" w:rsidR="00322EA7">
        <w:rPr>
          <w:szCs w:val="28"/>
          <w:vertAlign w:val="superscript"/>
        </w:rPr>
        <w:t> </w:t>
      </w:r>
      <w:r w:rsidRPr="00C22EA1" w:rsidR="00D62F8D">
        <w:rPr>
          <w:szCs w:val="28"/>
        </w:rPr>
        <w:t>pantā</w:t>
      </w:r>
      <w:r w:rsidRPr="00C22EA1">
        <w:rPr>
          <w:szCs w:val="28"/>
        </w:rPr>
        <w:t xml:space="preserve">” ar </w:t>
      </w:r>
      <w:r w:rsidRPr="00C22EA1" w:rsidR="00322EA7">
        <w:rPr>
          <w:szCs w:val="28"/>
        </w:rPr>
        <w:t>skaitļiem un vārdiem “159.</w:t>
      </w:r>
      <w:r w:rsidRPr="00C22EA1" w:rsidR="00322EA7">
        <w:rPr>
          <w:szCs w:val="28"/>
          <w:vertAlign w:val="superscript"/>
        </w:rPr>
        <w:t>10</w:t>
      </w:r>
      <w:r w:rsidRPr="00C22EA1" w:rsidR="00322EA7">
        <w:rPr>
          <w:szCs w:val="28"/>
        </w:rPr>
        <w:t xml:space="preserve"> pantā, </w:t>
      </w:r>
      <w:r w:rsidRPr="00C22EA1">
        <w:rPr>
          <w:szCs w:val="28"/>
        </w:rPr>
        <w:t>159.</w:t>
      </w:r>
      <w:r w:rsidRPr="00C22EA1">
        <w:rPr>
          <w:szCs w:val="28"/>
          <w:vertAlign w:val="superscript"/>
        </w:rPr>
        <w:t>11</w:t>
      </w:r>
      <w:r w:rsidRPr="00C22EA1" w:rsidR="00322EA7">
        <w:rPr>
          <w:szCs w:val="28"/>
        </w:rPr>
        <w:t xml:space="preserve"> pantā</w:t>
      </w:r>
      <w:r w:rsidRPr="00C22EA1">
        <w:rPr>
          <w:szCs w:val="28"/>
        </w:rPr>
        <w:t>”.</w:t>
      </w:r>
    </w:p>
    <w:p w:rsidR="00E471BD" w:rsidRPr="00C22EA1" w:rsidP="00A27FB0">
      <w:pPr>
        <w:spacing w:after="120"/>
        <w:ind w:firstLine="709"/>
        <w:jc w:val="both"/>
        <w:rPr>
          <w:szCs w:val="28"/>
        </w:rPr>
      </w:pPr>
      <w:r w:rsidRPr="00C22EA1">
        <w:rPr>
          <w:szCs w:val="28"/>
        </w:rPr>
        <w:t>4. </w:t>
      </w:r>
      <w:r w:rsidRPr="00C22EA1" w:rsidR="00F1415C">
        <w:rPr>
          <w:szCs w:val="28"/>
        </w:rPr>
        <w:t xml:space="preserve">Aizstāt </w:t>
      </w:r>
      <w:r w:rsidRPr="00C22EA1">
        <w:rPr>
          <w:szCs w:val="28"/>
        </w:rPr>
        <w:t>215.</w:t>
      </w:r>
      <w:r w:rsidRPr="00C22EA1">
        <w:rPr>
          <w:szCs w:val="28"/>
          <w:vertAlign w:val="superscript"/>
        </w:rPr>
        <w:t>3</w:t>
      </w:r>
      <w:r w:rsidRPr="00C22EA1">
        <w:rPr>
          <w:szCs w:val="28"/>
        </w:rPr>
        <w:t xml:space="preserve"> panta pirm</w:t>
      </w:r>
      <w:r w:rsidRPr="00C22EA1" w:rsidR="00F1415C">
        <w:rPr>
          <w:szCs w:val="28"/>
        </w:rPr>
        <w:t>ajā</w:t>
      </w:r>
      <w:r w:rsidRPr="00C22EA1">
        <w:rPr>
          <w:szCs w:val="28"/>
        </w:rPr>
        <w:t xml:space="preserve"> daļ</w:t>
      </w:r>
      <w:r w:rsidRPr="00C22EA1" w:rsidR="00F1415C">
        <w:rPr>
          <w:szCs w:val="28"/>
        </w:rPr>
        <w:t>ā</w:t>
      </w:r>
      <w:r w:rsidRPr="00C22EA1">
        <w:rPr>
          <w:szCs w:val="28"/>
        </w:rPr>
        <w:t xml:space="preserve"> </w:t>
      </w:r>
      <w:r w:rsidRPr="00C22EA1" w:rsidR="00A27FB0">
        <w:rPr>
          <w:szCs w:val="28"/>
        </w:rPr>
        <w:t>skait</w:t>
      </w:r>
      <w:r w:rsidRPr="00C22EA1" w:rsidR="005A2C88">
        <w:rPr>
          <w:szCs w:val="28"/>
        </w:rPr>
        <w:t>li</w:t>
      </w:r>
      <w:r w:rsidRPr="00C22EA1" w:rsidR="00A27FB0">
        <w:rPr>
          <w:szCs w:val="28"/>
        </w:rPr>
        <w:t xml:space="preserve"> un vārdus </w:t>
      </w:r>
      <w:r w:rsidRPr="00C22EA1">
        <w:rPr>
          <w:szCs w:val="28"/>
        </w:rPr>
        <w:t>“159.</w:t>
      </w:r>
      <w:r w:rsidRPr="00C22EA1">
        <w:rPr>
          <w:szCs w:val="28"/>
          <w:vertAlign w:val="superscript"/>
        </w:rPr>
        <w:t>8</w:t>
      </w:r>
      <w:r w:rsidRPr="00C22EA1">
        <w:rPr>
          <w:szCs w:val="28"/>
        </w:rPr>
        <w:t xml:space="preserve"> panta septītajā un astotajā daļā” ar skait</w:t>
      </w:r>
      <w:r w:rsidRPr="00C22EA1" w:rsidR="005A2C88">
        <w:rPr>
          <w:szCs w:val="28"/>
        </w:rPr>
        <w:t>ļiem un vārdiem</w:t>
      </w:r>
      <w:r w:rsidRPr="00C22EA1">
        <w:rPr>
          <w:szCs w:val="28"/>
        </w:rPr>
        <w:t xml:space="preserve"> “</w:t>
      </w:r>
      <w:r w:rsidRPr="00C22EA1" w:rsidR="005A2C88">
        <w:rPr>
          <w:szCs w:val="28"/>
        </w:rPr>
        <w:t>159.</w:t>
      </w:r>
      <w:r w:rsidRPr="00C22EA1" w:rsidR="005A2C88">
        <w:rPr>
          <w:szCs w:val="28"/>
          <w:vertAlign w:val="superscript"/>
        </w:rPr>
        <w:t>8</w:t>
      </w:r>
      <w:r w:rsidRPr="00C22EA1" w:rsidR="005A2C88">
        <w:rPr>
          <w:szCs w:val="28"/>
        </w:rPr>
        <w:t xml:space="preserve"> panta septītajā un astotajā daļā, </w:t>
      </w:r>
      <w:r w:rsidRPr="00C22EA1">
        <w:rPr>
          <w:szCs w:val="28"/>
        </w:rPr>
        <w:t>159.</w:t>
      </w:r>
      <w:r w:rsidRPr="00C22EA1">
        <w:rPr>
          <w:szCs w:val="28"/>
          <w:vertAlign w:val="superscript"/>
        </w:rPr>
        <w:t>11</w:t>
      </w:r>
      <w:r w:rsidRPr="00C22EA1" w:rsidR="00A27FB0">
        <w:rPr>
          <w:szCs w:val="28"/>
        </w:rPr>
        <w:t xml:space="preserve"> pantā</w:t>
      </w:r>
      <w:r w:rsidRPr="00C22EA1">
        <w:rPr>
          <w:szCs w:val="28"/>
        </w:rPr>
        <w:t>”.</w:t>
      </w:r>
    </w:p>
    <w:p w:rsidR="007D2D0C" w:rsidRPr="009A5F98" w:rsidP="0023383B">
      <w:pPr>
        <w:spacing w:after="120"/>
        <w:ind w:firstLine="709"/>
        <w:rPr>
          <w:szCs w:val="28"/>
        </w:rPr>
      </w:pPr>
      <w:r>
        <w:rPr>
          <w:szCs w:val="28"/>
        </w:rPr>
        <w:t>5</w:t>
      </w:r>
      <w:r w:rsidRPr="009A5F98">
        <w:rPr>
          <w:szCs w:val="28"/>
        </w:rPr>
        <w:t xml:space="preserve">. Papildināt pārejas noteikumus ar </w:t>
      </w:r>
      <w:r w:rsidR="00A71693">
        <w:rPr>
          <w:szCs w:val="28"/>
        </w:rPr>
        <w:t>39</w:t>
      </w:r>
      <w:r w:rsidRPr="009A5F98">
        <w:rPr>
          <w:szCs w:val="28"/>
        </w:rPr>
        <w:t>.</w:t>
      </w:r>
      <w:r w:rsidR="00A71693">
        <w:rPr>
          <w:szCs w:val="28"/>
        </w:rPr>
        <w:t xml:space="preserve"> un 40.</w:t>
      </w:r>
      <w:r w:rsidRPr="009A5F98">
        <w:rPr>
          <w:szCs w:val="28"/>
        </w:rPr>
        <w:t>punktu šādā redakcijā:</w:t>
      </w:r>
    </w:p>
    <w:p w:rsidR="00D01A0A" w:rsidP="0023383B">
      <w:pPr>
        <w:spacing w:after="120"/>
        <w:ind w:firstLine="709"/>
        <w:jc w:val="both"/>
        <w:rPr>
          <w:szCs w:val="28"/>
        </w:rPr>
      </w:pPr>
      <w:r w:rsidRPr="009A5F98">
        <w:rPr>
          <w:szCs w:val="28"/>
        </w:rPr>
        <w:t>“3</w:t>
      </w:r>
      <w:r w:rsidR="00066CE6">
        <w:rPr>
          <w:szCs w:val="28"/>
        </w:rPr>
        <w:t>9</w:t>
      </w:r>
      <w:r w:rsidRPr="009A5F98">
        <w:rPr>
          <w:szCs w:val="28"/>
        </w:rPr>
        <w:t>. Šā kodeksa 159.</w:t>
      </w:r>
      <w:r w:rsidRPr="009A5F98">
        <w:rPr>
          <w:szCs w:val="28"/>
          <w:vertAlign w:val="superscript"/>
        </w:rPr>
        <w:t>1</w:t>
      </w:r>
      <w:r w:rsidRPr="009A5F98" w:rsidR="00E93A4E">
        <w:rPr>
          <w:szCs w:val="28"/>
          <w:vertAlign w:val="superscript"/>
        </w:rPr>
        <w:t>1</w:t>
      </w:r>
      <w:r w:rsidRPr="009A5F98">
        <w:rPr>
          <w:szCs w:val="28"/>
        </w:rPr>
        <w:t xml:space="preserve"> panta pirmo, otro, trešo un ceturto daļu piemēro</w:t>
      </w:r>
      <w:r w:rsidRPr="009A5F98" w:rsidR="00E93A4E">
        <w:rPr>
          <w:szCs w:val="28"/>
        </w:rPr>
        <w:t xml:space="preserve"> </w:t>
      </w:r>
      <w:r w:rsidR="00AC56D8">
        <w:rPr>
          <w:szCs w:val="28"/>
        </w:rPr>
        <w:t xml:space="preserve">būvlaukumā </w:t>
      </w:r>
      <w:r w:rsidRPr="009A5F98" w:rsidR="00E93A4E">
        <w:rPr>
          <w:szCs w:val="28"/>
        </w:rPr>
        <w:t xml:space="preserve">nodarbinātas personas darba devējam un galvenajam būvdarbu veicējam par administratīvajiem pārkāpumiem, </w:t>
      </w:r>
      <w:r w:rsidR="00354CF5">
        <w:rPr>
          <w:szCs w:val="28"/>
        </w:rPr>
        <w:t xml:space="preserve">kas </w:t>
      </w:r>
      <w:r w:rsidRPr="009A5F98" w:rsidR="00E93A4E">
        <w:rPr>
          <w:szCs w:val="28"/>
        </w:rPr>
        <w:t>izdarīti pēc 2018</w:t>
      </w:r>
      <w:r w:rsidRPr="009A5F98">
        <w:rPr>
          <w:szCs w:val="28"/>
        </w:rPr>
        <w:t xml:space="preserve">.gada </w:t>
      </w:r>
      <w:r w:rsidRPr="009A5F98" w:rsidR="00E93A4E">
        <w:rPr>
          <w:szCs w:val="28"/>
        </w:rPr>
        <w:t>3</w:t>
      </w:r>
      <w:r w:rsidRPr="009A5F98">
        <w:rPr>
          <w:szCs w:val="28"/>
        </w:rPr>
        <w:t>1.</w:t>
      </w:r>
      <w:r w:rsidRPr="009A5F98" w:rsidR="00E93A4E">
        <w:rPr>
          <w:szCs w:val="28"/>
        </w:rPr>
        <w:t>decembra</w:t>
      </w:r>
      <w:r w:rsidRPr="009A5F98">
        <w:rPr>
          <w:szCs w:val="28"/>
        </w:rPr>
        <w:t>.”</w:t>
      </w:r>
    </w:p>
    <w:p w:rsidR="009F5C2D" w:rsidRPr="009A5F98" w:rsidP="0023383B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40</w:t>
      </w:r>
      <w:r w:rsidR="00A40445">
        <w:rPr>
          <w:szCs w:val="28"/>
        </w:rPr>
        <w:t>.</w:t>
      </w:r>
      <w:r w:rsidR="00A91497">
        <w:rPr>
          <w:szCs w:val="28"/>
        </w:rPr>
        <w:t> </w:t>
      </w:r>
      <w:r w:rsidR="00A40445">
        <w:rPr>
          <w:szCs w:val="28"/>
        </w:rPr>
        <w:t>Ja atzīme par būvdarbu uzsākšanu ir izdarīta līdz 2019.gada 1.decembrim, administratīvo sodu par 159</w:t>
      </w:r>
      <w:r w:rsidR="00957EA7">
        <w:rPr>
          <w:szCs w:val="28"/>
        </w:rPr>
        <w:t>.</w:t>
      </w:r>
      <w:r w:rsidRPr="009F5C2D" w:rsidR="00A40445">
        <w:rPr>
          <w:szCs w:val="28"/>
          <w:vertAlign w:val="superscript"/>
        </w:rPr>
        <w:t>11</w:t>
      </w:r>
      <w:r w:rsidR="00957EA7">
        <w:rPr>
          <w:szCs w:val="28"/>
          <w:vertAlign w:val="superscript"/>
        </w:rPr>
        <w:t xml:space="preserve"> </w:t>
      </w:r>
      <w:r w:rsidR="00A40445">
        <w:rPr>
          <w:szCs w:val="28"/>
        </w:rPr>
        <w:t xml:space="preserve">panta ceturtajā daļā </w:t>
      </w:r>
      <w:r>
        <w:rPr>
          <w:szCs w:val="28"/>
        </w:rPr>
        <w:t>noteikto p</w:t>
      </w:r>
      <w:r w:rsidR="00E66E37">
        <w:rPr>
          <w:szCs w:val="28"/>
        </w:rPr>
        <w:t>ār</w:t>
      </w:r>
      <w:r>
        <w:rPr>
          <w:szCs w:val="28"/>
        </w:rPr>
        <w:t>kāpumu uzliek par katru dienu</w:t>
      </w:r>
      <w:r w:rsidR="00E66E37">
        <w:rPr>
          <w:szCs w:val="28"/>
        </w:rPr>
        <w:t>,</w:t>
      </w:r>
      <w:r>
        <w:rPr>
          <w:szCs w:val="28"/>
        </w:rPr>
        <w:t xml:space="preserve"> skaitot no 2019. gada 1.janvāra vai dienas, kad elektroniskās darba laika uzskaites sistēmas dati pēdējo reizi ir nodoti vienotajā elektroniskās darba laik</w:t>
      </w:r>
      <w:r w:rsidR="00E66E37">
        <w:rPr>
          <w:szCs w:val="28"/>
        </w:rPr>
        <w:t>a</w:t>
      </w:r>
      <w:r>
        <w:rPr>
          <w:szCs w:val="28"/>
        </w:rPr>
        <w:t xml:space="preserve"> uzskaites datu bāzē, atkarībā no tā, kurš datums ir vēlākais.”</w:t>
      </w:r>
    </w:p>
    <w:p w:rsidR="00D01A0A" w:rsidRPr="009A5F98" w:rsidP="0032692B">
      <w:pPr>
        <w:rPr>
          <w:szCs w:val="28"/>
        </w:rPr>
      </w:pPr>
    </w:p>
    <w:p w:rsidR="009B38EF" w:rsidP="00FE7A50">
      <w:pPr>
        <w:contextualSpacing/>
        <w:jc w:val="both"/>
        <w:rPr>
          <w:rFonts w:cs="Times New Roman"/>
          <w:szCs w:val="28"/>
        </w:rPr>
      </w:pPr>
    </w:p>
    <w:p w:rsidR="00FE7A50" w:rsidRPr="009A5F98" w:rsidP="00FE7A50">
      <w:pPr>
        <w:contextualSpacing/>
        <w:jc w:val="both"/>
        <w:rPr>
          <w:rFonts w:cs="Times New Roman"/>
          <w:szCs w:val="28"/>
        </w:rPr>
      </w:pPr>
      <w:r w:rsidRPr="009A5F98">
        <w:rPr>
          <w:rFonts w:cs="Times New Roman"/>
          <w:szCs w:val="28"/>
        </w:rPr>
        <w:t>Ministru prezidenta biedrs,</w:t>
      </w:r>
    </w:p>
    <w:p w:rsidR="00FE7A50" w:rsidRPr="009A5F98" w:rsidP="00FE7A50">
      <w:pPr>
        <w:contextualSpacing/>
        <w:jc w:val="both"/>
        <w:rPr>
          <w:rFonts w:cs="Times New Roman"/>
          <w:szCs w:val="28"/>
        </w:rPr>
      </w:pPr>
      <w:r w:rsidRPr="009A5F98">
        <w:rPr>
          <w:rFonts w:cs="Times New Roman"/>
          <w:szCs w:val="28"/>
        </w:rPr>
        <w:t>ekonomikas ministrs</w:t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 w:rsidR="00CA2177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="00C04853">
        <w:rPr>
          <w:rFonts w:cs="Times New Roman"/>
          <w:bCs/>
          <w:szCs w:val="28"/>
        </w:rPr>
        <w:t>    </w:t>
      </w:r>
      <w:r w:rsidRPr="009A5F98">
        <w:rPr>
          <w:rFonts w:cs="Times New Roman"/>
          <w:szCs w:val="28"/>
        </w:rPr>
        <w:t>A. Ašeradens</w:t>
      </w:r>
    </w:p>
    <w:p w:rsidR="00FE7A50" w:rsidRPr="009A5F98" w:rsidP="00FE7A50">
      <w:pPr>
        <w:contextualSpacing/>
        <w:jc w:val="both"/>
        <w:rPr>
          <w:rFonts w:cs="Times New Roman"/>
          <w:bCs/>
          <w:szCs w:val="28"/>
        </w:rPr>
      </w:pPr>
    </w:p>
    <w:p w:rsidR="009B38EF" w:rsidP="00FE7A50">
      <w:pPr>
        <w:contextualSpacing/>
        <w:jc w:val="both"/>
        <w:rPr>
          <w:rFonts w:cs="Times New Roman"/>
          <w:bCs/>
          <w:szCs w:val="28"/>
        </w:rPr>
      </w:pPr>
    </w:p>
    <w:p w:rsidR="00FE7A50" w:rsidRPr="009A5F98" w:rsidP="00FE7A50">
      <w:pPr>
        <w:contextualSpacing/>
        <w:jc w:val="both"/>
        <w:rPr>
          <w:rFonts w:cs="Times New Roman"/>
          <w:bCs/>
          <w:szCs w:val="28"/>
        </w:rPr>
      </w:pPr>
      <w:r w:rsidRPr="009A5F98">
        <w:rPr>
          <w:rFonts w:cs="Times New Roman"/>
          <w:bCs/>
          <w:szCs w:val="28"/>
        </w:rPr>
        <w:t>Iesniedzējs:</w:t>
      </w:r>
    </w:p>
    <w:p w:rsidR="00FE7A50" w:rsidRPr="009A5F98" w:rsidP="00FE7A50">
      <w:pPr>
        <w:contextualSpacing/>
        <w:jc w:val="both"/>
        <w:rPr>
          <w:rFonts w:cs="Times New Roman"/>
          <w:bCs/>
          <w:szCs w:val="28"/>
        </w:rPr>
      </w:pPr>
      <w:r w:rsidRPr="009A5F98">
        <w:rPr>
          <w:rFonts w:cs="Times New Roman"/>
          <w:bCs/>
          <w:szCs w:val="28"/>
        </w:rPr>
        <w:t>Ministru prezidenta biedrs,</w:t>
      </w:r>
    </w:p>
    <w:p w:rsidR="00FE7A50" w:rsidRPr="009A5F98" w:rsidP="00FE7A50">
      <w:pPr>
        <w:contextualSpacing/>
        <w:jc w:val="both"/>
        <w:rPr>
          <w:rFonts w:cs="Times New Roman"/>
          <w:bCs/>
          <w:szCs w:val="28"/>
        </w:rPr>
      </w:pPr>
      <w:r w:rsidRPr="009A5F98">
        <w:rPr>
          <w:rFonts w:cs="Times New Roman"/>
          <w:bCs/>
          <w:szCs w:val="28"/>
        </w:rPr>
        <w:t>ekonomikas ministrs</w:t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 w:rsidR="00CA2177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Pr="009A5F98">
        <w:rPr>
          <w:rFonts w:cs="Times New Roman"/>
          <w:bCs/>
          <w:szCs w:val="28"/>
        </w:rPr>
        <w:tab/>
      </w:r>
      <w:r w:rsidR="00C04853">
        <w:rPr>
          <w:rFonts w:cs="Times New Roman"/>
          <w:bCs/>
          <w:szCs w:val="28"/>
        </w:rPr>
        <w:t xml:space="preserve">    </w:t>
      </w:r>
      <w:r w:rsidRPr="009A5F98">
        <w:rPr>
          <w:rFonts w:cs="Times New Roman"/>
          <w:szCs w:val="28"/>
        </w:rPr>
        <w:t>A. Ašeradens</w:t>
      </w:r>
    </w:p>
    <w:sectPr w:rsidSect="00CE05F0">
      <w:headerReference w:type="default" r:id="rId5"/>
      <w:footerReference w:type="default" r:id="rId6"/>
      <w:footerReference w:type="first" r:id="rId7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6520" w:rsidP="002A35C6">
    <w:pPr>
      <w:pStyle w:val="Footer"/>
    </w:pPr>
  </w:p>
  <w:p w:rsidR="002A35C6" w:rsidRPr="002C1229" w:rsidP="002A35C6">
    <w:pPr>
      <w:pStyle w:val="Footer"/>
    </w:pPr>
    <w:r w:rsidRPr="00BD03C6">
      <w:rPr>
        <w:sz w:val="24"/>
        <w:szCs w:val="24"/>
      </w:rPr>
      <w:t>EM</w:t>
    </w:r>
    <w:r>
      <w:rPr>
        <w:sz w:val="24"/>
        <w:szCs w:val="24"/>
      </w:rPr>
      <w:t>lik</w:t>
    </w:r>
    <w:r w:rsidRPr="00BD03C6">
      <w:rPr>
        <w:sz w:val="24"/>
        <w:szCs w:val="24"/>
      </w:rPr>
      <w:t>_</w:t>
    </w:r>
    <w:r>
      <w:rPr>
        <w:sz w:val="24"/>
        <w:szCs w:val="24"/>
      </w:rPr>
      <w:t>1</w:t>
    </w:r>
    <w:r w:rsidR="009072BB">
      <w:rPr>
        <w:sz w:val="24"/>
        <w:szCs w:val="24"/>
      </w:rPr>
      <w:t>8</w:t>
    </w:r>
    <w:r>
      <w:rPr>
        <w:sz w:val="24"/>
        <w:szCs w:val="24"/>
      </w:rPr>
      <w:t>05</w:t>
    </w:r>
    <w:r w:rsidRPr="00BD03C6">
      <w:rPr>
        <w:sz w:val="24"/>
        <w:szCs w:val="24"/>
      </w:rPr>
      <w:t>1</w:t>
    </w:r>
    <w:r>
      <w:rPr>
        <w:sz w:val="24"/>
        <w:szCs w:val="24"/>
      </w:rPr>
      <w:t>8_VEDLUDB_</w:t>
    </w:r>
    <w:r w:rsidR="000F6DC4">
      <w:rPr>
        <w:sz w:val="24"/>
        <w:szCs w:val="24"/>
      </w:rPr>
      <w:t>L</w:t>
    </w:r>
    <w:r>
      <w:rPr>
        <w:sz w:val="24"/>
        <w:szCs w:val="24"/>
      </w:rPr>
      <w:t>APK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87D" w:rsidRPr="002C1229" w:rsidP="002C1229">
    <w:pPr>
      <w:pStyle w:val="Footer"/>
    </w:pPr>
    <w:r w:rsidRPr="00BD03C6">
      <w:rPr>
        <w:sz w:val="24"/>
        <w:szCs w:val="24"/>
      </w:rPr>
      <w:t>EM</w:t>
    </w:r>
    <w:r w:rsidR="002A35C6">
      <w:rPr>
        <w:sz w:val="24"/>
        <w:szCs w:val="24"/>
      </w:rPr>
      <w:t>lik</w:t>
    </w:r>
    <w:r w:rsidRPr="00BD03C6">
      <w:rPr>
        <w:sz w:val="24"/>
        <w:szCs w:val="24"/>
      </w:rPr>
      <w:t>_</w:t>
    </w:r>
    <w:r w:rsidR="002A35C6">
      <w:rPr>
        <w:sz w:val="24"/>
        <w:szCs w:val="24"/>
      </w:rPr>
      <w:t>1</w:t>
    </w:r>
    <w:r w:rsidR="009072BB">
      <w:rPr>
        <w:sz w:val="24"/>
        <w:szCs w:val="24"/>
      </w:rPr>
      <w:t>8</w:t>
    </w:r>
    <w:r w:rsidR="002A35C6">
      <w:rPr>
        <w:sz w:val="24"/>
        <w:szCs w:val="24"/>
      </w:rPr>
      <w:t>05</w:t>
    </w:r>
    <w:r w:rsidRPr="00BD03C6">
      <w:rPr>
        <w:sz w:val="24"/>
        <w:szCs w:val="24"/>
      </w:rPr>
      <w:t>1</w:t>
    </w:r>
    <w:r w:rsidR="002A35C6">
      <w:rPr>
        <w:sz w:val="24"/>
        <w:szCs w:val="24"/>
      </w:rPr>
      <w:t>8_VEDLUDB_</w:t>
    </w:r>
    <w:r w:rsidR="000F6DC4">
      <w:rPr>
        <w:sz w:val="24"/>
        <w:szCs w:val="24"/>
      </w:rPr>
      <w:t>L</w:t>
    </w:r>
    <w:r w:rsidR="002A35C6">
      <w:rPr>
        <w:sz w:val="24"/>
        <w:szCs w:val="24"/>
      </w:rPr>
      <w:t>APK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898116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6B5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2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6B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4C5611A"/>
    <w:multiLevelType w:val="hybridMultilevel"/>
    <w:tmpl w:val="4F1EC7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proofState w:grammar="clean"/>
  <w:defaultTabStop w:val="720"/>
  <w:drawingGridHorizontalSpacing w:val="140"/>
  <w:drawingGridVerticalSpacing w:val="381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2B"/>
    <w:rsid w:val="0000625B"/>
    <w:rsid w:val="00007545"/>
    <w:rsid w:val="000115F7"/>
    <w:rsid w:val="000169AD"/>
    <w:rsid w:val="0003011F"/>
    <w:rsid w:val="00030F3B"/>
    <w:rsid w:val="0004276A"/>
    <w:rsid w:val="00047733"/>
    <w:rsid w:val="00060243"/>
    <w:rsid w:val="00066CE6"/>
    <w:rsid w:val="00085303"/>
    <w:rsid w:val="00092315"/>
    <w:rsid w:val="00092EA0"/>
    <w:rsid w:val="000B0C9A"/>
    <w:rsid w:val="000E6323"/>
    <w:rsid w:val="000F6DC4"/>
    <w:rsid w:val="000F731A"/>
    <w:rsid w:val="00105094"/>
    <w:rsid w:val="00117F3E"/>
    <w:rsid w:val="00123E24"/>
    <w:rsid w:val="001253B1"/>
    <w:rsid w:val="00151A1F"/>
    <w:rsid w:val="00170E50"/>
    <w:rsid w:val="00173C78"/>
    <w:rsid w:val="001740D2"/>
    <w:rsid w:val="00177B37"/>
    <w:rsid w:val="00186908"/>
    <w:rsid w:val="001870B2"/>
    <w:rsid w:val="001B238C"/>
    <w:rsid w:val="001B6B52"/>
    <w:rsid w:val="001C2530"/>
    <w:rsid w:val="001D0CFA"/>
    <w:rsid w:val="001F5213"/>
    <w:rsid w:val="0023383B"/>
    <w:rsid w:val="00263416"/>
    <w:rsid w:val="002777CA"/>
    <w:rsid w:val="00277A7B"/>
    <w:rsid w:val="002875FF"/>
    <w:rsid w:val="00294C88"/>
    <w:rsid w:val="002A35C6"/>
    <w:rsid w:val="002A5DD9"/>
    <w:rsid w:val="002C1229"/>
    <w:rsid w:val="002C67A8"/>
    <w:rsid w:val="00322A09"/>
    <w:rsid w:val="00322EA7"/>
    <w:rsid w:val="00323A5E"/>
    <w:rsid w:val="0032692B"/>
    <w:rsid w:val="00335299"/>
    <w:rsid w:val="00341FC5"/>
    <w:rsid w:val="003534A6"/>
    <w:rsid w:val="00354CF5"/>
    <w:rsid w:val="003712DA"/>
    <w:rsid w:val="003B658D"/>
    <w:rsid w:val="003E6B90"/>
    <w:rsid w:val="00402509"/>
    <w:rsid w:val="004040E8"/>
    <w:rsid w:val="0045120A"/>
    <w:rsid w:val="00461115"/>
    <w:rsid w:val="00470BC0"/>
    <w:rsid w:val="00475684"/>
    <w:rsid w:val="00492DB1"/>
    <w:rsid w:val="004C7A63"/>
    <w:rsid w:val="0051649B"/>
    <w:rsid w:val="00530B75"/>
    <w:rsid w:val="005359F3"/>
    <w:rsid w:val="005364A3"/>
    <w:rsid w:val="00544364"/>
    <w:rsid w:val="005615E1"/>
    <w:rsid w:val="005616C7"/>
    <w:rsid w:val="00566524"/>
    <w:rsid w:val="005961A4"/>
    <w:rsid w:val="005A2C88"/>
    <w:rsid w:val="005C5B5E"/>
    <w:rsid w:val="005E5541"/>
    <w:rsid w:val="005F5760"/>
    <w:rsid w:val="00611853"/>
    <w:rsid w:val="0065206C"/>
    <w:rsid w:val="006565C4"/>
    <w:rsid w:val="00660093"/>
    <w:rsid w:val="00667706"/>
    <w:rsid w:val="00692AE7"/>
    <w:rsid w:val="006A10C5"/>
    <w:rsid w:val="006B03EA"/>
    <w:rsid w:val="006B2D5F"/>
    <w:rsid w:val="006B7612"/>
    <w:rsid w:val="006C008A"/>
    <w:rsid w:val="006D143F"/>
    <w:rsid w:val="006D357E"/>
    <w:rsid w:val="006D55BD"/>
    <w:rsid w:val="007220A2"/>
    <w:rsid w:val="00732260"/>
    <w:rsid w:val="00735EB0"/>
    <w:rsid w:val="00744D1D"/>
    <w:rsid w:val="00774B13"/>
    <w:rsid w:val="007757B6"/>
    <w:rsid w:val="007A4197"/>
    <w:rsid w:val="007B22BA"/>
    <w:rsid w:val="007B2F40"/>
    <w:rsid w:val="007C38D3"/>
    <w:rsid w:val="007C63EB"/>
    <w:rsid w:val="007D027A"/>
    <w:rsid w:val="007D2D0C"/>
    <w:rsid w:val="007D366A"/>
    <w:rsid w:val="007E6C1B"/>
    <w:rsid w:val="007E7117"/>
    <w:rsid w:val="007F5F6B"/>
    <w:rsid w:val="00800C79"/>
    <w:rsid w:val="00840455"/>
    <w:rsid w:val="00862EC8"/>
    <w:rsid w:val="008634F4"/>
    <w:rsid w:val="00881FBF"/>
    <w:rsid w:val="00892787"/>
    <w:rsid w:val="008B130F"/>
    <w:rsid w:val="008B545F"/>
    <w:rsid w:val="008C4D9B"/>
    <w:rsid w:val="008C60C9"/>
    <w:rsid w:val="008D0462"/>
    <w:rsid w:val="008E2147"/>
    <w:rsid w:val="008E35F7"/>
    <w:rsid w:val="008E7BF9"/>
    <w:rsid w:val="008F430C"/>
    <w:rsid w:val="009031E8"/>
    <w:rsid w:val="009072BB"/>
    <w:rsid w:val="009317B4"/>
    <w:rsid w:val="00932EF8"/>
    <w:rsid w:val="00933484"/>
    <w:rsid w:val="0093617D"/>
    <w:rsid w:val="00951251"/>
    <w:rsid w:val="00952F86"/>
    <w:rsid w:val="00957EA7"/>
    <w:rsid w:val="00960D3F"/>
    <w:rsid w:val="00962294"/>
    <w:rsid w:val="00966032"/>
    <w:rsid w:val="00997B86"/>
    <w:rsid w:val="009A5F98"/>
    <w:rsid w:val="009B38EF"/>
    <w:rsid w:val="009D0D97"/>
    <w:rsid w:val="009D246B"/>
    <w:rsid w:val="009D787D"/>
    <w:rsid w:val="009F2FF8"/>
    <w:rsid w:val="009F5C2D"/>
    <w:rsid w:val="00A215E9"/>
    <w:rsid w:val="00A27FB0"/>
    <w:rsid w:val="00A40445"/>
    <w:rsid w:val="00A450B5"/>
    <w:rsid w:val="00A4610B"/>
    <w:rsid w:val="00A539B6"/>
    <w:rsid w:val="00A71693"/>
    <w:rsid w:val="00A83A81"/>
    <w:rsid w:val="00A91497"/>
    <w:rsid w:val="00AA4BA9"/>
    <w:rsid w:val="00AB5E12"/>
    <w:rsid w:val="00AC56D8"/>
    <w:rsid w:val="00AD0A09"/>
    <w:rsid w:val="00AD6286"/>
    <w:rsid w:val="00AE1F8D"/>
    <w:rsid w:val="00B0469B"/>
    <w:rsid w:val="00B23DEC"/>
    <w:rsid w:val="00B26964"/>
    <w:rsid w:val="00B439C9"/>
    <w:rsid w:val="00B44E7C"/>
    <w:rsid w:val="00B76801"/>
    <w:rsid w:val="00B77951"/>
    <w:rsid w:val="00B83E2B"/>
    <w:rsid w:val="00B9551A"/>
    <w:rsid w:val="00BA407B"/>
    <w:rsid w:val="00BB598F"/>
    <w:rsid w:val="00BD03C6"/>
    <w:rsid w:val="00BD1F7D"/>
    <w:rsid w:val="00BE0C36"/>
    <w:rsid w:val="00BE6C1F"/>
    <w:rsid w:val="00BF5DFD"/>
    <w:rsid w:val="00C00687"/>
    <w:rsid w:val="00C04853"/>
    <w:rsid w:val="00C106CE"/>
    <w:rsid w:val="00C22EA1"/>
    <w:rsid w:val="00C26F2A"/>
    <w:rsid w:val="00C318FE"/>
    <w:rsid w:val="00C32B59"/>
    <w:rsid w:val="00C41146"/>
    <w:rsid w:val="00C41CE0"/>
    <w:rsid w:val="00C67600"/>
    <w:rsid w:val="00C85D00"/>
    <w:rsid w:val="00CA2177"/>
    <w:rsid w:val="00CC6741"/>
    <w:rsid w:val="00CD188F"/>
    <w:rsid w:val="00CD4630"/>
    <w:rsid w:val="00CE05F0"/>
    <w:rsid w:val="00CF1106"/>
    <w:rsid w:val="00D01A0A"/>
    <w:rsid w:val="00D22FCB"/>
    <w:rsid w:val="00D25469"/>
    <w:rsid w:val="00D3096F"/>
    <w:rsid w:val="00D36F29"/>
    <w:rsid w:val="00D40EE9"/>
    <w:rsid w:val="00D41332"/>
    <w:rsid w:val="00D62F8D"/>
    <w:rsid w:val="00DA11D6"/>
    <w:rsid w:val="00DB0561"/>
    <w:rsid w:val="00DC428D"/>
    <w:rsid w:val="00DC6376"/>
    <w:rsid w:val="00DD2888"/>
    <w:rsid w:val="00DE0611"/>
    <w:rsid w:val="00DE6EED"/>
    <w:rsid w:val="00E10C4A"/>
    <w:rsid w:val="00E32EED"/>
    <w:rsid w:val="00E35987"/>
    <w:rsid w:val="00E40154"/>
    <w:rsid w:val="00E40DD7"/>
    <w:rsid w:val="00E40F41"/>
    <w:rsid w:val="00E4404C"/>
    <w:rsid w:val="00E471BD"/>
    <w:rsid w:val="00E66520"/>
    <w:rsid w:val="00E66E37"/>
    <w:rsid w:val="00E93A4E"/>
    <w:rsid w:val="00E967CE"/>
    <w:rsid w:val="00EB2EC0"/>
    <w:rsid w:val="00EC34DE"/>
    <w:rsid w:val="00EE1DEC"/>
    <w:rsid w:val="00EE2060"/>
    <w:rsid w:val="00EE412C"/>
    <w:rsid w:val="00EF2553"/>
    <w:rsid w:val="00EF2956"/>
    <w:rsid w:val="00EF41EC"/>
    <w:rsid w:val="00F030B9"/>
    <w:rsid w:val="00F04212"/>
    <w:rsid w:val="00F11F82"/>
    <w:rsid w:val="00F1415C"/>
    <w:rsid w:val="00F1616C"/>
    <w:rsid w:val="00F31636"/>
    <w:rsid w:val="00F4087C"/>
    <w:rsid w:val="00F4675F"/>
    <w:rsid w:val="00FB2CA0"/>
    <w:rsid w:val="00FC5BF0"/>
    <w:rsid w:val="00FD53BA"/>
    <w:rsid w:val="00FE7A50"/>
    <w:rsid w:val="00FF205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A3C59A9-527A-4476-8B3C-B01967CB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9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87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787D"/>
  </w:style>
  <w:style w:type="paragraph" w:styleId="Footer">
    <w:name w:val="footer"/>
    <w:basedOn w:val="Normal"/>
    <w:link w:val="FooterChar"/>
    <w:uiPriority w:val="99"/>
    <w:unhideWhenUsed/>
    <w:rsid w:val="009D787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787D"/>
  </w:style>
  <w:style w:type="character" w:styleId="CommentReference">
    <w:name w:val="annotation reference"/>
    <w:basedOn w:val="DefaultParagraphFont"/>
    <w:uiPriority w:val="99"/>
    <w:semiHidden/>
    <w:unhideWhenUsed/>
    <w:rsid w:val="00EC3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4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DE"/>
    <w:rPr>
      <w:rFonts w:ascii="Segoe UI" w:hAnsi="Segoe UI" w:cs="Segoe UI"/>
      <w:sz w:val="18"/>
      <w:szCs w:val="18"/>
    </w:rPr>
  </w:style>
  <w:style w:type="paragraph" w:customStyle="1" w:styleId="StyleRight">
    <w:name w:val="Style Right"/>
    <w:basedOn w:val="Normal"/>
    <w:rsid w:val="00263416"/>
    <w:pPr>
      <w:spacing w:after="120"/>
      <w:ind w:firstLine="720"/>
      <w:jc w:val="right"/>
    </w:pPr>
    <w:rPr>
      <w:rFonts w:eastAsia="Times New Roman" w:cs="Times New Roman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14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7023E-9946-4D72-954F-2B66F1CF1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Latvijas Administratīvo pārkāpumu kodeksā</vt:lpstr>
    </vt:vector>
  </TitlesOfParts>
  <Company>Ekonomikas ministrija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Latvijas Administratīvo pārkāpumu kodeksā</dc:title>
  <dc:subject>Likumprojekts</dc:subject>
  <dc:creator>Andris Lazarevs</dc:creator>
  <dc:description>67013035, andris.lazarevs@em.gov.lv</dc:description>
  <cp:lastModifiedBy>Kristīne Fomina</cp:lastModifiedBy>
  <cp:revision>308</cp:revision>
  <dcterms:created xsi:type="dcterms:W3CDTF">2018-05-10T14:44:00Z</dcterms:created>
  <dcterms:modified xsi:type="dcterms:W3CDTF">2018-05-18T12:58:00Z</dcterms:modified>
</cp:coreProperties>
</file>