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F28B0" w14:textId="77777777" w:rsidR="00924203" w:rsidRPr="00A97B4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noteikumu projekta </w:t>
      </w:r>
    </w:p>
    <w:p w14:paraId="0F58E871" w14:textId="77777777" w:rsidR="00924203" w:rsidRPr="00A97B4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4F61C2"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2017</w:t>
      </w:r>
      <w:r w:rsidR="00206EEE"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.gada 5.decembra noteikumos Nr.</w:t>
      </w:r>
      <w:r w:rsidR="004F61C2"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715 “Interaktīvo azartspēļu un interaktīvo izložu spēlētāju reģistrācijas un identitātes pārbaudes kārtība”</w:t>
      </w:r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</w:p>
    <w:p w14:paraId="60D9FE4E" w14:textId="77777777" w:rsidR="00924203" w:rsidRPr="00A97B46" w:rsidRDefault="00924203" w:rsidP="009242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A97B4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19698F02" w14:textId="7676DDB2" w:rsidR="00DE51FE" w:rsidRDefault="00DE51FE" w:rsidP="00A9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923DF8A" w14:textId="77777777" w:rsidR="005E4E0C" w:rsidRPr="00A97B46" w:rsidRDefault="005E4E0C" w:rsidP="00A97B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802"/>
      </w:tblGrid>
      <w:tr w:rsidR="00DE51FE" w:rsidRPr="00A97B46" w14:paraId="71D73153" w14:textId="77777777" w:rsidTr="00A85D67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9FFDC5" w14:textId="77777777" w:rsidR="00DE51FE" w:rsidRPr="00A97B46" w:rsidRDefault="00DE51FE" w:rsidP="00A85D67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DE51FE" w:rsidRPr="00A97B46" w14:paraId="57951343" w14:textId="77777777" w:rsidTr="002D4222">
        <w:tc>
          <w:tcPr>
            <w:tcW w:w="17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8C3749" w14:textId="77777777" w:rsidR="00DE51FE" w:rsidRPr="00A97B46" w:rsidRDefault="00DE51FE" w:rsidP="00A85D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31D3C0" w14:textId="6600D104" w:rsidR="005D51D4" w:rsidRPr="00A97B46" w:rsidRDefault="005F4C70" w:rsidP="008015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7B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Projekts šo jomu neskar. </w:t>
            </w:r>
          </w:p>
        </w:tc>
      </w:tr>
    </w:tbl>
    <w:p w14:paraId="0D10D91E" w14:textId="77777777" w:rsidR="00924203" w:rsidRPr="00A97B46" w:rsidRDefault="00924203" w:rsidP="00924203">
      <w:pPr>
        <w:shd w:val="clear" w:color="auto" w:fill="FFFFFF"/>
        <w:spacing w:before="45" w:after="0" w:line="248" w:lineRule="atLeast"/>
        <w:ind w:firstLine="30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1"/>
        <w:gridCol w:w="2762"/>
        <w:gridCol w:w="5752"/>
      </w:tblGrid>
      <w:tr w:rsidR="00924203" w:rsidRPr="00A97B46" w14:paraId="1A7FF9A8" w14:textId="77777777" w:rsidTr="000B6793">
        <w:trPr>
          <w:trHeight w:val="32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A661D54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924203" w:rsidRPr="00A97B46" w14:paraId="3B85DC78" w14:textId="77777777" w:rsidTr="000B6793">
        <w:trPr>
          <w:trHeight w:val="324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996937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662BE3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CAE7331" w14:textId="3AB43C22" w:rsidR="007D2DCD" w:rsidRPr="00A97B46" w:rsidRDefault="00206EEE" w:rsidP="007A16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noteikumu “Grozījumi Ministru kabineta 2017.gada 5.decembra noteikumos Nr.715 “Interaktīvo azartspēļu un interaktīvo izložu spēlētāju reģistrācijas un identitātes pārbaudes kārtība”” projekta </w:t>
            </w:r>
            <w:r w:rsidR="002D0AF1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(turpmāk – noteikumu projekts) 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izstrādes pamatojums ir</w:t>
            </w:r>
            <w:r w:rsidR="00097C65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2017.gada 22.novembrī pieņemtā likuma “</w:t>
            </w:r>
            <w:r w:rsidR="00097C6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Grozījumi </w:t>
            </w:r>
            <w:hyperlink r:id="rId11" w:tgtFrame="_blank" w:history="1">
              <w:r w:rsidR="00097C65" w:rsidRPr="00A97B46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Azartspēļu un izložu likumā</w:t>
              </w:r>
            </w:hyperlink>
            <w:r w:rsidR="00097C6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="0032685B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(turpmāk – AIL grozījumi) </w:t>
            </w:r>
            <w:r w:rsidR="00097C6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pārejas noteikumu 26.punkts</w:t>
            </w:r>
            <w:r w:rsidR="0083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kas stāj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ies spēkā 2018.gada 1.janvārī.</w:t>
            </w:r>
          </w:p>
        </w:tc>
      </w:tr>
      <w:tr w:rsidR="00801525" w:rsidRPr="00A97B46" w14:paraId="3C5C3D68" w14:textId="77777777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67ADE1" w14:textId="77777777" w:rsidR="00801525" w:rsidRPr="00A97B46" w:rsidRDefault="00801525" w:rsidP="008015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652C0" w14:textId="77777777" w:rsidR="00801525" w:rsidRPr="00A97B46" w:rsidRDefault="00801525" w:rsidP="0080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71216A8F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01F5D9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415016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CAA360E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8E89DA9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EF54FDB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405813D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23BE496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EBD501D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FB77207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9E5C5E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54A7C96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59A327A" w14:textId="77777777" w:rsidR="00801525" w:rsidRPr="00A97B46" w:rsidRDefault="00801525" w:rsidP="008D095A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78F3DB2" w14:textId="77777777" w:rsidR="00801525" w:rsidRPr="00A97B46" w:rsidRDefault="00801525" w:rsidP="000501F9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E0B59C" w14:textId="77777777" w:rsidR="00801525" w:rsidRPr="00A97B46" w:rsidRDefault="00801525" w:rsidP="008015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556588B" w14:textId="7FF26D3B" w:rsidR="004932B8" w:rsidRPr="00A97B46" w:rsidRDefault="007A36D6" w:rsidP="0053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Ministru kabinets 2017.gada 5.decembrī pieņēma 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Ministru kabineta 2017.gada 5.decembra noteikumus Nr.715 “Interaktīvo azartspēļu un interaktīvo izložu spēlētāju reģistrācijas un identitātes pārbaudes kārtība”” (turpmāk – MK noteikumi Nr.715). 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2017.gada 22.novembrī tika pieņemti 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Azartspēļu un izložu likuma (turpmāk – AIL)</w:t>
            </w:r>
            <w:r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grozījumi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kuros iekļauts regulējums par interaktīvo azartspēļu un interaktīvo izložu spēlētāju reģistra mērķi, datu apjomu, glabāšanas termiņu un piekļuves tiesībām, kas šobrīd ir iekļauts arī MK noteikumos Nr.715, tādējādi </w:t>
            </w:r>
            <w:r w:rsidR="00192B90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attiecīgais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32B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regulējums ir </w:t>
            </w:r>
            <w:r w:rsidR="000E19BB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gan</w:t>
            </w: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gan MK noteikumos Nr.715</w:t>
            </w:r>
            <w:r w:rsidR="000E19BB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F2741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Minētie grozījumi </w:t>
            </w:r>
            <w:r w:rsidR="00947DE4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AIL 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paredz deleģējumu Ministru kabinetam noteikt kārtību, kā</w:t>
            </w:r>
            <w:r w:rsidR="00271B39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spēlētājs tiek izslēgts no interaktīvo azartspēļu un interaktīvo izložu spēlētāja reģistra, kā arī minimālās prasības, lai novērstu atkarīgo spēlētāju no interaktīvajām izlozēm.</w:t>
            </w:r>
            <w:r w:rsidR="002F2741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C8FA1EB" w14:textId="57A30FF5" w:rsidR="004932B8" w:rsidRPr="00A97B46" w:rsidRDefault="002C2BC3" w:rsidP="00801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Noteikumu projekta </w:t>
            </w:r>
            <w:r w:rsidR="004932B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mērķis ir juridiski sakārtot esošo tiesību aktu sistēmu, veicot tehniskā rakstura grozījumus un novēršot normu dublēšanos.</w:t>
            </w:r>
          </w:p>
          <w:p w14:paraId="34D2012A" w14:textId="5A3F1D09" w:rsidR="00945598" w:rsidRPr="00A97B46" w:rsidRDefault="002C2BC3" w:rsidP="00945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 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noteikumu projekt</w:t>
            </w:r>
            <w:r w:rsidR="00A76B83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tiek veikti </w:t>
            </w:r>
            <w:r w:rsidR="00C45E53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šādi 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precizējumi</w:t>
            </w:r>
            <w:r w:rsidR="00A76B8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MK noteikumos Nr.715</w:t>
            </w:r>
            <w:r w:rsidR="00945598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801525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703DA38" w14:textId="5B46687B" w:rsidR="007A36D6" w:rsidRPr="00A97B46" w:rsidRDefault="00A76B83" w:rsidP="002F274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99" w:hanging="13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945598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iek </w:t>
            </w:r>
            <w:r w:rsidR="0032685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papildināts </w:t>
            </w:r>
            <w:r w:rsidR="009F350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MK </w:t>
            </w:r>
            <w:r w:rsidR="005F2E5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="009F350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Nr.715 </w:t>
            </w:r>
            <w:r w:rsidR="005F4C70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izdošanas pamats 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 w:rsidR="005F4C70" w:rsidRPr="00A97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C70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Azartspēļu un izložu likuma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54.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panta astoto daļu un 79.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801525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panta  astoto daļu</w:t>
            </w:r>
            <w:r w:rsidR="00947DE4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Papildināts </w:t>
            </w:r>
            <w:r w:rsidR="00A30CC9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arī </w:t>
            </w:r>
            <w:r w:rsidR="00947DE4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MK noteikumu Nr.715 esošais </w:t>
            </w:r>
            <w:r w:rsidR="00947DE4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deleģējums AIL 80.panta pirmās daļas 1.punktā</w:t>
            </w:r>
            <w:r w:rsidR="007A36D6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599338C" w14:textId="77777777" w:rsidR="00801525" w:rsidRPr="00A97B46" w:rsidRDefault="00A76B83" w:rsidP="002F274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99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</w:t>
            </w:r>
            <w:r w:rsidR="003B627F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MK noteikumiem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Nr.715</w:t>
            </w:r>
            <w:r w:rsidR="003B627F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tiek svītrotas normas, kuras</w:t>
            </w:r>
            <w:r w:rsidR="00682E2B" w:rsidRPr="00A97B46" w:rsidDel="00682E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E2B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ir</w:t>
            </w:r>
            <w:r w:rsidR="003F7DBA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iekļautas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2017.gada 22.novembrī pieņemtaj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E2B" w:rsidRPr="00A97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AIL grozījumos;</w:t>
            </w:r>
          </w:p>
          <w:p w14:paraId="315B3D94" w14:textId="7B82451C" w:rsidR="003F7DBA" w:rsidRPr="00A97B46" w:rsidRDefault="00763DA0" w:rsidP="002F2741">
            <w:pPr>
              <w:pStyle w:val="ListParagraph"/>
              <w:numPr>
                <w:ilvl w:val="0"/>
                <w:numId w:val="3"/>
              </w:numPr>
              <w:tabs>
                <w:tab w:val="left" w:pos="357"/>
              </w:tabs>
              <w:spacing w:after="0" w:line="240" w:lineRule="auto"/>
              <w:ind w:left="499" w:hanging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precizētas 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atsevišķas normas,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kas līdz šim 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MK noteikumos Nr.715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attiecās tikai uz interaktīvajām 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azartspēlēm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9F3502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oteikumu projektā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 precizētajam deleģējuma</w:t>
            </w:r>
            <w:r w:rsidR="00C91F41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682E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regulējums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1F41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analogi </w:t>
            </w:r>
            <w:r w:rsidR="003F7DBA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tiek attiecināts arī uz interaktīvajām izlozēm;</w:t>
            </w:r>
          </w:p>
          <w:p w14:paraId="6D0F83F1" w14:textId="5409D0C1" w:rsidR="00B90127" w:rsidRPr="00B8358F" w:rsidRDefault="00C45E53" w:rsidP="00B90127">
            <w:pPr>
              <w:pStyle w:val="ListParagraph"/>
              <w:numPr>
                <w:ilvl w:val="0"/>
                <w:numId w:val="3"/>
              </w:numPr>
              <w:tabs>
                <w:tab w:val="left" w:pos="214"/>
              </w:tabs>
              <w:spacing w:after="0" w:line="240" w:lineRule="auto"/>
              <w:ind w:left="499" w:hanging="13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veikti gramatiski un stilistiski precizējumi, kas nepieciešami</w:t>
            </w:r>
            <w:r w:rsidR="008128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izslēdzot minētās normas no MK noteikumiem</w:t>
            </w:r>
            <w:r w:rsidR="00193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352B"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Nr.715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D1CFE7F" w14:textId="5E33BE5C" w:rsidR="00B90127" w:rsidRPr="00B8358F" w:rsidRDefault="00EF5C46" w:rsidP="00053FF2">
            <w:pPr>
              <w:tabs>
                <w:tab w:val="left" w:pos="21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tbilstoši MK noteikumiem </w:t>
            </w:r>
            <w:r w:rsidR="00B90127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Nr.715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katram </w:t>
            </w:r>
            <w:r w:rsidR="00B90127" w:rsidRP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interaktīvo azartspēļu 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vai interaktīvo izlo</w:t>
            </w:r>
            <w:r w:rsidR="00053FF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žu organizētājam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ir savs i</w:t>
            </w:r>
            <w:r w:rsidR="00B90127" w:rsidRP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nteraktī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vo azartspēļu spēlētāju reģistrs vai i</w:t>
            </w:r>
            <w:r w:rsidR="00B90127" w:rsidRP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nteraktī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vo izložu spēlētāju reģistrs. Lai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Latvijā 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izveidotu vienotu</w:t>
            </w:r>
            <w:r w:rsidR="00B90127" w:rsidRP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atkarīgo 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personu/spēlētāju reģistru</w:t>
            </w:r>
            <w:r w:rsidR="00B90127" w:rsidRP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B901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Finanšu ministrija </w:t>
            </w:r>
            <w:r w:rsidRPr="00053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ir uzsākusi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darbu pie </w:t>
            </w:r>
            <w:r w:rsidR="00B8358F" w:rsidRPr="00053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iepriekšminētā reģistra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izveides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lai novērstu 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atkarīgo </w:t>
            </w:r>
            <w:r w:rsidR="00B8358F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personu/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spēlētāju dalību visu </w:t>
            </w:r>
            <w:r w:rsidR="00B8358F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azartspēļu 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organizētāju organizētajās </w:t>
            </w:r>
            <w:r w:rsid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azart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spēlēs. </w:t>
            </w:r>
            <w:r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ienota atkarīgo  </w:t>
            </w:r>
            <w:r w:rsidR="00B8358F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personu/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spēlētāju reģistra i</w:t>
            </w:r>
            <w:r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zveide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plānota </w:t>
            </w:r>
            <w:r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darba grupas 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politikas plānošanas dokumenta</w:t>
            </w:r>
            <w:r w:rsidR="00E977EC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(pamatnostādņu)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izstrāde</w:t>
            </w:r>
            <w:r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izložu un azartspēļu jomā</w:t>
            </w:r>
            <w:r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ietvarā</w:t>
            </w:r>
            <w:r w:rsidR="00B90127" w:rsidRPr="00053F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, lai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pēc </w:t>
            </w:r>
            <w:r w:rsidR="00E977EC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tā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izstrā</w:t>
            </w:r>
            <w:r w:rsidR="00E977EC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 veiktu attiecīgus </w:t>
            </w:r>
            <w:r w:rsidR="00B90127" w:rsidRPr="00053F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grozījumus Azartspēļu un izložu likumā</w:t>
            </w:r>
            <w:r w:rsidR="00B90127" w:rsidRPr="00B835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01525" w:rsidRPr="00A97B46" w14:paraId="4F972355" w14:textId="77777777" w:rsidTr="000B6793">
        <w:trPr>
          <w:trHeight w:val="372"/>
        </w:trPr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AC8E81" w14:textId="77777777" w:rsidR="00801525" w:rsidRPr="00A97B46" w:rsidRDefault="00801525" w:rsidP="008015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E3CEE5" w14:textId="77777777" w:rsidR="00801525" w:rsidRPr="00A97B46" w:rsidRDefault="00801525" w:rsidP="0080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publiskās personas kapitālsabiedrības</w:t>
            </w:r>
          </w:p>
        </w:tc>
        <w:tc>
          <w:tcPr>
            <w:tcW w:w="3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84ED79" w14:textId="14C29417" w:rsidR="00801525" w:rsidRPr="00484E54" w:rsidRDefault="00801525" w:rsidP="00E71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Izložu un aza</w:t>
            </w:r>
            <w:r w:rsidR="00691C93" w:rsidRPr="003E2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rtspēļu uzraudzības inspekcija, </w:t>
            </w:r>
            <w:r w:rsidR="005D59E8" w:rsidRPr="003E2BE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VAS “Latvijas Loto”.</w:t>
            </w:r>
            <w:r w:rsidR="00EF5C46" w:rsidRPr="0005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35BC">
              <w:rPr>
                <w:rFonts w:ascii="Times New Roman" w:hAnsi="Times New Roman"/>
                <w:sz w:val="24"/>
                <w:szCs w:val="24"/>
              </w:rPr>
              <w:t xml:space="preserve">Darba grupa </w:t>
            </w:r>
            <w:r w:rsidR="00EF5C46" w:rsidRPr="00053FF2">
              <w:rPr>
                <w:rFonts w:ascii="Times New Roman" w:hAnsi="Times New Roman"/>
                <w:sz w:val="24"/>
                <w:szCs w:val="24"/>
              </w:rPr>
              <w:t>par politikas plānošanas dokumenta izstrādi azartspēļu un izložu organizēšanas jomā</w:t>
            </w:r>
            <w:r w:rsidR="002B35BC">
              <w:rPr>
                <w:rFonts w:ascii="Times New Roman" w:hAnsi="Times New Roman"/>
                <w:sz w:val="24"/>
                <w:szCs w:val="24"/>
              </w:rPr>
              <w:t xml:space="preserve"> sanāksmēs</w:t>
            </w:r>
            <w:r w:rsidR="002B35BC" w:rsidRPr="00053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1F67">
              <w:rPr>
                <w:rFonts w:ascii="Times New Roman" w:hAnsi="Times New Roman"/>
                <w:sz w:val="24"/>
                <w:szCs w:val="24"/>
              </w:rPr>
              <w:t xml:space="preserve">tika </w:t>
            </w:r>
            <w:r w:rsidR="002B35BC">
              <w:rPr>
                <w:rFonts w:ascii="Times New Roman" w:hAnsi="Times New Roman"/>
                <w:sz w:val="24"/>
                <w:szCs w:val="24"/>
              </w:rPr>
              <w:t xml:space="preserve">informēta </w:t>
            </w:r>
            <w:r w:rsidR="00E71F67">
              <w:rPr>
                <w:rFonts w:ascii="Times New Roman" w:hAnsi="Times New Roman"/>
                <w:sz w:val="24"/>
                <w:szCs w:val="24"/>
              </w:rPr>
              <w:t>p</w:t>
            </w:r>
            <w:r w:rsidR="002B35BC"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="00E71F67">
              <w:rPr>
                <w:rFonts w:ascii="Times New Roman" w:hAnsi="Times New Roman"/>
                <w:sz w:val="24"/>
                <w:szCs w:val="24"/>
              </w:rPr>
              <w:t xml:space="preserve">vienoto </w:t>
            </w:r>
            <w:r w:rsidR="00A63A1A">
              <w:rPr>
                <w:rFonts w:ascii="Times New Roman" w:hAnsi="Times New Roman"/>
                <w:sz w:val="24"/>
                <w:szCs w:val="24"/>
              </w:rPr>
              <w:t>atkarīgo spēlētāju</w:t>
            </w:r>
            <w:r w:rsidR="002B35BC">
              <w:rPr>
                <w:rFonts w:ascii="Times New Roman" w:hAnsi="Times New Roman"/>
                <w:sz w:val="24"/>
                <w:szCs w:val="24"/>
              </w:rPr>
              <w:t xml:space="preserve"> reģistru.</w:t>
            </w:r>
          </w:p>
        </w:tc>
      </w:tr>
      <w:tr w:rsidR="00801525" w:rsidRPr="00A97B46" w14:paraId="097072C7" w14:textId="77777777" w:rsidTr="000B6793">
        <w:tc>
          <w:tcPr>
            <w:tcW w:w="2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34EB0" w14:textId="77777777" w:rsidR="00801525" w:rsidRPr="00A97B46" w:rsidRDefault="00801525" w:rsidP="00801525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F5EBBD5" w14:textId="77777777" w:rsidR="00801525" w:rsidRPr="00A97B46" w:rsidRDefault="00801525" w:rsidP="00801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021208832"/>
            <w:placeholder>
              <w:docPart w:val="2E7E0C12663549F5BC5AB9E98AB80525"/>
            </w:placeholder>
            <w:text/>
          </w:sdtPr>
          <w:sdtEndPr/>
          <w:sdtContent>
            <w:tc>
              <w:tcPr>
                <w:tcW w:w="317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2058CB00" w14:textId="77777777" w:rsidR="00801525" w:rsidRPr="00A97B46" w:rsidRDefault="00801525" w:rsidP="00801525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39F0037A" w14:textId="77777777" w:rsidR="00924203" w:rsidRPr="00A97B46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7"/>
        <w:gridCol w:w="5795"/>
      </w:tblGrid>
      <w:tr w:rsidR="00924203" w:rsidRPr="00A97B46" w14:paraId="7E8E08CA" w14:textId="77777777" w:rsidTr="000B6793">
        <w:trPr>
          <w:trHeight w:val="444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7C2283A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 Tiesību akta projekta ietekme uz sabiedrību, tautsaimniecības attīstību un administratīvo slogu</w:t>
            </w:r>
          </w:p>
        </w:tc>
      </w:tr>
      <w:tr w:rsidR="00924203" w:rsidRPr="00A97B46" w14:paraId="350254FF" w14:textId="77777777" w:rsidTr="000B6793">
        <w:trPr>
          <w:trHeight w:val="372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F437C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0C93A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8936A7" w14:textId="21B1F49A" w:rsidR="00924203" w:rsidRPr="00A97B46" w:rsidRDefault="00EF20AD" w:rsidP="00CC0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sz w:val="24"/>
                <w:szCs w:val="24"/>
              </w:rPr>
              <w:t xml:space="preserve">Mērķa grupa ir Izložu un azartspēļu uzraudzības inspekcija un kapitālsabiedrības, kas organizē interaktīvās azartspēles. Latvijā šobrīd ir 7 šādi azartspēļu organizētāji 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un VAS “Latvijas Loto”, kam </w:t>
            </w:r>
            <w:r w:rsidR="00075C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tiesības organizēt visu veidu izlozes</w:t>
            </w:r>
            <w:r w:rsidR="005E4E0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CC0D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projekta mērķis ir juridiski sakārtot esošo tiesību aktu, veicot tehniska rakstura g</w:t>
            </w:r>
            <w:bookmarkStart w:id="0" w:name="_GoBack"/>
            <w:bookmarkEnd w:id="0"/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rozījumus un novēršot normu dublēšanos</w:t>
            </w:r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kas nerada ietekmi sabiedrības </w:t>
            </w:r>
            <w:proofErr w:type="spellStart"/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mērķgrupām</w:t>
            </w:r>
            <w:proofErr w:type="spellEnd"/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924203" w:rsidRPr="00A97B46" w14:paraId="567D2D5F" w14:textId="77777777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839A8C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CCB385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FB3CF" w14:textId="5009E6D0" w:rsidR="00AE2333" w:rsidRDefault="005E4E0C" w:rsidP="00A20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Tiesiskais</w:t>
            </w:r>
            <w:r w:rsidR="0092420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regulējuma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neietekmē</w:t>
            </w:r>
            <w:r w:rsidR="0092420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tautsaimniecību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un</w:t>
            </w:r>
            <w:r w:rsidR="0092420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administratīvais slogs </w:t>
            </w:r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nemainās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jo </w:t>
            </w:r>
            <w:r w:rsidR="00AE233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noteikumu projekt</w:t>
            </w:r>
            <w:r w:rsidR="00EF20AD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a mērķis ir </w:t>
            </w:r>
            <w:r w:rsidR="00EF20AD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juridiski sakārtot esošo tiesību aktu, veicot tehniska rakstura grozījumus un novēršot normu dublēšanos.</w:t>
            </w:r>
          </w:p>
          <w:p w14:paraId="5B5A885A" w14:textId="5BDCD50F" w:rsidR="00A20F2E" w:rsidRDefault="00FB6733" w:rsidP="00F7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Noteikumu projekts </w:t>
            </w:r>
            <w:r w:rsidR="001E32A7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mērķa grupai, ko veido fiziskas personas</w:t>
            </w:r>
            <w:r w:rsidR="00A07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1E32A7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neveido jaunas </w:t>
            </w:r>
            <w:r w:rsidR="00AE2333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dministratīvās izmaksas (naudas izteiksmē)</w:t>
            </w:r>
            <w:r w:rsidR="001E32A7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A072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jo</w:t>
            </w:r>
            <w:r w:rsidR="00EA5762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noteikumu projekts neattiecas uz fiziskām personām. Savukārt a</w:t>
            </w:r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dministratīvās izmaksa</w:t>
            </w:r>
            <w:r w:rsidR="005E4E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s (naudas izteiksmē) gada laikā</w:t>
            </w:r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mērķgrupai</w:t>
            </w:r>
            <w:proofErr w:type="spellEnd"/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kuru veido juridiskas personas, </w:t>
            </w:r>
            <w:r w:rsidR="00A20F2E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nepārsniedz </w:t>
            </w:r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2000 </w:t>
            </w:r>
            <w:proofErr w:type="spellStart"/>
            <w:r w:rsidR="00C60198" w:rsidRPr="00A97B46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C60198" w:rsidRPr="00A97B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14:paraId="16A1C131" w14:textId="12DDA047" w:rsidR="00A07258" w:rsidRPr="00A97B46" w:rsidRDefault="00A07258" w:rsidP="00F76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lv-LV"/>
              </w:rPr>
            </w:pPr>
          </w:p>
        </w:tc>
      </w:tr>
      <w:tr w:rsidR="00924203" w:rsidRPr="00A97B46" w14:paraId="2ECFF6C1" w14:textId="77777777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B4274AC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82B82F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E0CAC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hAnsi="Times New Roman" w:cs="Times New Roman"/>
                <w:iCs/>
                <w:sz w:val="24"/>
                <w:szCs w:val="24"/>
              </w:rPr>
              <w:t>Projekts šo jomu neskar.</w:t>
            </w:r>
          </w:p>
        </w:tc>
      </w:tr>
      <w:tr w:rsidR="00946579" w:rsidRPr="00A97B46" w14:paraId="7F1BEB33" w14:textId="77777777" w:rsidTr="000B6793">
        <w:trPr>
          <w:trHeight w:val="408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7B3A285F" w14:textId="77777777" w:rsidR="00946579" w:rsidRPr="00A97B46" w:rsidRDefault="00946579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12BB1B0" w14:textId="77777777" w:rsidR="00946579" w:rsidRPr="00A97B46" w:rsidRDefault="00946579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4C5314" w14:textId="77777777" w:rsidR="00946579" w:rsidRPr="00A97B46" w:rsidRDefault="00981D1E" w:rsidP="000B67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97B46">
              <w:rPr>
                <w:rFonts w:ascii="Times New Roman" w:hAnsi="Times New Roman" w:cs="Times New Roman"/>
                <w:iCs/>
                <w:sz w:val="24"/>
                <w:szCs w:val="24"/>
              </w:rPr>
              <w:t>Nav</w:t>
            </w:r>
          </w:p>
        </w:tc>
      </w:tr>
      <w:tr w:rsidR="00924203" w:rsidRPr="00A97B46" w14:paraId="6C9D26C1" w14:textId="77777777" w:rsidTr="000B6793">
        <w:trPr>
          <w:trHeight w:val="276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1AED0F" w14:textId="77777777" w:rsidR="00924203" w:rsidRPr="00A97B46" w:rsidRDefault="00946579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0537D5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19677180"/>
            <w:placeholder>
              <w:docPart w:val="6C3BCBC316474711914948C4D4828E75"/>
            </w:placeholder>
            <w:text/>
          </w:sdtPr>
          <w:sdtEndPr/>
          <w:sdtContent>
            <w:tc>
              <w:tcPr>
                <w:tcW w:w="3200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0C3BC910" w14:textId="77777777" w:rsidR="00924203" w:rsidRPr="00A97B46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63E49FF0" w14:textId="77777777" w:rsidR="00924203" w:rsidRPr="00A97B46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F15E7" w:rsidRPr="00A97B46" w14:paraId="1898E9D5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4D8B4B2" w14:textId="77777777" w:rsidR="007F15E7" w:rsidRPr="00A97B46" w:rsidRDefault="007F15E7" w:rsidP="007F15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III. </w:t>
            </w:r>
            <w:r w:rsidR="006C4EF1"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ietekme uz valsts budžetu un pašvaldību budžetiem</w:t>
            </w:r>
          </w:p>
        </w:tc>
      </w:tr>
      <w:tr w:rsidR="007F15E7" w:rsidRPr="00A97B46" w14:paraId="25CB3025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D4F49B3" w14:textId="77777777" w:rsidR="007F15E7" w:rsidRPr="00A97B46" w:rsidRDefault="00332917" w:rsidP="007F15E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F02C64B" w14:textId="77777777" w:rsidR="00046AD1" w:rsidRPr="00A97B46" w:rsidRDefault="00046AD1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7F15E7" w:rsidRPr="00A97B46" w14:paraId="0839706D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7E16B2" w14:textId="77777777" w:rsidR="007F15E7" w:rsidRPr="00A97B46" w:rsidRDefault="006C4EF1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</w:t>
            </w:r>
            <w:r w:rsidR="007F15E7"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Pr="00A97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ietekme uz spēkā esošo tiesību normu sistēmu</w:t>
            </w:r>
          </w:p>
        </w:tc>
      </w:tr>
      <w:tr w:rsidR="007F15E7" w:rsidRPr="00A97B46" w14:paraId="3158F876" w14:textId="77777777" w:rsidTr="00DE1C78">
        <w:trPr>
          <w:trHeight w:val="444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1E9ABD32" w14:textId="77777777" w:rsidR="007F15E7" w:rsidRPr="00A97B46" w:rsidRDefault="00332917" w:rsidP="00DE1C78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D40A3C7" w14:textId="77777777" w:rsidR="007F15E7" w:rsidRPr="00A97B46" w:rsidRDefault="007F15E7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15427" w:rsidRPr="00A97B46" w14:paraId="3D8A5181" w14:textId="77777777" w:rsidTr="004A4F6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7EC1F" w14:textId="77777777" w:rsidR="00815427" w:rsidRPr="00A97B46" w:rsidRDefault="00815427" w:rsidP="004A4F6E">
            <w:pPr>
              <w:shd w:val="clear" w:color="auto" w:fill="FFFFFF"/>
              <w:spacing w:after="0" w:line="240" w:lineRule="auto"/>
              <w:ind w:firstLine="30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AE2333" w:rsidRPr="00A97B46" w14:paraId="1BA89357" w14:textId="77777777" w:rsidTr="004A4F6E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7E659F98" w14:textId="77777777" w:rsidR="00AE2333" w:rsidRPr="00A97B46" w:rsidRDefault="00AE2333" w:rsidP="00AE2333">
            <w:pPr>
              <w:shd w:val="clear" w:color="auto" w:fill="FFFFFF"/>
              <w:spacing w:after="0" w:line="240" w:lineRule="auto"/>
              <w:ind w:firstLine="30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D2933AB" w14:textId="77777777" w:rsidR="00373595" w:rsidRPr="00A97B46" w:rsidRDefault="00373595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5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17"/>
        <w:gridCol w:w="2835"/>
        <w:gridCol w:w="5812"/>
      </w:tblGrid>
      <w:tr w:rsidR="00924203" w:rsidRPr="00A97B46" w14:paraId="18A66B9F" w14:textId="77777777" w:rsidTr="00ED2CF3">
        <w:trPr>
          <w:trHeight w:val="336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0AFF067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924203" w:rsidRPr="00A97B46" w14:paraId="7DEDBE92" w14:textId="77777777" w:rsidTr="00A97B46">
        <w:trPr>
          <w:trHeight w:val="43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37B8230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3E3397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86E4F4" w14:textId="4E65AB52" w:rsidR="00ED2CF3" w:rsidRPr="00A97B46" w:rsidRDefault="00EF20AD" w:rsidP="00BC60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2A2151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abiedrība tika informēta, izstrādājot Azartspēļu un izložu likuma grozījumus, kas Saeimā tika pieņemti 2017.gada 22.novembrī.</w:t>
            </w:r>
            <w:r w:rsidR="008C0704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 par noteikumu projekta izstrādi ir publicēta 2018.gada 26.martā Finanšu ministrijas tīmekļa vietnē sadaļā “Sabiedrības līdzdalība”</w:t>
            </w:r>
            <w:r w:rsidR="00ED2CF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: </w:t>
            </w:r>
            <w:r w:rsidR="00ED2CF3" w:rsidRPr="00A97B46">
              <w:rPr>
                <w:rFonts w:ascii="Times New Roman" w:hAnsi="Times New Roman" w:cs="Times New Roman"/>
                <w:sz w:val="24"/>
                <w:szCs w:val="24"/>
              </w:rPr>
              <w:t xml:space="preserve">http://www.fm.gov.lv/lv/sabiedribas_lidzdaliba/tiesibu_aktu_projekti/azartspelu_un_izlozu_organizesanas_politika#project457. </w:t>
            </w:r>
          </w:p>
          <w:p w14:paraId="114E24FD" w14:textId="4F79361A" w:rsidR="00924203" w:rsidRPr="00A97B46" w:rsidRDefault="0019352B" w:rsidP="008C0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ED2CF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saskaņošanai tik</w:t>
            </w:r>
            <w:r w:rsidR="001D3C1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ED2CF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nosūtīt</w:t>
            </w:r>
            <w:r w:rsidR="00BC60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ED2CF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D2CF3" w:rsidRPr="00A97B4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Latvijas Darba devēju konfederācijai</w:t>
            </w:r>
            <w:r w:rsidR="00ED2CF3" w:rsidRPr="00A97B4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lv-LV"/>
              </w:rPr>
              <w:t>.</w:t>
            </w:r>
          </w:p>
        </w:tc>
      </w:tr>
      <w:tr w:rsidR="00924203" w:rsidRPr="00A97B46" w14:paraId="501E94D6" w14:textId="77777777" w:rsidTr="00A97B46">
        <w:trPr>
          <w:trHeight w:val="264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B4DDE1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0B783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1DE819A" w14:textId="33862949" w:rsidR="00D56863" w:rsidRPr="00A97B46" w:rsidRDefault="00E42BA3" w:rsidP="00AA6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noteikumu projektu v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iedoklis </w:t>
            </w:r>
            <w:r w:rsidR="00AA63E5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</w:t>
            </w:r>
            <w:r w:rsidR="00AA63E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AA63E5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lūgts biedrībai “Latvijas Spēļu biznesa asociācija”.</w:t>
            </w:r>
            <w:r w:rsidR="00AC34B8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24203" w:rsidRPr="00A97B46" w14:paraId="1CC1FE8E" w14:textId="77777777" w:rsidTr="00A97B46">
        <w:trPr>
          <w:trHeight w:val="37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40AFCF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A56F6B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1B01FD5" w14:textId="256782F9" w:rsidR="00913A25" w:rsidRPr="00AA63E5" w:rsidRDefault="00AA63E5" w:rsidP="00913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“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Spēļu biznesa asociācija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” un </w:t>
            </w:r>
            <w:r w:rsidRPr="00A97B4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Latv</w:t>
            </w: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ijas Darba devēju konfederācija priekšlikumus vai iebildumus neizteica.</w:t>
            </w:r>
          </w:p>
        </w:tc>
      </w:tr>
      <w:tr w:rsidR="00924203" w:rsidRPr="00A97B46" w14:paraId="37FF05D1" w14:textId="77777777" w:rsidTr="00A97B46">
        <w:trPr>
          <w:trHeight w:val="372"/>
          <w:jc w:val="center"/>
        </w:trPr>
        <w:tc>
          <w:tcPr>
            <w:tcW w:w="23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4F4EB3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6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8AFCF2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29309444"/>
            <w:placeholder>
              <w:docPart w:val="329C033F59DB40C88300665E7EAD00DC"/>
            </w:placeholder>
            <w:text/>
          </w:sdtPr>
          <w:sdtEndPr/>
          <w:sdtContent>
            <w:tc>
              <w:tcPr>
                <w:tcW w:w="3206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916BA8A" w14:textId="77777777" w:rsidR="00924203" w:rsidRPr="00A97B46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4D8EF9EB" w14:textId="77777777" w:rsidR="00924203" w:rsidRPr="00A97B46" w:rsidRDefault="00924203" w:rsidP="00924203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53"/>
        <w:gridCol w:w="2800"/>
        <w:gridCol w:w="5802"/>
      </w:tblGrid>
      <w:tr w:rsidR="00924203" w:rsidRPr="00A97B46" w14:paraId="577DFEEB" w14:textId="77777777" w:rsidTr="000B6793">
        <w:trPr>
          <w:trHeight w:val="30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1681CB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924203" w:rsidRPr="00A97B46" w14:paraId="10FDBACB" w14:textId="77777777" w:rsidTr="00A97B46">
        <w:trPr>
          <w:trHeight w:val="336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A963BA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639A28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1DC43B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Izložu un azartspēļu uzraudzības inspekcija.</w:t>
            </w:r>
          </w:p>
        </w:tc>
      </w:tr>
      <w:tr w:rsidR="00924203" w:rsidRPr="00A97B46" w14:paraId="446E2994" w14:textId="77777777" w:rsidTr="00A97B46">
        <w:trPr>
          <w:trHeight w:val="36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F3A96E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B7C532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B14F24A" w14:textId="77777777" w:rsidR="00924203" w:rsidRPr="00A97B46" w:rsidRDefault="00924203" w:rsidP="000B679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Jaunu institūciju izveide, esošu institūciju likvidācija vai reorganizācija, to </w:t>
            </w: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20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A00CFF" w14:textId="77777777" w:rsidR="00924203" w:rsidRPr="00A97B46" w:rsidRDefault="00924203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Funkcijas un uzdevumi netiek grozīti. Jaunu institūciju izveide, esošo institūciju likvidācija vai reorganizācija netiek paredzēta.</w:t>
            </w:r>
          </w:p>
          <w:p w14:paraId="301F8641" w14:textId="06A61556" w:rsidR="00924203" w:rsidRPr="00A97B46" w:rsidRDefault="005E4E0C" w:rsidP="001E32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</w:t>
            </w:r>
            <w:r w:rsidR="00924203"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oteikumu projekts tiks realizēts esošo resursu ietvaros.</w:t>
            </w:r>
          </w:p>
        </w:tc>
      </w:tr>
      <w:tr w:rsidR="00924203" w:rsidRPr="00A97B46" w14:paraId="0313B923" w14:textId="77777777" w:rsidTr="00A97B46">
        <w:trPr>
          <w:trHeight w:val="31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3DF4EC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4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E9D9A0" w14:textId="77777777" w:rsidR="00924203" w:rsidRPr="00A97B46" w:rsidRDefault="00924203" w:rsidP="000B6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97B4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94525907"/>
            <w:placeholder>
              <w:docPart w:val="03C3395879914E39884C5A2E4FF21063"/>
            </w:placeholder>
            <w:text/>
          </w:sdtPr>
          <w:sdtEndPr/>
          <w:sdtContent>
            <w:tc>
              <w:tcPr>
                <w:tcW w:w="3204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14:paraId="364EAB70" w14:textId="77777777" w:rsidR="00924203" w:rsidRPr="00A97B46" w:rsidRDefault="00924203" w:rsidP="000B679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 w:rsidRPr="00A97B46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>Nav</w:t>
                </w:r>
              </w:p>
            </w:tc>
          </w:sdtContent>
        </w:sdt>
      </w:tr>
    </w:tbl>
    <w:p w14:paraId="26B23834" w14:textId="77777777" w:rsidR="00924203" w:rsidRPr="00A97B46" w:rsidRDefault="00924203" w:rsidP="0092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22D71F" w14:textId="2B2A2CE6" w:rsidR="00924203" w:rsidRDefault="00924203" w:rsidP="0092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94082" w14:textId="77777777" w:rsidR="005E4E0C" w:rsidRPr="00A97B46" w:rsidRDefault="005E4E0C" w:rsidP="00924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341BE" w14:textId="4DC0B3F7" w:rsidR="006B100D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46">
        <w:rPr>
          <w:rFonts w:ascii="Times New Roman" w:hAnsi="Times New Roman" w:cs="Times New Roman"/>
          <w:sz w:val="24"/>
          <w:szCs w:val="24"/>
        </w:rPr>
        <w:t>Finanšu ministre</w:t>
      </w:r>
      <w:r w:rsidR="006B100D">
        <w:rPr>
          <w:rFonts w:ascii="Times New Roman" w:hAnsi="Times New Roman" w:cs="Times New Roman"/>
          <w:sz w:val="24"/>
          <w:szCs w:val="24"/>
        </w:rPr>
        <w:t xml:space="preserve">s vietā – </w:t>
      </w:r>
    </w:p>
    <w:p w14:paraId="39A37B88" w14:textId="68211E8B" w:rsidR="00575CF1" w:rsidRPr="00A97B46" w:rsidRDefault="006B100D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Ministru prezidents</w:t>
      </w:r>
      <w:r w:rsidR="00763E39" w:rsidRPr="00A97B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97B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63E39" w:rsidRPr="00A97B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M.Kučinskis</w:t>
      </w:r>
    </w:p>
    <w:p w14:paraId="4FC6DDE2" w14:textId="77777777" w:rsidR="00924203" w:rsidRPr="00A97B46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B46">
        <w:rPr>
          <w:rFonts w:ascii="Times New Roman" w:hAnsi="Times New Roman" w:cs="Times New Roman"/>
          <w:sz w:val="24"/>
          <w:szCs w:val="24"/>
        </w:rPr>
        <w:tab/>
      </w:r>
      <w:r w:rsidRPr="00A97B46">
        <w:rPr>
          <w:rFonts w:ascii="Times New Roman" w:hAnsi="Times New Roman" w:cs="Times New Roman"/>
          <w:sz w:val="24"/>
          <w:szCs w:val="24"/>
        </w:rPr>
        <w:tab/>
      </w:r>
    </w:p>
    <w:p w14:paraId="74633DA8" w14:textId="55334AD4" w:rsidR="00ED0ADE" w:rsidRPr="00A97B46" w:rsidRDefault="00ED0ADE" w:rsidP="00EF20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4144C7" w14:textId="77777777" w:rsidR="00B74BCF" w:rsidRPr="00A97B46" w:rsidRDefault="00B74BCF" w:rsidP="00924203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48F84BC0" w14:textId="77777777" w:rsidR="00924203" w:rsidRPr="00A97B46" w:rsidRDefault="00924203" w:rsidP="00924203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B46">
        <w:rPr>
          <w:rFonts w:ascii="Times New Roman" w:hAnsi="Times New Roman" w:cs="Times New Roman"/>
          <w:sz w:val="20"/>
          <w:szCs w:val="20"/>
        </w:rPr>
        <w:t>Zariņa 67095672</w:t>
      </w:r>
    </w:p>
    <w:p w14:paraId="1DEF05AC" w14:textId="2C243910" w:rsidR="00386C05" w:rsidRPr="00A97B46" w:rsidRDefault="00924203" w:rsidP="0042066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7B46">
        <w:rPr>
          <w:rFonts w:ascii="Times New Roman" w:hAnsi="Times New Roman" w:cs="Times New Roman"/>
          <w:sz w:val="20"/>
          <w:szCs w:val="20"/>
        </w:rPr>
        <w:t>Indra.Zarina@fm.gov.lv</w:t>
      </w:r>
    </w:p>
    <w:sectPr w:rsidR="00386C05" w:rsidRPr="00A97B46" w:rsidSect="00A97B46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5BDE2" w14:textId="77777777" w:rsidR="00C82DB3" w:rsidRDefault="00C82DB3">
      <w:pPr>
        <w:spacing w:after="0" w:line="240" w:lineRule="auto"/>
      </w:pPr>
      <w:r>
        <w:separator/>
      </w:r>
    </w:p>
  </w:endnote>
  <w:endnote w:type="continuationSeparator" w:id="0">
    <w:p w14:paraId="1696602F" w14:textId="77777777" w:rsidR="00C82DB3" w:rsidRDefault="00C82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A5D47" w14:textId="10C31889" w:rsidR="00D0109D" w:rsidRPr="00524A85" w:rsidRDefault="006F2B5C" w:rsidP="00D0109D">
    <w:pPr>
      <w:pStyle w:val="Footer"/>
    </w:pPr>
    <w:r>
      <w:rPr>
        <w:rFonts w:ascii="Times New Roman" w:hAnsi="Times New Roman" w:cs="Times New Roman"/>
        <w:sz w:val="20"/>
        <w:szCs w:val="20"/>
      </w:rPr>
      <w:t>FMA</w:t>
    </w:r>
    <w:r w:rsidR="00D0109D" w:rsidRPr="00CA7B51">
      <w:rPr>
        <w:rFonts w:ascii="Times New Roman" w:hAnsi="Times New Roman" w:cs="Times New Roman"/>
        <w:sz w:val="20"/>
        <w:szCs w:val="20"/>
      </w:rPr>
      <w:t>not_</w:t>
    </w:r>
    <w:r w:rsidR="00227B95">
      <w:rPr>
        <w:rFonts w:ascii="Times New Roman" w:hAnsi="Times New Roman" w:cs="Times New Roman"/>
        <w:sz w:val="20"/>
        <w:szCs w:val="20"/>
      </w:rPr>
      <w:t>0</w:t>
    </w:r>
    <w:r w:rsidR="00053FF2">
      <w:rPr>
        <w:rFonts w:ascii="Times New Roman" w:hAnsi="Times New Roman" w:cs="Times New Roman"/>
        <w:sz w:val="20"/>
        <w:szCs w:val="20"/>
      </w:rPr>
      <w:t>3</w:t>
    </w:r>
    <w:r w:rsidR="00227B95">
      <w:rPr>
        <w:rFonts w:ascii="Times New Roman" w:hAnsi="Times New Roman" w:cs="Times New Roman"/>
        <w:sz w:val="20"/>
        <w:szCs w:val="20"/>
      </w:rPr>
      <w:t>05</w:t>
    </w:r>
    <w:r w:rsidR="00D0109D">
      <w:rPr>
        <w:rFonts w:ascii="Times New Roman" w:hAnsi="Times New Roman" w:cs="Times New Roman"/>
        <w:sz w:val="20"/>
        <w:szCs w:val="20"/>
      </w:rPr>
      <w:t>18</w:t>
    </w:r>
    <w:r w:rsidR="00D0109D" w:rsidRPr="00CA7B51">
      <w:rPr>
        <w:rFonts w:ascii="Times New Roman" w:hAnsi="Times New Roman" w:cs="Times New Roman"/>
        <w:sz w:val="20"/>
        <w:szCs w:val="20"/>
      </w:rPr>
      <w:t>_</w:t>
    </w:r>
    <w:r w:rsidR="00D0109D">
      <w:rPr>
        <w:rFonts w:ascii="Times New Roman" w:hAnsi="Times New Roman" w:cs="Times New Roman"/>
        <w:sz w:val="20"/>
        <w:szCs w:val="20"/>
      </w:rPr>
      <w:t>groz_MKNot_715</w:t>
    </w:r>
  </w:p>
  <w:p w14:paraId="77DBA70D" w14:textId="0B52F76A" w:rsidR="00CA7B51" w:rsidRPr="008D095A" w:rsidRDefault="00E42BA3" w:rsidP="008D095A">
    <w:pPr>
      <w:pStyle w:val="Footer"/>
    </w:pPr>
    <w:r>
      <w:rPr>
        <w:rFonts w:ascii="Times New Roman" w:hAnsi="Times New Roman" w:cs="Times New Roman"/>
        <w:sz w:val="20"/>
        <w:szCs w:val="20"/>
      </w:rPr>
      <w:tab/>
    </w:r>
  </w:p>
  <w:p w14:paraId="40A4A15F" w14:textId="77777777" w:rsidR="00CA7B51" w:rsidRPr="007748C1" w:rsidRDefault="00CC0D70" w:rsidP="00CA7B51">
    <w:pPr>
      <w:pStyle w:val="Footer"/>
      <w:rPr>
        <w:rFonts w:ascii="Times New Roman" w:hAnsi="Times New Roman" w:cs="Times New Roman"/>
        <w:sz w:val="18"/>
        <w:szCs w:val="18"/>
      </w:rPr>
    </w:pPr>
  </w:p>
  <w:p w14:paraId="06CF98E6" w14:textId="77777777" w:rsidR="00894C55" w:rsidRPr="002910D9" w:rsidRDefault="00E42BA3" w:rsidP="00754D30">
    <w:pPr>
      <w:pStyle w:val="Footer"/>
      <w:tabs>
        <w:tab w:val="clear" w:pos="8306"/>
        <w:tab w:val="left" w:pos="2848"/>
        <w:tab w:val="left" w:pos="4153"/>
      </w:tabs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94C73" w14:textId="42D24D40" w:rsidR="005722BE" w:rsidRPr="00524A85" w:rsidRDefault="006F2B5C" w:rsidP="00524A85">
    <w:pPr>
      <w:pStyle w:val="Footer"/>
    </w:pPr>
    <w:r>
      <w:rPr>
        <w:rFonts w:ascii="Times New Roman" w:hAnsi="Times New Roman" w:cs="Times New Roman"/>
        <w:sz w:val="20"/>
        <w:szCs w:val="20"/>
      </w:rPr>
      <w:t>FMA</w:t>
    </w:r>
    <w:r w:rsidR="00524A85" w:rsidRPr="00CA7B51">
      <w:rPr>
        <w:rFonts w:ascii="Times New Roman" w:hAnsi="Times New Roman" w:cs="Times New Roman"/>
        <w:sz w:val="20"/>
        <w:szCs w:val="20"/>
      </w:rPr>
      <w:t>not_</w:t>
    </w:r>
    <w:r w:rsidR="00227B95">
      <w:rPr>
        <w:rFonts w:ascii="Times New Roman" w:hAnsi="Times New Roman" w:cs="Times New Roman"/>
        <w:sz w:val="20"/>
        <w:szCs w:val="20"/>
      </w:rPr>
      <w:t>0</w:t>
    </w:r>
    <w:r w:rsidR="00053FF2">
      <w:rPr>
        <w:rFonts w:ascii="Times New Roman" w:hAnsi="Times New Roman" w:cs="Times New Roman"/>
        <w:sz w:val="20"/>
        <w:szCs w:val="20"/>
      </w:rPr>
      <w:t>3</w:t>
    </w:r>
    <w:r w:rsidR="00227B95">
      <w:rPr>
        <w:rFonts w:ascii="Times New Roman" w:hAnsi="Times New Roman" w:cs="Times New Roman"/>
        <w:sz w:val="20"/>
        <w:szCs w:val="20"/>
      </w:rPr>
      <w:t>05</w:t>
    </w:r>
    <w:r w:rsidR="00AA6078">
      <w:rPr>
        <w:rFonts w:ascii="Times New Roman" w:hAnsi="Times New Roman" w:cs="Times New Roman"/>
        <w:sz w:val="20"/>
        <w:szCs w:val="20"/>
      </w:rPr>
      <w:t>18</w:t>
    </w:r>
    <w:r w:rsidR="00524A85" w:rsidRPr="00CA7B51">
      <w:rPr>
        <w:rFonts w:ascii="Times New Roman" w:hAnsi="Times New Roman" w:cs="Times New Roman"/>
        <w:sz w:val="20"/>
        <w:szCs w:val="20"/>
      </w:rPr>
      <w:t>_</w:t>
    </w:r>
    <w:r w:rsidR="00D0109D">
      <w:rPr>
        <w:rFonts w:ascii="Times New Roman" w:hAnsi="Times New Roman" w:cs="Times New Roman"/>
        <w:sz w:val="20"/>
        <w:szCs w:val="20"/>
      </w:rPr>
      <w:t>groz_MKNot_</w:t>
    </w:r>
    <w:r w:rsidR="008D095A">
      <w:rPr>
        <w:rFonts w:ascii="Times New Roman" w:hAnsi="Times New Roman" w:cs="Times New Roman"/>
        <w:sz w:val="20"/>
        <w:szCs w:val="20"/>
      </w:rPr>
      <w:t>715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149E7" w14:textId="77777777" w:rsidR="00C82DB3" w:rsidRDefault="00C82DB3">
      <w:pPr>
        <w:spacing w:after="0" w:line="240" w:lineRule="auto"/>
      </w:pPr>
      <w:r>
        <w:separator/>
      </w:r>
    </w:p>
  </w:footnote>
  <w:footnote w:type="continuationSeparator" w:id="0">
    <w:p w14:paraId="66552FF2" w14:textId="77777777" w:rsidR="00C82DB3" w:rsidRDefault="00C82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253D994" w14:textId="01A039BF" w:rsidR="00894C55" w:rsidRPr="00C25B49" w:rsidRDefault="00E42BA3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CC0D70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E14F7"/>
    <w:multiLevelType w:val="hybridMultilevel"/>
    <w:tmpl w:val="48402D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82596"/>
    <w:multiLevelType w:val="hybridMultilevel"/>
    <w:tmpl w:val="B9B86C1C"/>
    <w:lvl w:ilvl="0" w:tplc="BDA4D14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0385"/>
    <w:multiLevelType w:val="hybridMultilevel"/>
    <w:tmpl w:val="A61039FE"/>
    <w:lvl w:ilvl="0" w:tplc="E9B20B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A3D2D"/>
    <w:multiLevelType w:val="hybridMultilevel"/>
    <w:tmpl w:val="8252FCE4"/>
    <w:lvl w:ilvl="0" w:tplc="1996D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03"/>
    <w:rsid w:val="000004E8"/>
    <w:rsid w:val="00000F7E"/>
    <w:rsid w:val="00016101"/>
    <w:rsid w:val="00023280"/>
    <w:rsid w:val="00026ABB"/>
    <w:rsid w:val="00027498"/>
    <w:rsid w:val="0003506A"/>
    <w:rsid w:val="00046AD1"/>
    <w:rsid w:val="000501F9"/>
    <w:rsid w:val="00053FF2"/>
    <w:rsid w:val="00075CF5"/>
    <w:rsid w:val="00076519"/>
    <w:rsid w:val="00097C65"/>
    <w:rsid w:val="000A2E98"/>
    <w:rsid w:val="000A6724"/>
    <w:rsid w:val="000D21A8"/>
    <w:rsid w:val="000E19BB"/>
    <w:rsid w:val="00101837"/>
    <w:rsid w:val="00110389"/>
    <w:rsid w:val="00117307"/>
    <w:rsid w:val="0012157B"/>
    <w:rsid w:val="001348C7"/>
    <w:rsid w:val="00164BCE"/>
    <w:rsid w:val="00177141"/>
    <w:rsid w:val="001902A5"/>
    <w:rsid w:val="00190741"/>
    <w:rsid w:val="00192B90"/>
    <w:rsid w:val="0019352B"/>
    <w:rsid w:val="001A1AE0"/>
    <w:rsid w:val="001A5101"/>
    <w:rsid w:val="001B0B14"/>
    <w:rsid w:val="001C6D42"/>
    <w:rsid w:val="001D3C16"/>
    <w:rsid w:val="001E017D"/>
    <w:rsid w:val="001E32A7"/>
    <w:rsid w:val="001F0827"/>
    <w:rsid w:val="001F5537"/>
    <w:rsid w:val="00203DEF"/>
    <w:rsid w:val="00206EEE"/>
    <w:rsid w:val="00217B12"/>
    <w:rsid w:val="002252D4"/>
    <w:rsid w:val="00227B95"/>
    <w:rsid w:val="00233FC4"/>
    <w:rsid w:val="0024718A"/>
    <w:rsid w:val="00261C6F"/>
    <w:rsid w:val="00271B39"/>
    <w:rsid w:val="002806F2"/>
    <w:rsid w:val="00280E05"/>
    <w:rsid w:val="00281D40"/>
    <w:rsid w:val="0028244E"/>
    <w:rsid w:val="00290D88"/>
    <w:rsid w:val="00291D4C"/>
    <w:rsid w:val="0029221C"/>
    <w:rsid w:val="00294DBD"/>
    <w:rsid w:val="002A2151"/>
    <w:rsid w:val="002A6D43"/>
    <w:rsid w:val="002B35BC"/>
    <w:rsid w:val="002B3AF9"/>
    <w:rsid w:val="002B4A6E"/>
    <w:rsid w:val="002B709B"/>
    <w:rsid w:val="002B74B6"/>
    <w:rsid w:val="002C2BC3"/>
    <w:rsid w:val="002C5BDF"/>
    <w:rsid w:val="002D0AF1"/>
    <w:rsid w:val="002D4222"/>
    <w:rsid w:val="002F2741"/>
    <w:rsid w:val="00316DDC"/>
    <w:rsid w:val="0032633E"/>
    <w:rsid w:val="0032685B"/>
    <w:rsid w:val="00332917"/>
    <w:rsid w:val="00334FA5"/>
    <w:rsid w:val="003375CF"/>
    <w:rsid w:val="0034434E"/>
    <w:rsid w:val="00344922"/>
    <w:rsid w:val="003632F6"/>
    <w:rsid w:val="00367A94"/>
    <w:rsid w:val="00373595"/>
    <w:rsid w:val="003824FD"/>
    <w:rsid w:val="00386C05"/>
    <w:rsid w:val="003912B7"/>
    <w:rsid w:val="003A2A14"/>
    <w:rsid w:val="003A62D4"/>
    <w:rsid w:val="003B5305"/>
    <w:rsid w:val="003B627F"/>
    <w:rsid w:val="003C08EA"/>
    <w:rsid w:val="003C1BF4"/>
    <w:rsid w:val="003C4061"/>
    <w:rsid w:val="003E0A36"/>
    <w:rsid w:val="003E2BEE"/>
    <w:rsid w:val="003F0566"/>
    <w:rsid w:val="003F7DBA"/>
    <w:rsid w:val="00420669"/>
    <w:rsid w:val="00422F39"/>
    <w:rsid w:val="00424322"/>
    <w:rsid w:val="004246E0"/>
    <w:rsid w:val="0042684E"/>
    <w:rsid w:val="0042753F"/>
    <w:rsid w:val="0043221D"/>
    <w:rsid w:val="00440D94"/>
    <w:rsid w:val="00451257"/>
    <w:rsid w:val="004771DF"/>
    <w:rsid w:val="00484E54"/>
    <w:rsid w:val="00485423"/>
    <w:rsid w:val="0048716B"/>
    <w:rsid w:val="004900B9"/>
    <w:rsid w:val="004932B8"/>
    <w:rsid w:val="0049450E"/>
    <w:rsid w:val="004A0985"/>
    <w:rsid w:val="004B3E93"/>
    <w:rsid w:val="004D163B"/>
    <w:rsid w:val="004E0998"/>
    <w:rsid w:val="004E4B24"/>
    <w:rsid w:val="004E5BC8"/>
    <w:rsid w:val="004F1CDC"/>
    <w:rsid w:val="004F61C2"/>
    <w:rsid w:val="00502001"/>
    <w:rsid w:val="00513550"/>
    <w:rsid w:val="00517508"/>
    <w:rsid w:val="00524A85"/>
    <w:rsid w:val="005346A4"/>
    <w:rsid w:val="00541E8E"/>
    <w:rsid w:val="00542615"/>
    <w:rsid w:val="00542C1F"/>
    <w:rsid w:val="00560A36"/>
    <w:rsid w:val="00566ECE"/>
    <w:rsid w:val="00575CF1"/>
    <w:rsid w:val="00577CF1"/>
    <w:rsid w:val="005800A4"/>
    <w:rsid w:val="0058115F"/>
    <w:rsid w:val="00582DD5"/>
    <w:rsid w:val="00594966"/>
    <w:rsid w:val="00595002"/>
    <w:rsid w:val="00597063"/>
    <w:rsid w:val="005A1E7A"/>
    <w:rsid w:val="005A66C4"/>
    <w:rsid w:val="005B38B1"/>
    <w:rsid w:val="005D113D"/>
    <w:rsid w:val="005D264B"/>
    <w:rsid w:val="005D3575"/>
    <w:rsid w:val="005D51D4"/>
    <w:rsid w:val="005D59E8"/>
    <w:rsid w:val="005D642D"/>
    <w:rsid w:val="005E4E0C"/>
    <w:rsid w:val="005F27FB"/>
    <w:rsid w:val="005F2E58"/>
    <w:rsid w:val="005F4C70"/>
    <w:rsid w:val="005F583A"/>
    <w:rsid w:val="00601E7B"/>
    <w:rsid w:val="00607CF4"/>
    <w:rsid w:val="00611E2D"/>
    <w:rsid w:val="006179DF"/>
    <w:rsid w:val="006322EB"/>
    <w:rsid w:val="0063623E"/>
    <w:rsid w:val="006428A1"/>
    <w:rsid w:val="0064546A"/>
    <w:rsid w:val="00647B16"/>
    <w:rsid w:val="006631D9"/>
    <w:rsid w:val="006744D3"/>
    <w:rsid w:val="00676AF1"/>
    <w:rsid w:val="00682E2B"/>
    <w:rsid w:val="00684089"/>
    <w:rsid w:val="006878E2"/>
    <w:rsid w:val="00691C93"/>
    <w:rsid w:val="006A6732"/>
    <w:rsid w:val="006B02F3"/>
    <w:rsid w:val="006B0FF1"/>
    <w:rsid w:val="006B100D"/>
    <w:rsid w:val="006B4D9F"/>
    <w:rsid w:val="006B5B79"/>
    <w:rsid w:val="006C4EF1"/>
    <w:rsid w:val="006D0416"/>
    <w:rsid w:val="006E6C6C"/>
    <w:rsid w:val="006F2B5C"/>
    <w:rsid w:val="006F4D39"/>
    <w:rsid w:val="0070068C"/>
    <w:rsid w:val="00703990"/>
    <w:rsid w:val="00703E18"/>
    <w:rsid w:val="00704114"/>
    <w:rsid w:val="00705CAB"/>
    <w:rsid w:val="00721019"/>
    <w:rsid w:val="007400C5"/>
    <w:rsid w:val="0074373D"/>
    <w:rsid w:val="00744A58"/>
    <w:rsid w:val="00763DA0"/>
    <w:rsid w:val="00763E39"/>
    <w:rsid w:val="00774088"/>
    <w:rsid w:val="00774DDF"/>
    <w:rsid w:val="007826AC"/>
    <w:rsid w:val="007879EC"/>
    <w:rsid w:val="00787E45"/>
    <w:rsid w:val="00795415"/>
    <w:rsid w:val="007A1652"/>
    <w:rsid w:val="007A36D6"/>
    <w:rsid w:val="007C343C"/>
    <w:rsid w:val="007C5CC2"/>
    <w:rsid w:val="007C5E38"/>
    <w:rsid w:val="007D2DCD"/>
    <w:rsid w:val="007D615B"/>
    <w:rsid w:val="007F15E7"/>
    <w:rsid w:val="00801525"/>
    <w:rsid w:val="008128E4"/>
    <w:rsid w:val="00815427"/>
    <w:rsid w:val="008214E7"/>
    <w:rsid w:val="0082381C"/>
    <w:rsid w:val="008267DD"/>
    <w:rsid w:val="00836ACD"/>
    <w:rsid w:val="00851128"/>
    <w:rsid w:val="00862CA4"/>
    <w:rsid w:val="00863C70"/>
    <w:rsid w:val="00870BD3"/>
    <w:rsid w:val="00871B47"/>
    <w:rsid w:val="00875B4D"/>
    <w:rsid w:val="008871E7"/>
    <w:rsid w:val="008A216E"/>
    <w:rsid w:val="008C0704"/>
    <w:rsid w:val="008C3001"/>
    <w:rsid w:val="008C7DD7"/>
    <w:rsid w:val="008D095A"/>
    <w:rsid w:val="00900545"/>
    <w:rsid w:val="00905814"/>
    <w:rsid w:val="00913A25"/>
    <w:rsid w:val="00914371"/>
    <w:rsid w:val="00921429"/>
    <w:rsid w:val="00924203"/>
    <w:rsid w:val="0093075F"/>
    <w:rsid w:val="00945598"/>
    <w:rsid w:val="00946579"/>
    <w:rsid w:val="00947DE4"/>
    <w:rsid w:val="00951D56"/>
    <w:rsid w:val="0095647F"/>
    <w:rsid w:val="00956AE2"/>
    <w:rsid w:val="00960C24"/>
    <w:rsid w:val="00963E44"/>
    <w:rsid w:val="00963E68"/>
    <w:rsid w:val="00965E67"/>
    <w:rsid w:val="009738B9"/>
    <w:rsid w:val="0097544B"/>
    <w:rsid w:val="00981D1E"/>
    <w:rsid w:val="009832D4"/>
    <w:rsid w:val="009940E7"/>
    <w:rsid w:val="009A5131"/>
    <w:rsid w:val="009A7A0A"/>
    <w:rsid w:val="009B0E93"/>
    <w:rsid w:val="009B1F1F"/>
    <w:rsid w:val="009D3281"/>
    <w:rsid w:val="009D397F"/>
    <w:rsid w:val="009E1B01"/>
    <w:rsid w:val="009E2DBE"/>
    <w:rsid w:val="009F3502"/>
    <w:rsid w:val="00A07258"/>
    <w:rsid w:val="00A1395E"/>
    <w:rsid w:val="00A20F2E"/>
    <w:rsid w:val="00A30CC9"/>
    <w:rsid w:val="00A35D4E"/>
    <w:rsid w:val="00A4182A"/>
    <w:rsid w:val="00A451DE"/>
    <w:rsid w:val="00A46E97"/>
    <w:rsid w:val="00A4759E"/>
    <w:rsid w:val="00A63A1A"/>
    <w:rsid w:val="00A66605"/>
    <w:rsid w:val="00A67059"/>
    <w:rsid w:val="00A76B83"/>
    <w:rsid w:val="00A866E3"/>
    <w:rsid w:val="00A905A8"/>
    <w:rsid w:val="00A97B46"/>
    <w:rsid w:val="00AA6078"/>
    <w:rsid w:val="00AA63E5"/>
    <w:rsid w:val="00AC2F13"/>
    <w:rsid w:val="00AC34B8"/>
    <w:rsid w:val="00AE0B28"/>
    <w:rsid w:val="00AE2333"/>
    <w:rsid w:val="00B042E3"/>
    <w:rsid w:val="00B06CCC"/>
    <w:rsid w:val="00B30EED"/>
    <w:rsid w:val="00B50ADA"/>
    <w:rsid w:val="00B54272"/>
    <w:rsid w:val="00B70890"/>
    <w:rsid w:val="00B7420F"/>
    <w:rsid w:val="00B74BCF"/>
    <w:rsid w:val="00B7510D"/>
    <w:rsid w:val="00B8358F"/>
    <w:rsid w:val="00B90127"/>
    <w:rsid w:val="00BA572B"/>
    <w:rsid w:val="00BB2EA7"/>
    <w:rsid w:val="00BC129E"/>
    <w:rsid w:val="00BC6086"/>
    <w:rsid w:val="00BD0A84"/>
    <w:rsid w:val="00BE22A7"/>
    <w:rsid w:val="00BE5D4A"/>
    <w:rsid w:val="00C07969"/>
    <w:rsid w:val="00C20CDB"/>
    <w:rsid w:val="00C45E53"/>
    <w:rsid w:val="00C5701D"/>
    <w:rsid w:val="00C60198"/>
    <w:rsid w:val="00C638F8"/>
    <w:rsid w:val="00C67F01"/>
    <w:rsid w:val="00C7489B"/>
    <w:rsid w:val="00C82DB3"/>
    <w:rsid w:val="00C91F41"/>
    <w:rsid w:val="00CA36E4"/>
    <w:rsid w:val="00CB23C8"/>
    <w:rsid w:val="00CC0D70"/>
    <w:rsid w:val="00CD1C42"/>
    <w:rsid w:val="00CD4E02"/>
    <w:rsid w:val="00CF77D3"/>
    <w:rsid w:val="00D00C2D"/>
    <w:rsid w:val="00D0109D"/>
    <w:rsid w:val="00D118DA"/>
    <w:rsid w:val="00D17554"/>
    <w:rsid w:val="00D176C8"/>
    <w:rsid w:val="00D258BB"/>
    <w:rsid w:val="00D4456D"/>
    <w:rsid w:val="00D4680D"/>
    <w:rsid w:val="00D516B2"/>
    <w:rsid w:val="00D56863"/>
    <w:rsid w:val="00D73816"/>
    <w:rsid w:val="00D749FD"/>
    <w:rsid w:val="00DB4838"/>
    <w:rsid w:val="00DC034B"/>
    <w:rsid w:val="00DD268A"/>
    <w:rsid w:val="00DE51FE"/>
    <w:rsid w:val="00DE6728"/>
    <w:rsid w:val="00E344E9"/>
    <w:rsid w:val="00E42BA3"/>
    <w:rsid w:val="00E43B73"/>
    <w:rsid w:val="00E71F67"/>
    <w:rsid w:val="00E72C0B"/>
    <w:rsid w:val="00E84008"/>
    <w:rsid w:val="00E977EC"/>
    <w:rsid w:val="00EA5762"/>
    <w:rsid w:val="00ED0ADE"/>
    <w:rsid w:val="00ED2CF3"/>
    <w:rsid w:val="00EE192F"/>
    <w:rsid w:val="00EE4B79"/>
    <w:rsid w:val="00EE54BA"/>
    <w:rsid w:val="00EF20AD"/>
    <w:rsid w:val="00EF45D1"/>
    <w:rsid w:val="00EF5C46"/>
    <w:rsid w:val="00F0021E"/>
    <w:rsid w:val="00F01FE2"/>
    <w:rsid w:val="00F0559D"/>
    <w:rsid w:val="00F225E7"/>
    <w:rsid w:val="00F2340E"/>
    <w:rsid w:val="00F25C98"/>
    <w:rsid w:val="00F53507"/>
    <w:rsid w:val="00F76517"/>
    <w:rsid w:val="00F864AA"/>
    <w:rsid w:val="00F9561A"/>
    <w:rsid w:val="00FB6733"/>
    <w:rsid w:val="00FC041B"/>
    <w:rsid w:val="00FD4DE4"/>
    <w:rsid w:val="00FF6C06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594AE3AD"/>
  <w15:docId w15:val="{30968A19-566D-4F13-AA2E-8F82B19F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97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20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9242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203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E42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A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244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40E7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866E3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063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063"/>
    <w:rPr>
      <w:rFonts w:asciiTheme="minorHAnsi" w:hAnsiTheme="minorHAnsi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575CF1"/>
    <w:pPr>
      <w:widowControl w:val="0"/>
      <w:tabs>
        <w:tab w:val="left" w:pos="6804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75CF1"/>
    <w:rPr>
      <w:rFonts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1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122941-azartspelu-un-izlozu-likum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3BCBC316474711914948C4D4828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A6942-8253-41E5-9FF8-90B8F97C26BC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ieskatiem, piemēram, atbilstoši instrukcijas 4.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noteiktajam.</w:t>
          </w:r>
        </w:p>
        <w:p w:rsidR="004A281A" w:rsidRDefault="00B75E04" w:rsidP="00B75E04">
          <w:pPr>
            <w:pStyle w:val="6C3BCBC316474711914948C4D4828E7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329C033F59DB40C88300665E7EAD0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E751-F20B-4CB5-8B45-EB2C60CAD9B4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329C033F59DB40C88300665E7EAD00DC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03C3395879914E39884C5A2E4FF21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70290-AA36-4DB1-8DA5-0AF2E77463D9}"/>
      </w:docPartPr>
      <w:docPartBody>
        <w:p w:rsidR="00B75E04" w:rsidRPr="00894C55" w:rsidRDefault="00B75E04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4A281A" w:rsidRDefault="00B75E04" w:rsidP="00B75E04">
          <w:pPr>
            <w:pStyle w:val="03C3395879914E39884C5A2E4FF21063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2E7E0C12663549F5BC5AB9E98AB80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04CA-8A2B-47DE-9D48-2FCFEBBA5C51}"/>
      </w:docPartPr>
      <w:docPartBody>
        <w:p w:rsidR="00B77292" w:rsidRPr="00894C55" w:rsidRDefault="00B77292" w:rsidP="00F57B0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845A53" w:rsidRDefault="00B77292" w:rsidP="00B77292">
          <w:pPr>
            <w:pStyle w:val="2E7E0C12663549F5BC5AB9E98AB80525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4"/>
    <w:rsid w:val="000138F1"/>
    <w:rsid w:val="00021E9D"/>
    <w:rsid w:val="00026963"/>
    <w:rsid w:val="00042111"/>
    <w:rsid w:val="000643BF"/>
    <w:rsid w:val="00085C4F"/>
    <w:rsid w:val="000D59A5"/>
    <w:rsid w:val="000E4B1F"/>
    <w:rsid w:val="00105601"/>
    <w:rsid w:val="001075F6"/>
    <w:rsid w:val="001205D3"/>
    <w:rsid w:val="001462EF"/>
    <w:rsid w:val="001C3B17"/>
    <w:rsid w:val="002B3EC6"/>
    <w:rsid w:val="003656C0"/>
    <w:rsid w:val="003F3CB6"/>
    <w:rsid w:val="004446FE"/>
    <w:rsid w:val="00444E17"/>
    <w:rsid w:val="004A281A"/>
    <w:rsid w:val="005169CB"/>
    <w:rsid w:val="00591A07"/>
    <w:rsid w:val="005A12D3"/>
    <w:rsid w:val="005D780D"/>
    <w:rsid w:val="006530DD"/>
    <w:rsid w:val="006C16EF"/>
    <w:rsid w:val="006C38C9"/>
    <w:rsid w:val="006E4EC8"/>
    <w:rsid w:val="0074564B"/>
    <w:rsid w:val="00777B3F"/>
    <w:rsid w:val="00816AAD"/>
    <w:rsid w:val="00842880"/>
    <w:rsid w:val="00845A53"/>
    <w:rsid w:val="00A0702D"/>
    <w:rsid w:val="00B3257E"/>
    <w:rsid w:val="00B75E04"/>
    <w:rsid w:val="00B77292"/>
    <w:rsid w:val="00B84E5D"/>
    <w:rsid w:val="00C4531F"/>
    <w:rsid w:val="00C84DBE"/>
    <w:rsid w:val="00CA258C"/>
    <w:rsid w:val="00CD6E8F"/>
    <w:rsid w:val="00D57022"/>
    <w:rsid w:val="00D83BA2"/>
    <w:rsid w:val="00DD44A4"/>
    <w:rsid w:val="00DD7741"/>
    <w:rsid w:val="00E52F97"/>
    <w:rsid w:val="00E57429"/>
    <w:rsid w:val="00EB1134"/>
    <w:rsid w:val="00F32991"/>
    <w:rsid w:val="00F441CB"/>
    <w:rsid w:val="00F47E21"/>
    <w:rsid w:val="00F741C5"/>
    <w:rsid w:val="00FD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12AA"/>
    <w:rPr>
      <w:color w:val="808080"/>
    </w:rPr>
  </w:style>
  <w:style w:type="paragraph" w:customStyle="1" w:styleId="8DA1E54007224375ABDB15ADC577FEFF">
    <w:name w:val="8DA1E54007224375ABDB15ADC577FEFF"/>
    <w:rsid w:val="00B75E04"/>
  </w:style>
  <w:style w:type="paragraph" w:customStyle="1" w:styleId="458F8928699A4A2E946DEA8ECABCBDBF">
    <w:name w:val="458F8928699A4A2E946DEA8ECABCBDBF"/>
    <w:rsid w:val="00B75E04"/>
  </w:style>
  <w:style w:type="paragraph" w:customStyle="1" w:styleId="6C3BCBC316474711914948C4D4828E75">
    <w:name w:val="6C3BCBC316474711914948C4D4828E75"/>
    <w:rsid w:val="00B75E04"/>
  </w:style>
  <w:style w:type="paragraph" w:customStyle="1" w:styleId="329C033F59DB40C88300665E7EAD00DC">
    <w:name w:val="329C033F59DB40C88300665E7EAD00DC"/>
    <w:rsid w:val="00B75E04"/>
  </w:style>
  <w:style w:type="paragraph" w:customStyle="1" w:styleId="03C3395879914E39884C5A2E4FF21063">
    <w:name w:val="03C3395879914E39884C5A2E4FF21063"/>
    <w:rsid w:val="00B75E04"/>
  </w:style>
  <w:style w:type="paragraph" w:customStyle="1" w:styleId="C4425F84E44F469B803687DA94BA0DA4">
    <w:name w:val="C4425F84E44F469B803687DA94BA0DA4"/>
    <w:rsid w:val="00FD12AA"/>
  </w:style>
  <w:style w:type="paragraph" w:customStyle="1" w:styleId="2E7E0C12663549F5BC5AB9E98AB80525">
    <w:name w:val="2E7E0C12663549F5BC5AB9E98AB80525"/>
    <w:rsid w:val="00B77292"/>
  </w:style>
  <w:style w:type="paragraph" w:customStyle="1" w:styleId="89C343A761D34045A9264A01DA1E461D">
    <w:name w:val="89C343A761D34045A9264A01DA1E461D"/>
    <w:rsid w:val="00A0702D"/>
  </w:style>
  <w:style w:type="paragraph" w:customStyle="1" w:styleId="94837F1A43554E6A8FEE9E306F77DFEA">
    <w:name w:val="94837F1A43554E6A8FEE9E306F77DFEA"/>
    <w:rsid w:val="001205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Vad_x012b_t_x0101_js xmlns="2e5bb04e-596e-45bd-9003-43ca78b1ba16">J.Salmiņa</Vad_x012b_t_x0101_js>
    <Kategorija xmlns="2e5bb04e-596e-45bd-9003-43ca78b1ba16">Anotācija</Kategorija>
    <DKP xmlns="2e5bb04e-596e-45bd-9003-43ca78b1ba16">222</DK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9914C-58EA-44E0-8A62-39C6ABB2B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E62001-8122-4F23-BD72-2C88CBDE0F5C}">
  <ds:schemaRefs>
    <ds:schemaRef ds:uri="http://purl.org/dc/terms/"/>
    <ds:schemaRef ds:uri="http://purl.org/dc/elements/1.1/"/>
    <ds:schemaRef ds:uri="2e5bb04e-596e-45bd-9003-43ca78b1ba16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6116090-9BA8-464E-B289-0995BD26B4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013060-943A-44A5-9E6D-416F93A84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4690</Words>
  <Characters>2674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“Grozījumi Ministru kabineta 2017.gada 5.decembra noteikumos Nr.715 “Interaktīvo azartspēļu un interaktīvo izložu spēlētāju reģistrācijas un identitātes pārbaudes kārtība”” sākotnējās ietekmes novērtējuma ziņojums (ano</vt:lpstr>
    </vt:vector>
  </TitlesOfParts>
  <Company>Finanšu ministrija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“Grozījumi Ministru kabineta 2017.gada 5.decembra noteikumos Nr.715 “Interaktīvo azartspēļu un interaktīvo izložu spēlētāju reģistrācijas un identitātes pārbaudes kārtība”” sākotnējās ietekmes novērtējuma ziņojums (anotācija)</dc:title>
  <dc:subject>Anotācija</dc:subject>
  <dc:creator>I.Zariņa</dc:creator>
  <dc:description>67095672, Indra.Zarina@fm.gov.lv</dc:description>
  <cp:lastModifiedBy>Indra Zariņa</cp:lastModifiedBy>
  <cp:revision>22</cp:revision>
  <cp:lastPrinted>2018-02-12T14:58:00Z</cp:lastPrinted>
  <dcterms:created xsi:type="dcterms:W3CDTF">2018-05-03T06:45:00Z</dcterms:created>
  <dcterms:modified xsi:type="dcterms:W3CDTF">2018-05-10T07:50:00Z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