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EBC36" w14:textId="77777777" w:rsidR="00F32B28" w:rsidRPr="00E73D1F" w:rsidRDefault="00F32B28" w:rsidP="00B61A29">
      <w:pPr>
        <w:jc w:val="center"/>
        <w:rPr>
          <w:b/>
        </w:rPr>
      </w:pPr>
      <w:bookmarkStart w:id="0" w:name="_GoBack"/>
      <w:bookmarkEnd w:id="0"/>
      <w:r w:rsidRPr="00E73D1F">
        <w:rPr>
          <w:b/>
        </w:rPr>
        <w:t>Minis</w:t>
      </w:r>
      <w:r w:rsidR="00D07723" w:rsidRPr="00E73D1F">
        <w:rPr>
          <w:b/>
        </w:rPr>
        <w:t>tru kabineta rīkojuma projekta “</w:t>
      </w:r>
      <w:r w:rsidR="005F026B" w:rsidRPr="00E73D1F">
        <w:rPr>
          <w:b/>
        </w:rPr>
        <w:t>Par finanšu līdzekļu piešķiršanu no valsts budžeta programmas “Līdzekļi neparedzētiem gadījumiem”</w:t>
      </w:r>
      <w:r w:rsidRPr="00E73D1F">
        <w:rPr>
          <w:b/>
        </w:rPr>
        <w:t xml:space="preserve">” sākotnējās ietekmes novērtējuma </w:t>
      </w:r>
      <w:smartTag w:uri="schemas-tilde-lv/tildestengine" w:element="veidnes">
        <w:smartTagPr>
          <w:attr w:name="id" w:val="-1"/>
          <w:attr w:name="baseform" w:val="ziņojums"/>
          <w:attr w:name="text" w:val="ziņojums"/>
        </w:smartTagPr>
        <w:r w:rsidRPr="00E73D1F">
          <w:rPr>
            <w:b/>
          </w:rPr>
          <w:t>ziņojums</w:t>
        </w:r>
      </w:smartTag>
      <w:r w:rsidRPr="00E73D1F">
        <w:rPr>
          <w:b/>
        </w:rPr>
        <w:t xml:space="preserve"> (anotācija)</w:t>
      </w:r>
    </w:p>
    <w:p w14:paraId="43473C1C" w14:textId="77777777" w:rsidR="00C9099D" w:rsidRPr="00E73D1F" w:rsidRDefault="00C9099D" w:rsidP="00B61A29">
      <w:pPr>
        <w:jc w:val="center"/>
        <w:rPr>
          <w:b/>
        </w:rPr>
      </w:pPr>
    </w:p>
    <w:tbl>
      <w:tblPr>
        <w:tblStyle w:val="TableGrid"/>
        <w:tblW w:w="5082" w:type="pct"/>
        <w:tblLook w:val="04A0" w:firstRow="1" w:lastRow="0" w:firstColumn="1" w:lastColumn="0" w:noHBand="0" w:noVBand="1"/>
      </w:tblPr>
      <w:tblGrid>
        <w:gridCol w:w="3257"/>
        <w:gridCol w:w="5953"/>
      </w:tblGrid>
      <w:tr w:rsidR="00C9099D" w:rsidRPr="00E73D1F" w14:paraId="237ABCB5" w14:textId="77777777" w:rsidTr="00C9099D">
        <w:tc>
          <w:tcPr>
            <w:tcW w:w="5000" w:type="pct"/>
            <w:gridSpan w:val="2"/>
            <w:hideMark/>
          </w:tcPr>
          <w:p w14:paraId="1ED9C582" w14:textId="77777777" w:rsidR="00C9099D" w:rsidRPr="00E73D1F" w:rsidRDefault="00C9099D" w:rsidP="0037349E">
            <w:pPr>
              <w:spacing w:before="100" w:beforeAutospacing="1" w:after="100" w:afterAutospacing="1" w:line="360" w:lineRule="auto"/>
              <w:ind w:firstLine="300"/>
              <w:jc w:val="center"/>
              <w:rPr>
                <w:b/>
                <w:bCs/>
              </w:rPr>
            </w:pPr>
            <w:r w:rsidRPr="00E73D1F">
              <w:rPr>
                <w:b/>
                <w:bCs/>
              </w:rPr>
              <w:t>Tiesību akta projekta anotācijas kopsavilkums</w:t>
            </w:r>
          </w:p>
        </w:tc>
      </w:tr>
      <w:tr w:rsidR="00C9099D" w:rsidRPr="00E73D1F" w14:paraId="5AC71201" w14:textId="77777777" w:rsidTr="00C9099D">
        <w:tc>
          <w:tcPr>
            <w:tcW w:w="1768" w:type="pct"/>
            <w:hideMark/>
          </w:tcPr>
          <w:p w14:paraId="36A6333D" w14:textId="77777777" w:rsidR="00C9099D" w:rsidRPr="00E73D1F" w:rsidRDefault="00C9099D" w:rsidP="0037349E">
            <w:r w:rsidRPr="00E73D1F">
              <w:t>Mērķis, risinājums un projekta spēkā stāšanās laiks (500 zīmes bez atstarpēm)</w:t>
            </w:r>
          </w:p>
        </w:tc>
        <w:tc>
          <w:tcPr>
            <w:tcW w:w="3232" w:type="pct"/>
            <w:hideMark/>
          </w:tcPr>
          <w:p w14:paraId="21086994" w14:textId="4ABDABB6" w:rsidR="00C9099D" w:rsidRPr="00E73D1F" w:rsidRDefault="00C9099D" w:rsidP="00590829">
            <w:pPr>
              <w:jc w:val="both"/>
            </w:pPr>
            <w:r w:rsidRPr="00E73D1F">
              <w:t xml:space="preserve">Ministru kabineta </w:t>
            </w:r>
            <w:r w:rsidR="00802F46" w:rsidRPr="00E73D1F">
              <w:t>rīkojuma</w:t>
            </w:r>
            <w:r w:rsidRPr="00E73D1F">
              <w:t xml:space="preserve"> projekts “</w:t>
            </w:r>
            <w:r w:rsidR="00802F46" w:rsidRPr="00E73D1F">
              <w:t xml:space="preserve">Par finanšu līdzekļu piešķiršanu no valsts budžeta programmas "Līdzekļi </w:t>
            </w:r>
            <w:r w:rsidR="00802F46" w:rsidRPr="00281877">
              <w:t>neparedzētiem gadījumiem</w:t>
            </w:r>
            <w:r w:rsidRPr="00281877">
              <w:t>”</w:t>
            </w:r>
            <w:r w:rsidR="00281877" w:rsidRPr="00281877">
              <w:t>”</w:t>
            </w:r>
            <w:r w:rsidRPr="00281877">
              <w:t xml:space="preserve"> ir izstrādāts, lai</w:t>
            </w:r>
            <w:r w:rsidR="00E73D1F" w:rsidRPr="00281877">
              <w:t xml:space="preserve"> </w:t>
            </w:r>
            <w:r w:rsidR="00590829" w:rsidRPr="00590829">
              <w:t>nodrošinātu izdevumu segšanu par OECD ekspertu, kas Latvijā ieradīsies, lai vienotos par papildus pārbaudes darba uzdevumu Finanšu un kapitāla tirgus komisijas un Kontroles dienesta noziedzīgi iegūtu līdzekļu legalizācijas un terorisma finansēšanas novēršanas sistēmas darbības jomā, uzturēšanos 2018.gada 9.-11.jūlijā</w:t>
            </w:r>
            <w:r w:rsidR="00590829">
              <w:t>.</w:t>
            </w:r>
          </w:p>
        </w:tc>
      </w:tr>
    </w:tbl>
    <w:p w14:paraId="220A95E5" w14:textId="77777777" w:rsidR="003468CF" w:rsidRPr="00E73D1F" w:rsidRDefault="003468CF" w:rsidP="00B61A29">
      <w:pPr>
        <w:jc w:val="center"/>
        <w:rPr>
          <w:i/>
          <w:iCs/>
        </w:rPr>
      </w:pP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2"/>
        <w:gridCol w:w="2911"/>
        <w:gridCol w:w="5966"/>
      </w:tblGrid>
      <w:tr w:rsidR="009A7EE9" w:rsidRPr="00E73D1F" w14:paraId="2BD7FAA6" w14:textId="77777777" w:rsidTr="008E3CF9">
        <w:trPr>
          <w:trHeight w:val="419"/>
          <w:jc w:val="center"/>
        </w:trPr>
        <w:tc>
          <w:tcPr>
            <w:tcW w:w="5000" w:type="pct"/>
            <w:gridSpan w:val="3"/>
            <w:vAlign w:val="center"/>
          </w:tcPr>
          <w:p w14:paraId="0B252A64" w14:textId="77777777" w:rsidR="009A7EE9" w:rsidRPr="00E73D1F" w:rsidRDefault="009A7EE9" w:rsidP="008E3CF9">
            <w:pPr>
              <w:pStyle w:val="naisnod"/>
              <w:spacing w:before="0" w:beforeAutospacing="0" w:after="0" w:afterAutospacing="0"/>
              <w:ind w:left="57" w:right="57"/>
              <w:jc w:val="center"/>
              <w:rPr>
                <w:b/>
              </w:rPr>
            </w:pPr>
            <w:r w:rsidRPr="00E73D1F">
              <w:rPr>
                <w:b/>
              </w:rPr>
              <w:t>I. Tiesību akta projekta izstrādes nepieciešamība</w:t>
            </w:r>
          </w:p>
        </w:tc>
      </w:tr>
      <w:tr w:rsidR="009A7EE9" w:rsidRPr="00E73D1F" w14:paraId="1106AF6C" w14:textId="77777777" w:rsidTr="008E3CF9">
        <w:trPr>
          <w:trHeight w:val="400"/>
          <w:jc w:val="center"/>
        </w:trPr>
        <w:tc>
          <w:tcPr>
            <w:tcW w:w="227" w:type="pct"/>
          </w:tcPr>
          <w:p w14:paraId="17B76E40" w14:textId="77777777" w:rsidR="009A7EE9" w:rsidRPr="00E73D1F" w:rsidRDefault="009A7EE9" w:rsidP="008E3CF9">
            <w:pPr>
              <w:pStyle w:val="naiskr"/>
              <w:spacing w:before="0" w:beforeAutospacing="0" w:after="0" w:afterAutospacing="0"/>
              <w:ind w:left="57" w:right="57"/>
              <w:jc w:val="center"/>
            </w:pPr>
            <w:r w:rsidRPr="00E73D1F">
              <w:t>1.</w:t>
            </w:r>
          </w:p>
        </w:tc>
        <w:tc>
          <w:tcPr>
            <w:tcW w:w="1565" w:type="pct"/>
          </w:tcPr>
          <w:p w14:paraId="730D4CB6" w14:textId="77777777" w:rsidR="009A7EE9" w:rsidRPr="00E73D1F" w:rsidRDefault="009A7EE9" w:rsidP="008E3CF9">
            <w:pPr>
              <w:pStyle w:val="naiskr"/>
              <w:spacing w:before="0" w:beforeAutospacing="0" w:after="0" w:afterAutospacing="0"/>
              <w:ind w:left="57" w:right="57"/>
            </w:pPr>
            <w:r w:rsidRPr="00E73D1F">
              <w:t>Pamatojums</w:t>
            </w:r>
          </w:p>
        </w:tc>
        <w:tc>
          <w:tcPr>
            <w:tcW w:w="3208" w:type="pct"/>
          </w:tcPr>
          <w:p w14:paraId="6044DC8C" w14:textId="77777777" w:rsidR="007C74EE" w:rsidRPr="00E73D1F" w:rsidRDefault="007C74EE" w:rsidP="008E3CF9">
            <w:pPr>
              <w:pStyle w:val="Heading3"/>
              <w:shd w:val="clear" w:color="auto" w:fill="FFFFFF"/>
              <w:spacing w:before="120" w:beforeAutospacing="0" w:after="120" w:afterAutospacing="0"/>
              <w:ind w:left="102" w:right="130"/>
              <w:jc w:val="both"/>
              <w:rPr>
                <w:b w:val="0"/>
                <w:sz w:val="24"/>
                <w:szCs w:val="24"/>
              </w:rPr>
            </w:pPr>
            <w:r w:rsidRPr="00E73D1F">
              <w:rPr>
                <w:b w:val="0"/>
                <w:sz w:val="24"/>
                <w:szCs w:val="24"/>
              </w:rPr>
              <w:t>Finanšu ministrijas iniciatīva.</w:t>
            </w:r>
          </w:p>
          <w:p w14:paraId="4CCDDF92" w14:textId="335A9BAD" w:rsidR="00CC1E07" w:rsidRPr="00E73D1F" w:rsidRDefault="00D30F5D" w:rsidP="00B8758B">
            <w:pPr>
              <w:pStyle w:val="Heading3"/>
              <w:shd w:val="clear" w:color="auto" w:fill="FFFFFF"/>
              <w:spacing w:before="120" w:beforeAutospacing="0" w:after="120" w:afterAutospacing="0"/>
              <w:ind w:left="102" w:right="130"/>
              <w:jc w:val="both"/>
              <w:rPr>
                <w:b w:val="0"/>
                <w:sz w:val="24"/>
                <w:szCs w:val="24"/>
              </w:rPr>
            </w:pPr>
            <w:r w:rsidRPr="00E73D1F">
              <w:rPr>
                <w:b w:val="0"/>
                <w:sz w:val="24"/>
                <w:szCs w:val="24"/>
              </w:rPr>
              <w:t>Ministru kabineta 2009. gada 22. decembra noteikum</w:t>
            </w:r>
            <w:r w:rsidR="00281877">
              <w:rPr>
                <w:b w:val="0"/>
                <w:sz w:val="24"/>
                <w:szCs w:val="24"/>
              </w:rPr>
              <w:t>u</w:t>
            </w:r>
            <w:r w:rsidRPr="00E73D1F">
              <w:rPr>
                <w:b w:val="0"/>
                <w:sz w:val="24"/>
                <w:szCs w:val="24"/>
              </w:rPr>
              <w:t xml:space="preserve"> Nr. 1644 “Kārtība, kādā pieprasa un izlieto budžeta programmas “Līdzekļi neparedzētiem gadījumiem” līdzekļus“ 3.punkts</w:t>
            </w:r>
            <w:r w:rsidR="00802F46" w:rsidRPr="00E73D1F">
              <w:rPr>
                <w:b w:val="0"/>
                <w:sz w:val="24"/>
                <w:szCs w:val="24"/>
              </w:rPr>
              <w:t>.</w:t>
            </w:r>
          </w:p>
        </w:tc>
      </w:tr>
      <w:tr w:rsidR="009A7EE9" w:rsidRPr="00E73D1F" w14:paraId="59C0D7CA" w14:textId="77777777" w:rsidTr="008E3CF9">
        <w:trPr>
          <w:trHeight w:val="472"/>
          <w:jc w:val="center"/>
        </w:trPr>
        <w:tc>
          <w:tcPr>
            <w:tcW w:w="227" w:type="pct"/>
          </w:tcPr>
          <w:p w14:paraId="48846B5F" w14:textId="77777777" w:rsidR="009A7EE9" w:rsidRPr="00E73D1F" w:rsidRDefault="007C74EE" w:rsidP="008E3CF9">
            <w:pPr>
              <w:pStyle w:val="naiskr"/>
              <w:spacing w:before="0" w:beforeAutospacing="0" w:after="0" w:afterAutospacing="0"/>
              <w:ind w:left="57" w:right="57"/>
              <w:jc w:val="center"/>
            </w:pPr>
            <w:r w:rsidRPr="00E73D1F">
              <w:t>2.</w:t>
            </w:r>
          </w:p>
        </w:tc>
        <w:tc>
          <w:tcPr>
            <w:tcW w:w="1565" w:type="pct"/>
          </w:tcPr>
          <w:p w14:paraId="1B17EAA3" w14:textId="77777777" w:rsidR="009A7EE9" w:rsidRPr="00E73D1F" w:rsidRDefault="009A7EE9" w:rsidP="008E3CF9">
            <w:pPr>
              <w:pStyle w:val="naiskr"/>
              <w:tabs>
                <w:tab w:val="left" w:pos="170"/>
              </w:tabs>
              <w:spacing w:before="0" w:beforeAutospacing="0" w:after="0" w:afterAutospacing="0"/>
              <w:ind w:left="57" w:right="57"/>
            </w:pPr>
            <w:r w:rsidRPr="00E73D1F">
              <w:t>Pašreizējā situācija un problēmas, kuru risināšanai tiesību akta projekts izstrādāts, tiesiskā regulējuma mērķis un būtība</w:t>
            </w:r>
          </w:p>
        </w:tc>
        <w:tc>
          <w:tcPr>
            <w:tcW w:w="3208" w:type="pct"/>
          </w:tcPr>
          <w:p w14:paraId="7F9141DB" w14:textId="3612FE4F" w:rsidR="00802F46" w:rsidRPr="00E73D1F" w:rsidRDefault="00802F46" w:rsidP="00802F46">
            <w:pPr>
              <w:autoSpaceDE w:val="0"/>
              <w:autoSpaceDN w:val="0"/>
              <w:adjustRightInd w:val="0"/>
              <w:spacing w:before="120" w:after="120"/>
              <w:ind w:left="102" w:right="130"/>
              <w:jc w:val="both"/>
              <w:rPr>
                <w:rFonts w:eastAsiaTheme="minorHAnsi"/>
                <w:lang w:eastAsia="en-US"/>
              </w:rPr>
            </w:pPr>
            <w:r w:rsidRPr="00E73D1F">
              <w:rPr>
                <w:rFonts w:eastAsiaTheme="minorHAnsi"/>
                <w:lang w:eastAsia="en-US"/>
              </w:rPr>
              <w:t xml:space="preserve">Ministru kabinets 2018.gada </w:t>
            </w:r>
            <w:r w:rsidR="00823362">
              <w:rPr>
                <w:rFonts w:eastAsiaTheme="minorHAnsi"/>
                <w:lang w:eastAsia="en-US"/>
              </w:rPr>
              <w:t>6</w:t>
            </w:r>
            <w:r w:rsidRPr="00E73D1F">
              <w:rPr>
                <w:rFonts w:eastAsiaTheme="minorHAnsi"/>
                <w:lang w:eastAsia="en-US"/>
              </w:rPr>
              <w:t>.martā, izskatot informatīvo ziņojumu “Par papildu pasākumiem finanšu sektora noziedzīgi iegūtu līdzekļu legalizācijas un terorisma finansēšanas novēršanas atbilstības līmeņa nodrošināšanai”</w:t>
            </w:r>
            <w:r w:rsidR="00823362">
              <w:rPr>
                <w:rFonts w:eastAsiaTheme="minorHAnsi"/>
                <w:lang w:eastAsia="en-US"/>
              </w:rPr>
              <w:t xml:space="preserve"> (prot. Nr.14. 53.§)</w:t>
            </w:r>
            <w:r w:rsidRPr="00E73D1F">
              <w:rPr>
                <w:rFonts w:eastAsiaTheme="minorHAnsi"/>
                <w:lang w:eastAsia="en-US"/>
              </w:rPr>
              <w:t xml:space="preserve">, atbalstīja papildu neatkarīgu </w:t>
            </w:r>
            <w:proofErr w:type="spellStart"/>
            <w:r w:rsidRPr="00E73D1F">
              <w:rPr>
                <w:rFonts w:eastAsiaTheme="minorHAnsi"/>
                <w:lang w:eastAsia="en-US"/>
              </w:rPr>
              <w:t>izvērtējuma</w:t>
            </w:r>
            <w:proofErr w:type="spellEnd"/>
            <w:r w:rsidRPr="00E73D1F">
              <w:rPr>
                <w:rFonts w:eastAsiaTheme="minorHAnsi"/>
                <w:lang w:eastAsia="en-US"/>
              </w:rPr>
              <w:t xml:space="preserve"> veikšanu par uzraudzības un kontroles mehānismu efektivitāti noziedzīgi iegūtu līdzekļu un terorisma finansēšanas novēršanā, sankciju ievērošanas kontrolē un korupcijas novēršanā banku sektorā Latvijā, lai cita starpā, pārliecinātos:</w:t>
            </w:r>
          </w:p>
          <w:p w14:paraId="02987C2D" w14:textId="77777777" w:rsidR="00802F46" w:rsidRPr="00E73D1F" w:rsidRDefault="00802F46" w:rsidP="00802F46">
            <w:pPr>
              <w:autoSpaceDE w:val="0"/>
              <w:autoSpaceDN w:val="0"/>
              <w:adjustRightInd w:val="0"/>
              <w:spacing w:before="120" w:after="120"/>
              <w:ind w:left="102" w:right="130"/>
              <w:jc w:val="both"/>
              <w:rPr>
                <w:rFonts w:eastAsiaTheme="minorHAnsi"/>
                <w:lang w:eastAsia="en-US"/>
              </w:rPr>
            </w:pPr>
            <w:r w:rsidRPr="00E73D1F">
              <w:rPr>
                <w:rFonts w:eastAsiaTheme="minorHAnsi"/>
                <w:lang w:eastAsia="en-US"/>
              </w:rPr>
              <w:t>1)</w:t>
            </w:r>
            <w:r w:rsidRPr="00E73D1F">
              <w:rPr>
                <w:rFonts w:eastAsiaTheme="minorHAnsi"/>
                <w:lang w:eastAsia="en-US"/>
              </w:rPr>
              <w:tab/>
              <w:t>par FKTK 2016.-2017.gadā veikto administratīvo lietu par Noziedzīgi iegūtu līdzekļu legalizācijas un terorisma finansēšanas novēršanas likuma pārkāpumiem (tai skaitā, starptautisko sankciju pārkāpumiem) ietvaros piemēroto sankciju samērīgumu ar konstatētajiem pārkāpumiem;</w:t>
            </w:r>
          </w:p>
          <w:p w14:paraId="2EE08983" w14:textId="77777777" w:rsidR="00802F46" w:rsidRPr="00E73D1F" w:rsidRDefault="00802F46" w:rsidP="00802F46">
            <w:pPr>
              <w:autoSpaceDE w:val="0"/>
              <w:autoSpaceDN w:val="0"/>
              <w:adjustRightInd w:val="0"/>
              <w:spacing w:before="120" w:after="120"/>
              <w:ind w:left="102" w:right="130"/>
              <w:jc w:val="both"/>
              <w:rPr>
                <w:rFonts w:eastAsiaTheme="minorHAnsi"/>
                <w:lang w:eastAsia="en-US"/>
              </w:rPr>
            </w:pPr>
            <w:r w:rsidRPr="00E73D1F">
              <w:rPr>
                <w:rFonts w:eastAsiaTheme="minorHAnsi"/>
                <w:lang w:eastAsia="en-US"/>
              </w:rPr>
              <w:t>2)</w:t>
            </w:r>
            <w:r w:rsidRPr="00E73D1F">
              <w:rPr>
                <w:rFonts w:eastAsiaTheme="minorHAnsi"/>
                <w:lang w:eastAsia="en-US"/>
              </w:rPr>
              <w:tab/>
              <w:t>par Kontroles dienesta Noziedzīgi iegūtu līdzekļu legalizācijas un terorisma finansēšanas novēršanas likumā noteikto funkciju izpildes efektivitāti, pēc iespējas nodalot pārbaudes tvērumu no MONEYVAL 5.kārtas novērtējuma.</w:t>
            </w:r>
          </w:p>
          <w:p w14:paraId="77084526" w14:textId="11B2FAF6" w:rsidR="00802F46" w:rsidRPr="00E73D1F" w:rsidRDefault="00802F46" w:rsidP="00802F46">
            <w:pPr>
              <w:autoSpaceDE w:val="0"/>
              <w:autoSpaceDN w:val="0"/>
              <w:adjustRightInd w:val="0"/>
              <w:spacing w:before="120" w:after="120"/>
              <w:ind w:left="102" w:right="130"/>
              <w:jc w:val="both"/>
              <w:rPr>
                <w:rFonts w:eastAsiaTheme="minorHAnsi"/>
                <w:lang w:eastAsia="en-US"/>
              </w:rPr>
            </w:pPr>
            <w:r w:rsidRPr="00E73D1F">
              <w:rPr>
                <w:rFonts w:eastAsiaTheme="minorHAnsi"/>
                <w:lang w:eastAsia="en-US"/>
              </w:rPr>
              <w:t xml:space="preserve">Ministru kabinets atbalstīja sarunu uzsākšanu ar starptautiskajām organizācijām (OECD, Starptautisko Valūtas fondu, Pasaules banku), nepieciešamības gadījumā, piesaistot citu starptautisko organizāciju vai dalībvalstu ekspertus, lai veiktu FKTK un Kontroles dienesta noziedzīgi iegūtu līdzekļu legalizācijas un terorisma finansēšanas novēršanas sistēmas darbības efektivitātes un </w:t>
            </w:r>
            <w:r w:rsidRPr="00E73D1F">
              <w:rPr>
                <w:rFonts w:eastAsiaTheme="minorHAnsi"/>
                <w:lang w:eastAsia="en-US"/>
              </w:rPr>
              <w:lastRenderedPageBreak/>
              <w:t xml:space="preserve">proporcionalitātes </w:t>
            </w:r>
            <w:proofErr w:type="spellStart"/>
            <w:r w:rsidRPr="00E73D1F">
              <w:rPr>
                <w:rFonts w:eastAsiaTheme="minorHAnsi"/>
                <w:lang w:eastAsia="en-US"/>
              </w:rPr>
              <w:t>izvērtējumu</w:t>
            </w:r>
            <w:proofErr w:type="spellEnd"/>
            <w:r w:rsidRPr="00E73D1F">
              <w:rPr>
                <w:rFonts w:eastAsiaTheme="minorHAnsi"/>
                <w:lang w:eastAsia="en-US"/>
              </w:rPr>
              <w:t>, un par sarunu rezultātiem informēt Ministru kabinetu un Saeimas Budžeta un finanšu (nodokļu) komiteju.</w:t>
            </w:r>
          </w:p>
          <w:p w14:paraId="1351BC7E" w14:textId="1A52762D" w:rsidR="00802F46" w:rsidRPr="00E73D1F" w:rsidRDefault="00802F46" w:rsidP="00802F46">
            <w:pPr>
              <w:autoSpaceDE w:val="0"/>
              <w:autoSpaceDN w:val="0"/>
              <w:adjustRightInd w:val="0"/>
              <w:spacing w:before="120" w:after="120"/>
              <w:ind w:left="102" w:right="130"/>
              <w:jc w:val="both"/>
              <w:rPr>
                <w:rFonts w:eastAsiaTheme="minorHAnsi"/>
                <w:lang w:eastAsia="en-US"/>
              </w:rPr>
            </w:pPr>
            <w:r w:rsidRPr="00E73D1F">
              <w:rPr>
                <w:rFonts w:eastAsiaTheme="minorHAnsi"/>
                <w:lang w:eastAsia="en-US"/>
              </w:rPr>
              <w:t xml:space="preserve">Atbilstoši Ministru kabineta uzdevumam Finanšu ministrija sadarbībā ar Tieslietu ministriju un Ārlietu ministriju ir noturējusi sarunas ar OECD par iespējamas papildu pārbaudes veikšanu FKTK un Kontroles dienestā. Iepazīstoties ar Latvijas puses iesniegto informāciju par Ministru kabineta lēmumu par šādu papildus pārbaudi un tās iespējamos tvērumu, OECD ir konceptuāli piekritis šādas papildus pārbaudes veikšanai un šobrīd norit tehniskas sarunas par papildu pārbaudes tvērumu. Pēc sākotnējām sarunām ar OECD, lai nedublētu līdz šim veiktos </w:t>
            </w:r>
            <w:proofErr w:type="spellStart"/>
            <w:r w:rsidRPr="00E73D1F">
              <w:rPr>
                <w:rFonts w:eastAsiaTheme="minorHAnsi"/>
                <w:lang w:eastAsia="en-US"/>
              </w:rPr>
              <w:t>izvērtējumus</w:t>
            </w:r>
            <w:proofErr w:type="spellEnd"/>
            <w:r w:rsidRPr="00E73D1F">
              <w:rPr>
                <w:rFonts w:eastAsiaTheme="minorHAnsi"/>
                <w:lang w:eastAsia="en-US"/>
              </w:rPr>
              <w:t xml:space="preserve"> par  noziedzīgi iegūtu līdzekļu legalizācijas un terorisma finansēšanas novēršanas sistēmas efektivitāti un tehnisko atbilstību, MONEYVAL 5.kārtas novērtēšanas ziņojums ar tajā iekļautajām rekomendācijām varētu būt labs pamats tālāka </w:t>
            </w:r>
            <w:proofErr w:type="spellStart"/>
            <w:r w:rsidRPr="00E73D1F">
              <w:rPr>
                <w:rFonts w:eastAsiaTheme="minorHAnsi"/>
                <w:lang w:eastAsia="en-US"/>
              </w:rPr>
              <w:t>izvērtējuma</w:t>
            </w:r>
            <w:proofErr w:type="spellEnd"/>
            <w:r w:rsidRPr="00E73D1F">
              <w:rPr>
                <w:rFonts w:eastAsiaTheme="minorHAnsi"/>
                <w:lang w:eastAsia="en-US"/>
              </w:rPr>
              <w:t xml:space="preserve"> veikšanai jomās, kuras Latvija izvirza kā prioritāras. Šobrīd norit darbs pie prioritāšu noteikšanas tālāka </w:t>
            </w:r>
            <w:proofErr w:type="spellStart"/>
            <w:r w:rsidRPr="00E73D1F">
              <w:rPr>
                <w:rFonts w:eastAsiaTheme="minorHAnsi"/>
                <w:lang w:eastAsia="en-US"/>
              </w:rPr>
              <w:t>izvērtējuma</w:t>
            </w:r>
            <w:proofErr w:type="spellEnd"/>
            <w:r w:rsidRPr="00E73D1F">
              <w:rPr>
                <w:rFonts w:eastAsiaTheme="minorHAnsi"/>
                <w:lang w:eastAsia="en-US"/>
              </w:rPr>
              <w:t xml:space="preserve"> veikšanai. </w:t>
            </w:r>
          </w:p>
          <w:p w14:paraId="41B8E0A6" w14:textId="7874F664" w:rsidR="00802F46" w:rsidRPr="00E73D1F" w:rsidRDefault="00D16BB6" w:rsidP="00802F46">
            <w:pPr>
              <w:autoSpaceDE w:val="0"/>
              <w:autoSpaceDN w:val="0"/>
              <w:adjustRightInd w:val="0"/>
              <w:spacing w:before="120" w:after="120"/>
              <w:ind w:left="102" w:right="130"/>
              <w:jc w:val="both"/>
              <w:rPr>
                <w:rFonts w:eastAsiaTheme="minorHAnsi"/>
                <w:lang w:eastAsia="en-US"/>
              </w:rPr>
            </w:pPr>
            <w:r w:rsidRPr="00E73D1F">
              <w:rPr>
                <w:rFonts w:eastAsiaTheme="minorHAnsi"/>
                <w:lang w:eastAsia="en-US"/>
              </w:rPr>
              <w:t xml:space="preserve">Ministru kabinets </w:t>
            </w:r>
            <w:r w:rsidR="00802F46" w:rsidRPr="00E73D1F">
              <w:rPr>
                <w:rFonts w:eastAsiaTheme="minorHAnsi"/>
                <w:lang w:eastAsia="en-US"/>
              </w:rPr>
              <w:t>2018.gad</w:t>
            </w:r>
            <w:r>
              <w:rPr>
                <w:rFonts w:eastAsiaTheme="minorHAnsi"/>
                <w:lang w:eastAsia="en-US"/>
              </w:rPr>
              <w:t>a 5.jūnij</w:t>
            </w:r>
            <w:r w:rsidR="00802F46" w:rsidRPr="00E73D1F">
              <w:rPr>
                <w:rFonts w:eastAsiaTheme="minorHAnsi"/>
                <w:lang w:eastAsia="en-US"/>
              </w:rPr>
              <w:t>ā, izskatot Finanšu ministrijas iesniegto informatīvo ziņojumu “Par papildu pasākumu finanšu sektora noziedzīgi iegūtu līdzekļu legalizācijas un terorisma finansēšanas novēršanas atbilstības līmeņa paaugstināšanai noteikto pasākumu ieviešanas gaitu”</w:t>
            </w:r>
            <w:r>
              <w:rPr>
                <w:rFonts w:eastAsiaTheme="minorHAnsi"/>
                <w:lang w:eastAsia="en-US"/>
              </w:rPr>
              <w:t xml:space="preserve"> (prot. Nr.27 40.§)</w:t>
            </w:r>
            <w:r w:rsidR="00802F46" w:rsidRPr="00E73D1F">
              <w:rPr>
                <w:rFonts w:eastAsiaTheme="minorHAnsi"/>
                <w:lang w:eastAsia="en-US"/>
              </w:rPr>
              <w:t>, nolēma turpināt sarunas ar OECD par papildu pārbaudes tvērumu un atbalstīt to, ka papildu pārbaudes tiek veiktas, balstoties uz  MONEYVAL 5.kārtas novērtēšanas ziņojumu un tā ietvaros izteiktajām rekomendācijām. Finanšu ministrijai par sarunu rezultātiem informēt Finanšu sektora attīstības padomi.</w:t>
            </w:r>
          </w:p>
          <w:p w14:paraId="6C8F26F4" w14:textId="3A1D4494" w:rsidR="00E73D1F" w:rsidRDefault="00802F46" w:rsidP="00802F46">
            <w:pPr>
              <w:autoSpaceDE w:val="0"/>
              <w:autoSpaceDN w:val="0"/>
              <w:adjustRightInd w:val="0"/>
              <w:spacing w:before="120" w:after="120"/>
              <w:ind w:left="102" w:right="130"/>
              <w:jc w:val="both"/>
              <w:rPr>
                <w:rFonts w:eastAsiaTheme="minorHAnsi"/>
                <w:lang w:eastAsia="en-US"/>
              </w:rPr>
            </w:pPr>
            <w:r w:rsidRPr="00E73D1F">
              <w:rPr>
                <w:rFonts w:eastAsiaTheme="minorHAnsi"/>
                <w:lang w:eastAsia="en-US"/>
              </w:rPr>
              <w:t xml:space="preserve">Ir sagatavots sākotnējais papildus pārbaudes darba uzdevuma projekts un OECD eksperti plāno ierasties Rīgā </w:t>
            </w:r>
            <w:r w:rsidR="00281877">
              <w:rPr>
                <w:rFonts w:eastAsiaTheme="minorHAnsi"/>
                <w:lang w:eastAsia="en-US"/>
              </w:rPr>
              <w:t xml:space="preserve">2018.gada </w:t>
            </w:r>
            <w:r w:rsidR="00281877" w:rsidRPr="00E73D1F">
              <w:rPr>
                <w:rFonts w:eastAsiaTheme="minorHAnsi"/>
                <w:lang w:eastAsia="en-US"/>
              </w:rPr>
              <w:t xml:space="preserve"> </w:t>
            </w:r>
            <w:r w:rsidRPr="00E73D1F">
              <w:rPr>
                <w:rFonts w:eastAsiaTheme="minorHAnsi"/>
                <w:lang w:eastAsia="en-US"/>
              </w:rPr>
              <w:t xml:space="preserve">9.-11.jūlijā, lai klātienē, tiekoties ar atbildīgo iestāžu pārstāvjiem, vienotos par papildus pārbaudes darba uzdevumu. </w:t>
            </w:r>
          </w:p>
          <w:p w14:paraId="4AD65900" w14:textId="77777777" w:rsidR="00E73D1F" w:rsidRDefault="00802F46" w:rsidP="00E73D1F">
            <w:pPr>
              <w:autoSpaceDE w:val="0"/>
              <w:autoSpaceDN w:val="0"/>
              <w:adjustRightInd w:val="0"/>
              <w:spacing w:before="120" w:after="120"/>
              <w:ind w:left="102" w:right="130"/>
              <w:jc w:val="both"/>
              <w:rPr>
                <w:rFonts w:eastAsiaTheme="minorHAnsi"/>
                <w:lang w:eastAsia="en-US"/>
              </w:rPr>
            </w:pPr>
            <w:r w:rsidRPr="00E73D1F">
              <w:rPr>
                <w:rFonts w:eastAsiaTheme="minorHAnsi"/>
                <w:lang w:eastAsia="en-US"/>
              </w:rPr>
              <w:t>OECD eksperti ir lūguši apmaksāt ceļa</w:t>
            </w:r>
            <w:r w:rsidR="00E73D1F">
              <w:rPr>
                <w:rFonts w:eastAsiaTheme="minorHAnsi"/>
                <w:lang w:eastAsia="en-US"/>
              </w:rPr>
              <w:t xml:space="preserve"> (Parīze-Rīga-Parīze avio biļetes)</w:t>
            </w:r>
            <w:r w:rsidRPr="00E73D1F">
              <w:rPr>
                <w:rFonts w:eastAsiaTheme="minorHAnsi"/>
                <w:lang w:eastAsia="en-US"/>
              </w:rPr>
              <w:t xml:space="preserve"> un viesnīcas izdevumus.</w:t>
            </w:r>
          </w:p>
          <w:p w14:paraId="1C21204E" w14:textId="77777777" w:rsidR="00E73D1F" w:rsidRDefault="00802F46" w:rsidP="00E73D1F">
            <w:pPr>
              <w:autoSpaceDE w:val="0"/>
              <w:autoSpaceDN w:val="0"/>
              <w:adjustRightInd w:val="0"/>
              <w:spacing w:before="120" w:after="120"/>
              <w:ind w:left="102" w:right="130"/>
              <w:jc w:val="both"/>
            </w:pPr>
            <w:r w:rsidRPr="00E73D1F">
              <w:rPr>
                <w:rFonts w:eastAsiaTheme="minorHAnsi"/>
                <w:lang w:eastAsia="en-US"/>
              </w:rPr>
              <w:t>Ceļa un viesnīcas izdevum</w:t>
            </w:r>
            <w:r w:rsidR="00E73D1F">
              <w:rPr>
                <w:rFonts w:eastAsiaTheme="minorHAnsi"/>
                <w:lang w:eastAsia="en-US"/>
              </w:rPr>
              <w:t>iem</w:t>
            </w:r>
            <w:r w:rsidRPr="00E73D1F">
              <w:rPr>
                <w:rFonts w:eastAsiaTheme="minorHAnsi"/>
                <w:lang w:eastAsia="en-US"/>
              </w:rPr>
              <w:t xml:space="preserve"> nepieciešamo finansējumu (ne vairāk ka</w:t>
            </w:r>
            <w:r w:rsidR="00A55271" w:rsidRPr="00E73D1F">
              <w:rPr>
                <w:rFonts w:eastAsiaTheme="minorHAnsi"/>
                <w:lang w:eastAsia="en-US"/>
              </w:rPr>
              <w:t xml:space="preserve"> </w:t>
            </w:r>
            <w:r w:rsidRPr="00E73D1F">
              <w:rPr>
                <w:rFonts w:eastAsiaTheme="minorHAnsi"/>
                <w:lang w:eastAsia="en-US"/>
              </w:rPr>
              <w:t>3</w:t>
            </w:r>
            <w:r w:rsidR="00A55271" w:rsidRPr="00E73D1F">
              <w:rPr>
                <w:rFonts w:eastAsiaTheme="minorHAnsi"/>
                <w:lang w:eastAsia="en-US"/>
              </w:rPr>
              <w:t> </w:t>
            </w:r>
            <w:r w:rsidRPr="00E73D1F">
              <w:rPr>
                <w:rFonts w:eastAsiaTheme="minorHAnsi"/>
                <w:lang w:eastAsia="en-US"/>
              </w:rPr>
              <w:t>815</w:t>
            </w:r>
            <w:r w:rsidR="00A55271" w:rsidRPr="00E73D1F">
              <w:rPr>
                <w:rFonts w:eastAsiaTheme="minorHAnsi"/>
                <w:lang w:eastAsia="en-US"/>
              </w:rPr>
              <w:t> </w:t>
            </w:r>
            <w:proofErr w:type="spellStart"/>
            <w:r w:rsidR="00A55271" w:rsidRPr="00E73D1F">
              <w:rPr>
                <w:rFonts w:eastAsiaTheme="minorHAnsi"/>
                <w:i/>
                <w:lang w:eastAsia="en-US"/>
              </w:rPr>
              <w:t>euro</w:t>
            </w:r>
            <w:proofErr w:type="spellEnd"/>
            <w:r w:rsidRPr="00E73D1F">
              <w:rPr>
                <w:rFonts w:eastAsiaTheme="minorHAnsi"/>
                <w:i/>
                <w:lang w:eastAsia="en-US"/>
              </w:rPr>
              <w:t>)</w:t>
            </w:r>
            <w:r w:rsidR="00156E18" w:rsidRPr="00E73D1F">
              <w:rPr>
                <w:rFonts w:eastAsiaTheme="minorHAnsi"/>
                <w:lang w:eastAsia="en-US"/>
              </w:rPr>
              <w:t xml:space="preserve"> paredzēts pārdalīt </w:t>
            </w:r>
            <w:r w:rsidRPr="00E73D1F">
              <w:rPr>
                <w:rFonts w:eastAsiaTheme="minorHAnsi"/>
                <w:lang w:eastAsia="en-US"/>
              </w:rPr>
              <w:t>no</w:t>
            </w:r>
            <w:r w:rsidR="00156E18" w:rsidRPr="00E73D1F">
              <w:rPr>
                <w:rFonts w:eastAsiaTheme="minorHAnsi"/>
                <w:lang w:eastAsia="en-US"/>
              </w:rPr>
              <w:t xml:space="preserve"> </w:t>
            </w:r>
            <w:r w:rsidR="00BD7B24" w:rsidRPr="00E73D1F">
              <w:t xml:space="preserve">budžeta resora </w:t>
            </w:r>
            <w:r w:rsidR="00156E18" w:rsidRPr="00E73D1F">
              <w:t>“</w:t>
            </w:r>
            <w:r w:rsidR="00BD7B24" w:rsidRPr="00E73D1F">
              <w:t>74.</w:t>
            </w:r>
            <w:r w:rsidR="00156E18" w:rsidRPr="00E73D1F">
              <w:t>Gadskārtējā valsts budžeta izpildes procesā pārdalāmais finansējums” programm</w:t>
            </w:r>
            <w:r w:rsidR="00E73D1F">
              <w:t>as</w:t>
            </w:r>
            <w:r w:rsidR="00156E18" w:rsidRPr="00E73D1F">
              <w:t xml:space="preserve"> 02.00.00 “Līdzekļi neparedzētiem gadījumiem”</w:t>
            </w:r>
            <w:r w:rsidR="00E73D1F">
              <w:t>.</w:t>
            </w:r>
          </w:p>
          <w:p w14:paraId="3DE118DE" w14:textId="77777777" w:rsidR="005B23E4" w:rsidRDefault="005B23E4" w:rsidP="00E73D1F">
            <w:pPr>
              <w:autoSpaceDE w:val="0"/>
              <w:autoSpaceDN w:val="0"/>
              <w:adjustRightInd w:val="0"/>
              <w:spacing w:before="120" w:after="120"/>
              <w:ind w:left="102" w:right="130"/>
              <w:jc w:val="both"/>
              <w:rPr>
                <w:rFonts w:eastAsiaTheme="minorHAnsi"/>
                <w:lang w:eastAsia="en-US"/>
              </w:rPr>
            </w:pPr>
            <w:r>
              <w:t>Ministru kabineta pieņemtais lēmums būs pamats līguma slēgšanai ar ekspertiem par izdevumu segšanu un saistību uzņemšanos.</w:t>
            </w:r>
          </w:p>
          <w:p w14:paraId="7ECB5676" w14:textId="0FDCAB20" w:rsidR="00261740" w:rsidRPr="00E73D1F" w:rsidRDefault="00E73D1F">
            <w:pPr>
              <w:autoSpaceDE w:val="0"/>
              <w:autoSpaceDN w:val="0"/>
              <w:adjustRightInd w:val="0"/>
              <w:spacing w:before="120" w:after="120"/>
              <w:ind w:left="102" w:right="130"/>
              <w:jc w:val="both"/>
              <w:rPr>
                <w:bCs/>
              </w:rPr>
            </w:pPr>
            <w:r w:rsidRPr="00E73D1F">
              <w:rPr>
                <w:rFonts w:eastAsiaTheme="minorHAnsi"/>
                <w:lang w:eastAsia="en-US"/>
              </w:rPr>
              <w:lastRenderedPageBreak/>
              <w:t>Par nepieciešamo finansējumu projekta tālākai īstenošanai, Finanšu ministrija informēs Ministru kabinetu pēc tam, kad būs noslēgušās sarunas par kopējo projektu.</w:t>
            </w:r>
          </w:p>
        </w:tc>
      </w:tr>
      <w:tr w:rsidR="009A7EE9" w:rsidRPr="00E73D1F" w14:paraId="0A557BCE" w14:textId="77777777" w:rsidTr="008E3CF9">
        <w:trPr>
          <w:trHeight w:val="476"/>
          <w:jc w:val="center"/>
        </w:trPr>
        <w:tc>
          <w:tcPr>
            <w:tcW w:w="227" w:type="pct"/>
          </w:tcPr>
          <w:p w14:paraId="56234203" w14:textId="77777777" w:rsidR="009A7EE9" w:rsidRPr="00E73D1F" w:rsidRDefault="009A7EE9" w:rsidP="008E3CF9">
            <w:pPr>
              <w:pStyle w:val="naiskr"/>
              <w:spacing w:before="0" w:beforeAutospacing="0" w:after="0" w:afterAutospacing="0"/>
              <w:ind w:left="57" w:right="57"/>
              <w:jc w:val="center"/>
            </w:pPr>
            <w:r w:rsidRPr="00E73D1F">
              <w:lastRenderedPageBreak/>
              <w:t>3.</w:t>
            </w:r>
          </w:p>
        </w:tc>
        <w:tc>
          <w:tcPr>
            <w:tcW w:w="1565" w:type="pct"/>
          </w:tcPr>
          <w:p w14:paraId="21A860EE" w14:textId="77777777" w:rsidR="009A7EE9" w:rsidRPr="00E73D1F" w:rsidRDefault="00C9099D" w:rsidP="008E3CF9">
            <w:pPr>
              <w:pStyle w:val="naiskr"/>
              <w:spacing w:before="0" w:beforeAutospacing="0" w:after="0" w:afterAutospacing="0"/>
              <w:ind w:left="57" w:right="57"/>
            </w:pPr>
            <w:r w:rsidRPr="00E73D1F">
              <w:t>Projekta izstrādē iesaistītās institūcijas un publiskas personas kapitālsabiedrības</w:t>
            </w:r>
          </w:p>
        </w:tc>
        <w:tc>
          <w:tcPr>
            <w:tcW w:w="3208" w:type="pct"/>
          </w:tcPr>
          <w:p w14:paraId="539B5D41" w14:textId="77777777" w:rsidR="009A7EE9" w:rsidRPr="00E73D1F" w:rsidRDefault="007C74EE" w:rsidP="008E3CF9">
            <w:pPr>
              <w:pStyle w:val="naiskr"/>
              <w:spacing w:before="0" w:beforeAutospacing="0" w:after="0" w:afterAutospacing="0"/>
              <w:ind w:left="57" w:right="57"/>
            </w:pPr>
            <w:r w:rsidRPr="00E73D1F">
              <w:t>Finanšu ministrija</w:t>
            </w:r>
            <w:r w:rsidR="00281877">
              <w:t>.</w:t>
            </w:r>
          </w:p>
        </w:tc>
      </w:tr>
      <w:tr w:rsidR="009A7EE9" w:rsidRPr="00E73D1F" w14:paraId="05A9CB2A" w14:textId="77777777" w:rsidTr="008E3CF9">
        <w:trPr>
          <w:jc w:val="center"/>
        </w:trPr>
        <w:tc>
          <w:tcPr>
            <w:tcW w:w="227" w:type="pct"/>
          </w:tcPr>
          <w:p w14:paraId="0C7B449D" w14:textId="77777777" w:rsidR="009A7EE9" w:rsidRPr="00E73D1F" w:rsidRDefault="009A7EE9" w:rsidP="008E3CF9">
            <w:pPr>
              <w:pStyle w:val="naiskr"/>
              <w:spacing w:before="0" w:beforeAutospacing="0" w:after="0" w:afterAutospacing="0"/>
              <w:ind w:left="57" w:right="57"/>
              <w:jc w:val="center"/>
            </w:pPr>
            <w:r w:rsidRPr="00E73D1F">
              <w:t>4.</w:t>
            </w:r>
          </w:p>
        </w:tc>
        <w:tc>
          <w:tcPr>
            <w:tcW w:w="1565" w:type="pct"/>
          </w:tcPr>
          <w:p w14:paraId="7003E60B" w14:textId="77777777" w:rsidR="009A7EE9" w:rsidRPr="00E73D1F" w:rsidRDefault="009A7EE9" w:rsidP="008E3CF9">
            <w:pPr>
              <w:pStyle w:val="naiskr"/>
              <w:spacing w:before="0" w:beforeAutospacing="0" w:after="0" w:afterAutospacing="0"/>
              <w:ind w:left="57" w:right="57"/>
            </w:pPr>
            <w:r w:rsidRPr="00E73D1F">
              <w:t>Cita informācija</w:t>
            </w:r>
          </w:p>
        </w:tc>
        <w:tc>
          <w:tcPr>
            <w:tcW w:w="3208" w:type="pct"/>
          </w:tcPr>
          <w:p w14:paraId="609D17E0" w14:textId="77777777" w:rsidR="009A7EE9" w:rsidRPr="00E73D1F" w:rsidRDefault="000818D2" w:rsidP="008E3CF9">
            <w:pPr>
              <w:pStyle w:val="naiskr"/>
              <w:spacing w:before="0" w:beforeAutospacing="0" w:after="0" w:afterAutospacing="0"/>
              <w:ind w:left="57" w:right="57"/>
            </w:pPr>
            <w:r w:rsidRPr="00E73D1F">
              <w:t>Nav</w:t>
            </w:r>
            <w:r w:rsidR="00281877">
              <w:t>.</w:t>
            </w:r>
          </w:p>
        </w:tc>
      </w:tr>
    </w:tbl>
    <w:p w14:paraId="5DE3B51E" w14:textId="77777777" w:rsidR="004D10DA" w:rsidRPr="00E73D1F" w:rsidRDefault="004D10DA" w:rsidP="004D10DA">
      <w:pPr>
        <w:pStyle w:val="naisf"/>
        <w:spacing w:before="0" w:beforeAutospacing="0" w:after="0" w:afterAutospacing="0"/>
        <w:rPr>
          <w:color w:val="000000"/>
        </w:rPr>
      </w:pP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99"/>
      </w:tblGrid>
      <w:tr w:rsidR="004D10DA" w:rsidRPr="00E73D1F" w14:paraId="625AC00E" w14:textId="77777777" w:rsidTr="008E3CF9">
        <w:trPr>
          <w:jc w:val="center"/>
        </w:trPr>
        <w:tc>
          <w:tcPr>
            <w:tcW w:w="9214" w:type="dxa"/>
            <w:vAlign w:val="center"/>
          </w:tcPr>
          <w:p w14:paraId="03A815D8" w14:textId="77777777" w:rsidR="004D10DA" w:rsidRPr="00E73D1F" w:rsidRDefault="004D10DA" w:rsidP="008E3CF9">
            <w:pPr>
              <w:pStyle w:val="naisnod"/>
              <w:spacing w:before="0" w:beforeAutospacing="0" w:after="0" w:afterAutospacing="0"/>
              <w:jc w:val="center"/>
              <w:rPr>
                <w:b/>
                <w:color w:val="000000"/>
              </w:rPr>
            </w:pPr>
            <w:r w:rsidRPr="00E73D1F">
              <w:rPr>
                <w:b/>
                <w:color w:val="000000"/>
              </w:rPr>
              <w:t>II. Tiesību akta projekta ietekme uz sabiedrību, tautsaimniecības attīstību un administratīvo slogu</w:t>
            </w:r>
          </w:p>
        </w:tc>
      </w:tr>
      <w:tr w:rsidR="004D10DA" w:rsidRPr="00E73D1F" w14:paraId="23D819C0" w14:textId="77777777" w:rsidTr="008E3CF9">
        <w:trPr>
          <w:jc w:val="center"/>
        </w:trPr>
        <w:tc>
          <w:tcPr>
            <w:tcW w:w="9214" w:type="dxa"/>
            <w:vAlign w:val="center"/>
          </w:tcPr>
          <w:p w14:paraId="4E86C8F4" w14:textId="77777777" w:rsidR="004D10DA" w:rsidRPr="00E73D1F" w:rsidRDefault="004D10DA" w:rsidP="008E3CF9">
            <w:pPr>
              <w:pStyle w:val="naisnod"/>
              <w:spacing w:before="0" w:after="0"/>
              <w:jc w:val="center"/>
              <w:rPr>
                <w:color w:val="000000"/>
              </w:rPr>
            </w:pPr>
            <w:r w:rsidRPr="00E73D1F">
              <w:rPr>
                <w:rFonts w:eastAsia="EUAlbertina_Bold"/>
                <w:color w:val="000000"/>
              </w:rPr>
              <w:t>Projekts šo jomu neskar</w:t>
            </w:r>
          </w:p>
        </w:tc>
      </w:tr>
    </w:tbl>
    <w:p w14:paraId="34609DD0" w14:textId="77777777" w:rsidR="004D10DA" w:rsidRDefault="004D10DA" w:rsidP="004D10DA"/>
    <w:tbl>
      <w:tblPr>
        <w:tblW w:w="5227" w:type="pct"/>
        <w:tblCellSpacing w:w="15" w:type="dxa"/>
        <w:tblInd w:w="-150" w:type="dxa"/>
        <w:tblBorders>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630"/>
        <w:gridCol w:w="1009"/>
        <w:gridCol w:w="1069"/>
        <w:gridCol w:w="857"/>
        <w:gridCol w:w="1071"/>
        <w:gridCol w:w="857"/>
        <w:gridCol w:w="1071"/>
        <w:gridCol w:w="1919"/>
      </w:tblGrid>
      <w:tr w:rsidR="00741E83" w:rsidRPr="00C261EC" w14:paraId="172113AC" w14:textId="77777777" w:rsidTr="00741E83">
        <w:trPr>
          <w:tblCellSpacing w:w="15" w:type="dxa"/>
        </w:trPr>
        <w:tc>
          <w:tcPr>
            <w:tcW w:w="4968" w:type="pct"/>
            <w:gridSpan w:val="8"/>
            <w:vAlign w:val="center"/>
            <w:hideMark/>
          </w:tcPr>
          <w:p w14:paraId="7992FDD7" w14:textId="77777777" w:rsidR="00741E83" w:rsidRPr="00C261EC" w:rsidRDefault="00741E83" w:rsidP="00E74FEF">
            <w:pPr>
              <w:ind w:firstLine="300"/>
              <w:jc w:val="center"/>
              <w:rPr>
                <w:b/>
                <w:bCs/>
              </w:rPr>
            </w:pPr>
            <w:r w:rsidRPr="00C261EC">
              <w:rPr>
                <w:b/>
                <w:bCs/>
              </w:rPr>
              <w:t>III. Tiesību akta projekta ietekme uz valsts budžetu un pašvaldību budžetiem</w:t>
            </w:r>
          </w:p>
        </w:tc>
      </w:tr>
      <w:tr w:rsidR="00741E83" w:rsidRPr="00C261EC" w14:paraId="5D1A7C50" w14:textId="77777777" w:rsidTr="00541DAA">
        <w:trPr>
          <w:tblCellSpacing w:w="15" w:type="dxa"/>
        </w:trPr>
        <w:tc>
          <w:tcPr>
            <w:tcW w:w="856" w:type="pct"/>
            <w:vMerge w:val="restart"/>
            <w:vAlign w:val="center"/>
            <w:hideMark/>
          </w:tcPr>
          <w:p w14:paraId="6AFC7CFB" w14:textId="77777777" w:rsidR="00741E83" w:rsidRPr="00C261EC" w:rsidRDefault="00741E83" w:rsidP="00E74FEF">
            <w:pPr>
              <w:jc w:val="center"/>
            </w:pPr>
            <w:r w:rsidRPr="00C261EC">
              <w:t>Rādītāji</w:t>
            </w:r>
          </w:p>
        </w:tc>
        <w:tc>
          <w:tcPr>
            <w:tcW w:w="1091" w:type="pct"/>
            <w:gridSpan w:val="2"/>
            <w:vMerge w:val="restart"/>
            <w:vAlign w:val="center"/>
            <w:hideMark/>
          </w:tcPr>
          <w:p w14:paraId="73539EAB" w14:textId="77777777" w:rsidR="00741E83" w:rsidRPr="00C261EC" w:rsidRDefault="00741E83" w:rsidP="00E74FEF">
            <w:pPr>
              <w:jc w:val="center"/>
            </w:pPr>
            <w:r w:rsidRPr="00C261EC">
              <w:t>2018</w:t>
            </w:r>
          </w:p>
        </w:tc>
        <w:tc>
          <w:tcPr>
            <w:tcW w:w="2990" w:type="pct"/>
            <w:gridSpan w:val="5"/>
            <w:vAlign w:val="center"/>
            <w:hideMark/>
          </w:tcPr>
          <w:p w14:paraId="69FAFF21" w14:textId="77777777" w:rsidR="00741E83" w:rsidRPr="00C261EC" w:rsidRDefault="00741E83" w:rsidP="00E74FEF">
            <w:pPr>
              <w:jc w:val="center"/>
            </w:pPr>
            <w:r w:rsidRPr="00C261EC">
              <w:t>Turpmākie trīs gadi (</w:t>
            </w:r>
            <w:proofErr w:type="spellStart"/>
            <w:r w:rsidRPr="00C261EC">
              <w:rPr>
                <w:i/>
                <w:iCs/>
              </w:rPr>
              <w:t>euro</w:t>
            </w:r>
            <w:proofErr w:type="spellEnd"/>
            <w:r w:rsidRPr="00C261EC">
              <w:t>)</w:t>
            </w:r>
          </w:p>
        </w:tc>
      </w:tr>
      <w:tr w:rsidR="00741E83" w:rsidRPr="00C261EC" w14:paraId="4C2F36C0" w14:textId="77777777" w:rsidTr="00541DAA">
        <w:trPr>
          <w:tblCellSpacing w:w="15" w:type="dxa"/>
        </w:trPr>
        <w:tc>
          <w:tcPr>
            <w:tcW w:w="856" w:type="pct"/>
            <w:vMerge/>
            <w:vAlign w:val="center"/>
            <w:hideMark/>
          </w:tcPr>
          <w:p w14:paraId="5C1FF568" w14:textId="77777777" w:rsidR="00741E83" w:rsidRPr="00C261EC" w:rsidRDefault="00741E83" w:rsidP="00E74FEF">
            <w:pPr>
              <w:jc w:val="center"/>
            </w:pPr>
          </w:p>
        </w:tc>
        <w:tc>
          <w:tcPr>
            <w:tcW w:w="1091" w:type="pct"/>
            <w:gridSpan w:val="2"/>
            <w:vMerge/>
            <w:vAlign w:val="center"/>
            <w:hideMark/>
          </w:tcPr>
          <w:p w14:paraId="511689A5" w14:textId="77777777" w:rsidR="00741E83" w:rsidRPr="00C261EC" w:rsidRDefault="00741E83" w:rsidP="00E74FEF">
            <w:pPr>
              <w:jc w:val="center"/>
            </w:pPr>
          </w:p>
        </w:tc>
        <w:tc>
          <w:tcPr>
            <w:tcW w:w="1005" w:type="pct"/>
            <w:gridSpan w:val="2"/>
            <w:vAlign w:val="center"/>
            <w:hideMark/>
          </w:tcPr>
          <w:p w14:paraId="68AB6A3D" w14:textId="77777777" w:rsidR="00741E83" w:rsidRPr="00C261EC" w:rsidRDefault="00741E83" w:rsidP="00E74FEF">
            <w:pPr>
              <w:jc w:val="center"/>
            </w:pPr>
            <w:r w:rsidRPr="00C261EC">
              <w:t>2019</w:t>
            </w:r>
          </w:p>
        </w:tc>
        <w:tc>
          <w:tcPr>
            <w:tcW w:w="1005" w:type="pct"/>
            <w:gridSpan w:val="2"/>
            <w:vAlign w:val="center"/>
            <w:hideMark/>
          </w:tcPr>
          <w:p w14:paraId="13178433" w14:textId="77777777" w:rsidR="00741E83" w:rsidRPr="00C261EC" w:rsidRDefault="00741E83" w:rsidP="00E74FEF">
            <w:pPr>
              <w:jc w:val="center"/>
            </w:pPr>
            <w:r w:rsidRPr="00C261EC">
              <w:t>2020</w:t>
            </w:r>
          </w:p>
        </w:tc>
        <w:tc>
          <w:tcPr>
            <w:tcW w:w="948" w:type="pct"/>
            <w:vAlign w:val="center"/>
            <w:hideMark/>
          </w:tcPr>
          <w:p w14:paraId="08374A6F" w14:textId="77777777" w:rsidR="00741E83" w:rsidRPr="00C261EC" w:rsidRDefault="00741E83" w:rsidP="00E74FEF">
            <w:pPr>
              <w:jc w:val="center"/>
            </w:pPr>
            <w:r w:rsidRPr="00C261EC">
              <w:t>2021</w:t>
            </w:r>
          </w:p>
        </w:tc>
      </w:tr>
      <w:tr w:rsidR="00741E83" w:rsidRPr="00C261EC" w14:paraId="58D81D1E" w14:textId="77777777" w:rsidTr="00541DAA">
        <w:trPr>
          <w:tblCellSpacing w:w="15" w:type="dxa"/>
        </w:trPr>
        <w:tc>
          <w:tcPr>
            <w:tcW w:w="856" w:type="pct"/>
            <w:vMerge/>
            <w:vAlign w:val="center"/>
            <w:hideMark/>
          </w:tcPr>
          <w:p w14:paraId="4A5446F4" w14:textId="77777777" w:rsidR="00741E83" w:rsidRPr="00C261EC" w:rsidRDefault="00741E83" w:rsidP="00E74FEF">
            <w:pPr>
              <w:jc w:val="center"/>
            </w:pPr>
          </w:p>
        </w:tc>
        <w:tc>
          <w:tcPr>
            <w:tcW w:w="530" w:type="pct"/>
            <w:vAlign w:val="center"/>
            <w:hideMark/>
          </w:tcPr>
          <w:p w14:paraId="1E32EB5D" w14:textId="77777777" w:rsidR="00741E83" w:rsidRPr="00C261EC" w:rsidRDefault="00741E83" w:rsidP="00E74FEF">
            <w:pPr>
              <w:jc w:val="center"/>
            </w:pPr>
            <w:r w:rsidRPr="00C261EC">
              <w:t>saskaņā ar valsts budžetu kārtējam gadam</w:t>
            </w:r>
          </w:p>
        </w:tc>
        <w:tc>
          <w:tcPr>
            <w:tcW w:w="545" w:type="pct"/>
            <w:vAlign w:val="center"/>
            <w:hideMark/>
          </w:tcPr>
          <w:p w14:paraId="227C17C4" w14:textId="77777777" w:rsidR="00741E83" w:rsidRPr="00C261EC" w:rsidRDefault="00741E83" w:rsidP="00E74FEF">
            <w:pPr>
              <w:jc w:val="center"/>
            </w:pPr>
            <w:r w:rsidRPr="00C261EC">
              <w:t>izmaiņas kārtējā gadā, salīdzinot ar valsts budžetu kārtējam gadam</w:t>
            </w:r>
          </w:p>
        </w:tc>
        <w:tc>
          <w:tcPr>
            <w:tcW w:w="443" w:type="pct"/>
            <w:vAlign w:val="center"/>
            <w:hideMark/>
          </w:tcPr>
          <w:p w14:paraId="0DA890E6" w14:textId="77777777" w:rsidR="00741E83" w:rsidRPr="00C261EC" w:rsidRDefault="00741E83" w:rsidP="00E74FEF">
            <w:pPr>
              <w:jc w:val="center"/>
            </w:pPr>
            <w:r w:rsidRPr="00C261EC">
              <w:t>saskaņā ar vidēja termiņa budžeta ietvaru</w:t>
            </w:r>
          </w:p>
        </w:tc>
        <w:tc>
          <w:tcPr>
            <w:tcW w:w="546" w:type="pct"/>
            <w:vAlign w:val="center"/>
            <w:hideMark/>
          </w:tcPr>
          <w:p w14:paraId="16CB811A" w14:textId="77777777" w:rsidR="00741E83" w:rsidRPr="00C261EC" w:rsidRDefault="00741E83" w:rsidP="00E74FEF">
            <w:pPr>
              <w:jc w:val="center"/>
            </w:pPr>
            <w:r w:rsidRPr="00C261EC">
              <w:t>izmaiņas, salīdzinot ar vidēja termiņa budžeta ietvaru 2019. gadam</w:t>
            </w:r>
          </w:p>
        </w:tc>
        <w:tc>
          <w:tcPr>
            <w:tcW w:w="443" w:type="pct"/>
            <w:vAlign w:val="center"/>
            <w:hideMark/>
          </w:tcPr>
          <w:p w14:paraId="1824891B" w14:textId="77777777" w:rsidR="00741E83" w:rsidRPr="00C261EC" w:rsidRDefault="00741E83" w:rsidP="00E74FEF">
            <w:pPr>
              <w:jc w:val="center"/>
            </w:pPr>
            <w:r w:rsidRPr="00C261EC">
              <w:t>saskaņā ar vidēja termiņa budžeta ietvaru</w:t>
            </w:r>
          </w:p>
        </w:tc>
        <w:tc>
          <w:tcPr>
            <w:tcW w:w="546" w:type="pct"/>
            <w:vAlign w:val="center"/>
            <w:hideMark/>
          </w:tcPr>
          <w:p w14:paraId="4CAC8F4C" w14:textId="77777777" w:rsidR="00741E83" w:rsidRPr="00C261EC" w:rsidRDefault="00741E83" w:rsidP="00E74FEF">
            <w:pPr>
              <w:jc w:val="center"/>
            </w:pPr>
            <w:r w:rsidRPr="00C261EC">
              <w:t>izmaiņas, salīdzinot ar vidēja termiņa budžeta ietvaru 2020. gadam</w:t>
            </w:r>
          </w:p>
        </w:tc>
        <w:tc>
          <w:tcPr>
            <w:tcW w:w="948" w:type="pct"/>
            <w:vAlign w:val="center"/>
            <w:hideMark/>
          </w:tcPr>
          <w:p w14:paraId="1302432F" w14:textId="77777777" w:rsidR="00741E83" w:rsidRPr="00C261EC" w:rsidRDefault="00741E83" w:rsidP="00E74FEF">
            <w:pPr>
              <w:jc w:val="center"/>
            </w:pPr>
            <w:r w:rsidRPr="00C261EC">
              <w:t>izmaiņas, salīdzinot ar vidēja termiņa budžeta ietvaru 2020. gadam</w:t>
            </w:r>
          </w:p>
        </w:tc>
      </w:tr>
      <w:tr w:rsidR="00741E83" w:rsidRPr="00C261EC" w14:paraId="3C8301C1" w14:textId="77777777" w:rsidTr="00541DAA">
        <w:trPr>
          <w:tblCellSpacing w:w="15" w:type="dxa"/>
        </w:trPr>
        <w:tc>
          <w:tcPr>
            <w:tcW w:w="856" w:type="pct"/>
            <w:vAlign w:val="center"/>
            <w:hideMark/>
          </w:tcPr>
          <w:p w14:paraId="75E1E6D4" w14:textId="77777777" w:rsidR="00741E83" w:rsidRPr="00C261EC" w:rsidRDefault="00741E83" w:rsidP="00E74FEF">
            <w:pPr>
              <w:jc w:val="center"/>
            </w:pPr>
            <w:r w:rsidRPr="00C261EC">
              <w:t>1</w:t>
            </w:r>
          </w:p>
        </w:tc>
        <w:tc>
          <w:tcPr>
            <w:tcW w:w="530" w:type="pct"/>
            <w:vAlign w:val="center"/>
            <w:hideMark/>
          </w:tcPr>
          <w:p w14:paraId="76615889" w14:textId="77777777" w:rsidR="00741E83" w:rsidRPr="00C261EC" w:rsidRDefault="00741E83" w:rsidP="00E74FEF">
            <w:pPr>
              <w:jc w:val="center"/>
            </w:pPr>
            <w:r w:rsidRPr="00C261EC">
              <w:t>2</w:t>
            </w:r>
          </w:p>
        </w:tc>
        <w:tc>
          <w:tcPr>
            <w:tcW w:w="545" w:type="pct"/>
            <w:vAlign w:val="center"/>
            <w:hideMark/>
          </w:tcPr>
          <w:p w14:paraId="0F8E73FD" w14:textId="77777777" w:rsidR="00741E83" w:rsidRPr="00C261EC" w:rsidRDefault="00741E83" w:rsidP="00E74FEF">
            <w:pPr>
              <w:jc w:val="center"/>
            </w:pPr>
            <w:r w:rsidRPr="00C261EC">
              <w:t>3</w:t>
            </w:r>
          </w:p>
        </w:tc>
        <w:tc>
          <w:tcPr>
            <w:tcW w:w="443" w:type="pct"/>
            <w:vAlign w:val="center"/>
            <w:hideMark/>
          </w:tcPr>
          <w:p w14:paraId="670459E5" w14:textId="77777777" w:rsidR="00741E83" w:rsidRPr="00C261EC" w:rsidRDefault="00741E83" w:rsidP="00E74FEF">
            <w:pPr>
              <w:jc w:val="center"/>
            </w:pPr>
            <w:r w:rsidRPr="00C261EC">
              <w:t>4</w:t>
            </w:r>
          </w:p>
        </w:tc>
        <w:tc>
          <w:tcPr>
            <w:tcW w:w="546" w:type="pct"/>
            <w:vAlign w:val="center"/>
            <w:hideMark/>
          </w:tcPr>
          <w:p w14:paraId="2CF98DBE" w14:textId="77777777" w:rsidR="00741E83" w:rsidRPr="00C261EC" w:rsidRDefault="00741E83" w:rsidP="00E74FEF">
            <w:pPr>
              <w:jc w:val="center"/>
            </w:pPr>
            <w:r w:rsidRPr="00C261EC">
              <w:t>5</w:t>
            </w:r>
          </w:p>
        </w:tc>
        <w:tc>
          <w:tcPr>
            <w:tcW w:w="443" w:type="pct"/>
            <w:vAlign w:val="center"/>
            <w:hideMark/>
          </w:tcPr>
          <w:p w14:paraId="7CBF8CE8" w14:textId="77777777" w:rsidR="00741E83" w:rsidRPr="00C261EC" w:rsidRDefault="00741E83" w:rsidP="00E74FEF">
            <w:pPr>
              <w:jc w:val="center"/>
            </w:pPr>
            <w:r w:rsidRPr="00C261EC">
              <w:t>6</w:t>
            </w:r>
          </w:p>
        </w:tc>
        <w:tc>
          <w:tcPr>
            <w:tcW w:w="546" w:type="pct"/>
            <w:vAlign w:val="center"/>
            <w:hideMark/>
          </w:tcPr>
          <w:p w14:paraId="5B8DAD25" w14:textId="77777777" w:rsidR="00741E83" w:rsidRPr="00C261EC" w:rsidRDefault="00741E83" w:rsidP="00E74FEF">
            <w:pPr>
              <w:jc w:val="center"/>
            </w:pPr>
            <w:r w:rsidRPr="00C261EC">
              <w:t>7</w:t>
            </w:r>
          </w:p>
        </w:tc>
        <w:tc>
          <w:tcPr>
            <w:tcW w:w="948" w:type="pct"/>
            <w:vAlign w:val="center"/>
            <w:hideMark/>
          </w:tcPr>
          <w:p w14:paraId="653850DC" w14:textId="77777777" w:rsidR="00741E83" w:rsidRPr="00C261EC" w:rsidRDefault="00741E83" w:rsidP="00E74FEF">
            <w:pPr>
              <w:jc w:val="center"/>
            </w:pPr>
            <w:r w:rsidRPr="00C261EC">
              <w:t>8</w:t>
            </w:r>
          </w:p>
        </w:tc>
      </w:tr>
      <w:tr w:rsidR="00741E83" w:rsidRPr="00C261EC" w14:paraId="3D9316A1" w14:textId="77777777" w:rsidTr="00541DAA">
        <w:trPr>
          <w:tblCellSpacing w:w="15" w:type="dxa"/>
        </w:trPr>
        <w:tc>
          <w:tcPr>
            <w:tcW w:w="856" w:type="pct"/>
            <w:hideMark/>
          </w:tcPr>
          <w:p w14:paraId="08E7304B" w14:textId="77777777" w:rsidR="00741E83" w:rsidRPr="00C261EC" w:rsidRDefault="00741E83" w:rsidP="00E74FEF">
            <w:r w:rsidRPr="00C261EC">
              <w:t>1. Budžeta ieņēmumi</w:t>
            </w:r>
          </w:p>
        </w:tc>
        <w:tc>
          <w:tcPr>
            <w:tcW w:w="530" w:type="pct"/>
            <w:hideMark/>
          </w:tcPr>
          <w:p w14:paraId="2834654B" w14:textId="77777777" w:rsidR="00741E83" w:rsidRPr="00AF4A36" w:rsidRDefault="00741E83" w:rsidP="00E74FEF">
            <w:pPr>
              <w:jc w:val="right"/>
            </w:pPr>
            <w:r w:rsidRPr="00AF4A36">
              <w:t>0</w:t>
            </w:r>
          </w:p>
        </w:tc>
        <w:tc>
          <w:tcPr>
            <w:tcW w:w="545" w:type="pct"/>
            <w:hideMark/>
          </w:tcPr>
          <w:p w14:paraId="7D1EC2FD" w14:textId="77777777" w:rsidR="00741E83" w:rsidRPr="00AF4A36" w:rsidRDefault="00741E83" w:rsidP="00E74FEF">
            <w:pPr>
              <w:jc w:val="right"/>
            </w:pPr>
            <w:r w:rsidRPr="00AF4A36">
              <w:t>0</w:t>
            </w:r>
          </w:p>
        </w:tc>
        <w:tc>
          <w:tcPr>
            <w:tcW w:w="443" w:type="pct"/>
            <w:hideMark/>
          </w:tcPr>
          <w:p w14:paraId="202B4E76" w14:textId="77777777" w:rsidR="00741E83" w:rsidRPr="00AF4A36" w:rsidRDefault="00741E83" w:rsidP="00E74FEF">
            <w:pPr>
              <w:jc w:val="right"/>
            </w:pPr>
            <w:r w:rsidRPr="00AF4A36">
              <w:t>0</w:t>
            </w:r>
          </w:p>
        </w:tc>
        <w:tc>
          <w:tcPr>
            <w:tcW w:w="546" w:type="pct"/>
            <w:hideMark/>
          </w:tcPr>
          <w:p w14:paraId="386DC3BC" w14:textId="77777777" w:rsidR="00741E83" w:rsidRPr="00AF4A36" w:rsidRDefault="00741E83" w:rsidP="00E74FEF">
            <w:pPr>
              <w:jc w:val="right"/>
            </w:pPr>
            <w:r w:rsidRPr="00AF4A36">
              <w:t>0</w:t>
            </w:r>
          </w:p>
        </w:tc>
        <w:tc>
          <w:tcPr>
            <w:tcW w:w="443" w:type="pct"/>
            <w:hideMark/>
          </w:tcPr>
          <w:p w14:paraId="65FAC5FB" w14:textId="77777777" w:rsidR="00741E83" w:rsidRPr="00AF4A36" w:rsidRDefault="00741E83" w:rsidP="00E74FEF">
            <w:pPr>
              <w:jc w:val="right"/>
            </w:pPr>
            <w:r w:rsidRPr="00AF4A36">
              <w:t>0</w:t>
            </w:r>
          </w:p>
        </w:tc>
        <w:tc>
          <w:tcPr>
            <w:tcW w:w="546" w:type="pct"/>
            <w:hideMark/>
          </w:tcPr>
          <w:p w14:paraId="608A2159" w14:textId="77777777" w:rsidR="00741E83" w:rsidRPr="00AF4A36" w:rsidRDefault="00741E83" w:rsidP="00E74FEF">
            <w:pPr>
              <w:jc w:val="right"/>
            </w:pPr>
            <w:r w:rsidRPr="00AF4A36">
              <w:t>0</w:t>
            </w:r>
          </w:p>
        </w:tc>
        <w:tc>
          <w:tcPr>
            <w:tcW w:w="948" w:type="pct"/>
            <w:hideMark/>
          </w:tcPr>
          <w:p w14:paraId="2E2E3424" w14:textId="77777777" w:rsidR="00741E83" w:rsidRPr="00C261EC" w:rsidRDefault="00741E83" w:rsidP="00E74FEF">
            <w:pPr>
              <w:jc w:val="right"/>
            </w:pPr>
            <w:r w:rsidRPr="00C261EC">
              <w:t>0</w:t>
            </w:r>
          </w:p>
        </w:tc>
      </w:tr>
      <w:tr w:rsidR="00741E83" w:rsidRPr="00C261EC" w14:paraId="14825559" w14:textId="77777777" w:rsidTr="00541DAA">
        <w:trPr>
          <w:tblCellSpacing w:w="15" w:type="dxa"/>
        </w:trPr>
        <w:tc>
          <w:tcPr>
            <w:tcW w:w="856" w:type="pct"/>
            <w:hideMark/>
          </w:tcPr>
          <w:p w14:paraId="4ED7F840" w14:textId="77777777" w:rsidR="00741E83" w:rsidRPr="00C261EC" w:rsidRDefault="00741E83" w:rsidP="00E74FEF">
            <w:r w:rsidRPr="00C261EC">
              <w:t>1.1. valsts pamatbudžets, tai skaitā ieņēmumi no maksas pakalpojumiem un citi pašu ieņēmumi</w:t>
            </w:r>
          </w:p>
        </w:tc>
        <w:tc>
          <w:tcPr>
            <w:tcW w:w="530" w:type="pct"/>
            <w:hideMark/>
          </w:tcPr>
          <w:p w14:paraId="4E5BA051" w14:textId="77777777" w:rsidR="00741E83" w:rsidRPr="00AF4A36" w:rsidRDefault="00741E83" w:rsidP="00E74FEF">
            <w:pPr>
              <w:jc w:val="right"/>
            </w:pPr>
            <w:r w:rsidRPr="00AF4A36">
              <w:t>0</w:t>
            </w:r>
          </w:p>
        </w:tc>
        <w:tc>
          <w:tcPr>
            <w:tcW w:w="545" w:type="pct"/>
            <w:hideMark/>
          </w:tcPr>
          <w:p w14:paraId="2C2220F0" w14:textId="77777777" w:rsidR="00741E83" w:rsidRPr="00AF4A36" w:rsidRDefault="00741E83" w:rsidP="00E74FEF">
            <w:pPr>
              <w:jc w:val="right"/>
            </w:pPr>
            <w:r w:rsidRPr="00AF4A36">
              <w:t>0</w:t>
            </w:r>
          </w:p>
        </w:tc>
        <w:tc>
          <w:tcPr>
            <w:tcW w:w="443" w:type="pct"/>
            <w:hideMark/>
          </w:tcPr>
          <w:p w14:paraId="3456650A" w14:textId="77777777" w:rsidR="00741E83" w:rsidRPr="00AF4A36" w:rsidRDefault="00741E83" w:rsidP="00E74FEF">
            <w:pPr>
              <w:jc w:val="right"/>
            </w:pPr>
            <w:r w:rsidRPr="00AF4A36">
              <w:t>0</w:t>
            </w:r>
          </w:p>
        </w:tc>
        <w:tc>
          <w:tcPr>
            <w:tcW w:w="546" w:type="pct"/>
            <w:hideMark/>
          </w:tcPr>
          <w:p w14:paraId="716EFFE7" w14:textId="77777777" w:rsidR="00741E83" w:rsidRPr="00AF4A36" w:rsidRDefault="00741E83" w:rsidP="00E74FEF">
            <w:pPr>
              <w:jc w:val="right"/>
            </w:pPr>
            <w:r w:rsidRPr="00AF4A36">
              <w:t>0</w:t>
            </w:r>
          </w:p>
        </w:tc>
        <w:tc>
          <w:tcPr>
            <w:tcW w:w="443" w:type="pct"/>
            <w:hideMark/>
          </w:tcPr>
          <w:p w14:paraId="4A5C47DD" w14:textId="77777777" w:rsidR="00741E83" w:rsidRPr="00AF4A36" w:rsidRDefault="00741E83" w:rsidP="00E74FEF">
            <w:pPr>
              <w:jc w:val="right"/>
            </w:pPr>
            <w:r w:rsidRPr="00AF4A36">
              <w:t>0</w:t>
            </w:r>
          </w:p>
        </w:tc>
        <w:tc>
          <w:tcPr>
            <w:tcW w:w="546" w:type="pct"/>
            <w:hideMark/>
          </w:tcPr>
          <w:p w14:paraId="513DC85E" w14:textId="77777777" w:rsidR="00741E83" w:rsidRPr="00AF4A36" w:rsidRDefault="00741E83" w:rsidP="00E74FEF">
            <w:pPr>
              <w:jc w:val="right"/>
            </w:pPr>
            <w:r w:rsidRPr="00AF4A36">
              <w:t>0</w:t>
            </w:r>
          </w:p>
        </w:tc>
        <w:tc>
          <w:tcPr>
            <w:tcW w:w="948" w:type="pct"/>
            <w:hideMark/>
          </w:tcPr>
          <w:p w14:paraId="4A3CAB3E" w14:textId="77777777" w:rsidR="00741E83" w:rsidRPr="00C261EC" w:rsidRDefault="00741E83" w:rsidP="00E74FEF">
            <w:pPr>
              <w:jc w:val="right"/>
            </w:pPr>
            <w:r w:rsidRPr="00C261EC">
              <w:t>0</w:t>
            </w:r>
          </w:p>
        </w:tc>
      </w:tr>
      <w:tr w:rsidR="00741E83" w:rsidRPr="00C261EC" w14:paraId="4E28118E" w14:textId="77777777" w:rsidTr="00541DAA">
        <w:trPr>
          <w:tblCellSpacing w:w="15" w:type="dxa"/>
        </w:trPr>
        <w:tc>
          <w:tcPr>
            <w:tcW w:w="856" w:type="pct"/>
            <w:hideMark/>
          </w:tcPr>
          <w:p w14:paraId="6710F96B" w14:textId="77777777" w:rsidR="00741E83" w:rsidRPr="00C261EC" w:rsidRDefault="00741E83" w:rsidP="00E74FEF">
            <w:r w:rsidRPr="00C261EC">
              <w:t>1.2. valsts speciālais budžets</w:t>
            </w:r>
          </w:p>
        </w:tc>
        <w:tc>
          <w:tcPr>
            <w:tcW w:w="530" w:type="pct"/>
            <w:hideMark/>
          </w:tcPr>
          <w:p w14:paraId="113D5FA8" w14:textId="77777777" w:rsidR="00741E83" w:rsidRPr="00C261EC" w:rsidRDefault="00741E83" w:rsidP="00E74FEF">
            <w:pPr>
              <w:jc w:val="right"/>
            </w:pPr>
            <w:r w:rsidRPr="00C261EC">
              <w:t>0</w:t>
            </w:r>
          </w:p>
        </w:tc>
        <w:tc>
          <w:tcPr>
            <w:tcW w:w="545" w:type="pct"/>
            <w:hideMark/>
          </w:tcPr>
          <w:p w14:paraId="7A8B6514" w14:textId="77777777" w:rsidR="00741E83" w:rsidRPr="00C261EC" w:rsidRDefault="00741E83" w:rsidP="00E74FEF">
            <w:pPr>
              <w:jc w:val="right"/>
            </w:pPr>
            <w:r w:rsidRPr="00C261EC">
              <w:t>0</w:t>
            </w:r>
          </w:p>
        </w:tc>
        <w:tc>
          <w:tcPr>
            <w:tcW w:w="443" w:type="pct"/>
            <w:hideMark/>
          </w:tcPr>
          <w:p w14:paraId="50B1A12F" w14:textId="77777777" w:rsidR="00741E83" w:rsidRPr="00C261EC" w:rsidRDefault="00741E83" w:rsidP="00E74FEF">
            <w:pPr>
              <w:jc w:val="right"/>
            </w:pPr>
            <w:r w:rsidRPr="00C261EC">
              <w:t>0</w:t>
            </w:r>
          </w:p>
        </w:tc>
        <w:tc>
          <w:tcPr>
            <w:tcW w:w="546" w:type="pct"/>
            <w:hideMark/>
          </w:tcPr>
          <w:p w14:paraId="498157B9" w14:textId="77777777" w:rsidR="00741E83" w:rsidRPr="00C261EC" w:rsidRDefault="00741E83" w:rsidP="00E74FEF">
            <w:pPr>
              <w:jc w:val="right"/>
            </w:pPr>
            <w:r w:rsidRPr="00C261EC">
              <w:t>0</w:t>
            </w:r>
          </w:p>
        </w:tc>
        <w:tc>
          <w:tcPr>
            <w:tcW w:w="443" w:type="pct"/>
            <w:hideMark/>
          </w:tcPr>
          <w:p w14:paraId="020F3146" w14:textId="77777777" w:rsidR="00741E83" w:rsidRPr="00C261EC" w:rsidRDefault="00741E83" w:rsidP="00E74FEF">
            <w:pPr>
              <w:jc w:val="right"/>
            </w:pPr>
            <w:r w:rsidRPr="00C261EC">
              <w:t>0</w:t>
            </w:r>
          </w:p>
        </w:tc>
        <w:tc>
          <w:tcPr>
            <w:tcW w:w="546" w:type="pct"/>
            <w:hideMark/>
          </w:tcPr>
          <w:p w14:paraId="1BE1EE79" w14:textId="77777777" w:rsidR="00741E83" w:rsidRPr="00C261EC" w:rsidRDefault="00741E83" w:rsidP="00E74FEF">
            <w:pPr>
              <w:jc w:val="right"/>
            </w:pPr>
            <w:r w:rsidRPr="00C261EC">
              <w:t>0</w:t>
            </w:r>
          </w:p>
        </w:tc>
        <w:tc>
          <w:tcPr>
            <w:tcW w:w="948" w:type="pct"/>
            <w:hideMark/>
          </w:tcPr>
          <w:p w14:paraId="45865999" w14:textId="77777777" w:rsidR="00741E83" w:rsidRPr="00C261EC" w:rsidRDefault="00741E83" w:rsidP="00E74FEF">
            <w:pPr>
              <w:jc w:val="right"/>
            </w:pPr>
            <w:r w:rsidRPr="00C261EC">
              <w:t>0</w:t>
            </w:r>
          </w:p>
        </w:tc>
      </w:tr>
      <w:tr w:rsidR="00741E83" w:rsidRPr="00C261EC" w14:paraId="6EB99B7A" w14:textId="77777777" w:rsidTr="00541DAA">
        <w:trPr>
          <w:tblCellSpacing w:w="15" w:type="dxa"/>
        </w:trPr>
        <w:tc>
          <w:tcPr>
            <w:tcW w:w="856" w:type="pct"/>
            <w:hideMark/>
          </w:tcPr>
          <w:p w14:paraId="72365FA8" w14:textId="77777777" w:rsidR="00741E83" w:rsidRPr="00C261EC" w:rsidRDefault="00741E83" w:rsidP="00E74FEF">
            <w:r w:rsidRPr="00C261EC">
              <w:t>1.3. pašvaldību budžets</w:t>
            </w:r>
          </w:p>
        </w:tc>
        <w:tc>
          <w:tcPr>
            <w:tcW w:w="530" w:type="pct"/>
            <w:hideMark/>
          </w:tcPr>
          <w:p w14:paraId="2B009F87" w14:textId="77777777" w:rsidR="00741E83" w:rsidRPr="00C261EC" w:rsidRDefault="00741E83" w:rsidP="00E74FEF">
            <w:pPr>
              <w:jc w:val="right"/>
            </w:pPr>
            <w:r w:rsidRPr="00C261EC">
              <w:t>0</w:t>
            </w:r>
          </w:p>
        </w:tc>
        <w:tc>
          <w:tcPr>
            <w:tcW w:w="545" w:type="pct"/>
            <w:hideMark/>
          </w:tcPr>
          <w:p w14:paraId="51F4BC4F" w14:textId="77777777" w:rsidR="00741E83" w:rsidRPr="00C261EC" w:rsidRDefault="00741E83" w:rsidP="00E74FEF">
            <w:pPr>
              <w:jc w:val="right"/>
            </w:pPr>
            <w:r w:rsidRPr="00C261EC">
              <w:t>0</w:t>
            </w:r>
          </w:p>
        </w:tc>
        <w:tc>
          <w:tcPr>
            <w:tcW w:w="443" w:type="pct"/>
            <w:hideMark/>
          </w:tcPr>
          <w:p w14:paraId="34E8FA5E" w14:textId="77777777" w:rsidR="00741E83" w:rsidRPr="00C261EC" w:rsidRDefault="00741E83" w:rsidP="00E74FEF">
            <w:pPr>
              <w:jc w:val="right"/>
            </w:pPr>
            <w:r w:rsidRPr="00C261EC">
              <w:t>0</w:t>
            </w:r>
          </w:p>
        </w:tc>
        <w:tc>
          <w:tcPr>
            <w:tcW w:w="546" w:type="pct"/>
            <w:hideMark/>
          </w:tcPr>
          <w:p w14:paraId="68D9AF8E" w14:textId="77777777" w:rsidR="00741E83" w:rsidRPr="00C261EC" w:rsidRDefault="00741E83" w:rsidP="00E74FEF">
            <w:pPr>
              <w:jc w:val="right"/>
            </w:pPr>
            <w:r w:rsidRPr="00C261EC">
              <w:t>0</w:t>
            </w:r>
          </w:p>
        </w:tc>
        <w:tc>
          <w:tcPr>
            <w:tcW w:w="443" w:type="pct"/>
            <w:hideMark/>
          </w:tcPr>
          <w:p w14:paraId="0230B866" w14:textId="77777777" w:rsidR="00741E83" w:rsidRPr="00C261EC" w:rsidRDefault="00741E83" w:rsidP="00E74FEF">
            <w:pPr>
              <w:jc w:val="right"/>
            </w:pPr>
            <w:r w:rsidRPr="00C261EC">
              <w:t>0</w:t>
            </w:r>
          </w:p>
        </w:tc>
        <w:tc>
          <w:tcPr>
            <w:tcW w:w="546" w:type="pct"/>
            <w:hideMark/>
          </w:tcPr>
          <w:p w14:paraId="221EE46B" w14:textId="77777777" w:rsidR="00741E83" w:rsidRPr="00C261EC" w:rsidRDefault="00741E83" w:rsidP="00E74FEF">
            <w:pPr>
              <w:jc w:val="right"/>
            </w:pPr>
            <w:r w:rsidRPr="00C261EC">
              <w:t>0</w:t>
            </w:r>
          </w:p>
        </w:tc>
        <w:tc>
          <w:tcPr>
            <w:tcW w:w="948" w:type="pct"/>
            <w:hideMark/>
          </w:tcPr>
          <w:p w14:paraId="162D9BAB" w14:textId="77777777" w:rsidR="00741E83" w:rsidRPr="00C261EC" w:rsidRDefault="00741E83" w:rsidP="00E74FEF">
            <w:pPr>
              <w:jc w:val="right"/>
            </w:pPr>
            <w:r w:rsidRPr="00C261EC">
              <w:t>0</w:t>
            </w:r>
          </w:p>
        </w:tc>
      </w:tr>
      <w:tr w:rsidR="00741E83" w:rsidRPr="00C261EC" w14:paraId="7AC03482" w14:textId="77777777" w:rsidTr="00541DAA">
        <w:trPr>
          <w:tblCellSpacing w:w="15" w:type="dxa"/>
        </w:trPr>
        <w:tc>
          <w:tcPr>
            <w:tcW w:w="856" w:type="pct"/>
            <w:hideMark/>
          </w:tcPr>
          <w:p w14:paraId="618E858A" w14:textId="77777777" w:rsidR="00741E83" w:rsidRPr="00C261EC" w:rsidRDefault="00741E83" w:rsidP="00E74FEF">
            <w:r w:rsidRPr="00C261EC">
              <w:t>2. Budžeta izdevumi</w:t>
            </w:r>
          </w:p>
        </w:tc>
        <w:tc>
          <w:tcPr>
            <w:tcW w:w="530" w:type="pct"/>
            <w:hideMark/>
          </w:tcPr>
          <w:p w14:paraId="33A5E077" w14:textId="77777777" w:rsidR="00741E83" w:rsidRPr="00AF4A36" w:rsidRDefault="00741E83" w:rsidP="00E74FEF">
            <w:pPr>
              <w:jc w:val="right"/>
            </w:pPr>
            <w:r>
              <w:t>0</w:t>
            </w:r>
          </w:p>
        </w:tc>
        <w:tc>
          <w:tcPr>
            <w:tcW w:w="545" w:type="pct"/>
            <w:hideMark/>
          </w:tcPr>
          <w:p w14:paraId="7DA10D31" w14:textId="77777777" w:rsidR="00741E83" w:rsidRPr="00AF4A36" w:rsidRDefault="00541DAA" w:rsidP="00E74FEF">
            <w:pPr>
              <w:jc w:val="right"/>
            </w:pPr>
            <w:r>
              <w:t>3 815</w:t>
            </w:r>
          </w:p>
        </w:tc>
        <w:tc>
          <w:tcPr>
            <w:tcW w:w="443" w:type="pct"/>
            <w:hideMark/>
          </w:tcPr>
          <w:p w14:paraId="26841A72" w14:textId="77777777" w:rsidR="00741E83" w:rsidRPr="00AF4A36" w:rsidRDefault="00741E83" w:rsidP="00E74FEF">
            <w:pPr>
              <w:jc w:val="right"/>
            </w:pPr>
            <w:r>
              <w:t>0</w:t>
            </w:r>
          </w:p>
        </w:tc>
        <w:tc>
          <w:tcPr>
            <w:tcW w:w="546" w:type="pct"/>
            <w:hideMark/>
          </w:tcPr>
          <w:p w14:paraId="34F754D1" w14:textId="77777777" w:rsidR="00741E83" w:rsidRPr="00AF4A36" w:rsidRDefault="00741E83" w:rsidP="00E74FEF">
            <w:pPr>
              <w:jc w:val="right"/>
            </w:pPr>
            <w:r w:rsidRPr="00AF4A36">
              <w:t>0</w:t>
            </w:r>
          </w:p>
        </w:tc>
        <w:tc>
          <w:tcPr>
            <w:tcW w:w="443" w:type="pct"/>
            <w:hideMark/>
          </w:tcPr>
          <w:p w14:paraId="0F7DA1C2" w14:textId="77777777" w:rsidR="00741E83" w:rsidRPr="00AF4A36" w:rsidRDefault="00741E83" w:rsidP="00E74FEF">
            <w:pPr>
              <w:jc w:val="right"/>
            </w:pPr>
            <w:r>
              <w:t>0</w:t>
            </w:r>
          </w:p>
        </w:tc>
        <w:tc>
          <w:tcPr>
            <w:tcW w:w="546" w:type="pct"/>
            <w:hideMark/>
          </w:tcPr>
          <w:p w14:paraId="61B33C0F" w14:textId="77777777" w:rsidR="00741E83" w:rsidRPr="00AF4A36" w:rsidRDefault="00741E83" w:rsidP="00E74FEF">
            <w:pPr>
              <w:jc w:val="right"/>
            </w:pPr>
            <w:r w:rsidRPr="00AF4A36">
              <w:t>0</w:t>
            </w:r>
          </w:p>
        </w:tc>
        <w:tc>
          <w:tcPr>
            <w:tcW w:w="948" w:type="pct"/>
            <w:hideMark/>
          </w:tcPr>
          <w:p w14:paraId="3413E836" w14:textId="77777777" w:rsidR="00741E83" w:rsidRPr="00AF4A36" w:rsidRDefault="00741E83" w:rsidP="00E74FEF">
            <w:pPr>
              <w:jc w:val="right"/>
            </w:pPr>
            <w:r w:rsidRPr="00AF4A36">
              <w:t>0</w:t>
            </w:r>
          </w:p>
        </w:tc>
      </w:tr>
      <w:tr w:rsidR="00741E83" w:rsidRPr="00C261EC" w14:paraId="1E34236E" w14:textId="77777777" w:rsidTr="00541DAA">
        <w:trPr>
          <w:tblCellSpacing w:w="15" w:type="dxa"/>
        </w:trPr>
        <w:tc>
          <w:tcPr>
            <w:tcW w:w="856" w:type="pct"/>
            <w:hideMark/>
          </w:tcPr>
          <w:p w14:paraId="3AAB57B6" w14:textId="77777777" w:rsidR="00741E83" w:rsidRPr="00C261EC" w:rsidRDefault="00741E83" w:rsidP="00E74FEF">
            <w:r w:rsidRPr="00C261EC">
              <w:t>2.1. valsts pamatbudžets</w:t>
            </w:r>
          </w:p>
        </w:tc>
        <w:tc>
          <w:tcPr>
            <w:tcW w:w="530" w:type="pct"/>
            <w:hideMark/>
          </w:tcPr>
          <w:p w14:paraId="5A50BDF4" w14:textId="77777777" w:rsidR="00741E83" w:rsidRPr="00AF4A36" w:rsidRDefault="00741E83" w:rsidP="00E74FEF">
            <w:pPr>
              <w:jc w:val="right"/>
            </w:pPr>
            <w:r>
              <w:t>0</w:t>
            </w:r>
          </w:p>
        </w:tc>
        <w:tc>
          <w:tcPr>
            <w:tcW w:w="545" w:type="pct"/>
            <w:hideMark/>
          </w:tcPr>
          <w:p w14:paraId="66941580" w14:textId="77777777" w:rsidR="00741E83" w:rsidRPr="00AF4A36" w:rsidRDefault="00541DAA" w:rsidP="00E74FEF">
            <w:pPr>
              <w:jc w:val="right"/>
            </w:pPr>
            <w:r>
              <w:t>3 815</w:t>
            </w:r>
          </w:p>
        </w:tc>
        <w:tc>
          <w:tcPr>
            <w:tcW w:w="443" w:type="pct"/>
            <w:hideMark/>
          </w:tcPr>
          <w:p w14:paraId="5A09C3DD" w14:textId="77777777" w:rsidR="00741E83" w:rsidRPr="00AF4A36" w:rsidRDefault="00741E83" w:rsidP="00E74FEF">
            <w:pPr>
              <w:jc w:val="right"/>
            </w:pPr>
            <w:r>
              <w:t>0</w:t>
            </w:r>
          </w:p>
        </w:tc>
        <w:tc>
          <w:tcPr>
            <w:tcW w:w="546" w:type="pct"/>
            <w:hideMark/>
          </w:tcPr>
          <w:p w14:paraId="43ABD27F" w14:textId="77777777" w:rsidR="00741E83" w:rsidRPr="00AF4A36" w:rsidRDefault="00741E83" w:rsidP="00E74FEF">
            <w:pPr>
              <w:jc w:val="right"/>
            </w:pPr>
            <w:r w:rsidRPr="00AF4A36">
              <w:t>0</w:t>
            </w:r>
          </w:p>
        </w:tc>
        <w:tc>
          <w:tcPr>
            <w:tcW w:w="443" w:type="pct"/>
            <w:hideMark/>
          </w:tcPr>
          <w:p w14:paraId="31B72A7A" w14:textId="77777777" w:rsidR="00741E83" w:rsidRPr="00AF4A36" w:rsidRDefault="00741E83" w:rsidP="00E74FEF">
            <w:pPr>
              <w:jc w:val="right"/>
            </w:pPr>
            <w:r>
              <w:t>0</w:t>
            </w:r>
          </w:p>
        </w:tc>
        <w:tc>
          <w:tcPr>
            <w:tcW w:w="546" w:type="pct"/>
            <w:hideMark/>
          </w:tcPr>
          <w:p w14:paraId="5AE56A14" w14:textId="77777777" w:rsidR="00741E83" w:rsidRPr="00AF4A36" w:rsidRDefault="00741E83" w:rsidP="00E74FEF">
            <w:pPr>
              <w:jc w:val="right"/>
            </w:pPr>
            <w:r w:rsidRPr="00AF4A36">
              <w:t>0</w:t>
            </w:r>
          </w:p>
        </w:tc>
        <w:tc>
          <w:tcPr>
            <w:tcW w:w="948" w:type="pct"/>
            <w:hideMark/>
          </w:tcPr>
          <w:p w14:paraId="2E23605A" w14:textId="77777777" w:rsidR="00741E83" w:rsidRPr="00AF4A36" w:rsidRDefault="00741E83" w:rsidP="00E74FEF">
            <w:pPr>
              <w:jc w:val="right"/>
            </w:pPr>
            <w:r w:rsidRPr="00AF4A36">
              <w:t>0</w:t>
            </w:r>
          </w:p>
        </w:tc>
      </w:tr>
      <w:tr w:rsidR="00741E83" w:rsidRPr="00C261EC" w14:paraId="75B38035" w14:textId="77777777" w:rsidTr="00541DAA">
        <w:trPr>
          <w:tblCellSpacing w:w="15" w:type="dxa"/>
        </w:trPr>
        <w:tc>
          <w:tcPr>
            <w:tcW w:w="856" w:type="pct"/>
            <w:hideMark/>
          </w:tcPr>
          <w:p w14:paraId="513FF86B" w14:textId="77777777" w:rsidR="00741E83" w:rsidRPr="00C261EC" w:rsidRDefault="00741E83" w:rsidP="00E74FEF">
            <w:r w:rsidRPr="00C261EC">
              <w:t>2.2. valsts speciālais budžets</w:t>
            </w:r>
          </w:p>
        </w:tc>
        <w:tc>
          <w:tcPr>
            <w:tcW w:w="530" w:type="pct"/>
            <w:hideMark/>
          </w:tcPr>
          <w:p w14:paraId="1E2A0953" w14:textId="77777777" w:rsidR="00741E83" w:rsidRPr="00C261EC" w:rsidRDefault="00741E83" w:rsidP="00E74FEF">
            <w:pPr>
              <w:jc w:val="right"/>
            </w:pPr>
            <w:r w:rsidRPr="00C261EC">
              <w:t>0</w:t>
            </w:r>
          </w:p>
        </w:tc>
        <w:tc>
          <w:tcPr>
            <w:tcW w:w="545" w:type="pct"/>
            <w:hideMark/>
          </w:tcPr>
          <w:p w14:paraId="4DB47092" w14:textId="77777777" w:rsidR="00741E83" w:rsidRPr="00C261EC" w:rsidRDefault="00741E83" w:rsidP="00E74FEF">
            <w:pPr>
              <w:jc w:val="right"/>
            </w:pPr>
            <w:r w:rsidRPr="00C261EC">
              <w:t>0</w:t>
            </w:r>
          </w:p>
        </w:tc>
        <w:tc>
          <w:tcPr>
            <w:tcW w:w="443" w:type="pct"/>
            <w:hideMark/>
          </w:tcPr>
          <w:p w14:paraId="1E4F6C74" w14:textId="77777777" w:rsidR="00741E83" w:rsidRPr="00C261EC" w:rsidRDefault="00741E83" w:rsidP="00E74FEF">
            <w:pPr>
              <w:jc w:val="right"/>
            </w:pPr>
            <w:r w:rsidRPr="00C261EC">
              <w:t>0</w:t>
            </w:r>
          </w:p>
        </w:tc>
        <w:tc>
          <w:tcPr>
            <w:tcW w:w="546" w:type="pct"/>
            <w:hideMark/>
          </w:tcPr>
          <w:p w14:paraId="680068B1" w14:textId="77777777" w:rsidR="00741E83" w:rsidRPr="00C261EC" w:rsidRDefault="00741E83" w:rsidP="00E74FEF">
            <w:pPr>
              <w:jc w:val="right"/>
            </w:pPr>
            <w:r w:rsidRPr="00C261EC">
              <w:t>0</w:t>
            </w:r>
          </w:p>
        </w:tc>
        <w:tc>
          <w:tcPr>
            <w:tcW w:w="443" w:type="pct"/>
            <w:hideMark/>
          </w:tcPr>
          <w:p w14:paraId="72BD443C" w14:textId="77777777" w:rsidR="00741E83" w:rsidRPr="00C261EC" w:rsidRDefault="00741E83" w:rsidP="00E74FEF">
            <w:pPr>
              <w:jc w:val="right"/>
            </w:pPr>
            <w:r w:rsidRPr="00C261EC">
              <w:t>0</w:t>
            </w:r>
          </w:p>
        </w:tc>
        <w:tc>
          <w:tcPr>
            <w:tcW w:w="546" w:type="pct"/>
            <w:hideMark/>
          </w:tcPr>
          <w:p w14:paraId="61EFAE40" w14:textId="77777777" w:rsidR="00741E83" w:rsidRPr="00C261EC" w:rsidRDefault="00741E83" w:rsidP="00E74FEF">
            <w:pPr>
              <w:jc w:val="right"/>
            </w:pPr>
            <w:r w:rsidRPr="00C261EC">
              <w:t>0</w:t>
            </w:r>
          </w:p>
        </w:tc>
        <w:tc>
          <w:tcPr>
            <w:tcW w:w="948" w:type="pct"/>
            <w:hideMark/>
          </w:tcPr>
          <w:p w14:paraId="42FCC237" w14:textId="77777777" w:rsidR="00741E83" w:rsidRPr="00C261EC" w:rsidRDefault="00741E83" w:rsidP="00E74FEF">
            <w:pPr>
              <w:jc w:val="right"/>
            </w:pPr>
            <w:r w:rsidRPr="00C261EC">
              <w:t>0</w:t>
            </w:r>
          </w:p>
        </w:tc>
      </w:tr>
      <w:tr w:rsidR="00741E83" w:rsidRPr="00C261EC" w14:paraId="2ADB87F9" w14:textId="77777777" w:rsidTr="00541DAA">
        <w:trPr>
          <w:tblCellSpacing w:w="15" w:type="dxa"/>
        </w:trPr>
        <w:tc>
          <w:tcPr>
            <w:tcW w:w="856" w:type="pct"/>
            <w:hideMark/>
          </w:tcPr>
          <w:p w14:paraId="024A755B" w14:textId="77777777" w:rsidR="00741E83" w:rsidRPr="00C261EC" w:rsidRDefault="00741E83" w:rsidP="00E74FEF">
            <w:r w:rsidRPr="00C261EC">
              <w:lastRenderedPageBreak/>
              <w:t>2.3. pašvaldību budžets</w:t>
            </w:r>
          </w:p>
        </w:tc>
        <w:tc>
          <w:tcPr>
            <w:tcW w:w="530" w:type="pct"/>
            <w:hideMark/>
          </w:tcPr>
          <w:p w14:paraId="7D84E086" w14:textId="77777777" w:rsidR="00741E83" w:rsidRPr="00C261EC" w:rsidRDefault="00741E83" w:rsidP="00E74FEF">
            <w:pPr>
              <w:jc w:val="right"/>
            </w:pPr>
            <w:r w:rsidRPr="00C261EC">
              <w:t>0</w:t>
            </w:r>
          </w:p>
        </w:tc>
        <w:tc>
          <w:tcPr>
            <w:tcW w:w="545" w:type="pct"/>
            <w:hideMark/>
          </w:tcPr>
          <w:p w14:paraId="6DA664EC" w14:textId="77777777" w:rsidR="00741E83" w:rsidRPr="00C261EC" w:rsidRDefault="00741E83" w:rsidP="00E74FEF">
            <w:pPr>
              <w:jc w:val="right"/>
            </w:pPr>
            <w:r w:rsidRPr="00C261EC">
              <w:t>0</w:t>
            </w:r>
          </w:p>
        </w:tc>
        <w:tc>
          <w:tcPr>
            <w:tcW w:w="443" w:type="pct"/>
            <w:hideMark/>
          </w:tcPr>
          <w:p w14:paraId="237AA666" w14:textId="77777777" w:rsidR="00741E83" w:rsidRPr="00C261EC" w:rsidRDefault="00741E83" w:rsidP="00E74FEF">
            <w:pPr>
              <w:jc w:val="right"/>
            </w:pPr>
            <w:r w:rsidRPr="00C261EC">
              <w:t>0</w:t>
            </w:r>
          </w:p>
        </w:tc>
        <w:tc>
          <w:tcPr>
            <w:tcW w:w="546" w:type="pct"/>
            <w:hideMark/>
          </w:tcPr>
          <w:p w14:paraId="334E69DA" w14:textId="77777777" w:rsidR="00741E83" w:rsidRPr="00C261EC" w:rsidRDefault="00741E83" w:rsidP="00E74FEF">
            <w:pPr>
              <w:jc w:val="right"/>
            </w:pPr>
            <w:r w:rsidRPr="00C261EC">
              <w:t>0</w:t>
            </w:r>
          </w:p>
        </w:tc>
        <w:tc>
          <w:tcPr>
            <w:tcW w:w="443" w:type="pct"/>
            <w:hideMark/>
          </w:tcPr>
          <w:p w14:paraId="623F9F05" w14:textId="77777777" w:rsidR="00741E83" w:rsidRPr="00C261EC" w:rsidRDefault="00741E83" w:rsidP="00E74FEF">
            <w:pPr>
              <w:jc w:val="right"/>
            </w:pPr>
            <w:r w:rsidRPr="00C261EC">
              <w:t>0</w:t>
            </w:r>
          </w:p>
        </w:tc>
        <w:tc>
          <w:tcPr>
            <w:tcW w:w="546" w:type="pct"/>
            <w:hideMark/>
          </w:tcPr>
          <w:p w14:paraId="3DC45FF4" w14:textId="77777777" w:rsidR="00741E83" w:rsidRPr="00C261EC" w:rsidRDefault="00741E83" w:rsidP="00E74FEF">
            <w:pPr>
              <w:jc w:val="right"/>
            </w:pPr>
            <w:r w:rsidRPr="00C261EC">
              <w:t>0</w:t>
            </w:r>
          </w:p>
        </w:tc>
        <w:tc>
          <w:tcPr>
            <w:tcW w:w="948" w:type="pct"/>
            <w:hideMark/>
          </w:tcPr>
          <w:p w14:paraId="31A1E504" w14:textId="77777777" w:rsidR="00741E83" w:rsidRPr="00C261EC" w:rsidRDefault="00741E83" w:rsidP="00E74FEF">
            <w:pPr>
              <w:jc w:val="right"/>
            </w:pPr>
            <w:r w:rsidRPr="00C261EC">
              <w:t>0</w:t>
            </w:r>
          </w:p>
        </w:tc>
      </w:tr>
      <w:tr w:rsidR="00741E83" w:rsidRPr="00C261EC" w14:paraId="0CD729AC" w14:textId="77777777" w:rsidTr="00541DAA">
        <w:trPr>
          <w:tblCellSpacing w:w="15" w:type="dxa"/>
        </w:trPr>
        <w:tc>
          <w:tcPr>
            <w:tcW w:w="856" w:type="pct"/>
            <w:hideMark/>
          </w:tcPr>
          <w:p w14:paraId="42FC13CE" w14:textId="77777777" w:rsidR="00741E83" w:rsidRPr="00C261EC" w:rsidRDefault="00741E83" w:rsidP="00E74FEF">
            <w:r w:rsidRPr="00C261EC">
              <w:t>3. Finansiālā ietekme</w:t>
            </w:r>
          </w:p>
        </w:tc>
        <w:tc>
          <w:tcPr>
            <w:tcW w:w="530" w:type="pct"/>
            <w:hideMark/>
          </w:tcPr>
          <w:p w14:paraId="5B909017" w14:textId="77777777" w:rsidR="00741E83" w:rsidRPr="00C261EC" w:rsidRDefault="00741E83" w:rsidP="00E74FEF">
            <w:pPr>
              <w:jc w:val="right"/>
            </w:pPr>
            <w:r w:rsidRPr="00C261EC">
              <w:t>0</w:t>
            </w:r>
          </w:p>
        </w:tc>
        <w:tc>
          <w:tcPr>
            <w:tcW w:w="545" w:type="pct"/>
            <w:hideMark/>
          </w:tcPr>
          <w:p w14:paraId="53F49C6B" w14:textId="77777777" w:rsidR="00741E83" w:rsidRPr="00C261EC" w:rsidRDefault="00541DAA" w:rsidP="00E74FEF">
            <w:pPr>
              <w:jc w:val="right"/>
            </w:pPr>
            <w:r>
              <w:t>-3 815</w:t>
            </w:r>
          </w:p>
        </w:tc>
        <w:tc>
          <w:tcPr>
            <w:tcW w:w="443" w:type="pct"/>
            <w:hideMark/>
          </w:tcPr>
          <w:p w14:paraId="6A219B72" w14:textId="77777777" w:rsidR="00741E83" w:rsidRPr="00C261EC" w:rsidRDefault="00741E83" w:rsidP="00E74FEF">
            <w:pPr>
              <w:jc w:val="right"/>
            </w:pPr>
            <w:r w:rsidRPr="00C261EC">
              <w:t>0</w:t>
            </w:r>
          </w:p>
        </w:tc>
        <w:tc>
          <w:tcPr>
            <w:tcW w:w="546" w:type="pct"/>
            <w:hideMark/>
          </w:tcPr>
          <w:p w14:paraId="265557CE" w14:textId="77777777" w:rsidR="00741E83" w:rsidRPr="00C261EC" w:rsidRDefault="00741E83" w:rsidP="00E74FEF">
            <w:pPr>
              <w:jc w:val="right"/>
            </w:pPr>
            <w:r w:rsidRPr="00C261EC">
              <w:t>0</w:t>
            </w:r>
          </w:p>
        </w:tc>
        <w:tc>
          <w:tcPr>
            <w:tcW w:w="443" w:type="pct"/>
            <w:hideMark/>
          </w:tcPr>
          <w:p w14:paraId="33164930" w14:textId="77777777" w:rsidR="00741E83" w:rsidRPr="00C261EC" w:rsidRDefault="00741E83" w:rsidP="00E74FEF">
            <w:pPr>
              <w:jc w:val="right"/>
            </w:pPr>
            <w:r w:rsidRPr="00C261EC">
              <w:t>0</w:t>
            </w:r>
          </w:p>
        </w:tc>
        <w:tc>
          <w:tcPr>
            <w:tcW w:w="546" w:type="pct"/>
            <w:hideMark/>
          </w:tcPr>
          <w:p w14:paraId="7902779F" w14:textId="77777777" w:rsidR="00741E83" w:rsidRPr="00C261EC" w:rsidRDefault="00741E83" w:rsidP="00E74FEF">
            <w:pPr>
              <w:jc w:val="right"/>
            </w:pPr>
            <w:r w:rsidRPr="00C261EC">
              <w:t>0</w:t>
            </w:r>
          </w:p>
        </w:tc>
        <w:tc>
          <w:tcPr>
            <w:tcW w:w="948" w:type="pct"/>
            <w:hideMark/>
          </w:tcPr>
          <w:p w14:paraId="6EB41003" w14:textId="77777777" w:rsidR="00741E83" w:rsidRPr="00C261EC" w:rsidRDefault="00741E83" w:rsidP="00E74FEF">
            <w:pPr>
              <w:jc w:val="right"/>
            </w:pPr>
            <w:r w:rsidRPr="00C261EC">
              <w:t>0</w:t>
            </w:r>
          </w:p>
        </w:tc>
      </w:tr>
      <w:tr w:rsidR="00741E83" w:rsidRPr="00C261EC" w14:paraId="74F42D98" w14:textId="77777777" w:rsidTr="00541DAA">
        <w:trPr>
          <w:tblCellSpacing w:w="15" w:type="dxa"/>
        </w:trPr>
        <w:tc>
          <w:tcPr>
            <w:tcW w:w="856" w:type="pct"/>
            <w:hideMark/>
          </w:tcPr>
          <w:p w14:paraId="35665239" w14:textId="77777777" w:rsidR="00741E83" w:rsidRPr="00C261EC" w:rsidRDefault="00741E83" w:rsidP="00E74FEF">
            <w:r w:rsidRPr="00C261EC">
              <w:t>3.1. valsts pamatbudžets</w:t>
            </w:r>
          </w:p>
        </w:tc>
        <w:tc>
          <w:tcPr>
            <w:tcW w:w="530" w:type="pct"/>
            <w:hideMark/>
          </w:tcPr>
          <w:p w14:paraId="316D2B07" w14:textId="77777777" w:rsidR="00741E83" w:rsidRPr="00C261EC" w:rsidRDefault="00741E83" w:rsidP="00E74FEF">
            <w:pPr>
              <w:jc w:val="right"/>
            </w:pPr>
            <w:r w:rsidRPr="00C261EC">
              <w:t>0</w:t>
            </w:r>
          </w:p>
        </w:tc>
        <w:tc>
          <w:tcPr>
            <w:tcW w:w="545" w:type="pct"/>
            <w:hideMark/>
          </w:tcPr>
          <w:p w14:paraId="4418689C" w14:textId="77777777" w:rsidR="00741E83" w:rsidRPr="00C261EC" w:rsidRDefault="00541DAA" w:rsidP="00E74FEF">
            <w:pPr>
              <w:jc w:val="right"/>
            </w:pPr>
            <w:r>
              <w:t>-3 815</w:t>
            </w:r>
          </w:p>
        </w:tc>
        <w:tc>
          <w:tcPr>
            <w:tcW w:w="443" w:type="pct"/>
            <w:hideMark/>
          </w:tcPr>
          <w:p w14:paraId="777203EE" w14:textId="77777777" w:rsidR="00741E83" w:rsidRPr="00C261EC" w:rsidRDefault="00741E83" w:rsidP="00E74FEF">
            <w:pPr>
              <w:jc w:val="right"/>
            </w:pPr>
            <w:r w:rsidRPr="00C261EC">
              <w:t>0</w:t>
            </w:r>
          </w:p>
        </w:tc>
        <w:tc>
          <w:tcPr>
            <w:tcW w:w="546" w:type="pct"/>
            <w:hideMark/>
          </w:tcPr>
          <w:p w14:paraId="6C0DCACD" w14:textId="77777777" w:rsidR="00741E83" w:rsidRPr="00C261EC" w:rsidRDefault="00741E83" w:rsidP="00E74FEF">
            <w:pPr>
              <w:jc w:val="right"/>
            </w:pPr>
            <w:r w:rsidRPr="00C261EC">
              <w:t>0</w:t>
            </w:r>
          </w:p>
        </w:tc>
        <w:tc>
          <w:tcPr>
            <w:tcW w:w="443" w:type="pct"/>
            <w:hideMark/>
          </w:tcPr>
          <w:p w14:paraId="682A18BA" w14:textId="77777777" w:rsidR="00741E83" w:rsidRPr="00C261EC" w:rsidRDefault="00741E83" w:rsidP="00E74FEF">
            <w:pPr>
              <w:jc w:val="right"/>
            </w:pPr>
            <w:r w:rsidRPr="00C261EC">
              <w:t>0</w:t>
            </w:r>
          </w:p>
        </w:tc>
        <w:tc>
          <w:tcPr>
            <w:tcW w:w="546" w:type="pct"/>
            <w:hideMark/>
          </w:tcPr>
          <w:p w14:paraId="320373F5" w14:textId="77777777" w:rsidR="00741E83" w:rsidRPr="00C261EC" w:rsidRDefault="00741E83" w:rsidP="00E74FEF">
            <w:pPr>
              <w:jc w:val="right"/>
            </w:pPr>
            <w:r w:rsidRPr="00C261EC">
              <w:t>0</w:t>
            </w:r>
          </w:p>
        </w:tc>
        <w:tc>
          <w:tcPr>
            <w:tcW w:w="948" w:type="pct"/>
            <w:hideMark/>
          </w:tcPr>
          <w:p w14:paraId="4984566B" w14:textId="77777777" w:rsidR="00741E83" w:rsidRPr="00C261EC" w:rsidRDefault="00741E83" w:rsidP="00E74FEF">
            <w:pPr>
              <w:jc w:val="right"/>
            </w:pPr>
            <w:r w:rsidRPr="00C261EC">
              <w:t>0</w:t>
            </w:r>
          </w:p>
        </w:tc>
      </w:tr>
      <w:tr w:rsidR="00741E83" w:rsidRPr="00C261EC" w14:paraId="71A99EF8" w14:textId="77777777" w:rsidTr="00541DAA">
        <w:trPr>
          <w:tblCellSpacing w:w="15" w:type="dxa"/>
        </w:trPr>
        <w:tc>
          <w:tcPr>
            <w:tcW w:w="856" w:type="pct"/>
            <w:hideMark/>
          </w:tcPr>
          <w:p w14:paraId="5686218B" w14:textId="77777777" w:rsidR="00741E83" w:rsidRPr="00C261EC" w:rsidRDefault="00741E83" w:rsidP="00E74FEF">
            <w:r w:rsidRPr="00C261EC">
              <w:t>3.2. speciālais budžets</w:t>
            </w:r>
          </w:p>
        </w:tc>
        <w:tc>
          <w:tcPr>
            <w:tcW w:w="530" w:type="pct"/>
            <w:hideMark/>
          </w:tcPr>
          <w:p w14:paraId="72C1BF1D" w14:textId="77777777" w:rsidR="00741E83" w:rsidRPr="00C261EC" w:rsidRDefault="00741E83" w:rsidP="00E74FEF">
            <w:pPr>
              <w:jc w:val="right"/>
            </w:pPr>
            <w:r w:rsidRPr="00C261EC">
              <w:t>0</w:t>
            </w:r>
          </w:p>
        </w:tc>
        <w:tc>
          <w:tcPr>
            <w:tcW w:w="545" w:type="pct"/>
            <w:hideMark/>
          </w:tcPr>
          <w:p w14:paraId="0DCDB1C7" w14:textId="77777777" w:rsidR="00741E83" w:rsidRPr="00C261EC" w:rsidRDefault="00741E83" w:rsidP="00E74FEF">
            <w:pPr>
              <w:jc w:val="right"/>
            </w:pPr>
            <w:r w:rsidRPr="00C261EC">
              <w:t>0</w:t>
            </w:r>
          </w:p>
        </w:tc>
        <w:tc>
          <w:tcPr>
            <w:tcW w:w="443" w:type="pct"/>
            <w:hideMark/>
          </w:tcPr>
          <w:p w14:paraId="2729C4AF" w14:textId="77777777" w:rsidR="00741E83" w:rsidRPr="00C261EC" w:rsidRDefault="00741E83" w:rsidP="00E74FEF">
            <w:pPr>
              <w:jc w:val="right"/>
            </w:pPr>
            <w:r w:rsidRPr="00C261EC">
              <w:t>0</w:t>
            </w:r>
          </w:p>
        </w:tc>
        <w:tc>
          <w:tcPr>
            <w:tcW w:w="546" w:type="pct"/>
            <w:hideMark/>
          </w:tcPr>
          <w:p w14:paraId="086B398E" w14:textId="77777777" w:rsidR="00741E83" w:rsidRPr="00C261EC" w:rsidRDefault="00741E83" w:rsidP="00E74FEF">
            <w:pPr>
              <w:jc w:val="right"/>
            </w:pPr>
            <w:r w:rsidRPr="00C261EC">
              <w:t>0</w:t>
            </w:r>
          </w:p>
        </w:tc>
        <w:tc>
          <w:tcPr>
            <w:tcW w:w="443" w:type="pct"/>
            <w:hideMark/>
          </w:tcPr>
          <w:p w14:paraId="148BB71C" w14:textId="77777777" w:rsidR="00741E83" w:rsidRPr="00C261EC" w:rsidRDefault="00741E83" w:rsidP="00E74FEF">
            <w:pPr>
              <w:jc w:val="right"/>
            </w:pPr>
            <w:r w:rsidRPr="00C261EC">
              <w:t>0</w:t>
            </w:r>
          </w:p>
        </w:tc>
        <w:tc>
          <w:tcPr>
            <w:tcW w:w="546" w:type="pct"/>
            <w:hideMark/>
          </w:tcPr>
          <w:p w14:paraId="4EFC5B54" w14:textId="77777777" w:rsidR="00741E83" w:rsidRPr="00C261EC" w:rsidRDefault="00741E83" w:rsidP="00E74FEF">
            <w:pPr>
              <w:jc w:val="right"/>
            </w:pPr>
            <w:r w:rsidRPr="00C261EC">
              <w:t>0</w:t>
            </w:r>
          </w:p>
        </w:tc>
        <w:tc>
          <w:tcPr>
            <w:tcW w:w="948" w:type="pct"/>
            <w:hideMark/>
          </w:tcPr>
          <w:p w14:paraId="42487B29" w14:textId="77777777" w:rsidR="00741E83" w:rsidRPr="00C261EC" w:rsidRDefault="00741E83" w:rsidP="00E74FEF">
            <w:pPr>
              <w:jc w:val="right"/>
            </w:pPr>
            <w:r w:rsidRPr="00C261EC">
              <w:t>0</w:t>
            </w:r>
          </w:p>
        </w:tc>
      </w:tr>
      <w:tr w:rsidR="00741E83" w:rsidRPr="00C261EC" w14:paraId="401F1CBE" w14:textId="77777777" w:rsidTr="00541DAA">
        <w:trPr>
          <w:tblCellSpacing w:w="15" w:type="dxa"/>
        </w:trPr>
        <w:tc>
          <w:tcPr>
            <w:tcW w:w="856" w:type="pct"/>
            <w:hideMark/>
          </w:tcPr>
          <w:p w14:paraId="13449073" w14:textId="77777777" w:rsidR="00741E83" w:rsidRPr="00C261EC" w:rsidRDefault="00741E83" w:rsidP="00E74FEF">
            <w:r w:rsidRPr="00C261EC">
              <w:t>3.3. pašvaldību budžets</w:t>
            </w:r>
          </w:p>
        </w:tc>
        <w:tc>
          <w:tcPr>
            <w:tcW w:w="530" w:type="pct"/>
            <w:hideMark/>
          </w:tcPr>
          <w:p w14:paraId="48664519" w14:textId="77777777" w:rsidR="00741E83" w:rsidRPr="00C261EC" w:rsidRDefault="00741E83" w:rsidP="00E74FEF">
            <w:pPr>
              <w:jc w:val="right"/>
            </w:pPr>
            <w:r w:rsidRPr="00C261EC">
              <w:t>0</w:t>
            </w:r>
          </w:p>
        </w:tc>
        <w:tc>
          <w:tcPr>
            <w:tcW w:w="545" w:type="pct"/>
            <w:hideMark/>
          </w:tcPr>
          <w:p w14:paraId="1675A833" w14:textId="77777777" w:rsidR="00741E83" w:rsidRPr="00C261EC" w:rsidRDefault="00741E83" w:rsidP="00E74FEF">
            <w:pPr>
              <w:jc w:val="right"/>
            </w:pPr>
            <w:r w:rsidRPr="00C261EC">
              <w:t>0</w:t>
            </w:r>
          </w:p>
        </w:tc>
        <w:tc>
          <w:tcPr>
            <w:tcW w:w="443" w:type="pct"/>
            <w:hideMark/>
          </w:tcPr>
          <w:p w14:paraId="3AC27762" w14:textId="77777777" w:rsidR="00741E83" w:rsidRPr="00C261EC" w:rsidRDefault="00741E83" w:rsidP="00E74FEF">
            <w:pPr>
              <w:jc w:val="right"/>
            </w:pPr>
            <w:r w:rsidRPr="00C261EC">
              <w:t>0</w:t>
            </w:r>
          </w:p>
        </w:tc>
        <w:tc>
          <w:tcPr>
            <w:tcW w:w="546" w:type="pct"/>
            <w:hideMark/>
          </w:tcPr>
          <w:p w14:paraId="516AAFAF" w14:textId="77777777" w:rsidR="00741E83" w:rsidRPr="00C261EC" w:rsidRDefault="00741E83" w:rsidP="00E74FEF">
            <w:pPr>
              <w:jc w:val="right"/>
            </w:pPr>
            <w:r w:rsidRPr="00C261EC">
              <w:t>0</w:t>
            </w:r>
          </w:p>
        </w:tc>
        <w:tc>
          <w:tcPr>
            <w:tcW w:w="443" w:type="pct"/>
            <w:hideMark/>
          </w:tcPr>
          <w:p w14:paraId="04E2B88D" w14:textId="77777777" w:rsidR="00741E83" w:rsidRPr="00C261EC" w:rsidRDefault="00741E83" w:rsidP="00E74FEF">
            <w:pPr>
              <w:jc w:val="right"/>
            </w:pPr>
            <w:r w:rsidRPr="00C261EC">
              <w:t>0</w:t>
            </w:r>
          </w:p>
        </w:tc>
        <w:tc>
          <w:tcPr>
            <w:tcW w:w="546" w:type="pct"/>
            <w:hideMark/>
          </w:tcPr>
          <w:p w14:paraId="08CEA2E3" w14:textId="77777777" w:rsidR="00741E83" w:rsidRPr="00C261EC" w:rsidRDefault="00741E83" w:rsidP="00E74FEF">
            <w:pPr>
              <w:jc w:val="right"/>
            </w:pPr>
            <w:r w:rsidRPr="00C261EC">
              <w:t>0</w:t>
            </w:r>
          </w:p>
        </w:tc>
        <w:tc>
          <w:tcPr>
            <w:tcW w:w="948" w:type="pct"/>
            <w:hideMark/>
          </w:tcPr>
          <w:p w14:paraId="7A4B91A3" w14:textId="77777777" w:rsidR="00741E83" w:rsidRPr="00C261EC" w:rsidRDefault="00741E83" w:rsidP="00E74FEF">
            <w:pPr>
              <w:jc w:val="right"/>
            </w:pPr>
            <w:r w:rsidRPr="00C261EC">
              <w:t>0</w:t>
            </w:r>
          </w:p>
        </w:tc>
      </w:tr>
      <w:tr w:rsidR="00741E83" w:rsidRPr="00C261EC" w14:paraId="46A0C98D" w14:textId="77777777" w:rsidTr="00541DAA">
        <w:trPr>
          <w:tblCellSpacing w:w="15" w:type="dxa"/>
        </w:trPr>
        <w:tc>
          <w:tcPr>
            <w:tcW w:w="856" w:type="pct"/>
            <w:hideMark/>
          </w:tcPr>
          <w:p w14:paraId="049E68B0" w14:textId="77777777" w:rsidR="00741E83" w:rsidRPr="00C261EC" w:rsidRDefault="00741E83" w:rsidP="00E74FEF">
            <w:r w:rsidRPr="00C261EC">
              <w:t>4. Finanšu līdzekļi papildu izdevumu finansēšanai (kompensējošu izdevumu samazinājumu norāda ar "+" zīmi)</w:t>
            </w:r>
          </w:p>
        </w:tc>
        <w:tc>
          <w:tcPr>
            <w:tcW w:w="530" w:type="pct"/>
            <w:hideMark/>
          </w:tcPr>
          <w:p w14:paraId="4C22DC3D" w14:textId="77777777" w:rsidR="00741E83" w:rsidRPr="00C261EC" w:rsidRDefault="00741E83" w:rsidP="00E74FEF">
            <w:pPr>
              <w:jc w:val="center"/>
            </w:pPr>
            <w:r w:rsidRPr="00C261EC">
              <w:t>X</w:t>
            </w:r>
          </w:p>
        </w:tc>
        <w:tc>
          <w:tcPr>
            <w:tcW w:w="545" w:type="pct"/>
            <w:hideMark/>
          </w:tcPr>
          <w:p w14:paraId="7067E1C1" w14:textId="77777777" w:rsidR="00741E83" w:rsidRPr="00C261EC" w:rsidRDefault="00541DAA" w:rsidP="00E74FEF">
            <w:pPr>
              <w:jc w:val="right"/>
            </w:pPr>
            <w:r>
              <w:t>3 815</w:t>
            </w:r>
          </w:p>
        </w:tc>
        <w:tc>
          <w:tcPr>
            <w:tcW w:w="443" w:type="pct"/>
            <w:hideMark/>
          </w:tcPr>
          <w:p w14:paraId="5C4CA1E5" w14:textId="77777777" w:rsidR="00741E83" w:rsidRPr="00C261EC" w:rsidRDefault="00741E83" w:rsidP="00E74FEF">
            <w:pPr>
              <w:jc w:val="right"/>
            </w:pPr>
            <w:r w:rsidRPr="00C261EC">
              <w:t>0</w:t>
            </w:r>
          </w:p>
        </w:tc>
        <w:tc>
          <w:tcPr>
            <w:tcW w:w="546" w:type="pct"/>
            <w:hideMark/>
          </w:tcPr>
          <w:p w14:paraId="02EBC6E8" w14:textId="77777777" w:rsidR="00741E83" w:rsidRPr="00C261EC" w:rsidRDefault="00741E83" w:rsidP="00E74FEF">
            <w:pPr>
              <w:jc w:val="right"/>
            </w:pPr>
            <w:r w:rsidRPr="00C261EC">
              <w:t>0</w:t>
            </w:r>
          </w:p>
        </w:tc>
        <w:tc>
          <w:tcPr>
            <w:tcW w:w="443" w:type="pct"/>
            <w:hideMark/>
          </w:tcPr>
          <w:p w14:paraId="2A3A574C" w14:textId="77777777" w:rsidR="00741E83" w:rsidRPr="00C261EC" w:rsidRDefault="00741E83" w:rsidP="00E74FEF">
            <w:pPr>
              <w:jc w:val="right"/>
            </w:pPr>
            <w:r w:rsidRPr="00C261EC">
              <w:t>0</w:t>
            </w:r>
          </w:p>
        </w:tc>
        <w:tc>
          <w:tcPr>
            <w:tcW w:w="546" w:type="pct"/>
            <w:hideMark/>
          </w:tcPr>
          <w:p w14:paraId="1B33CE1D" w14:textId="77777777" w:rsidR="00741E83" w:rsidRPr="00C261EC" w:rsidRDefault="00741E83" w:rsidP="00E74FEF">
            <w:pPr>
              <w:jc w:val="right"/>
            </w:pPr>
            <w:r w:rsidRPr="00C261EC">
              <w:t>0</w:t>
            </w:r>
          </w:p>
        </w:tc>
        <w:tc>
          <w:tcPr>
            <w:tcW w:w="948" w:type="pct"/>
            <w:hideMark/>
          </w:tcPr>
          <w:p w14:paraId="2D76EE4D" w14:textId="77777777" w:rsidR="00741E83" w:rsidRPr="00C261EC" w:rsidRDefault="00741E83" w:rsidP="00E74FEF">
            <w:pPr>
              <w:jc w:val="right"/>
            </w:pPr>
            <w:r w:rsidRPr="00C261EC">
              <w:t>0</w:t>
            </w:r>
          </w:p>
        </w:tc>
      </w:tr>
      <w:tr w:rsidR="00741E83" w:rsidRPr="00C261EC" w14:paraId="4E9BDC13" w14:textId="77777777" w:rsidTr="00541DAA">
        <w:trPr>
          <w:tblCellSpacing w:w="15" w:type="dxa"/>
        </w:trPr>
        <w:tc>
          <w:tcPr>
            <w:tcW w:w="856" w:type="pct"/>
            <w:hideMark/>
          </w:tcPr>
          <w:p w14:paraId="21610E4D" w14:textId="77777777" w:rsidR="00741E83" w:rsidRPr="00C261EC" w:rsidRDefault="00741E83" w:rsidP="00E74FEF">
            <w:r w:rsidRPr="00C261EC">
              <w:t>5. Precizēta finansiālā ietekme</w:t>
            </w:r>
          </w:p>
        </w:tc>
        <w:tc>
          <w:tcPr>
            <w:tcW w:w="530" w:type="pct"/>
            <w:vMerge w:val="restart"/>
            <w:hideMark/>
          </w:tcPr>
          <w:p w14:paraId="236E5EEA" w14:textId="77777777" w:rsidR="00741E83" w:rsidRPr="00C261EC" w:rsidRDefault="00741E83" w:rsidP="00E74FEF">
            <w:pPr>
              <w:jc w:val="center"/>
            </w:pPr>
            <w:r w:rsidRPr="00C261EC">
              <w:t>X</w:t>
            </w:r>
          </w:p>
        </w:tc>
        <w:tc>
          <w:tcPr>
            <w:tcW w:w="545" w:type="pct"/>
            <w:hideMark/>
          </w:tcPr>
          <w:p w14:paraId="5C3C00A9" w14:textId="77777777" w:rsidR="00741E83" w:rsidRPr="00C261EC" w:rsidRDefault="00741E83" w:rsidP="00E74FEF">
            <w:pPr>
              <w:jc w:val="right"/>
            </w:pPr>
            <w:r w:rsidRPr="00C261EC">
              <w:t>0</w:t>
            </w:r>
          </w:p>
        </w:tc>
        <w:tc>
          <w:tcPr>
            <w:tcW w:w="443" w:type="pct"/>
            <w:vMerge w:val="restart"/>
            <w:hideMark/>
          </w:tcPr>
          <w:p w14:paraId="04F24271" w14:textId="77777777" w:rsidR="00741E83" w:rsidRPr="00C261EC" w:rsidRDefault="00741E83" w:rsidP="00E74FEF">
            <w:pPr>
              <w:jc w:val="right"/>
            </w:pPr>
            <w:r w:rsidRPr="00C261EC">
              <w:t>0</w:t>
            </w:r>
          </w:p>
        </w:tc>
        <w:tc>
          <w:tcPr>
            <w:tcW w:w="546" w:type="pct"/>
            <w:hideMark/>
          </w:tcPr>
          <w:p w14:paraId="5CEBA3DE" w14:textId="77777777" w:rsidR="00741E83" w:rsidRPr="00C261EC" w:rsidRDefault="00741E83" w:rsidP="00E74FEF">
            <w:pPr>
              <w:jc w:val="right"/>
            </w:pPr>
            <w:r w:rsidRPr="00C261EC">
              <w:t>0</w:t>
            </w:r>
          </w:p>
        </w:tc>
        <w:tc>
          <w:tcPr>
            <w:tcW w:w="443" w:type="pct"/>
            <w:vMerge w:val="restart"/>
            <w:hideMark/>
          </w:tcPr>
          <w:p w14:paraId="56FA6C0A" w14:textId="77777777" w:rsidR="00741E83" w:rsidRPr="00C261EC" w:rsidRDefault="00741E83" w:rsidP="00E74FEF">
            <w:pPr>
              <w:jc w:val="right"/>
            </w:pPr>
            <w:r w:rsidRPr="00C261EC">
              <w:t>0</w:t>
            </w:r>
          </w:p>
        </w:tc>
        <w:tc>
          <w:tcPr>
            <w:tcW w:w="546" w:type="pct"/>
            <w:hideMark/>
          </w:tcPr>
          <w:p w14:paraId="600FA727" w14:textId="77777777" w:rsidR="00741E83" w:rsidRPr="00C261EC" w:rsidRDefault="00741E83" w:rsidP="00E74FEF">
            <w:pPr>
              <w:jc w:val="right"/>
            </w:pPr>
            <w:r w:rsidRPr="00C261EC">
              <w:t>0</w:t>
            </w:r>
          </w:p>
        </w:tc>
        <w:tc>
          <w:tcPr>
            <w:tcW w:w="948" w:type="pct"/>
            <w:hideMark/>
          </w:tcPr>
          <w:p w14:paraId="538C761B" w14:textId="77777777" w:rsidR="00741E83" w:rsidRPr="00C261EC" w:rsidRDefault="00741E83" w:rsidP="00E74FEF">
            <w:pPr>
              <w:jc w:val="right"/>
            </w:pPr>
            <w:r w:rsidRPr="00C261EC">
              <w:t>0</w:t>
            </w:r>
          </w:p>
        </w:tc>
      </w:tr>
      <w:tr w:rsidR="00741E83" w:rsidRPr="00C261EC" w14:paraId="50DFCFB7" w14:textId="77777777" w:rsidTr="00541DAA">
        <w:trPr>
          <w:tblCellSpacing w:w="15" w:type="dxa"/>
        </w:trPr>
        <w:tc>
          <w:tcPr>
            <w:tcW w:w="856" w:type="pct"/>
            <w:hideMark/>
          </w:tcPr>
          <w:p w14:paraId="4C569ED1" w14:textId="77777777" w:rsidR="00741E83" w:rsidRPr="00C261EC" w:rsidRDefault="00741E83" w:rsidP="00E74FEF">
            <w:r w:rsidRPr="00C261EC">
              <w:t>5.1. valsts pamatbudžets</w:t>
            </w:r>
          </w:p>
        </w:tc>
        <w:tc>
          <w:tcPr>
            <w:tcW w:w="530" w:type="pct"/>
            <w:vMerge/>
            <w:hideMark/>
          </w:tcPr>
          <w:p w14:paraId="32179091" w14:textId="77777777" w:rsidR="00741E83" w:rsidRPr="00C261EC" w:rsidRDefault="00741E83" w:rsidP="00E74FEF">
            <w:pPr>
              <w:jc w:val="right"/>
            </w:pPr>
          </w:p>
        </w:tc>
        <w:tc>
          <w:tcPr>
            <w:tcW w:w="545" w:type="pct"/>
            <w:hideMark/>
          </w:tcPr>
          <w:p w14:paraId="4D11DFF2" w14:textId="77777777" w:rsidR="00741E83" w:rsidRPr="00C261EC" w:rsidRDefault="00741E83" w:rsidP="00E74FEF">
            <w:pPr>
              <w:jc w:val="right"/>
            </w:pPr>
            <w:r w:rsidRPr="00C261EC">
              <w:t>0</w:t>
            </w:r>
          </w:p>
        </w:tc>
        <w:tc>
          <w:tcPr>
            <w:tcW w:w="0" w:type="auto"/>
            <w:vMerge/>
            <w:hideMark/>
          </w:tcPr>
          <w:p w14:paraId="41C91584" w14:textId="77777777" w:rsidR="00741E83" w:rsidRPr="00C261EC" w:rsidRDefault="00741E83" w:rsidP="00E74FEF">
            <w:pPr>
              <w:jc w:val="right"/>
            </w:pPr>
          </w:p>
        </w:tc>
        <w:tc>
          <w:tcPr>
            <w:tcW w:w="546" w:type="pct"/>
            <w:hideMark/>
          </w:tcPr>
          <w:p w14:paraId="5A4B312F" w14:textId="77777777" w:rsidR="00741E83" w:rsidRPr="00C261EC" w:rsidRDefault="00741E83" w:rsidP="00E74FEF">
            <w:pPr>
              <w:jc w:val="right"/>
            </w:pPr>
            <w:r w:rsidRPr="00C261EC">
              <w:t>0</w:t>
            </w:r>
          </w:p>
        </w:tc>
        <w:tc>
          <w:tcPr>
            <w:tcW w:w="0" w:type="auto"/>
            <w:vMerge/>
            <w:hideMark/>
          </w:tcPr>
          <w:p w14:paraId="11AAB5D0" w14:textId="77777777" w:rsidR="00741E83" w:rsidRPr="00C261EC" w:rsidRDefault="00741E83" w:rsidP="00E74FEF">
            <w:pPr>
              <w:jc w:val="right"/>
            </w:pPr>
          </w:p>
        </w:tc>
        <w:tc>
          <w:tcPr>
            <w:tcW w:w="546" w:type="pct"/>
            <w:hideMark/>
          </w:tcPr>
          <w:p w14:paraId="5D0DA8F4" w14:textId="77777777" w:rsidR="00741E83" w:rsidRPr="00C261EC" w:rsidRDefault="00741E83" w:rsidP="00E74FEF">
            <w:pPr>
              <w:jc w:val="right"/>
            </w:pPr>
            <w:r w:rsidRPr="00C261EC">
              <w:t>0</w:t>
            </w:r>
          </w:p>
        </w:tc>
        <w:tc>
          <w:tcPr>
            <w:tcW w:w="948" w:type="pct"/>
            <w:hideMark/>
          </w:tcPr>
          <w:p w14:paraId="701781EA" w14:textId="77777777" w:rsidR="00741E83" w:rsidRPr="00C261EC" w:rsidRDefault="00741E83" w:rsidP="00E74FEF">
            <w:pPr>
              <w:jc w:val="right"/>
            </w:pPr>
            <w:r w:rsidRPr="00C261EC">
              <w:t>0</w:t>
            </w:r>
          </w:p>
        </w:tc>
      </w:tr>
      <w:tr w:rsidR="00741E83" w:rsidRPr="00C261EC" w14:paraId="09459F8F" w14:textId="77777777" w:rsidTr="00541DAA">
        <w:trPr>
          <w:tblCellSpacing w:w="15" w:type="dxa"/>
        </w:trPr>
        <w:tc>
          <w:tcPr>
            <w:tcW w:w="856" w:type="pct"/>
            <w:hideMark/>
          </w:tcPr>
          <w:p w14:paraId="353073ED" w14:textId="77777777" w:rsidR="00741E83" w:rsidRPr="00C261EC" w:rsidRDefault="00741E83" w:rsidP="00E74FEF">
            <w:r w:rsidRPr="00C261EC">
              <w:t>5.2. speciālais budžets</w:t>
            </w:r>
          </w:p>
        </w:tc>
        <w:tc>
          <w:tcPr>
            <w:tcW w:w="530" w:type="pct"/>
            <w:vMerge/>
            <w:hideMark/>
          </w:tcPr>
          <w:p w14:paraId="1EDC19C6" w14:textId="77777777" w:rsidR="00741E83" w:rsidRPr="00C261EC" w:rsidRDefault="00741E83" w:rsidP="00E74FEF">
            <w:pPr>
              <w:jc w:val="right"/>
            </w:pPr>
          </w:p>
        </w:tc>
        <w:tc>
          <w:tcPr>
            <w:tcW w:w="545" w:type="pct"/>
            <w:hideMark/>
          </w:tcPr>
          <w:p w14:paraId="7CD59020" w14:textId="77777777" w:rsidR="00741E83" w:rsidRPr="00C261EC" w:rsidRDefault="00741E83" w:rsidP="00E74FEF">
            <w:pPr>
              <w:jc w:val="right"/>
            </w:pPr>
            <w:r w:rsidRPr="00C261EC">
              <w:t>0</w:t>
            </w:r>
          </w:p>
        </w:tc>
        <w:tc>
          <w:tcPr>
            <w:tcW w:w="0" w:type="auto"/>
            <w:vMerge/>
            <w:hideMark/>
          </w:tcPr>
          <w:p w14:paraId="28071B9B" w14:textId="77777777" w:rsidR="00741E83" w:rsidRPr="00C261EC" w:rsidRDefault="00741E83" w:rsidP="00E74FEF">
            <w:pPr>
              <w:jc w:val="right"/>
            </w:pPr>
          </w:p>
        </w:tc>
        <w:tc>
          <w:tcPr>
            <w:tcW w:w="546" w:type="pct"/>
            <w:hideMark/>
          </w:tcPr>
          <w:p w14:paraId="33BAC614" w14:textId="77777777" w:rsidR="00741E83" w:rsidRPr="00C261EC" w:rsidRDefault="00741E83" w:rsidP="00E74FEF">
            <w:pPr>
              <w:jc w:val="right"/>
            </w:pPr>
            <w:r w:rsidRPr="00C261EC">
              <w:t>0</w:t>
            </w:r>
          </w:p>
        </w:tc>
        <w:tc>
          <w:tcPr>
            <w:tcW w:w="0" w:type="auto"/>
            <w:vMerge/>
            <w:hideMark/>
          </w:tcPr>
          <w:p w14:paraId="1F4DACA8" w14:textId="77777777" w:rsidR="00741E83" w:rsidRPr="00C261EC" w:rsidRDefault="00741E83" w:rsidP="00E74FEF">
            <w:pPr>
              <w:jc w:val="right"/>
            </w:pPr>
          </w:p>
        </w:tc>
        <w:tc>
          <w:tcPr>
            <w:tcW w:w="546" w:type="pct"/>
            <w:hideMark/>
          </w:tcPr>
          <w:p w14:paraId="01E57623" w14:textId="77777777" w:rsidR="00741E83" w:rsidRPr="00C261EC" w:rsidRDefault="00741E83" w:rsidP="00E74FEF">
            <w:pPr>
              <w:jc w:val="right"/>
            </w:pPr>
            <w:r w:rsidRPr="00C261EC">
              <w:t>0</w:t>
            </w:r>
          </w:p>
        </w:tc>
        <w:tc>
          <w:tcPr>
            <w:tcW w:w="948" w:type="pct"/>
            <w:hideMark/>
          </w:tcPr>
          <w:p w14:paraId="5AF1CCAB" w14:textId="77777777" w:rsidR="00741E83" w:rsidRPr="00C261EC" w:rsidRDefault="00741E83" w:rsidP="00E74FEF">
            <w:pPr>
              <w:jc w:val="right"/>
            </w:pPr>
            <w:r w:rsidRPr="00C261EC">
              <w:t>0</w:t>
            </w:r>
          </w:p>
        </w:tc>
      </w:tr>
      <w:tr w:rsidR="00741E83" w:rsidRPr="00C261EC" w14:paraId="5B854E73" w14:textId="77777777" w:rsidTr="00541DAA">
        <w:trPr>
          <w:tblCellSpacing w:w="15" w:type="dxa"/>
        </w:trPr>
        <w:tc>
          <w:tcPr>
            <w:tcW w:w="856" w:type="pct"/>
            <w:hideMark/>
          </w:tcPr>
          <w:p w14:paraId="4F06D67D" w14:textId="77777777" w:rsidR="00741E83" w:rsidRPr="00C261EC" w:rsidRDefault="00741E83" w:rsidP="00E74FEF">
            <w:r w:rsidRPr="00C261EC">
              <w:t>5.3. pašvaldību budžets</w:t>
            </w:r>
          </w:p>
        </w:tc>
        <w:tc>
          <w:tcPr>
            <w:tcW w:w="530" w:type="pct"/>
            <w:vMerge/>
            <w:hideMark/>
          </w:tcPr>
          <w:p w14:paraId="545F5353" w14:textId="77777777" w:rsidR="00741E83" w:rsidRPr="00C261EC" w:rsidRDefault="00741E83" w:rsidP="00E74FEF">
            <w:pPr>
              <w:jc w:val="right"/>
            </w:pPr>
          </w:p>
        </w:tc>
        <w:tc>
          <w:tcPr>
            <w:tcW w:w="545" w:type="pct"/>
            <w:hideMark/>
          </w:tcPr>
          <w:p w14:paraId="680C6FCA" w14:textId="77777777" w:rsidR="00741E83" w:rsidRPr="00C261EC" w:rsidRDefault="00741E83" w:rsidP="00E74FEF">
            <w:pPr>
              <w:jc w:val="right"/>
            </w:pPr>
            <w:r w:rsidRPr="00C261EC">
              <w:t>0</w:t>
            </w:r>
          </w:p>
        </w:tc>
        <w:tc>
          <w:tcPr>
            <w:tcW w:w="0" w:type="auto"/>
            <w:vMerge/>
            <w:hideMark/>
          </w:tcPr>
          <w:p w14:paraId="40299404" w14:textId="77777777" w:rsidR="00741E83" w:rsidRPr="00C261EC" w:rsidRDefault="00741E83" w:rsidP="00E74FEF">
            <w:pPr>
              <w:jc w:val="right"/>
            </w:pPr>
          </w:p>
        </w:tc>
        <w:tc>
          <w:tcPr>
            <w:tcW w:w="546" w:type="pct"/>
            <w:hideMark/>
          </w:tcPr>
          <w:p w14:paraId="16202C0E" w14:textId="77777777" w:rsidR="00741E83" w:rsidRPr="00C261EC" w:rsidRDefault="00741E83" w:rsidP="00E74FEF">
            <w:pPr>
              <w:jc w:val="right"/>
            </w:pPr>
            <w:r w:rsidRPr="00C261EC">
              <w:t>0</w:t>
            </w:r>
          </w:p>
        </w:tc>
        <w:tc>
          <w:tcPr>
            <w:tcW w:w="0" w:type="auto"/>
            <w:vMerge/>
            <w:hideMark/>
          </w:tcPr>
          <w:p w14:paraId="6B46DD51" w14:textId="77777777" w:rsidR="00741E83" w:rsidRPr="00C261EC" w:rsidRDefault="00741E83" w:rsidP="00E74FEF">
            <w:pPr>
              <w:jc w:val="right"/>
            </w:pPr>
          </w:p>
        </w:tc>
        <w:tc>
          <w:tcPr>
            <w:tcW w:w="546" w:type="pct"/>
            <w:hideMark/>
          </w:tcPr>
          <w:p w14:paraId="18A54A2A" w14:textId="77777777" w:rsidR="00741E83" w:rsidRPr="00C261EC" w:rsidRDefault="00741E83" w:rsidP="00E74FEF">
            <w:pPr>
              <w:jc w:val="right"/>
            </w:pPr>
            <w:r w:rsidRPr="00C261EC">
              <w:t>0</w:t>
            </w:r>
          </w:p>
        </w:tc>
        <w:tc>
          <w:tcPr>
            <w:tcW w:w="948" w:type="pct"/>
            <w:hideMark/>
          </w:tcPr>
          <w:p w14:paraId="181AE9BA" w14:textId="77777777" w:rsidR="00741E83" w:rsidRPr="00C261EC" w:rsidRDefault="00741E83" w:rsidP="00E74FEF">
            <w:pPr>
              <w:jc w:val="right"/>
            </w:pPr>
            <w:r w:rsidRPr="00C261EC">
              <w:t>0</w:t>
            </w:r>
          </w:p>
        </w:tc>
      </w:tr>
      <w:tr w:rsidR="00741E83" w:rsidRPr="00C261EC" w14:paraId="57656965" w14:textId="77777777" w:rsidTr="00541DAA">
        <w:trPr>
          <w:tblCellSpacing w:w="15" w:type="dxa"/>
        </w:trPr>
        <w:tc>
          <w:tcPr>
            <w:tcW w:w="856" w:type="pct"/>
            <w:hideMark/>
          </w:tcPr>
          <w:p w14:paraId="241F6F5D" w14:textId="77777777" w:rsidR="00741E83" w:rsidRPr="00C261EC" w:rsidRDefault="00741E83" w:rsidP="00E74FEF">
            <w:r w:rsidRPr="00C261EC">
              <w:t>6. Detalizēts ieņēmumu un izdevumu aprēķins (ja nepieciešams, detalizētu ieņēmumu un izdevumu aprēķinu var pievienot anotācijas pielikumā)</w:t>
            </w:r>
          </w:p>
        </w:tc>
        <w:tc>
          <w:tcPr>
            <w:tcW w:w="4096" w:type="pct"/>
            <w:gridSpan w:val="7"/>
            <w:vMerge w:val="restart"/>
            <w:vAlign w:val="center"/>
            <w:hideMark/>
          </w:tcPr>
          <w:p w14:paraId="6500179A" w14:textId="77777777" w:rsidR="00741E83" w:rsidRPr="00E73D1F" w:rsidRDefault="00741E83" w:rsidP="00741E83">
            <w:pPr>
              <w:ind w:right="141"/>
              <w:jc w:val="center"/>
            </w:pPr>
            <w:r w:rsidRPr="00E73D1F">
              <w:t>Aprēķins LNG pieprasījumam</w:t>
            </w:r>
          </w:p>
          <w:p w14:paraId="4F966076" w14:textId="77777777" w:rsidR="00741E83" w:rsidRPr="00E73D1F" w:rsidRDefault="00741E83" w:rsidP="00741E83">
            <w:pPr>
              <w:ind w:right="141"/>
              <w:jc w:val="center"/>
            </w:pPr>
            <w:r w:rsidRPr="00E73D1F">
              <w:t>(OECD eksperti Rīgā 09.07 -11.07)</w:t>
            </w:r>
          </w:p>
          <w:p w14:paraId="56FF6FD3" w14:textId="77777777" w:rsidR="00741E83" w:rsidRPr="00E73D1F" w:rsidRDefault="00741E83" w:rsidP="00741E83">
            <w:pPr>
              <w:ind w:right="141"/>
              <w:jc w:val="center"/>
              <w:rPr>
                <w:i/>
              </w:rPr>
            </w:pPr>
            <w:r>
              <w:rPr>
                <w:i/>
              </w:rPr>
              <w:t xml:space="preserve">                                                                                                </w:t>
            </w:r>
            <w:proofErr w:type="spellStart"/>
            <w:r w:rsidRPr="00E73D1F">
              <w:rPr>
                <w:i/>
              </w:rPr>
              <w:t>Euro</w:t>
            </w:r>
            <w:proofErr w:type="spellEnd"/>
          </w:p>
          <w:tbl>
            <w:tblPr>
              <w:tblW w:w="6600" w:type="dxa"/>
              <w:jc w:val="center"/>
              <w:tblLook w:val="04A0" w:firstRow="1" w:lastRow="0" w:firstColumn="1" w:lastColumn="0" w:noHBand="0" w:noVBand="1"/>
            </w:tblPr>
            <w:tblGrid>
              <w:gridCol w:w="2876"/>
              <w:gridCol w:w="1248"/>
              <w:gridCol w:w="1252"/>
              <w:gridCol w:w="1224"/>
            </w:tblGrid>
            <w:tr w:rsidR="00741E83" w:rsidRPr="00E73D1F" w14:paraId="76ADA4AE" w14:textId="77777777" w:rsidTr="00E74FEF">
              <w:trPr>
                <w:trHeight w:val="630"/>
                <w:jc w:val="center"/>
              </w:trPr>
              <w:tc>
                <w:tcPr>
                  <w:tcW w:w="2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1CD24" w14:textId="77777777" w:rsidR="00741E83" w:rsidRPr="00E73D1F" w:rsidRDefault="00741E83" w:rsidP="00741E83">
                  <w:pPr>
                    <w:jc w:val="center"/>
                    <w:rPr>
                      <w:color w:val="000000"/>
                    </w:rPr>
                  </w:pPr>
                  <w:r w:rsidRPr="00E73D1F">
                    <w:rPr>
                      <w:color w:val="000000"/>
                    </w:rPr>
                    <w:t>Izdevumu veids</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14:paraId="48D7AF9A" w14:textId="77777777" w:rsidR="00741E83" w:rsidRPr="00E73D1F" w:rsidRDefault="00741E83" w:rsidP="00741E83">
                  <w:pPr>
                    <w:jc w:val="center"/>
                    <w:rPr>
                      <w:color w:val="000000"/>
                    </w:rPr>
                  </w:pPr>
                  <w:r w:rsidRPr="00E73D1F">
                    <w:rPr>
                      <w:color w:val="000000"/>
                    </w:rPr>
                    <w:t>Ekspertu skaits</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14:paraId="15787267" w14:textId="77777777" w:rsidR="00741E83" w:rsidRPr="00E73D1F" w:rsidRDefault="00741E83" w:rsidP="00741E83">
                  <w:pPr>
                    <w:jc w:val="center"/>
                    <w:rPr>
                      <w:color w:val="000000"/>
                    </w:rPr>
                  </w:pPr>
                  <w:r w:rsidRPr="00E73D1F">
                    <w:rPr>
                      <w:color w:val="000000"/>
                    </w:rPr>
                    <w:t>Izmaksas uz 1 personu</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48C98986" w14:textId="77777777" w:rsidR="00741E83" w:rsidRPr="00E73D1F" w:rsidRDefault="00741E83" w:rsidP="00741E83">
                  <w:pPr>
                    <w:jc w:val="center"/>
                    <w:rPr>
                      <w:color w:val="000000"/>
                    </w:rPr>
                  </w:pPr>
                  <w:r w:rsidRPr="00E73D1F">
                    <w:rPr>
                      <w:color w:val="000000"/>
                    </w:rPr>
                    <w:t>Kopā</w:t>
                  </w:r>
                </w:p>
              </w:tc>
            </w:tr>
            <w:tr w:rsidR="00741E83" w:rsidRPr="00E73D1F" w14:paraId="016A9D21" w14:textId="77777777" w:rsidTr="00E74FEF">
              <w:trPr>
                <w:trHeight w:val="315"/>
                <w:jc w:val="center"/>
              </w:trPr>
              <w:tc>
                <w:tcPr>
                  <w:tcW w:w="53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E93A097" w14:textId="77777777" w:rsidR="00741E83" w:rsidRPr="00E73D1F" w:rsidRDefault="00741E83" w:rsidP="00741E83">
                  <w:pPr>
                    <w:jc w:val="right"/>
                    <w:rPr>
                      <w:b/>
                      <w:bCs/>
                      <w:color w:val="000000"/>
                    </w:rPr>
                  </w:pPr>
                  <w:r w:rsidRPr="00E73D1F">
                    <w:rPr>
                      <w:b/>
                      <w:bCs/>
                      <w:color w:val="000000"/>
                    </w:rPr>
                    <w:t>Kopā:</w:t>
                  </w:r>
                </w:p>
              </w:tc>
              <w:tc>
                <w:tcPr>
                  <w:tcW w:w="1224" w:type="dxa"/>
                  <w:tcBorders>
                    <w:top w:val="nil"/>
                    <w:left w:val="nil"/>
                    <w:bottom w:val="single" w:sz="4" w:space="0" w:color="auto"/>
                    <w:right w:val="single" w:sz="4" w:space="0" w:color="auto"/>
                  </w:tcBorders>
                  <w:shd w:val="clear" w:color="auto" w:fill="auto"/>
                  <w:noWrap/>
                  <w:vAlign w:val="bottom"/>
                  <w:hideMark/>
                </w:tcPr>
                <w:p w14:paraId="0084CAF4" w14:textId="77777777" w:rsidR="00741E83" w:rsidRPr="00E73D1F" w:rsidRDefault="00741E83" w:rsidP="00741E83">
                  <w:pPr>
                    <w:jc w:val="right"/>
                    <w:rPr>
                      <w:b/>
                      <w:bCs/>
                      <w:color w:val="000000"/>
                    </w:rPr>
                  </w:pPr>
                  <w:r w:rsidRPr="00E73D1F">
                    <w:rPr>
                      <w:b/>
                      <w:bCs/>
                      <w:color w:val="000000"/>
                    </w:rPr>
                    <w:t>3 815</w:t>
                  </w:r>
                </w:p>
              </w:tc>
            </w:tr>
            <w:tr w:rsidR="00741E83" w:rsidRPr="00E73D1F" w14:paraId="40A4ABA2" w14:textId="77777777" w:rsidTr="00E74FEF">
              <w:trPr>
                <w:trHeight w:val="315"/>
                <w:jc w:val="center"/>
              </w:trPr>
              <w:tc>
                <w:tcPr>
                  <w:tcW w:w="2876" w:type="dxa"/>
                  <w:tcBorders>
                    <w:top w:val="nil"/>
                    <w:left w:val="single" w:sz="4" w:space="0" w:color="auto"/>
                    <w:bottom w:val="single" w:sz="4" w:space="0" w:color="auto"/>
                    <w:right w:val="single" w:sz="4" w:space="0" w:color="auto"/>
                  </w:tcBorders>
                  <w:shd w:val="clear" w:color="auto" w:fill="auto"/>
                  <w:noWrap/>
                  <w:vAlign w:val="bottom"/>
                  <w:hideMark/>
                </w:tcPr>
                <w:p w14:paraId="721AAE16" w14:textId="77777777" w:rsidR="00741E83" w:rsidRDefault="00741E83" w:rsidP="00741E83">
                  <w:pPr>
                    <w:rPr>
                      <w:color w:val="000000"/>
                    </w:rPr>
                  </w:pPr>
                  <w:r w:rsidRPr="00E73D1F">
                    <w:rPr>
                      <w:color w:val="000000"/>
                    </w:rPr>
                    <w:t>Avio biļetes</w:t>
                  </w:r>
                </w:p>
                <w:p w14:paraId="0495890D" w14:textId="77777777" w:rsidR="00741E83" w:rsidRPr="00E73D1F" w:rsidRDefault="00741E83" w:rsidP="00741E83">
                  <w:pPr>
                    <w:rPr>
                      <w:color w:val="000000"/>
                    </w:rPr>
                  </w:pPr>
                  <w:r>
                    <w:rPr>
                      <w:color w:val="000000"/>
                    </w:rPr>
                    <w:t>(Parīze – Rīga – Parīze)</w:t>
                  </w:r>
                </w:p>
              </w:tc>
              <w:tc>
                <w:tcPr>
                  <w:tcW w:w="1248" w:type="dxa"/>
                  <w:tcBorders>
                    <w:top w:val="nil"/>
                    <w:left w:val="nil"/>
                    <w:bottom w:val="single" w:sz="4" w:space="0" w:color="auto"/>
                    <w:right w:val="single" w:sz="4" w:space="0" w:color="auto"/>
                  </w:tcBorders>
                  <w:shd w:val="clear" w:color="auto" w:fill="auto"/>
                  <w:noWrap/>
                  <w:vAlign w:val="bottom"/>
                  <w:hideMark/>
                </w:tcPr>
                <w:p w14:paraId="77B77709" w14:textId="77777777" w:rsidR="00741E83" w:rsidRPr="00E73D1F" w:rsidRDefault="00741E83" w:rsidP="00741E83">
                  <w:pPr>
                    <w:jc w:val="center"/>
                    <w:rPr>
                      <w:color w:val="000000"/>
                    </w:rPr>
                  </w:pPr>
                  <w:r w:rsidRPr="00E73D1F">
                    <w:rPr>
                      <w:color w:val="000000"/>
                    </w:rPr>
                    <w:t>5</w:t>
                  </w:r>
                </w:p>
              </w:tc>
              <w:tc>
                <w:tcPr>
                  <w:tcW w:w="1252" w:type="dxa"/>
                  <w:tcBorders>
                    <w:top w:val="nil"/>
                    <w:left w:val="nil"/>
                    <w:bottom w:val="single" w:sz="4" w:space="0" w:color="auto"/>
                    <w:right w:val="single" w:sz="4" w:space="0" w:color="auto"/>
                  </w:tcBorders>
                  <w:shd w:val="clear" w:color="auto" w:fill="auto"/>
                  <w:noWrap/>
                  <w:vAlign w:val="bottom"/>
                  <w:hideMark/>
                </w:tcPr>
                <w:p w14:paraId="545E80C4" w14:textId="77777777" w:rsidR="00741E83" w:rsidRPr="00E73D1F" w:rsidRDefault="00741E83" w:rsidP="00741E83">
                  <w:pPr>
                    <w:jc w:val="right"/>
                    <w:rPr>
                      <w:color w:val="000000"/>
                    </w:rPr>
                  </w:pPr>
                  <w:r w:rsidRPr="00E73D1F">
                    <w:rPr>
                      <w:color w:val="000000"/>
                    </w:rPr>
                    <w:t>415</w:t>
                  </w:r>
                </w:p>
              </w:tc>
              <w:tc>
                <w:tcPr>
                  <w:tcW w:w="1224" w:type="dxa"/>
                  <w:tcBorders>
                    <w:top w:val="nil"/>
                    <w:left w:val="nil"/>
                    <w:bottom w:val="single" w:sz="4" w:space="0" w:color="auto"/>
                    <w:right w:val="single" w:sz="4" w:space="0" w:color="auto"/>
                  </w:tcBorders>
                  <w:shd w:val="clear" w:color="auto" w:fill="auto"/>
                  <w:noWrap/>
                  <w:vAlign w:val="bottom"/>
                  <w:hideMark/>
                </w:tcPr>
                <w:p w14:paraId="487EB9A4" w14:textId="77777777" w:rsidR="00741E83" w:rsidRPr="00E73D1F" w:rsidRDefault="00741E83" w:rsidP="00741E83">
                  <w:pPr>
                    <w:jc w:val="right"/>
                    <w:rPr>
                      <w:color w:val="000000"/>
                    </w:rPr>
                  </w:pPr>
                  <w:r w:rsidRPr="00E73D1F">
                    <w:rPr>
                      <w:color w:val="000000"/>
                    </w:rPr>
                    <w:t>2 075</w:t>
                  </w:r>
                </w:p>
              </w:tc>
            </w:tr>
            <w:tr w:rsidR="00741E83" w:rsidRPr="00E73D1F" w14:paraId="086D27B2" w14:textId="77777777" w:rsidTr="00E74FEF">
              <w:trPr>
                <w:trHeight w:val="315"/>
                <w:jc w:val="center"/>
              </w:trPr>
              <w:tc>
                <w:tcPr>
                  <w:tcW w:w="2876" w:type="dxa"/>
                  <w:tcBorders>
                    <w:top w:val="nil"/>
                    <w:left w:val="single" w:sz="4" w:space="0" w:color="auto"/>
                    <w:bottom w:val="single" w:sz="4" w:space="0" w:color="auto"/>
                    <w:right w:val="single" w:sz="4" w:space="0" w:color="auto"/>
                  </w:tcBorders>
                  <w:shd w:val="clear" w:color="auto" w:fill="auto"/>
                  <w:noWrap/>
                  <w:vAlign w:val="bottom"/>
                  <w:hideMark/>
                </w:tcPr>
                <w:p w14:paraId="085944A4" w14:textId="77777777" w:rsidR="00741E83" w:rsidRDefault="00741E83" w:rsidP="00741E83">
                  <w:pPr>
                    <w:rPr>
                      <w:color w:val="000000"/>
                    </w:rPr>
                  </w:pPr>
                  <w:r w:rsidRPr="00E73D1F">
                    <w:rPr>
                      <w:color w:val="000000"/>
                    </w:rPr>
                    <w:t>Viesnīcas izmaksas</w:t>
                  </w:r>
                </w:p>
                <w:p w14:paraId="63AAF26F" w14:textId="77777777" w:rsidR="00741E83" w:rsidRPr="00E73D1F" w:rsidRDefault="00741E83" w:rsidP="00741E83">
                  <w:pPr>
                    <w:rPr>
                      <w:color w:val="000000"/>
                    </w:rPr>
                  </w:pPr>
                  <w:r w:rsidRPr="00E73D1F">
                    <w:rPr>
                      <w:color w:val="000000"/>
                    </w:rPr>
                    <w:t>(2 naktis)</w:t>
                  </w:r>
                </w:p>
              </w:tc>
              <w:tc>
                <w:tcPr>
                  <w:tcW w:w="1248" w:type="dxa"/>
                  <w:tcBorders>
                    <w:top w:val="nil"/>
                    <w:left w:val="nil"/>
                    <w:bottom w:val="single" w:sz="4" w:space="0" w:color="auto"/>
                    <w:right w:val="single" w:sz="4" w:space="0" w:color="auto"/>
                  </w:tcBorders>
                  <w:shd w:val="clear" w:color="auto" w:fill="auto"/>
                  <w:noWrap/>
                  <w:vAlign w:val="bottom"/>
                  <w:hideMark/>
                </w:tcPr>
                <w:p w14:paraId="302388A2" w14:textId="77777777" w:rsidR="00741E83" w:rsidRPr="00E73D1F" w:rsidRDefault="00741E83" w:rsidP="00741E83">
                  <w:pPr>
                    <w:jc w:val="center"/>
                    <w:rPr>
                      <w:color w:val="000000"/>
                    </w:rPr>
                  </w:pPr>
                  <w:r w:rsidRPr="00E73D1F">
                    <w:rPr>
                      <w:color w:val="000000"/>
                    </w:rPr>
                    <w:t>5</w:t>
                  </w:r>
                </w:p>
              </w:tc>
              <w:tc>
                <w:tcPr>
                  <w:tcW w:w="1252" w:type="dxa"/>
                  <w:tcBorders>
                    <w:top w:val="nil"/>
                    <w:left w:val="nil"/>
                    <w:bottom w:val="single" w:sz="4" w:space="0" w:color="auto"/>
                    <w:right w:val="single" w:sz="4" w:space="0" w:color="auto"/>
                  </w:tcBorders>
                  <w:shd w:val="clear" w:color="auto" w:fill="auto"/>
                  <w:noWrap/>
                  <w:vAlign w:val="bottom"/>
                  <w:hideMark/>
                </w:tcPr>
                <w:p w14:paraId="5E3D6F70" w14:textId="77777777" w:rsidR="00741E83" w:rsidRPr="00E73D1F" w:rsidRDefault="00741E83" w:rsidP="00741E83">
                  <w:pPr>
                    <w:jc w:val="right"/>
                    <w:rPr>
                      <w:color w:val="000000"/>
                    </w:rPr>
                  </w:pPr>
                  <w:r w:rsidRPr="00E73D1F">
                    <w:rPr>
                      <w:color w:val="000000"/>
                    </w:rPr>
                    <w:t>348</w:t>
                  </w:r>
                </w:p>
              </w:tc>
              <w:tc>
                <w:tcPr>
                  <w:tcW w:w="1224" w:type="dxa"/>
                  <w:tcBorders>
                    <w:top w:val="nil"/>
                    <w:left w:val="nil"/>
                    <w:bottom w:val="single" w:sz="4" w:space="0" w:color="auto"/>
                    <w:right w:val="single" w:sz="4" w:space="0" w:color="auto"/>
                  </w:tcBorders>
                  <w:shd w:val="clear" w:color="auto" w:fill="auto"/>
                  <w:noWrap/>
                  <w:vAlign w:val="bottom"/>
                  <w:hideMark/>
                </w:tcPr>
                <w:p w14:paraId="75E90B8D" w14:textId="77777777" w:rsidR="00741E83" w:rsidRPr="00E73D1F" w:rsidRDefault="00741E83" w:rsidP="00741E83">
                  <w:pPr>
                    <w:jc w:val="right"/>
                    <w:rPr>
                      <w:color w:val="000000"/>
                    </w:rPr>
                  </w:pPr>
                  <w:r w:rsidRPr="00E73D1F">
                    <w:rPr>
                      <w:color w:val="000000"/>
                    </w:rPr>
                    <w:t>1 740</w:t>
                  </w:r>
                </w:p>
              </w:tc>
            </w:tr>
          </w:tbl>
          <w:p w14:paraId="5E989AB9" w14:textId="77777777" w:rsidR="00741E83" w:rsidRDefault="00741E83" w:rsidP="00741E83">
            <w:pPr>
              <w:ind w:right="141"/>
              <w:jc w:val="both"/>
            </w:pPr>
          </w:p>
          <w:p w14:paraId="1F749ADA" w14:textId="77777777" w:rsidR="00741E83" w:rsidRPr="00D853E8" w:rsidRDefault="00741E83" w:rsidP="00741E83">
            <w:pPr>
              <w:jc w:val="both"/>
            </w:pPr>
          </w:p>
        </w:tc>
      </w:tr>
      <w:tr w:rsidR="00741E83" w:rsidRPr="00C261EC" w14:paraId="005191E0" w14:textId="77777777" w:rsidTr="00541DAA">
        <w:trPr>
          <w:tblCellSpacing w:w="15" w:type="dxa"/>
        </w:trPr>
        <w:tc>
          <w:tcPr>
            <w:tcW w:w="856" w:type="pct"/>
            <w:hideMark/>
          </w:tcPr>
          <w:p w14:paraId="68893D7A" w14:textId="77777777" w:rsidR="00741E83" w:rsidRPr="00C261EC" w:rsidRDefault="00741E83" w:rsidP="00E74FEF">
            <w:r w:rsidRPr="00C261EC">
              <w:t>6.1. detalizēts ieņēmumu aprēķins</w:t>
            </w:r>
          </w:p>
        </w:tc>
        <w:tc>
          <w:tcPr>
            <w:tcW w:w="4096" w:type="pct"/>
            <w:gridSpan w:val="7"/>
            <w:vMerge/>
            <w:vAlign w:val="center"/>
            <w:hideMark/>
          </w:tcPr>
          <w:p w14:paraId="74085FD6" w14:textId="77777777" w:rsidR="00741E83" w:rsidRPr="00C261EC" w:rsidRDefault="00741E83" w:rsidP="00E74FEF">
            <w:pPr>
              <w:jc w:val="both"/>
            </w:pPr>
          </w:p>
        </w:tc>
      </w:tr>
      <w:tr w:rsidR="00741E83" w:rsidRPr="00C261EC" w14:paraId="04EC3E2F" w14:textId="77777777" w:rsidTr="00541DAA">
        <w:trPr>
          <w:tblCellSpacing w:w="15" w:type="dxa"/>
        </w:trPr>
        <w:tc>
          <w:tcPr>
            <w:tcW w:w="856" w:type="pct"/>
            <w:hideMark/>
          </w:tcPr>
          <w:p w14:paraId="5455FF0A" w14:textId="77777777" w:rsidR="00741E83" w:rsidRPr="00C261EC" w:rsidRDefault="00741E83" w:rsidP="00E74FEF">
            <w:r w:rsidRPr="00C261EC">
              <w:t>6.2. detalizēts izdevumu aprēķins</w:t>
            </w:r>
          </w:p>
        </w:tc>
        <w:tc>
          <w:tcPr>
            <w:tcW w:w="4096" w:type="pct"/>
            <w:gridSpan w:val="7"/>
            <w:vMerge/>
            <w:vAlign w:val="center"/>
            <w:hideMark/>
          </w:tcPr>
          <w:p w14:paraId="0225F31D" w14:textId="77777777" w:rsidR="00741E83" w:rsidRPr="00C261EC" w:rsidRDefault="00741E83" w:rsidP="00E74FEF">
            <w:pPr>
              <w:jc w:val="both"/>
            </w:pPr>
          </w:p>
        </w:tc>
      </w:tr>
      <w:tr w:rsidR="00741E83" w:rsidRPr="00C261EC" w14:paraId="0DB136BA" w14:textId="77777777" w:rsidTr="00541DAA">
        <w:trPr>
          <w:tblCellSpacing w:w="15" w:type="dxa"/>
        </w:trPr>
        <w:tc>
          <w:tcPr>
            <w:tcW w:w="856" w:type="pct"/>
            <w:hideMark/>
          </w:tcPr>
          <w:p w14:paraId="761A4FB7" w14:textId="77777777" w:rsidR="00741E83" w:rsidRPr="00C261EC" w:rsidRDefault="00741E83" w:rsidP="00E74FEF">
            <w:r w:rsidRPr="00C261EC">
              <w:lastRenderedPageBreak/>
              <w:t>7. Amata vietu skaita izmaiņas</w:t>
            </w:r>
          </w:p>
        </w:tc>
        <w:tc>
          <w:tcPr>
            <w:tcW w:w="4096" w:type="pct"/>
            <w:gridSpan w:val="7"/>
            <w:hideMark/>
          </w:tcPr>
          <w:p w14:paraId="6A710A9E" w14:textId="7BC748A0" w:rsidR="00741E83" w:rsidRPr="00C261EC" w:rsidRDefault="00281877" w:rsidP="00E74FEF">
            <w:pPr>
              <w:jc w:val="both"/>
              <w:rPr>
                <w:highlight w:val="yellow"/>
              </w:rPr>
            </w:pPr>
            <w:r>
              <w:t>P</w:t>
            </w:r>
            <w:r w:rsidR="00741E83" w:rsidRPr="00741E83">
              <w:t>rojekts šo jomu neskar.</w:t>
            </w:r>
            <w:r w:rsidR="00741E83" w:rsidRPr="00741E83">
              <w:tab/>
            </w:r>
          </w:p>
        </w:tc>
      </w:tr>
      <w:tr w:rsidR="00741E83" w:rsidRPr="00C261EC" w14:paraId="2DCA164A" w14:textId="77777777" w:rsidTr="00541DAA">
        <w:trPr>
          <w:tblCellSpacing w:w="15" w:type="dxa"/>
        </w:trPr>
        <w:tc>
          <w:tcPr>
            <w:tcW w:w="856" w:type="pct"/>
            <w:hideMark/>
          </w:tcPr>
          <w:p w14:paraId="628D438D" w14:textId="77777777" w:rsidR="00741E83" w:rsidRPr="00C261EC" w:rsidRDefault="00741E83" w:rsidP="00E74FEF">
            <w:r w:rsidRPr="00C261EC">
              <w:t>8. Cita informācija</w:t>
            </w:r>
          </w:p>
        </w:tc>
        <w:tc>
          <w:tcPr>
            <w:tcW w:w="4096" w:type="pct"/>
            <w:gridSpan w:val="7"/>
            <w:hideMark/>
          </w:tcPr>
          <w:p w14:paraId="60656B16" w14:textId="77777777" w:rsidR="00741E83" w:rsidRPr="00C261EC" w:rsidRDefault="00741E83" w:rsidP="00E74FEF">
            <w:pPr>
              <w:jc w:val="both"/>
              <w:rPr>
                <w:highlight w:val="yellow"/>
              </w:rPr>
            </w:pPr>
            <w:r w:rsidRPr="00741E83">
              <w:t>Izdevumus sedz no valsts budžeta programmas 02.00.00 „Līdzekļi neparedzētiem gadījumiem”.</w:t>
            </w:r>
          </w:p>
        </w:tc>
      </w:tr>
    </w:tbl>
    <w:p w14:paraId="3CC5F2EB" w14:textId="77777777" w:rsidR="00741E83" w:rsidRDefault="00741E83" w:rsidP="004D10DA"/>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99"/>
      </w:tblGrid>
      <w:tr w:rsidR="004D10DA" w:rsidRPr="00E73D1F" w14:paraId="06E9BB02" w14:textId="77777777" w:rsidTr="00C9099D">
        <w:trPr>
          <w:jc w:val="center"/>
        </w:trPr>
        <w:tc>
          <w:tcPr>
            <w:tcW w:w="9299" w:type="dxa"/>
            <w:vAlign w:val="center"/>
          </w:tcPr>
          <w:p w14:paraId="1104F9A4" w14:textId="77777777" w:rsidR="004D10DA" w:rsidRPr="00E73D1F" w:rsidRDefault="004D10DA" w:rsidP="008E3CF9">
            <w:pPr>
              <w:pStyle w:val="naisnod"/>
              <w:spacing w:before="0" w:beforeAutospacing="0" w:after="0" w:afterAutospacing="0"/>
              <w:jc w:val="center"/>
              <w:rPr>
                <w:b/>
                <w:color w:val="000000"/>
              </w:rPr>
            </w:pPr>
            <w:r w:rsidRPr="00E73D1F">
              <w:rPr>
                <w:b/>
                <w:color w:val="000000"/>
              </w:rPr>
              <w:t>IV. Tiesību akta projekta ietekme uz spēkā esošo tiesību normu sistēmu</w:t>
            </w:r>
          </w:p>
        </w:tc>
      </w:tr>
      <w:tr w:rsidR="004D10DA" w:rsidRPr="00E73D1F" w14:paraId="5FC7BF65" w14:textId="77777777" w:rsidTr="00C9099D">
        <w:trPr>
          <w:jc w:val="center"/>
        </w:trPr>
        <w:tc>
          <w:tcPr>
            <w:tcW w:w="9299" w:type="dxa"/>
            <w:vAlign w:val="center"/>
          </w:tcPr>
          <w:p w14:paraId="4FB7F891" w14:textId="77777777" w:rsidR="004D10DA" w:rsidRPr="00E73D1F" w:rsidRDefault="004D10DA" w:rsidP="008E3CF9">
            <w:pPr>
              <w:pStyle w:val="naisnod"/>
              <w:spacing w:before="0" w:after="0"/>
              <w:jc w:val="center"/>
              <w:rPr>
                <w:color w:val="000000"/>
              </w:rPr>
            </w:pPr>
            <w:r w:rsidRPr="00E73D1F">
              <w:rPr>
                <w:rFonts w:eastAsia="EUAlbertina_Bold"/>
                <w:color w:val="000000"/>
              </w:rPr>
              <w:t>Projekts šo jomu neskar</w:t>
            </w:r>
            <w:r w:rsidR="00281877">
              <w:rPr>
                <w:rFonts w:eastAsia="EUAlbertina_Bold"/>
                <w:color w:val="000000"/>
              </w:rPr>
              <w:t>.</w:t>
            </w:r>
          </w:p>
        </w:tc>
      </w:tr>
    </w:tbl>
    <w:p w14:paraId="0D06750A" w14:textId="77777777" w:rsidR="004D10DA" w:rsidRPr="00E73D1F" w:rsidRDefault="004D10DA" w:rsidP="004D10DA">
      <w:pPr>
        <w:pStyle w:val="naisf"/>
        <w:spacing w:before="0" w:beforeAutospacing="0" w:after="0" w:afterAutospacing="0"/>
        <w:rPr>
          <w:color w:val="000000"/>
        </w:rPr>
      </w:pP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99"/>
      </w:tblGrid>
      <w:tr w:rsidR="004D10DA" w:rsidRPr="00E73D1F" w14:paraId="53C5AD46" w14:textId="77777777" w:rsidTr="008E3CF9">
        <w:trPr>
          <w:jc w:val="center"/>
        </w:trPr>
        <w:tc>
          <w:tcPr>
            <w:tcW w:w="9214" w:type="dxa"/>
            <w:vAlign w:val="center"/>
          </w:tcPr>
          <w:p w14:paraId="4BC4B0F6" w14:textId="77777777" w:rsidR="004D10DA" w:rsidRPr="00E73D1F" w:rsidRDefault="004D10DA" w:rsidP="008E3CF9">
            <w:pPr>
              <w:pStyle w:val="naisnod"/>
              <w:spacing w:before="0" w:beforeAutospacing="0" w:after="0" w:afterAutospacing="0"/>
              <w:jc w:val="center"/>
              <w:rPr>
                <w:b/>
                <w:color w:val="000000"/>
              </w:rPr>
            </w:pPr>
            <w:r w:rsidRPr="00E73D1F">
              <w:rPr>
                <w:b/>
                <w:color w:val="000000"/>
              </w:rPr>
              <w:t>V. Tiesību akta projekta atbilstība Latvijas Republikas starptautiskajām saistībām</w:t>
            </w:r>
          </w:p>
        </w:tc>
      </w:tr>
      <w:tr w:rsidR="004D10DA" w:rsidRPr="00E73D1F" w14:paraId="364977A2" w14:textId="77777777" w:rsidTr="008E3CF9">
        <w:trPr>
          <w:jc w:val="center"/>
        </w:trPr>
        <w:tc>
          <w:tcPr>
            <w:tcW w:w="9214" w:type="dxa"/>
            <w:vAlign w:val="center"/>
          </w:tcPr>
          <w:p w14:paraId="61954373" w14:textId="77777777" w:rsidR="004D10DA" w:rsidRPr="00E73D1F" w:rsidRDefault="004D10DA" w:rsidP="008E3CF9">
            <w:pPr>
              <w:pStyle w:val="naisnod"/>
              <w:spacing w:before="0" w:after="0"/>
              <w:jc w:val="center"/>
              <w:rPr>
                <w:color w:val="000000"/>
              </w:rPr>
            </w:pPr>
            <w:r w:rsidRPr="00E73D1F">
              <w:rPr>
                <w:rFonts w:eastAsia="EUAlbertina_Bold"/>
                <w:color w:val="000000"/>
              </w:rPr>
              <w:t>Projekts šo jomu neskar</w:t>
            </w:r>
            <w:r w:rsidR="00281877">
              <w:rPr>
                <w:rFonts w:eastAsia="EUAlbertina_Bold"/>
                <w:color w:val="000000"/>
              </w:rPr>
              <w:t>.</w:t>
            </w:r>
          </w:p>
        </w:tc>
      </w:tr>
    </w:tbl>
    <w:p w14:paraId="3B7F480F" w14:textId="77777777" w:rsidR="004D10DA" w:rsidRPr="00E73D1F" w:rsidRDefault="004D10DA" w:rsidP="004D10DA">
      <w:pPr>
        <w:pStyle w:val="naisf"/>
        <w:spacing w:before="0" w:beforeAutospacing="0" w:after="0" w:afterAutospacing="0"/>
        <w:rPr>
          <w:color w:val="000000"/>
        </w:rPr>
      </w:pP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99"/>
      </w:tblGrid>
      <w:tr w:rsidR="004D10DA" w:rsidRPr="00E73D1F" w14:paraId="1583D87F" w14:textId="77777777" w:rsidTr="008E3CF9">
        <w:trPr>
          <w:jc w:val="center"/>
        </w:trPr>
        <w:tc>
          <w:tcPr>
            <w:tcW w:w="9214" w:type="dxa"/>
            <w:vAlign w:val="center"/>
          </w:tcPr>
          <w:p w14:paraId="1CFC48DC" w14:textId="77777777" w:rsidR="004D10DA" w:rsidRPr="00E73D1F" w:rsidRDefault="004D10DA" w:rsidP="008E3CF9">
            <w:pPr>
              <w:pStyle w:val="naisnod"/>
              <w:spacing w:before="0" w:beforeAutospacing="0" w:after="0" w:afterAutospacing="0"/>
              <w:jc w:val="center"/>
              <w:rPr>
                <w:b/>
                <w:color w:val="000000"/>
              </w:rPr>
            </w:pPr>
            <w:r w:rsidRPr="00E73D1F">
              <w:rPr>
                <w:b/>
                <w:color w:val="000000"/>
              </w:rPr>
              <w:t>VI. Sabiedrības līdzdalība un komunikācijas aktivitātes</w:t>
            </w:r>
          </w:p>
        </w:tc>
      </w:tr>
      <w:tr w:rsidR="004D10DA" w:rsidRPr="00E73D1F" w14:paraId="0F35F687" w14:textId="77777777" w:rsidTr="008E3CF9">
        <w:trPr>
          <w:jc w:val="center"/>
        </w:trPr>
        <w:tc>
          <w:tcPr>
            <w:tcW w:w="9214" w:type="dxa"/>
            <w:vAlign w:val="center"/>
          </w:tcPr>
          <w:p w14:paraId="7E1538EE" w14:textId="77777777" w:rsidR="004D10DA" w:rsidRPr="00E73D1F" w:rsidRDefault="004D10DA" w:rsidP="008E3CF9">
            <w:pPr>
              <w:pStyle w:val="naisnod"/>
              <w:spacing w:before="0" w:after="0"/>
              <w:jc w:val="center"/>
              <w:rPr>
                <w:color w:val="000000"/>
              </w:rPr>
            </w:pPr>
            <w:r w:rsidRPr="00E73D1F">
              <w:rPr>
                <w:rFonts w:eastAsia="EUAlbertina_Bold"/>
                <w:color w:val="000000"/>
              </w:rPr>
              <w:t>Projekts šo jomu neskar</w:t>
            </w:r>
            <w:r w:rsidR="00281877">
              <w:rPr>
                <w:rFonts w:eastAsia="EUAlbertina_Bold"/>
                <w:color w:val="000000"/>
              </w:rPr>
              <w:t>.</w:t>
            </w:r>
          </w:p>
        </w:tc>
      </w:tr>
    </w:tbl>
    <w:p w14:paraId="243F5A75" w14:textId="77777777" w:rsidR="009A7EE9" w:rsidRPr="00E73D1F" w:rsidRDefault="009A7EE9" w:rsidP="009A7EE9">
      <w:pPr>
        <w:pStyle w:val="naisf"/>
        <w:spacing w:before="0" w:beforeAutospacing="0" w:after="0" w:afterAutospacing="0"/>
      </w:pP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244"/>
      </w:tblGrid>
      <w:tr w:rsidR="009A7EE9" w:rsidRPr="00E73D1F" w14:paraId="5669C1F6" w14:textId="77777777" w:rsidTr="00A54AB7">
        <w:trPr>
          <w:trHeight w:val="381"/>
          <w:jc w:val="center"/>
        </w:trPr>
        <w:tc>
          <w:tcPr>
            <w:tcW w:w="9296" w:type="dxa"/>
            <w:gridSpan w:val="3"/>
            <w:vAlign w:val="center"/>
          </w:tcPr>
          <w:p w14:paraId="2D7E03EF" w14:textId="77777777" w:rsidR="009A7EE9" w:rsidRPr="00E73D1F" w:rsidRDefault="004D10DA" w:rsidP="009A7EE9">
            <w:pPr>
              <w:pStyle w:val="naisnod"/>
              <w:spacing w:before="0" w:beforeAutospacing="0" w:after="0" w:afterAutospacing="0"/>
              <w:ind w:left="57" w:right="57"/>
              <w:jc w:val="center"/>
            </w:pPr>
            <w:r w:rsidRPr="00E73D1F">
              <w:rPr>
                <w:b/>
              </w:rPr>
              <w:t>VII. Tiesību akta projekta izpildes nodrošināšana un tās ietekme uz institūcijām</w:t>
            </w:r>
          </w:p>
        </w:tc>
      </w:tr>
      <w:tr w:rsidR="009A7EE9" w:rsidRPr="00E73D1F" w14:paraId="4E5A2DF6" w14:textId="77777777" w:rsidTr="00A54AB7">
        <w:trPr>
          <w:trHeight w:val="427"/>
          <w:jc w:val="center"/>
        </w:trPr>
        <w:tc>
          <w:tcPr>
            <w:tcW w:w="437" w:type="dxa"/>
          </w:tcPr>
          <w:p w14:paraId="3242E7EA" w14:textId="77777777" w:rsidR="009A7EE9" w:rsidRPr="00E73D1F" w:rsidRDefault="009A7EE9" w:rsidP="009A7EE9">
            <w:pPr>
              <w:pStyle w:val="naisnod"/>
              <w:spacing w:before="0" w:beforeAutospacing="0" w:after="0" w:afterAutospacing="0"/>
              <w:ind w:left="57" w:right="57"/>
              <w:jc w:val="both"/>
            </w:pPr>
            <w:r w:rsidRPr="00E73D1F">
              <w:t>1.</w:t>
            </w:r>
          </w:p>
        </w:tc>
        <w:tc>
          <w:tcPr>
            <w:tcW w:w="3615" w:type="dxa"/>
          </w:tcPr>
          <w:p w14:paraId="4BC7C4EA" w14:textId="77777777" w:rsidR="009A7EE9" w:rsidRPr="00E73D1F" w:rsidRDefault="009A7EE9" w:rsidP="009A7EE9">
            <w:pPr>
              <w:pStyle w:val="naisf"/>
              <w:spacing w:before="0" w:beforeAutospacing="0" w:after="0" w:afterAutospacing="0"/>
              <w:ind w:left="57" w:right="57"/>
            </w:pPr>
            <w:r w:rsidRPr="00E73D1F">
              <w:t>Projekta izpildē iesaistītās institūcijas</w:t>
            </w:r>
          </w:p>
        </w:tc>
        <w:tc>
          <w:tcPr>
            <w:tcW w:w="5244" w:type="dxa"/>
          </w:tcPr>
          <w:p w14:paraId="49DA14BB" w14:textId="77777777" w:rsidR="00FE6AF4" w:rsidRPr="00E73D1F" w:rsidRDefault="009A7EE9" w:rsidP="00DB37C4">
            <w:pPr>
              <w:shd w:val="clear" w:color="auto" w:fill="FFFFFF"/>
              <w:spacing w:before="120" w:after="120"/>
              <w:jc w:val="both"/>
            </w:pPr>
            <w:r w:rsidRPr="00E73D1F">
              <w:rPr>
                <w:bCs/>
                <w:color w:val="000000"/>
              </w:rPr>
              <w:t>Finanšu ministrija</w:t>
            </w:r>
            <w:r w:rsidR="00281877">
              <w:rPr>
                <w:bCs/>
                <w:color w:val="000000"/>
              </w:rPr>
              <w:t>.</w:t>
            </w:r>
          </w:p>
        </w:tc>
      </w:tr>
      <w:tr w:rsidR="009A7EE9" w:rsidRPr="00E73D1F" w14:paraId="1442707B" w14:textId="77777777" w:rsidTr="00A54AB7">
        <w:trPr>
          <w:trHeight w:val="463"/>
          <w:jc w:val="center"/>
        </w:trPr>
        <w:tc>
          <w:tcPr>
            <w:tcW w:w="437" w:type="dxa"/>
          </w:tcPr>
          <w:p w14:paraId="74A22303" w14:textId="77777777" w:rsidR="009A7EE9" w:rsidRPr="00E73D1F" w:rsidRDefault="009A7EE9" w:rsidP="009A7EE9">
            <w:pPr>
              <w:pStyle w:val="naisnod"/>
              <w:spacing w:before="0" w:beforeAutospacing="0" w:after="0" w:afterAutospacing="0"/>
              <w:ind w:left="57" w:right="57"/>
              <w:jc w:val="both"/>
            </w:pPr>
            <w:r w:rsidRPr="00E73D1F">
              <w:t>2.</w:t>
            </w:r>
          </w:p>
        </w:tc>
        <w:tc>
          <w:tcPr>
            <w:tcW w:w="3615" w:type="dxa"/>
          </w:tcPr>
          <w:p w14:paraId="0B261278" w14:textId="77777777" w:rsidR="009A7EE9" w:rsidRPr="00E73D1F" w:rsidRDefault="009A7EE9" w:rsidP="009A7EE9">
            <w:pPr>
              <w:pStyle w:val="naisf"/>
              <w:spacing w:before="0" w:beforeAutospacing="0" w:after="0" w:afterAutospacing="0"/>
              <w:ind w:left="57" w:right="57"/>
            </w:pPr>
            <w:r w:rsidRPr="00E73D1F">
              <w:t>Projekta izpildes ietekme uz pār</w:t>
            </w:r>
            <w:r w:rsidRPr="00E73D1F">
              <w:softHyphen/>
              <w:t>valdes funkcijām un institucionālo struktūru.</w:t>
            </w:r>
          </w:p>
          <w:p w14:paraId="4E9F3A1E" w14:textId="77777777" w:rsidR="009A7EE9" w:rsidRPr="00E73D1F" w:rsidRDefault="009A7EE9" w:rsidP="009A7EE9">
            <w:pPr>
              <w:pStyle w:val="naisf"/>
              <w:spacing w:before="0" w:beforeAutospacing="0" w:after="0" w:afterAutospacing="0"/>
              <w:ind w:left="57" w:right="57"/>
            </w:pPr>
            <w:r w:rsidRPr="00E73D1F">
              <w:t>Jaunu institūciju izveide, esošu institūciju likvidācija vai reorga</w:t>
            </w:r>
            <w:r w:rsidRPr="00E73D1F">
              <w:softHyphen/>
              <w:t>nizācija, to ietekme uz institūcijas cilvēkresursiem.</w:t>
            </w:r>
          </w:p>
        </w:tc>
        <w:tc>
          <w:tcPr>
            <w:tcW w:w="5244" w:type="dxa"/>
          </w:tcPr>
          <w:p w14:paraId="4D857766" w14:textId="77777777" w:rsidR="009A7EE9" w:rsidRPr="00E73D1F" w:rsidRDefault="007C74EE" w:rsidP="004D10DA">
            <w:pPr>
              <w:shd w:val="clear" w:color="auto" w:fill="FFFFFF"/>
              <w:spacing w:before="120" w:after="120"/>
              <w:jc w:val="both"/>
            </w:pPr>
            <w:r w:rsidRPr="00E73D1F">
              <w:t>Projekts šo jomu neskar</w:t>
            </w:r>
            <w:r w:rsidR="00281877">
              <w:t>.</w:t>
            </w:r>
          </w:p>
        </w:tc>
      </w:tr>
      <w:tr w:rsidR="009A7EE9" w:rsidRPr="00E73D1F" w14:paraId="713ABD2A" w14:textId="77777777" w:rsidTr="00A54AB7">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53E1CBCA" w14:textId="77777777" w:rsidR="009A7EE9" w:rsidRPr="00E73D1F" w:rsidRDefault="009A7EE9" w:rsidP="009A7EE9">
            <w:pPr>
              <w:pStyle w:val="naisnod"/>
              <w:spacing w:before="0" w:beforeAutospacing="0" w:after="0" w:afterAutospacing="0"/>
              <w:ind w:left="57" w:right="57"/>
              <w:jc w:val="both"/>
            </w:pPr>
            <w:r w:rsidRPr="00E73D1F">
              <w:t>3.</w:t>
            </w:r>
          </w:p>
        </w:tc>
        <w:tc>
          <w:tcPr>
            <w:tcW w:w="3615" w:type="dxa"/>
            <w:tcBorders>
              <w:top w:val="single" w:sz="4" w:space="0" w:color="auto"/>
              <w:left w:val="single" w:sz="4" w:space="0" w:color="auto"/>
              <w:bottom w:val="single" w:sz="4" w:space="0" w:color="auto"/>
              <w:right w:val="single" w:sz="4" w:space="0" w:color="auto"/>
            </w:tcBorders>
          </w:tcPr>
          <w:p w14:paraId="1853EB90" w14:textId="77777777" w:rsidR="009A7EE9" w:rsidRPr="00E73D1F" w:rsidRDefault="009A7EE9" w:rsidP="009A7EE9">
            <w:pPr>
              <w:pStyle w:val="naisf"/>
              <w:spacing w:before="0" w:beforeAutospacing="0" w:after="0" w:afterAutospacing="0"/>
              <w:ind w:left="57" w:right="57"/>
            </w:pPr>
            <w:r w:rsidRPr="00E73D1F">
              <w:t>Cita informācija</w:t>
            </w:r>
          </w:p>
        </w:tc>
        <w:tc>
          <w:tcPr>
            <w:tcW w:w="5244" w:type="dxa"/>
            <w:tcBorders>
              <w:top w:val="single" w:sz="4" w:space="0" w:color="auto"/>
              <w:left w:val="single" w:sz="4" w:space="0" w:color="auto"/>
              <w:bottom w:val="single" w:sz="4" w:space="0" w:color="auto"/>
              <w:right w:val="single" w:sz="4" w:space="0" w:color="auto"/>
            </w:tcBorders>
          </w:tcPr>
          <w:p w14:paraId="6680AB5B" w14:textId="77777777" w:rsidR="009A7EE9" w:rsidRPr="00E73D1F" w:rsidRDefault="007C74EE" w:rsidP="009A7EE9">
            <w:pPr>
              <w:ind w:left="57" w:right="57"/>
              <w:jc w:val="both"/>
            </w:pPr>
            <w:r w:rsidRPr="00E73D1F">
              <w:t>Nav</w:t>
            </w:r>
            <w:r w:rsidR="00281877">
              <w:t>.</w:t>
            </w:r>
          </w:p>
        </w:tc>
      </w:tr>
    </w:tbl>
    <w:p w14:paraId="7577DECE" w14:textId="77777777" w:rsidR="009A7EE9" w:rsidRPr="00E73D1F" w:rsidRDefault="009A7EE9" w:rsidP="00422A25"/>
    <w:p w14:paraId="12AB6A11" w14:textId="77777777" w:rsidR="00171A81" w:rsidRPr="00E73D1F" w:rsidRDefault="00171A81" w:rsidP="00422A25"/>
    <w:p w14:paraId="5510D0F0" w14:textId="77777777" w:rsidR="00D444BA" w:rsidRPr="00E73D1F" w:rsidRDefault="000C07B8" w:rsidP="00422A25">
      <w:pPr>
        <w:pStyle w:val="BodyText"/>
        <w:tabs>
          <w:tab w:val="right" w:pos="9072"/>
        </w:tabs>
        <w:jc w:val="both"/>
        <w:rPr>
          <w:sz w:val="24"/>
        </w:rPr>
      </w:pPr>
      <w:r w:rsidRPr="00E73D1F">
        <w:rPr>
          <w:sz w:val="24"/>
        </w:rPr>
        <w:t xml:space="preserve">Finanšu </w:t>
      </w:r>
      <w:r w:rsidR="00422A25" w:rsidRPr="00E73D1F">
        <w:rPr>
          <w:sz w:val="24"/>
        </w:rPr>
        <w:t>ministre</w:t>
      </w:r>
      <w:r w:rsidR="00422A25" w:rsidRPr="00E73D1F">
        <w:rPr>
          <w:sz w:val="24"/>
        </w:rPr>
        <w:tab/>
        <w:t>D. Reizniece-Ozola</w:t>
      </w:r>
    </w:p>
    <w:p w14:paraId="012C5AF6" w14:textId="77777777" w:rsidR="004761C1" w:rsidRPr="00E73D1F" w:rsidRDefault="004761C1" w:rsidP="004761C1"/>
    <w:p w14:paraId="1DAA45B1" w14:textId="77777777" w:rsidR="004761C1" w:rsidRPr="00E73D1F" w:rsidRDefault="004761C1" w:rsidP="004761C1"/>
    <w:p w14:paraId="2840653B" w14:textId="77777777" w:rsidR="00960AAC" w:rsidRPr="00E73D1F" w:rsidRDefault="00960AAC" w:rsidP="004761C1"/>
    <w:p w14:paraId="497843D0" w14:textId="77777777" w:rsidR="00960AAC" w:rsidRPr="00E73D1F" w:rsidRDefault="00960AAC" w:rsidP="004761C1"/>
    <w:p w14:paraId="25CE6DAD" w14:textId="77777777" w:rsidR="00960AAC" w:rsidRPr="00C238DE" w:rsidRDefault="005F026B" w:rsidP="004761C1">
      <w:pPr>
        <w:rPr>
          <w:sz w:val="20"/>
          <w:szCs w:val="20"/>
        </w:rPr>
      </w:pPr>
      <w:r w:rsidRPr="00C238DE">
        <w:rPr>
          <w:sz w:val="20"/>
          <w:szCs w:val="20"/>
        </w:rPr>
        <w:t>Novoseļska</w:t>
      </w:r>
      <w:r w:rsidR="00960AAC" w:rsidRPr="00C238DE">
        <w:rPr>
          <w:sz w:val="20"/>
          <w:szCs w:val="20"/>
        </w:rPr>
        <w:t xml:space="preserve"> 67095</w:t>
      </w:r>
      <w:r w:rsidRPr="00C238DE">
        <w:rPr>
          <w:sz w:val="20"/>
          <w:szCs w:val="20"/>
        </w:rPr>
        <w:t>507</w:t>
      </w:r>
    </w:p>
    <w:p w14:paraId="7B523F3D" w14:textId="77777777" w:rsidR="00960AAC" w:rsidRPr="00C238DE" w:rsidRDefault="00D13CA1" w:rsidP="004761C1">
      <w:pPr>
        <w:rPr>
          <w:sz w:val="20"/>
          <w:szCs w:val="20"/>
        </w:rPr>
      </w:pPr>
      <w:hyperlink r:id="rId7" w:history="1">
        <w:r w:rsidR="005F026B" w:rsidRPr="00C238DE">
          <w:rPr>
            <w:rStyle w:val="Hyperlink"/>
            <w:sz w:val="20"/>
            <w:szCs w:val="20"/>
          </w:rPr>
          <w:t>serafima.novoselska@fm.gov.lv</w:t>
        </w:r>
      </w:hyperlink>
    </w:p>
    <w:sectPr w:rsidR="00960AAC" w:rsidRPr="00C238DE" w:rsidSect="006D137B">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8F854" w14:textId="77777777" w:rsidR="0065522B" w:rsidRDefault="0065522B" w:rsidP="009A7EE9">
      <w:r>
        <w:separator/>
      </w:r>
    </w:p>
  </w:endnote>
  <w:endnote w:type="continuationSeparator" w:id="0">
    <w:p w14:paraId="50E6329A" w14:textId="77777777" w:rsidR="0065522B" w:rsidRDefault="0065522B" w:rsidP="009A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_Bold">
    <w:altName w:val="Times New Roman"/>
    <w:charset w:val="00"/>
    <w:family w:val="roman"/>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1E2B9" w14:textId="3B831160" w:rsidR="00960AAC" w:rsidRPr="00960AAC" w:rsidRDefault="00960AAC">
    <w:pPr>
      <w:pStyle w:val="Footer"/>
      <w:rPr>
        <w:sz w:val="20"/>
        <w:szCs w:val="20"/>
      </w:rPr>
    </w:pPr>
    <w:r w:rsidRPr="00960AAC">
      <w:rPr>
        <w:sz w:val="20"/>
        <w:szCs w:val="20"/>
      </w:rPr>
      <w:fldChar w:fldCharType="begin"/>
    </w:r>
    <w:r w:rsidRPr="00960AAC">
      <w:rPr>
        <w:sz w:val="20"/>
        <w:szCs w:val="20"/>
      </w:rPr>
      <w:instrText xml:space="preserve"> FILENAME   \* MERGEFORMAT </w:instrText>
    </w:r>
    <w:r w:rsidRPr="00960AAC">
      <w:rPr>
        <w:sz w:val="20"/>
        <w:szCs w:val="20"/>
      </w:rPr>
      <w:fldChar w:fldCharType="separate"/>
    </w:r>
    <w:r w:rsidR="00590829">
      <w:rPr>
        <w:noProof/>
        <w:sz w:val="20"/>
        <w:szCs w:val="20"/>
      </w:rPr>
      <w:t>FMAnot_140618.docx</w:t>
    </w:r>
    <w:r w:rsidRPr="00960AAC">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417AE" w14:textId="2B958137" w:rsidR="006D137B" w:rsidRPr="006D137B" w:rsidRDefault="006D137B">
    <w:pPr>
      <w:pStyle w:val="Footer"/>
      <w:rPr>
        <w:sz w:val="20"/>
      </w:rPr>
    </w:pPr>
    <w:r w:rsidRPr="006D137B">
      <w:rPr>
        <w:sz w:val="20"/>
      </w:rPr>
      <w:fldChar w:fldCharType="begin"/>
    </w:r>
    <w:r w:rsidRPr="006D137B">
      <w:rPr>
        <w:sz w:val="20"/>
      </w:rPr>
      <w:instrText xml:space="preserve"> FILENAME   \* MERGEFORMAT </w:instrText>
    </w:r>
    <w:r w:rsidRPr="006D137B">
      <w:rPr>
        <w:sz w:val="20"/>
      </w:rPr>
      <w:fldChar w:fldCharType="separate"/>
    </w:r>
    <w:r w:rsidR="00590829">
      <w:rPr>
        <w:noProof/>
        <w:sz w:val="20"/>
      </w:rPr>
      <w:t>FMAnot_140618.docx</w:t>
    </w:r>
    <w:r w:rsidRPr="006D137B">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0CE5C" w14:textId="77777777" w:rsidR="0065522B" w:rsidRDefault="0065522B" w:rsidP="009A7EE9">
      <w:r>
        <w:separator/>
      </w:r>
    </w:p>
  </w:footnote>
  <w:footnote w:type="continuationSeparator" w:id="0">
    <w:p w14:paraId="19ED75BE" w14:textId="77777777" w:rsidR="0065522B" w:rsidRDefault="0065522B" w:rsidP="009A7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612465"/>
      <w:docPartObj>
        <w:docPartGallery w:val="Page Numbers (Top of Page)"/>
        <w:docPartUnique/>
      </w:docPartObj>
    </w:sdtPr>
    <w:sdtEndPr>
      <w:rPr>
        <w:noProof/>
      </w:rPr>
    </w:sdtEndPr>
    <w:sdtContent>
      <w:p w14:paraId="13DEF6BE" w14:textId="793B7045" w:rsidR="002D3E38" w:rsidRDefault="002D3E38">
        <w:pPr>
          <w:pStyle w:val="Header"/>
          <w:jc w:val="center"/>
        </w:pPr>
        <w:r>
          <w:fldChar w:fldCharType="begin"/>
        </w:r>
        <w:r>
          <w:instrText xml:space="preserve"> PAGE   \* MERGEFORMAT </w:instrText>
        </w:r>
        <w:r>
          <w:fldChar w:fldCharType="separate"/>
        </w:r>
        <w:r w:rsidR="00D13CA1">
          <w:rPr>
            <w:noProof/>
          </w:rPr>
          <w:t>2</w:t>
        </w:r>
        <w:r>
          <w:rPr>
            <w:noProof/>
          </w:rPr>
          <w:fldChar w:fldCharType="end"/>
        </w:r>
      </w:p>
    </w:sdtContent>
  </w:sdt>
  <w:p w14:paraId="6BACA0FA" w14:textId="77777777" w:rsidR="002D3E38" w:rsidRDefault="002D3E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7F01"/>
    <w:multiLevelType w:val="hybridMultilevel"/>
    <w:tmpl w:val="ACB88472"/>
    <w:lvl w:ilvl="0" w:tplc="7714D8B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CAC55AE"/>
    <w:multiLevelType w:val="hybridMultilevel"/>
    <w:tmpl w:val="73949050"/>
    <w:lvl w:ilvl="0" w:tplc="04260001">
      <w:start w:val="1"/>
      <w:numFmt w:val="bullet"/>
      <w:lvlText w:val=""/>
      <w:lvlJc w:val="left"/>
      <w:pPr>
        <w:ind w:left="880" w:hanging="360"/>
      </w:pPr>
      <w:rPr>
        <w:rFonts w:ascii="Symbol" w:hAnsi="Symbol" w:hint="default"/>
      </w:rPr>
    </w:lvl>
    <w:lvl w:ilvl="1" w:tplc="04260003" w:tentative="1">
      <w:start w:val="1"/>
      <w:numFmt w:val="bullet"/>
      <w:lvlText w:val="o"/>
      <w:lvlJc w:val="left"/>
      <w:pPr>
        <w:ind w:left="1600" w:hanging="360"/>
      </w:pPr>
      <w:rPr>
        <w:rFonts w:ascii="Courier New" w:hAnsi="Courier New" w:cs="Courier New" w:hint="default"/>
      </w:rPr>
    </w:lvl>
    <w:lvl w:ilvl="2" w:tplc="04260005" w:tentative="1">
      <w:start w:val="1"/>
      <w:numFmt w:val="bullet"/>
      <w:lvlText w:val=""/>
      <w:lvlJc w:val="left"/>
      <w:pPr>
        <w:ind w:left="2320" w:hanging="360"/>
      </w:pPr>
      <w:rPr>
        <w:rFonts w:ascii="Wingdings" w:hAnsi="Wingdings" w:hint="default"/>
      </w:rPr>
    </w:lvl>
    <w:lvl w:ilvl="3" w:tplc="04260001" w:tentative="1">
      <w:start w:val="1"/>
      <w:numFmt w:val="bullet"/>
      <w:lvlText w:val=""/>
      <w:lvlJc w:val="left"/>
      <w:pPr>
        <w:ind w:left="3040" w:hanging="360"/>
      </w:pPr>
      <w:rPr>
        <w:rFonts w:ascii="Symbol" w:hAnsi="Symbol" w:hint="default"/>
      </w:rPr>
    </w:lvl>
    <w:lvl w:ilvl="4" w:tplc="04260003" w:tentative="1">
      <w:start w:val="1"/>
      <w:numFmt w:val="bullet"/>
      <w:lvlText w:val="o"/>
      <w:lvlJc w:val="left"/>
      <w:pPr>
        <w:ind w:left="3760" w:hanging="360"/>
      </w:pPr>
      <w:rPr>
        <w:rFonts w:ascii="Courier New" w:hAnsi="Courier New" w:cs="Courier New" w:hint="default"/>
      </w:rPr>
    </w:lvl>
    <w:lvl w:ilvl="5" w:tplc="04260005" w:tentative="1">
      <w:start w:val="1"/>
      <w:numFmt w:val="bullet"/>
      <w:lvlText w:val=""/>
      <w:lvlJc w:val="left"/>
      <w:pPr>
        <w:ind w:left="4480" w:hanging="360"/>
      </w:pPr>
      <w:rPr>
        <w:rFonts w:ascii="Wingdings" w:hAnsi="Wingdings" w:hint="default"/>
      </w:rPr>
    </w:lvl>
    <w:lvl w:ilvl="6" w:tplc="04260001" w:tentative="1">
      <w:start w:val="1"/>
      <w:numFmt w:val="bullet"/>
      <w:lvlText w:val=""/>
      <w:lvlJc w:val="left"/>
      <w:pPr>
        <w:ind w:left="5200" w:hanging="360"/>
      </w:pPr>
      <w:rPr>
        <w:rFonts w:ascii="Symbol" w:hAnsi="Symbol" w:hint="default"/>
      </w:rPr>
    </w:lvl>
    <w:lvl w:ilvl="7" w:tplc="04260003" w:tentative="1">
      <w:start w:val="1"/>
      <w:numFmt w:val="bullet"/>
      <w:lvlText w:val="o"/>
      <w:lvlJc w:val="left"/>
      <w:pPr>
        <w:ind w:left="5920" w:hanging="360"/>
      </w:pPr>
      <w:rPr>
        <w:rFonts w:ascii="Courier New" w:hAnsi="Courier New" w:cs="Courier New" w:hint="default"/>
      </w:rPr>
    </w:lvl>
    <w:lvl w:ilvl="8" w:tplc="04260005" w:tentative="1">
      <w:start w:val="1"/>
      <w:numFmt w:val="bullet"/>
      <w:lvlText w:val=""/>
      <w:lvlJc w:val="left"/>
      <w:pPr>
        <w:ind w:left="6640" w:hanging="360"/>
      </w:pPr>
      <w:rPr>
        <w:rFonts w:ascii="Wingdings" w:hAnsi="Wingdings" w:hint="default"/>
      </w:rPr>
    </w:lvl>
  </w:abstractNum>
  <w:abstractNum w:abstractNumId="2" w15:restartNumberingAfterBreak="0">
    <w:nsid w:val="136F2AC9"/>
    <w:multiLevelType w:val="hybridMultilevel"/>
    <w:tmpl w:val="C2769D18"/>
    <w:lvl w:ilvl="0" w:tplc="6C5C9B78">
      <w:start w:val="1"/>
      <w:numFmt w:val="decimal"/>
      <w:lvlText w:val="%1."/>
      <w:lvlJc w:val="left"/>
      <w:pPr>
        <w:ind w:left="380" w:hanging="360"/>
      </w:pPr>
      <w:rPr>
        <w:rFonts w:cstheme="minorBidi" w:hint="default"/>
        <w:sz w:val="28"/>
      </w:rPr>
    </w:lvl>
    <w:lvl w:ilvl="1" w:tplc="04260019" w:tentative="1">
      <w:start w:val="1"/>
      <w:numFmt w:val="lowerLetter"/>
      <w:lvlText w:val="%2."/>
      <w:lvlJc w:val="left"/>
      <w:pPr>
        <w:ind w:left="1100" w:hanging="360"/>
      </w:pPr>
    </w:lvl>
    <w:lvl w:ilvl="2" w:tplc="0426001B" w:tentative="1">
      <w:start w:val="1"/>
      <w:numFmt w:val="lowerRoman"/>
      <w:lvlText w:val="%3."/>
      <w:lvlJc w:val="right"/>
      <w:pPr>
        <w:ind w:left="1820" w:hanging="180"/>
      </w:pPr>
    </w:lvl>
    <w:lvl w:ilvl="3" w:tplc="0426000F" w:tentative="1">
      <w:start w:val="1"/>
      <w:numFmt w:val="decimal"/>
      <w:lvlText w:val="%4."/>
      <w:lvlJc w:val="left"/>
      <w:pPr>
        <w:ind w:left="2540" w:hanging="360"/>
      </w:pPr>
    </w:lvl>
    <w:lvl w:ilvl="4" w:tplc="04260019" w:tentative="1">
      <w:start w:val="1"/>
      <w:numFmt w:val="lowerLetter"/>
      <w:lvlText w:val="%5."/>
      <w:lvlJc w:val="left"/>
      <w:pPr>
        <w:ind w:left="3260" w:hanging="360"/>
      </w:pPr>
    </w:lvl>
    <w:lvl w:ilvl="5" w:tplc="0426001B" w:tentative="1">
      <w:start w:val="1"/>
      <w:numFmt w:val="lowerRoman"/>
      <w:lvlText w:val="%6."/>
      <w:lvlJc w:val="right"/>
      <w:pPr>
        <w:ind w:left="3980" w:hanging="180"/>
      </w:pPr>
    </w:lvl>
    <w:lvl w:ilvl="6" w:tplc="0426000F" w:tentative="1">
      <w:start w:val="1"/>
      <w:numFmt w:val="decimal"/>
      <w:lvlText w:val="%7."/>
      <w:lvlJc w:val="left"/>
      <w:pPr>
        <w:ind w:left="4700" w:hanging="360"/>
      </w:pPr>
    </w:lvl>
    <w:lvl w:ilvl="7" w:tplc="04260019" w:tentative="1">
      <w:start w:val="1"/>
      <w:numFmt w:val="lowerLetter"/>
      <w:lvlText w:val="%8."/>
      <w:lvlJc w:val="left"/>
      <w:pPr>
        <w:ind w:left="5420" w:hanging="360"/>
      </w:pPr>
    </w:lvl>
    <w:lvl w:ilvl="8" w:tplc="0426001B" w:tentative="1">
      <w:start w:val="1"/>
      <w:numFmt w:val="lowerRoman"/>
      <w:lvlText w:val="%9."/>
      <w:lvlJc w:val="right"/>
      <w:pPr>
        <w:ind w:left="6140" w:hanging="180"/>
      </w:pPr>
    </w:lvl>
  </w:abstractNum>
  <w:abstractNum w:abstractNumId="3" w15:restartNumberingAfterBreak="0">
    <w:nsid w:val="29571E33"/>
    <w:multiLevelType w:val="hybridMultilevel"/>
    <w:tmpl w:val="D3865A0E"/>
    <w:lvl w:ilvl="0" w:tplc="8A0A0B84">
      <w:start w:val="1"/>
      <w:numFmt w:val="bullet"/>
      <w:lvlText w:val=""/>
      <w:lvlJc w:val="left"/>
      <w:pPr>
        <w:ind w:left="1200" w:hanging="360"/>
      </w:pPr>
      <w:rPr>
        <w:rFonts w:ascii="Symbol" w:hAnsi="Symbol" w:hint="default"/>
      </w:rPr>
    </w:lvl>
    <w:lvl w:ilvl="1" w:tplc="3362B8EE" w:tentative="1">
      <w:start w:val="1"/>
      <w:numFmt w:val="bullet"/>
      <w:lvlText w:val="o"/>
      <w:lvlJc w:val="left"/>
      <w:pPr>
        <w:ind w:left="1920" w:hanging="360"/>
      </w:pPr>
      <w:rPr>
        <w:rFonts w:ascii="Courier New" w:hAnsi="Courier New" w:cs="Courier New" w:hint="default"/>
      </w:rPr>
    </w:lvl>
    <w:lvl w:ilvl="2" w:tplc="27ECFDD8" w:tentative="1">
      <w:start w:val="1"/>
      <w:numFmt w:val="bullet"/>
      <w:lvlText w:val=""/>
      <w:lvlJc w:val="left"/>
      <w:pPr>
        <w:ind w:left="2640" w:hanging="360"/>
      </w:pPr>
      <w:rPr>
        <w:rFonts w:ascii="Wingdings" w:hAnsi="Wingdings" w:hint="default"/>
      </w:rPr>
    </w:lvl>
    <w:lvl w:ilvl="3" w:tplc="02887588" w:tentative="1">
      <w:start w:val="1"/>
      <w:numFmt w:val="bullet"/>
      <w:lvlText w:val=""/>
      <w:lvlJc w:val="left"/>
      <w:pPr>
        <w:ind w:left="3360" w:hanging="360"/>
      </w:pPr>
      <w:rPr>
        <w:rFonts w:ascii="Symbol" w:hAnsi="Symbol" w:hint="default"/>
      </w:rPr>
    </w:lvl>
    <w:lvl w:ilvl="4" w:tplc="4F443218" w:tentative="1">
      <w:start w:val="1"/>
      <w:numFmt w:val="bullet"/>
      <w:lvlText w:val="o"/>
      <w:lvlJc w:val="left"/>
      <w:pPr>
        <w:ind w:left="4080" w:hanging="360"/>
      </w:pPr>
      <w:rPr>
        <w:rFonts w:ascii="Courier New" w:hAnsi="Courier New" w:cs="Courier New" w:hint="default"/>
      </w:rPr>
    </w:lvl>
    <w:lvl w:ilvl="5" w:tplc="3136358E" w:tentative="1">
      <w:start w:val="1"/>
      <w:numFmt w:val="bullet"/>
      <w:lvlText w:val=""/>
      <w:lvlJc w:val="left"/>
      <w:pPr>
        <w:ind w:left="4800" w:hanging="360"/>
      </w:pPr>
      <w:rPr>
        <w:rFonts w:ascii="Wingdings" w:hAnsi="Wingdings" w:hint="default"/>
      </w:rPr>
    </w:lvl>
    <w:lvl w:ilvl="6" w:tplc="0D503324" w:tentative="1">
      <w:start w:val="1"/>
      <w:numFmt w:val="bullet"/>
      <w:lvlText w:val=""/>
      <w:lvlJc w:val="left"/>
      <w:pPr>
        <w:ind w:left="5520" w:hanging="360"/>
      </w:pPr>
      <w:rPr>
        <w:rFonts w:ascii="Symbol" w:hAnsi="Symbol" w:hint="default"/>
      </w:rPr>
    </w:lvl>
    <w:lvl w:ilvl="7" w:tplc="50286DC2" w:tentative="1">
      <w:start w:val="1"/>
      <w:numFmt w:val="bullet"/>
      <w:lvlText w:val="o"/>
      <w:lvlJc w:val="left"/>
      <w:pPr>
        <w:ind w:left="6240" w:hanging="360"/>
      </w:pPr>
      <w:rPr>
        <w:rFonts w:ascii="Courier New" w:hAnsi="Courier New" w:cs="Courier New" w:hint="default"/>
      </w:rPr>
    </w:lvl>
    <w:lvl w:ilvl="8" w:tplc="2ADCA5B8" w:tentative="1">
      <w:start w:val="1"/>
      <w:numFmt w:val="bullet"/>
      <w:lvlText w:val=""/>
      <w:lvlJc w:val="left"/>
      <w:pPr>
        <w:ind w:left="6960" w:hanging="360"/>
      </w:pPr>
      <w:rPr>
        <w:rFonts w:ascii="Wingdings" w:hAnsi="Wingdings" w:hint="default"/>
      </w:rPr>
    </w:lvl>
  </w:abstractNum>
  <w:abstractNum w:abstractNumId="4" w15:restartNumberingAfterBreak="0">
    <w:nsid w:val="30B95F6E"/>
    <w:multiLevelType w:val="hybridMultilevel"/>
    <w:tmpl w:val="AAA04280"/>
    <w:lvl w:ilvl="0" w:tplc="EACAD464">
      <w:start w:val="1"/>
      <w:numFmt w:val="bullet"/>
      <w:lvlText w:val=""/>
      <w:lvlJc w:val="left"/>
      <w:pPr>
        <w:ind w:left="92" w:hanging="360"/>
      </w:pPr>
      <w:rPr>
        <w:rFonts w:ascii="Symbol" w:hAnsi="Symbol" w:hint="default"/>
      </w:rPr>
    </w:lvl>
    <w:lvl w:ilvl="1" w:tplc="04260003" w:tentative="1">
      <w:start w:val="1"/>
      <w:numFmt w:val="bullet"/>
      <w:lvlText w:val="o"/>
      <w:lvlJc w:val="left"/>
      <w:pPr>
        <w:ind w:left="812" w:hanging="360"/>
      </w:pPr>
      <w:rPr>
        <w:rFonts w:ascii="Courier New" w:hAnsi="Courier New" w:cs="Courier New" w:hint="default"/>
      </w:rPr>
    </w:lvl>
    <w:lvl w:ilvl="2" w:tplc="04260005" w:tentative="1">
      <w:start w:val="1"/>
      <w:numFmt w:val="bullet"/>
      <w:lvlText w:val=""/>
      <w:lvlJc w:val="left"/>
      <w:pPr>
        <w:ind w:left="1532" w:hanging="360"/>
      </w:pPr>
      <w:rPr>
        <w:rFonts w:ascii="Wingdings" w:hAnsi="Wingdings" w:hint="default"/>
      </w:rPr>
    </w:lvl>
    <w:lvl w:ilvl="3" w:tplc="04260001" w:tentative="1">
      <w:start w:val="1"/>
      <w:numFmt w:val="bullet"/>
      <w:lvlText w:val=""/>
      <w:lvlJc w:val="left"/>
      <w:pPr>
        <w:ind w:left="2252" w:hanging="360"/>
      </w:pPr>
      <w:rPr>
        <w:rFonts w:ascii="Symbol" w:hAnsi="Symbol" w:hint="default"/>
      </w:rPr>
    </w:lvl>
    <w:lvl w:ilvl="4" w:tplc="04260003" w:tentative="1">
      <w:start w:val="1"/>
      <w:numFmt w:val="bullet"/>
      <w:lvlText w:val="o"/>
      <w:lvlJc w:val="left"/>
      <w:pPr>
        <w:ind w:left="2972" w:hanging="360"/>
      </w:pPr>
      <w:rPr>
        <w:rFonts w:ascii="Courier New" w:hAnsi="Courier New" w:cs="Courier New" w:hint="default"/>
      </w:rPr>
    </w:lvl>
    <w:lvl w:ilvl="5" w:tplc="04260005" w:tentative="1">
      <w:start w:val="1"/>
      <w:numFmt w:val="bullet"/>
      <w:lvlText w:val=""/>
      <w:lvlJc w:val="left"/>
      <w:pPr>
        <w:ind w:left="3692" w:hanging="360"/>
      </w:pPr>
      <w:rPr>
        <w:rFonts w:ascii="Wingdings" w:hAnsi="Wingdings" w:hint="default"/>
      </w:rPr>
    </w:lvl>
    <w:lvl w:ilvl="6" w:tplc="04260001" w:tentative="1">
      <w:start w:val="1"/>
      <w:numFmt w:val="bullet"/>
      <w:lvlText w:val=""/>
      <w:lvlJc w:val="left"/>
      <w:pPr>
        <w:ind w:left="4412" w:hanging="360"/>
      </w:pPr>
      <w:rPr>
        <w:rFonts w:ascii="Symbol" w:hAnsi="Symbol" w:hint="default"/>
      </w:rPr>
    </w:lvl>
    <w:lvl w:ilvl="7" w:tplc="04260003" w:tentative="1">
      <w:start w:val="1"/>
      <w:numFmt w:val="bullet"/>
      <w:lvlText w:val="o"/>
      <w:lvlJc w:val="left"/>
      <w:pPr>
        <w:ind w:left="5132" w:hanging="360"/>
      </w:pPr>
      <w:rPr>
        <w:rFonts w:ascii="Courier New" w:hAnsi="Courier New" w:cs="Courier New" w:hint="default"/>
      </w:rPr>
    </w:lvl>
    <w:lvl w:ilvl="8" w:tplc="04260005" w:tentative="1">
      <w:start w:val="1"/>
      <w:numFmt w:val="bullet"/>
      <w:lvlText w:val=""/>
      <w:lvlJc w:val="left"/>
      <w:pPr>
        <w:ind w:left="5852" w:hanging="360"/>
      </w:pPr>
      <w:rPr>
        <w:rFonts w:ascii="Wingdings" w:hAnsi="Wingdings" w:hint="default"/>
      </w:rPr>
    </w:lvl>
  </w:abstractNum>
  <w:abstractNum w:abstractNumId="5" w15:restartNumberingAfterBreak="0">
    <w:nsid w:val="314B55F3"/>
    <w:multiLevelType w:val="hybridMultilevel"/>
    <w:tmpl w:val="4AB684FE"/>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6" w15:restartNumberingAfterBreak="0">
    <w:nsid w:val="3794730D"/>
    <w:multiLevelType w:val="hybridMultilevel"/>
    <w:tmpl w:val="FF646ABE"/>
    <w:lvl w:ilvl="0" w:tplc="04260001">
      <w:start w:val="1"/>
      <w:numFmt w:val="bullet"/>
      <w:lvlText w:val=""/>
      <w:lvlJc w:val="left"/>
      <w:pPr>
        <w:ind w:left="1105" w:hanging="360"/>
      </w:pPr>
      <w:rPr>
        <w:rFonts w:ascii="Symbol" w:hAnsi="Symbol" w:hint="default"/>
      </w:rPr>
    </w:lvl>
    <w:lvl w:ilvl="1" w:tplc="04260003" w:tentative="1">
      <w:start w:val="1"/>
      <w:numFmt w:val="bullet"/>
      <w:lvlText w:val="o"/>
      <w:lvlJc w:val="left"/>
      <w:pPr>
        <w:ind w:left="1825" w:hanging="360"/>
      </w:pPr>
      <w:rPr>
        <w:rFonts w:ascii="Courier New" w:hAnsi="Courier New" w:cs="Courier New" w:hint="default"/>
      </w:rPr>
    </w:lvl>
    <w:lvl w:ilvl="2" w:tplc="04260005" w:tentative="1">
      <w:start w:val="1"/>
      <w:numFmt w:val="bullet"/>
      <w:lvlText w:val=""/>
      <w:lvlJc w:val="left"/>
      <w:pPr>
        <w:ind w:left="2545" w:hanging="360"/>
      </w:pPr>
      <w:rPr>
        <w:rFonts w:ascii="Wingdings" w:hAnsi="Wingdings" w:hint="default"/>
      </w:rPr>
    </w:lvl>
    <w:lvl w:ilvl="3" w:tplc="04260001" w:tentative="1">
      <w:start w:val="1"/>
      <w:numFmt w:val="bullet"/>
      <w:lvlText w:val=""/>
      <w:lvlJc w:val="left"/>
      <w:pPr>
        <w:ind w:left="3265" w:hanging="360"/>
      </w:pPr>
      <w:rPr>
        <w:rFonts w:ascii="Symbol" w:hAnsi="Symbol" w:hint="default"/>
      </w:rPr>
    </w:lvl>
    <w:lvl w:ilvl="4" w:tplc="04260003" w:tentative="1">
      <w:start w:val="1"/>
      <w:numFmt w:val="bullet"/>
      <w:lvlText w:val="o"/>
      <w:lvlJc w:val="left"/>
      <w:pPr>
        <w:ind w:left="3985" w:hanging="360"/>
      </w:pPr>
      <w:rPr>
        <w:rFonts w:ascii="Courier New" w:hAnsi="Courier New" w:cs="Courier New" w:hint="default"/>
      </w:rPr>
    </w:lvl>
    <w:lvl w:ilvl="5" w:tplc="04260005" w:tentative="1">
      <w:start w:val="1"/>
      <w:numFmt w:val="bullet"/>
      <w:lvlText w:val=""/>
      <w:lvlJc w:val="left"/>
      <w:pPr>
        <w:ind w:left="4705" w:hanging="360"/>
      </w:pPr>
      <w:rPr>
        <w:rFonts w:ascii="Wingdings" w:hAnsi="Wingdings" w:hint="default"/>
      </w:rPr>
    </w:lvl>
    <w:lvl w:ilvl="6" w:tplc="04260001" w:tentative="1">
      <w:start w:val="1"/>
      <w:numFmt w:val="bullet"/>
      <w:lvlText w:val=""/>
      <w:lvlJc w:val="left"/>
      <w:pPr>
        <w:ind w:left="5425" w:hanging="360"/>
      </w:pPr>
      <w:rPr>
        <w:rFonts w:ascii="Symbol" w:hAnsi="Symbol" w:hint="default"/>
      </w:rPr>
    </w:lvl>
    <w:lvl w:ilvl="7" w:tplc="04260003" w:tentative="1">
      <w:start w:val="1"/>
      <w:numFmt w:val="bullet"/>
      <w:lvlText w:val="o"/>
      <w:lvlJc w:val="left"/>
      <w:pPr>
        <w:ind w:left="6145" w:hanging="360"/>
      </w:pPr>
      <w:rPr>
        <w:rFonts w:ascii="Courier New" w:hAnsi="Courier New" w:cs="Courier New" w:hint="default"/>
      </w:rPr>
    </w:lvl>
    <w:lvl w:ilvl="8" w:tplc="04260005" w:tentative="1">
      <w:start w:val="1"/>
      <w:numFmt w:val="bullet"/>
      <w:lvlText w:val=""/>
      <w:lvlJc w:val="left"/>
      <w:pPr>
        <w:ind w:left="6865" w:hanging="360"/>
      </w:pPr>
      <w:rPr>
        <w:rFonts w:ascii="Wingdings" w:hAnsi="Wingdings" w:hint="default"/>
      </w:rPr>
    </w:lvl>
  </w:abstractNum>
  <w:abstractNum w:abstractNumId="7" w15:restartNumberingAfterBreak="0">
    <w:nsid w:val="44F94261"/>
    <w:multiLevelType w:val="hybridMultilevel"/>
    <w:tmpl w:val="AB78B320"/>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8" w15:restartNumberingAfterBreak="0">
    <w:nsid w:val="50477225"/>
    <w:multiLevelType w:val="hybridMultilevel"/>
    <w:tmpl w:val="627C84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6AF0409C"/>
    <w:multiLevelType w:val="hybridMultilevel"/>
    <w:tmpl w:val="AE545C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8"/>
  </w:num>
  <w:num w:numId="5">
    <w:abstractNumId w:val="1"/>
  </w:num>
  <w:num w:numId="6">
    <w:abstractNumId w:val="3"/>
  </w:num>
  <w:num w:numId="7">
    <w:abstractNumId w:val="9"/>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28"/>
    <w:rsid w:val="0005038A"/>
    <w:rsid w:val="000614F5"/>
    <w:rsid w:val="000818D2"/>
    <w:rsid w:val="000B2CA0"/>
    <w:rsid w:val="000C07B8"/>
    <w:rsid w:val="000C703D"/>
    <w:rsid w:val="00156E18"/>
    <w:rsid w:val="00171A81"/>
    <w:rsid w:val="00183027"/>
    <w:rsid w:val="001A2AFD"/>
    <w:rsid w:val="001A72E6"/>
    <w:rsid w:val="001C1669"/>
    <w:rsid w:val="001D124F"/>
    <w:rsid w:val="002204E8"/>
    <w:rsid w:val="00261740"/>
    <w:rsid w:val="00281877"/>
    <w:rsid w:val="00285775"/>
    <w:rsid w:val="002B19A5"/>
    <w:rsid w:val="002B3D2F"/>
    <w:rsid w:val="002B5EE7"/>
    <w:rsid w:val="002C3DC9"/>
    <w:rsid w:val="002D3E38"/>
    <w:rsid w:val="0032120D"/>
    <w:rsid w:val="00335619"/>
    <w:rsid w:val="003468CF"/>
    <w:rsid w:val="00371206"/>
    <w:rsid w:val="003735E2"/>
    <w:rsid w:val="003C21F6"/>
    <w:rsid w:val="003C6F6D"/>
    <w:rsid w:val="003F10D1"/>
    <w:rsid w:val="004170B3"/>
    <w:rsid w:val="00422A25"/>
    <w:rsid w:val="00474ED8"/>
    <w:rsid w:val="004761C1"/>
    <w:rsid w:val="00482307"/>
    <w:rsid w:val="004A3346"/>
    <w:rsid w:val="004A7D0E"/>
    <w:rsid w:val="004D10DA"/>
    <w:rsid w:val="004F70B8"/>
    <w:rsid w:val="00524926"/>
    <w:rsid w:val="00541DAA"/>
    <w:rsid w:val="00542B98"/>
    <w:rsid w:val="005437C3"/>
    <w:rsid w:val="005802FC"/>
    <w:rsid w:val="00583D19"/>
    <w:rsid w:val="00590829"/>
    <w:rsid w:val="005B0615"/>
    <w:rsid w:val="005B23E4"/>
    <w:rsid w:val="005F026B"/>
    <w:rsid w:val="00603455"/>
    <w:rsid w:val="00611862"/>
    <w:rsid w:val="00632159"/>
    <w:rsid w:val="0064026B"/>
    <w:rsid w:val="00641D60"/>
    <w:rsid w:val="00645290"/>
    <w:rsid w:val="0065522B"/>
    <w:rsid w:val="006D137B"/>
    <w:rsid w:val="00705A8F"/>
    <w:rsid w:val="0071285B"/>
    <w:rsid w:val="00741E83"/>
    <w:rsid w:val="00751999"/>
    <w:rsid w:val="00763F04"/>
    <w:rsid w:val="00764807"/>
    <w:rsid w:val="007733C9"/>
    <w:rsid w:val="00785011"/>
    <w:rsid w:val="007C300C"/>
    <w:rsid w:val="007C74EE"/>
    <w:rsid w:val="007D693E"/>
    <w:rsid w:val="007D7681"/>
    <w:rsid w:val="007E157D"/>
    <w:rsid w:val="007F6BD7"/>
    <w:rsid w:val="00802F46"/>
    <w:rsid w:val="00823362"/>
    <w:rsid w:val="008478FB"/>
    <w:rsid w:val="0086037C"/>
    <w:rsid w:val="00870008"/>
    <w:rsid w:val="00875E3E"/>
    <w:rsid w:val="008B46B2"/>
    <w:rsid w:val="008C0091"/>
    <w:rsid w:val="008C4C8E"/>
    <w:rsid w:val="008E3CF9"/>
    <w:rsid w:val="00905312"/>
    <w:rsid w:val="0091691A"/>
    <w:rsid w:val="00923946"/>
    <w:rsid w:val="00930BF9"/>
    <w:rsid w:val="00945363"/>
    <w:rsid w:val="00960AAC"/>
    <w:rsid w:val="009757FD"/>
    <w:rsid w:val="009873B8"/>
    <w:rsid w:val="0099499C"/>
    <w:rsid w:val="009A7EE9"/>
    <w:rsid w:val="00A11E5A"/>
    <w:rsid w:val="00A24869"/>
    <w:rsid w:val="00A310DC"/>
    <w:rsid w:val="00A36477"/>
    <w:rsid w:val="00A37ADF"/>
    <w:rsid w:val="00A55271"/>
    <w:rsid w:val="00A85919"/>
    <w:rsid w:val="00A914D2"/>
    <w:rsid w:val="00AA1528"/>
    <w:rsid w:val="00AB7DDF"/>
    <w:rsid w:val="00AC7C0E"/>
    <w:rsid w:val="00AD6E8B"/>
    <w:rsid w:val="00AE4A71"/>
    <w:rsid w:val="00B03683"/>
    <w:rsid w:val="00B14C2E"/>
    <w:rsid w:val="00B17BAC"/>
    <w:rsid w:val="00B2761E"/>
    <w:rsid w:val="00B52C53"/>
    <w:rsid w:val="00B61A29"/>
    <w:rsid w:val="00B64477"/>
    <w:rsid w:val="00B7663C"/>
    <w:rsid w:val="00B8758B"/>
    <w:rsid w:val="00B87AF4"/>
    <w:rsid w:val="00BD4180"/>
    <w:rsid w:val="00BD7B24"/>
    <w:rsid w:val="00BF0C19"/>
    <w:rsid w:val="00BF18C9"/>
    <w:rsid w:val="00BF7635"/>
    <w:rsid w:val="00C238DE"/>
    <w:rsid w:val="00C437F7"/>
    <w:rsid w:val="00C44880"/>
    <w:rsid w:val="00C621A0"/>
    <w:rsid w:val="00C64112"/>
    <w:rsid w:val="00C656FF"/>
    <w:rsid w:val="00C9099D"/>
    <w:rsid w:val="00CB2E04"/>
    <w:rsid w:val="00CC1E07"/>
    <w:rsid w:val="00CF2F7B"/>
    <w:rsid w:val="00D07723"/>
    <w:rsid w:val="00D12BCD"/>
    <w:rsid w:val="00D13CA1"/>
    <w:rsid w:val="00D16BB6"/>
    <w:rsid w:val="00D27A98"/>
    <w:rsid w:val="00D30F5D"/>
    <w:rsid w:val="00D312A6"/>
    <w:rsid w:val="00D444BA"/>
    <w:rsid w:val="00D82EC1"/>
    <w:rsid w:val="00D97850"/>
    <w:rsid w:val="00DA451A"/>
    <w:rsid w:val="00DB1865"/>
    <w:rsid w:val="00DB37C4"/>
    <w:rsid w:val="00E218B9"/>
    <w:rsid w:val="00E31C29"/>
    <w:rsid w:val="00E366AD"/>
    <w:rsid w:val="00E73D1F"/>
    <w:rsid w:val="00EE3ADF"/>
    <w:rsid w:val="00F154FE"/>
    <w:rsid w:val="00F21AC1"/>
    <w:rsid w:val="00F32B28"/>
    <w:rsid w:val="00F920C2"/>
    <w:rsid w:val="00F95876"/>
    <w:rsid w:val="00FA0AC6"/>
    <w:rsid w:val="00FC73BD"/>
    <w:rsid w:val="00FE6A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2CCEDA6"/>
  <w15:chartTrackingRefBased/>
  <w15:docId w15:val="{A946C429-3305-472F-9C79-4996D4DE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B28"/>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9A7EE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32B28"/>
    <w:pPr>
      <w:tabs>
        <w:tab w:val="center" w:pos="4153"/>
        <w:tab w:val="right" w:pos="8306"/>
      </w:tabs>
    </w:pPr>
  </w:style>
  <w:style w:type="character" w:customStyle="1" w:styleId="FooterChar">
    <w:name w:val="Footer Char"/>
    <w:basedOn w:val="DefaultParagraphFont"/>
    <w:link w:val="Footer"/>
    <w:rsid w:val="00F32B28"/>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F32B28"/>
    <w:pPr>
      <w:ind w:left="720"/>
      <w:contextualSpacing/>
    </w:pPr>
  </w:style>
  <w:style w:type="paragraph" w:styleId="Header">
    <w:name w:val="header"/>
    <w:basedOn w:val="Normal"/>
    <w:link w:val="HeaderChar"/>
    <w:uiPriority w:val="99"/>
    <w:unhideWhenUsed/>
    <w:rsid w:val="009A7EE9"/>
    <w:pPr>
      <w:tabs>
        <w:tab w:val="center" w:pos="4153"/>
        <w:tab w:val="right" w:pos="8306"/>
      </w:tabs>
    </w:pPr>
  </w:style>
  <w:style w:type="character" w:customStyle="1" w:styleId="HeaderChar">
    <w:name w:val="Header Char"/>
    <w:basedOn w:val="DefaultParagraphFont"/>
    <w:link w:val="Header"/>
    <w:uiPriority w:val="99"/>
    <w:rsid w:val="009A7EE9"/>
    <w:rPr>
      <w:rFonts w:ascii="Times New Roman" w:eastAsia="Times New Roman" w:hAnsi="Times New Roman" w:cs="Times New Roman"/>
      <w:sz w:val="24"/>
      <w:szCs w:val="24"/>
      <w:lang w:eastAsia="lv-LV"/>
    </w:rPr>
  </w:style>
  <w:style w:type="paragraph" w:customStyle="1" w:styleId="naisf">
    <w:name w:val="naisf"/>
    <w:basedOn w:val="Normal"/>
    <w:rsid w:val="009A7EE9"/>
    <w:pPr>
      <w:spacing w:before="100" w:beforeAutospacing="1" w:after="100" w:afterAutospacing="1"/>
    </w:pPr>
  </w:style>
  <w:style w:type="paragraph" w:customStyle="1" w:styleId="naisnod">
    <w:name w:val="naisnod"/>
    <w:basedOn w:val="Normal"/>
    <w:rsid w:val="009A7EE9"/>
    <w:pPr>
      <w:spacing w:before="100" w:beforeAutospacing="1" w:after="100" w:afterAutospacing="1"/>
    </w:pPr>
  </w:style>
  <w:style w:type="character" w:customStyle="1" w:styleId="Heading3Char">
    <w:name w:val="Heading 3 Char"/>
    <w:basedOn w:val="DefaultParagraphFont"/>
    <w:link w:val="Heading3"/>
    <w:uiPriority w:val="9"/>
    <w:rsid w:val="009A7EE9"/>
    <w:rPr>
      <w:rFonts w:ascii="Times New Roman" w:eastAsia="Times New Roman" w:hAnsi="Times New Roman" w:cs="Times New Roman"/>
      <w:b/>
      <w:bCs/>
      <w:sz w:val="27"/>
      <w:szCs w:val="27"/>
      <w:lang w:eastAsia="lv-LV"/>
    </w:rPr>
  </w:style>
  <w:style w:type="paragraph" w:customStyle="1" w:styleId="naiskr">
    <w:name w:val="naiskr"/>
    <w:basedOn w:val="Normal"/>
    <w:rsid w:val="009A7EE9"/>
    <w:pPr>
      <w:spacing w:before="100" w:beforeAutospacing="1" w:after="100" w:afterAutospacing="1"/>
    </w:pPr>
  </w:style>
  <w:style w:type="paragraph" w:styleId="BodyText">
    <w:name w:val="Body Text"/>
    <w:basedOn w:val="Normal"/>
    <w:link w:val="BodyTextChar"/>
    <w:rsid w:val="009A7EE9"/>
    <w:pPr>
      <w:jc w:val="center"/>
    </w:pPr>
    <w:rPr>
      <w:sz w:val="28"/>
      <w:lang w:eastAsia="en-US"/>
    </w:rPr>
  </w:style>
  <w:style w:type="character" w:customStyle="1" w:styleId="BodyTextChar">
    <w:name w:val="Body Text Char"/>
    <w:basedOn w:val="DefaultParagraphFont"/>
    <w:link w:val="BodyText"/>
    <w:rsid w:val="009A7EE9"/>
    <w:rPr>
      <w:rFonts w:ascii="Times New Roman" w:eastAsia="Times New Roman" w:hAnsi="Times New Roman" w:cs="Times New Roman"/>
      <w:sz w:val="28"/>
      <w:szCs w:val="24"/>
    </w:rPr>
  </w:style>
  <w:style w:type="character" w:styleId="Hyperlink">
    <w:name w:val="Hyperlink"/>
    <w:rsid w:val="000C703D"/>
    <w:rPr>
      <w:color w:val="0000FF"/>
      <w:u w:val="single"/>
    </w:rPr>
  </w:style>
  <w:style w:type="paragraph" w:styleId="BalloonText">
    <w:name w:val="Balloon Text"/>
    <w:basedOn w:val="Normal"/>
    <w:link w:val="BalloonTextChar"/>
    <w:uiPriority w:val="99"/>
    <w:semiHidden/>
    <w:unhideWhenUsed/>
    <w:rsid w:val="00B61A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A29"/>
    <w:rPr>
      <w:rFonts w:ascii="Segoe UI" w:eastAsia="Times New Roman" w:hAnsi="Segoe UI" w:cs="Segoe UI"/>
      <w:sz w:val="18"/>
      <w:szCs w:val="18"/>
      <w:lang w:eastAsia="lv-LV"/>
    </w:rPr>
  </w:style>
  <w:style w:type="table" w:styleId="TableGrid">
    <w:name w:val="Table Grid"/>
    <w:basedOn w:val="TableNormal"/>
    <w:uiPriority w:val="39"/>
    <w:rsid w:val="00C9099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3362"/>
    <w:rPr>
      <w:sz w:val="16"/>
      <w:szCs w:val="16"/>
    </w:rPr>
  </w:style>
  <w:style w:type="paragraph" w:styleId="CommentText">
    <w:name w:val="annotation text"/>
    <w:basedOn w:val="Normal"/>
    <w:link w:val="CommentTextChar"/>
    <w:uiPriority w:val="99"/>
    <w:semiHidden/>
    <w:unhideWhenUsed/>
    <w:rsid w:val="00823362"/>
    <w:rPr>
      <w:sz w:val="20"/>
      <w:szCs w:val="20"/>
    </w:rPr>
  </w:style>
  <w:style w:type="character" w:customStyle="1" w:styleId="CommentTextChar">
    <w:name w:val="Comment Text Char"/>
    <w:basedOn w:val="DefaultParagraphFont"/>
    <w:link w:val="CommentText"/>
    <w:uiPriority w:val="99"/>
    <w:semiHidden/>
    <w:rsid w:val="0082336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23362"/>
    <w:rPr>
      <w:b/>
      <w:bCs/>
    </w:rPr>
  </w:style>
  <w:style w:type="character" w:customStyle="1" w:styleId="CommentSubjectChar">
    <w:name w:val="Comment Subject Char"/>
    <w:basedOn w:val="CommentTextChar"/>
    <w:link w:val="CommentSubject"/>
    <w:uiPriority w:val="99"/>
    <w:semiHidden/>
    <w:rsid w:val="00823362"/>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006683">
      <w:bodyDiv w:val="1"/>
      <w:marLeft w:val="0"/>
      <w:marRight w:val="0"/>
      <w:marTop w:val="0"/>
      <w:marBottom w:val="0"/>
      <w:divBdr>
        <w:top w:val="none" w:sz="0" w:space="0" w:color="auto"/>
        <w:left w:val="none" w:sz="0" w:space="0" w:color="auto"/>
        <w:bottom w:val="none" w:sz="0" w:space="0" w:color="auto"/>
        <w:right w:val="none" w:sz="0" w:space="0" w:color="auto"/>
      </w:divBdr>
    </w:div>
    <w:div w:id="203098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afima.novoselska@f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5309</Words>
  <Characters>3027</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Ministru kabineta rīkojuma projekta “Par finanšu līdzekļu piešķiršanu no valsts budžeta programmas “Līdzekļi neparedzētiem gadījumiem”” sākotnējās ietekmes novērtējuma ziņojums (anotācija)</vt:lpstr>
    </vt:vector>
  </TitlesOfParts>
  <Company>Finanšu ministrija</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serafima.novoselska@fm.gov.lv</dc:creator>
  <cp:keywords/>
  <dc:description>67095507; serafima.novoselska@fm.gov.lv</dc:description>
  <cp:lastModifiedBy>Serafima Novoseļska</cp:lastModifiedBy>
  <cp:revision>5</cp:revision>
  <cp:lastPrinted>2018-06-14T07:39:00Z</cp:lastPrinted>
  <dcterms:created xsi:type="dcterms:W3CDTF">2018-06-14T07:18:00Z</dcterms:created>
  <dcterms:modified xsi:type="dcterms:W3CDTF">2018-06-14T08:02:00Z</dcterms:modified>
</cp:coreProperties>
</file>