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6E300" w14:textId="77777777" w:rsidR="00364B0E" w:rsidRPr="00300104" w:rsidRDefault="006A17AE" w:rsidP="0056487A">
      <w:pPr>
        <w:pStyle w:val="naislab"/>
        <w:spacing w:before="0" w:after="0"/>
        <w:jc w:val="center"/>
        <w:outlineLvl w:val="0"/>
        <w:rPr>
          <w:b/>
          <w:sz w:val="28"/>
          <w:szCs w:val="28"/>
        </w:rPr>
      </w:pPr>
      <w:r w:rsidRPr="00300104">
        <w:rPr>
          <w:b/>
          <w:sz w:val="28"/>
          <w:szCs w:val="28"/>
        </w:rPr>
        <w:t xml:space="preserve"> </w:t>
      </w:r>
      <w:r w:rsidR="00364B0E" w:rsidRPr="00300104">
        <w:rPr>
          <w:b/>
          <w:sz w:val="28"/>
          <w:szCs w:val="28"/>
        </w:rPr>
        <w:t xml:space="preserve">Ministru kabineta noteikumu projekta </w:t>
      </w:r>
    </w:p>
    <w:p w14:paraId="205F63B9" w14:textId="77777777" w:rsidR="00364B0E" w:rsidRPr="00300104" w:rsidRDefault="00364B0E" w:rsidP="0056487A">
      <w:pPr>
        <w:pStyle w:val="naislab"/>
        <w:spacing w:before="0" w:after="0"/>
        <w:jc w:val="center"/>
        <w:outlineLvl w:val="0"/>
        <w:rPr>
          <w:b/>
          <w:sz w:val="28"/>
          <w:szCs w:val="28"/>
        </w:rPr>
      </w:pPr>
      <w:r w:rsidRPr="00300104">
        <w:rPr>
          <w:b/>
          <w:sz w:val="28"/>
          <w:szCs w:val="28"/>
        </w:rPr>
        <w:t xml:space="preserve"> “Valsts ieņēmumu dienesta maksas pakalpojumu cenrādis”</w:t>
      </w:r>
    </w:p>
    <w:p w14:paraId="1C5FD037" w14:textId="69AE6F5F" w:rsidR="00D44A59" w:rsidRPr="00DE6A31" w:rsidRDefault="00364B0E" w:rsidP="00D53978">
      <w:pPr>
        <w:pStyle w:val="naislab"/>
        <w:spacing w:before="0" w:after="0"/>
        <w:jc w:val="center"/>
        <w:outlineLvl w:val="0"/>
        <w:rPr>
          <w:b/>
          <w:sz w:val="28"/>
          <w:szCs w:val="28"/>
        </w:rPr>
      </w:pPr>
      <w:r w:rsidRPr="00300104">
        <w:rPr>
          <w:b/>
          <w:sz w:val="28"/>
          <w:szCs w:val="28"/>
        </w:rPr>
        <w:t>sākotnējās ietekmes novērtējuma ziņojums (anotācija)</w:t>
      </w:r>
    </w:p>
    <w:p w14:paraId="22C38C79" w14:textId="77777777" w:rsidR="00683849" w:rsidRPr="00DE6A31" w:rsidRDefault="00683849" w:rsidP="00D53978">
      <w:pPr>
        <w:pStyle w:val="naislab"/>
        <w:spacing w:before="0" w:after="0"/>
        <w:jc w:val="center"/>
        <w:outlineLvl w:val="0"/>
        <w:rPr>
          <w:b/>
          <w:sz w:val="28"/>
          <w:szCs w:val="28"/>
        </w:rPr>
      </w:pPr>
    </w:p>
    <w:p w14:paraId="25949087" w14:textId="77777777" w:rsidR="00AB0CC2" w:rsidRPr="00DE6A31" w:rsidRDefault="00AB0CC2" w:rsidP="00D53978">
      <w:pPr>
        <w:pStyle w:val="naislab"/>
        <w:spacing w:before="0" w:after="0"/>
        <w:jc w:val="center"/>
        <w:outlineLvl w:val="0"/>
        <w:rPr>
          <w:b/>
          <w:sz w:val="28"/>
          <w:szCs w:val="28"/>
        </w:rPr>
      </w:pPr>
    </w:p>
    <w:p w14:paraId="4F794FC0" w14:textId="77777777" w:rsidR="00AB0CC2" w:rsidRPr="00DE6A31" w:rsidRDefault="00AB0CC2" w:rsidP="00D53978">
      <w:pPr>
        <w:pStyle w:val="naislab"/>
        <w:spacing w:before="0" w:after="0"/>
        <w:jc w:val="center"/>
        <w:outlineLvl w:val="0"/>
        <w:rPr>
          <w:b/>
          <w:sz w:val="28"/>
          <w:szCs w:val="28"/>
        </w:rPr>
      </w:pPr>
    </w:p>
    <w:p w14:paraId="42F0C42A" w14:textId="77777777" w:rsidR="00683849" w:rsidRPr="00DE6A31" w:rsidRDefault="00683849" w:rsidP="00D53978">
      <w:pPr>
        <w:pStyle w:val="naislab"/>
        <w:spacing w:before="0" w:after="0"/>
        <w:jc w:val="center"/>
        <w:outlineLvl w:val="0"/>
        <w:rPr>
          <w:b/>
          <w:sz w:val="28"/>
          <w:szCs w:val="28"/>
        </w:rPr>
      </w:pPr>
    </w:p>
    <w:tbl>
      <w:tblPr>
        <w:tblStyle w:val="TableGrid"/>
        <w:tblW w:w="4999" w:type="pct"/>
        <w:tblLook w:val="04A0" w:firstRow="1" w:lastRow="0" w:firstColumn="1" w:lastColumn="0" w:noHBand="0" w:noVBand="1"/>
      </w:tblPr>
      <w:tblGrid>
        <w:gridCol w:w="3851"/>
        <w:gridCol w:w="5776"/>
      </w:tblGrid>
      <w:tr w:rsidR="003B1A79" w:rsidRPr="00300104" w14:paraId="556338B1" w14:textId="77777777" w:rsidTr="003B1A79">
        <w:tc>
          <w:tcPr>
            <w:tcW w:w="0" w:type="auto"/>
            <w:gridSpan w:val="2"/>
            <w:hideMark/>
          </w:tcPr>
          <w:p w14:paraId="29A260AB" w14:textId="77777777" w:rsidR="003B1A79" w:rsidRPr="00DE6A31" w:rsidRDefault="003B1A79" w:rsidP="003B1A79">
            <w:pPr>
              <w:spacing w:before="100" w:beforeAutospacing="1" w:after="100" w:afterAutospacing="1" w:line="360" w:lineRule="auto"/>
              <w:ind w:firstLine="300"/>
              <w:jc w:val="center"/>
              <w:rPr>
                <w:b/>
                <w:bCs/>
                <w:sz w:val="28"/>
                <w:szCs w:val="28"/>
              </w:rPr>
            </w:pPr>
            <w:r w:rsidRPr="00DE6A31">
              <w:rPr>
                <w:b/>
                <w:bCs/>
                <w:sz w:val="28"/>
                <w:szCs w:val="28"/>
              </w:rPr>
              <w:t>Tiesību akta projekta anotācijas kopsavilkums</w:t>
            </w:r>
          </w:p>
        </w:tc>
      </w:tr>
      <w:tr w:rsidR="003B1A79" w:rsidRPr="00300104" w14:paraId="14CD1361" w14:textId="77777777" w:rsidTr="003B1A79">
        <w:tc>
          <w:tcPr>
            <w:tcW w:w="2000" w:type="pct"/>
            <w:hideMark/>
          </w:tcPr>
          <w:p w14:paraId="5A82BD75" w14:textId="77777777" w:rsidR="003B1A79" w:rsidRPr="00DE6A31" w:rsidRDefault="003B1A79" w:rsidP="003B1A79">
            <w:pPr>
              <w:rPr>
                <w:sz w:val="28"/>
                <w:szCs w:val="28"/>
              </w:rPr>
            </w:pPr>
            <w:r w:rsidRPr="00DE6A31">
              <w:rPr>
                <w:sz w:val="28"/>
                <w:szCs w:val="28"/>
              </w:rPr>
              <w:t>Mērķis, risinājums un projekta spēkā stāšanās laiks (500 zīmes bez atstarpēm)</w:t>
            </w:r>
          </w:p>
        </w:tc>
        <w:tc>
          <w:tcPr>
            <w:tcW w:w="3000" w:type="pct"/>
            <w:hideMark/>
          </w:tcPr>
          <w:p w14:paraId="64AB2591" w14:textId="02A3E976" w:rsidR="003B1A79" w:rsidRPr="00DE6A31" w:rsidRDefault="00142B04" w:rsidP="00AD0B28">
            <w:pPr>
              <w:jc w:val="both"/>
              <w:rPr>
                <w:sz w:val="28"/>
                <w:szCs w:val="28"/>
              </w:rPr>
            </w:pPr>
            <w:r w:rsidRPr="00DE6A31">
              <w:rPr>
                <w:sz w:val="28"/>
                <w:szCs w:val="28"/>
              </w:rPr>
              <w:t xml:space="preserve">Ministru kabineta noteikumu projekts “Valsts ieņēmumu dienesta maksas pakalpojumu cenrādis” ir </w:t>
            </w:r>
            <w:r w:rsidR="00DA7A00" w:rsidRPr="00DE6A31">
              <w:rPr>
                <w:sz w:val="28"/>
                <w:szCs w:val="28"/>
              </w:rPr>
              <w:t>izstrādāts</w:t>
            </w:r>
            <w:r w:rsidR="00821F25" w:rsidRPr="00DE6A31">
              <w:rPr>
                <w:sz w:val="28"/>
                <w:szCs w:val="28"/>
              </w:rPr>
              <w:t xml:space="preserve">, </w:t>
            </w:r>
            <w:r w:rsidR="00397592" w:rsidRPr="00DE6A31">
              <w:rPr>
                <w:sz w:val="28"/>
                <w:szCs w:val="28"/>
              </w:rPr>
              <w:t>lai</w:t>
            </w:r>
            <w:r w:rsidR="00821F25" w:rsidRPr="00DE6A31">
              <w:rPr>
                <w:sz w:val="28"/>
                <w:szCs w:val="28"/>
              </w:rPr>
              <w:t xml:space="preserve"> </w:t>
            </w:r>
            <w:r w:rsidR="007A041C" w:rsidRPr="00DE6A31">
              <w:rPr>
                <w:sz w:val="28"/>
                <w:szCs w:val="28"/>
              </w:rPr>
              <w:t>noteiktu</w:t>
            </w:r>
            <w:r w:rsidR="0062535A" w:rsidRPr="00DE6A31">
              <w:rPr>
                <w:sz w:val="28"/>
                <w:szCs w:val="28"/>
              </w:rPr>
              <w:t xml:space="preserve"> </w:t>
            </w:r>
            <w:r w:rsidR="007E378F" w:rsidRPr="00DE6A31">
              <w:rPr>
                <w:sz w:val="28"/>
                <w:szCs w:val="28"/>
              </w:rPr>
              <w:t>Valsts ieņēmumu dienesta sniegto maksas pakalpojumu</w:t>
            </w:r>
            <w:r w:rsidR="00AD0B28">
              <w:rPr>
                <w:sz w:val="28"/>
                <w:szCs w:val="28"/>
              </w:rPr>
              <w:t xml:space="preserve"> </w:t>
            </w:r>
            <w:r w:rsidR="00821F25" w:rsidRPr="00DE6A31">
              <w:rPr>
                <w:sz w:val="28"/>
                <w:szCs w:val="28"/>
              </w:rPr>
              <w:t>cenas</w:t>
            </w:r>
            <w:r w:rsidR="00397592" w:rsidRPr="00DE6A31">
              <w:rPr>
                <w:sz w:val="28"/>
                <w:szCs w:val="28"/>
              </w:rPr>
              <w:t xml:space="preserve"> atbilstoši faktiskajām izmaksām</w:t>
            </w:r>
            <w:r w:rsidR="007A041C" w:rsidRPr="00DE6A31">
              <w:rPr>
                <w:sz w:val="28"/>
                <w:szCs w:val="28"/>
              </w:rPr>
              <w:t>, sniegtu</w:t>
            </w:r>
            <w:r w:rsidR="007B11A7" w:rsidRPr="00DE6A31">
              <w:rPr>
                <w:sz w:val="28"/>
                <w:szCs w:val="28"/>
              </w:rPr>
              <w:t xml:space="preserve"> jaunu</w:t>
            </w:r>
            <w:r w:rsidR="0062535A" w:rsidRPr="00DE6A31">
              <w:rPr>
                <w:sz w:val="28"/>
                <w:szCs w:val="28"/>
              </w:rPr>
              <w:t>s</w:t>
            </w:r>
            <w:r w:rsidR="00AD0B28">
              <w:rPr>
                <w:sz w:val="28"/>
                <w:szCs w:val="28"/>
              </w:rPr>
              <w:t xml:space="preserve"> maksas</w:t>
            </w:r>
            <w:r w:rsidR="007B11A7" w:rsidRPr="00DE6A31">
              <w:rPr>
                <w:sz w:val="28"/>
                <w:szCs w:val="28"/>
              </w:rPr>
              <w:t xml:space="preserve"> pakalpojumu</w:t>
            </w:r>
            <w:r w:rsidR="0062535A" w:rsidRPr="00DE6A31">
              <w:rPr>
                <w:sz w:val="28"/>
                <w:szCs w:val="28"/>
              </w:rPr>
              <w:t>s</w:t>
            </w:r>
            <w:r w:rsidR="00397592" w:rsidRPr="00DE6A31">
              <w:rPr>
                <w:sz w:val="28"/>
                <w:szCs w:val="28"/>
              </w:rPr>
              <w:t>,</w:t>
            </w:r>
            <w:r w:rsidR="007A041C" w:rsidRPr="00DE6A31">
              <w:rPr>
                <w:sz w:val="28"/>
                <w:szCs w:val="28"/>
              </w:rPr>
              <w:t xml:space="preserve"> </w:t>
            </w:r>
            <w:r w:rsidR="00397592" w:rsidRPr="00DE6A31">
              <w:rPr>
                <w:sz w:val="28"/>
                <w:szCs w:val="28"/>
              </w:rPr>
              <w:t xml:space="preserve">izslēgtu </w:t>
            </w:r>
            <w:r w:rsidR="0062535A" w:rsidRPr="00DE6A31">
              <w:rPr>
                <w:sz w:val="28"/>
                <w:szCs w:val="28"/>
              </w:rPr>
              <w:t xml:space="preserve">turpmāk nesniegtos </w:t>
            </w:r>
            <w:r w:rsidR="00AD0B28">
              <w:rPr>
                <w:sz w:val="28"/>
                <w:szCs w:val="28"/>
              </w:rPr>
              <w:t xml:space="preserve">maksas </w:t>
            </w:r>
            <w:r w:rsidR="0062535A" w:rsidRPr="00DE6A31">
              <w:rPr>
                <w:sz w:val="28"/>
                <w:szCs w:val="28"/>
              </w:rPr>
              <w:t>pakalpojumus</w:t>
            </w:r>
            <w:r w:rsidR="00210B89" w:rsidRPr="00DE6A31">
              <w:rPr>
                <w:sz w:val="28"/>
                <w:szCs w:val="28"/>
              </w:rPr>
              <w:t>, kā arī</w:t>
            </w:r>
            <w:r w:rsidR="00F92A06" w:rsidRPr="00DE6A31">
              <w:rPr>
                <w:sz w:val="28"/>
                <w:szCs w:val="28"/>
              </w:rPr>
              <w:t xml:space="preserve"> </w:t>
            </w:r>
            <w:r w:rsidR="00210B89" w:rsidRPr="00DE6A31">
              <w:rPr>
                <w:sz w:val="28"/>
                <w:szCs w:val="28"/>
              </w:rPr>
              <w:t>noteiktu kārtību</w:t>
            </w:r>
            <w:r w:rsidR="00DF15CA" w:rsidRPr="00DE6A31">
              <w:rPr>
                <w:sz w:val="28"/>
                <w:szCs w:val="28"/>
              </w:rPr>
              <w:t>,</w:t>
            </w:r>
            <w:r w:rsidR="00210B89" w:rsidRPr="00DE6A31">
              <w:rPr>
                <w:sz w:val="28"/>
                <w:szCs w:val="28"/>
              </w:rPr>
              <w:t xml:space="preserve"> kādā persona maksā par sniegtajiem </w:t>
            </w:r>
            <w:r w:rsidR="00AD0B28">
              <w:rPr>
                <w:sz w:val="28"/>
                <w:szCs w:val="28"/>
              </w:rPr>
              <w:t>maks</w:t>
            </w:r>
            <w:r w:rsidR="006C5993">
              <w:rPr>
                <w:sz w:val="28"/>
                <w:szCs w:val="28"/>
              </w:rPr>
              <w:t xml:space="preserve">as </w:t>
            </w:r>
            <w:r w:rsidR="00210B89" w:rsidRPr="00DE6A31">
              <w:rPr>
                <w:sz w:val="28"/>
                <w:szCs w:val="28"/>
              </w:rPr>
              <w:t xml:space="preserve">pakalpojumiem un kādā personai atmaksā samaksāto pakalpojuma maksu. </w:t>
            </w:r>
            <w:r w:rsidR="00F92A06" w:rsidRPr="00DE6A31">
              <w:rPr>
                <w:sz w:val="28"/>
                <w:szCs w:val="28"/>
              </w:rPr>
              <w:t>Projekts stājas spēkā uzreiz pēc izskatīšanas Ministru kabinetā.</w:t>
            </w:r>
          </w:p>
        </w:tc>
      </w:tr>
    </w:tbl>
    <w:p w14:paraId="1A6D32B4" w14:textId="77777777" w:rsidR="003B1A79" w:rsidRPr="00DE6A31" w:rsidRDefault="003B1A79" w:rsidP="003B1A79">
      <w:pPr>
        <w:rPr>
          <w:sz w:val="28"/>
          <w:szCs w:val="28"/>
        </w:rPr>
      </w:pPr>
      <w:r w:rsidRPr="00DE6A31">
        <w:rPr>
          <w:sz w:val="28"/>
          <w:szCs w:val="28"/>
        </w:rPr>
        <w:t xml:space="preserve">  </w:t>
      </w:r>
    </w:p>
    <w:p w14:paraId="086F6CB2" w14:textId="77777777" w:rsidR="00683849" w:rsidRPr="00DE6A31" w:rsidRDefault="00683849" w:rsidP="003B1A79">
      <w:pPr>
        <w:rPr>
          <w:sz w:val="28"/>
          <w:szCs w:val="28"/>
        </w:rPr>
      </w:pPr>
    </w:p>
    <w:p w14:paraId="19EFF4F1" w14:textId="77777777" w:rsidR="00AB0CC2" w:rsidRPr="00DE6A31" w:rsidRDefault="00AB0CC2" w:rsidP="003B1A79">
      <w:pPr>
        <w:rPr>
          <w:sz w:val="28"/>
          <w:szCs w:val="28"/>
        </w:rPr>
      </w:pPr>
    </w:p>
    <w:tbl>
      <w:tblPr>
        <w:tblStyle w:val="TableGrid"/>
        <w:tblW w:w="5000" w:type="pct"/>
        <w:tblLook w:val="04A0" w:firstRow="1" w:lastRow="0" w:firstColumn="1" w:lastColumn="0" w:noHBand="0" w:noVBand="1"/>
      </w:tblPr>
      <w:tblGrid>
        <w:gridCol w:w="726"/>
        <w:gridCol w:w="3200"/>
        <w:gridCol w:w="5703"/>
      </w:tblGrid>
      <w:tr w:rsidR="003B1A79" w:rsidRPr="00300104" w14:paraId="44D559E6" w14:textId="77777777" w:rsidTr="003B1A79">
        <w:tc>
          <w:tcPr>
            <w:tcW w:w="0" w:type="auto"/>
            <w:gridSpan w:val="3"/>
            <w:hideMark/>
          </w:tcPr>
          <w:p w14:paraId="35A98EBB" w14:textId="77777777" w:rsidR="003B1A79" w:rsidRPr="00DE6A31" w:rsidRDefault="003B1A79" w:rsidP="003B1A79">
            <w:pPr>
              <w:spacing w:before="100" w:beforeAutospacing="1" w:after="100" w:afterAutospacing="1" w:line="360" w:lineRule="auto"/>
              <w:ind w:firstLine="300"/>
              <w:jc w:val="center"/>
              <w:rPr>
                <w:b/>
                <w:bCs/>
                <w:sz w:val="28"/>
                <w:szCs w:val="28"/>
              </w:rPr>
            </w:pPr>
            <w:r w:rsidRPr="00DE6A31">
              <w:rPr>
                <w:b/>
                <w:bCs/>
                <w:sz w:val="28"/>
                <w:szCs w:val="28"/>
              </w:rPr>
              <w:t>I. Tiesību akta projekta izstrādes nepieciešamība</w:t>
            </w:r>
          </w:p>
        </w:tc>
      </w:tr>
      <w:tr w:rsidR="003B1A79" w:rsidRPr="00300104" w14:paraId="3F032A15" w14:textId="77777777" w:rsidTr="003B1A79">
        <w:tc>
          <w:tcPr>
            <w:tcW w:w="300" w:type="pct"/>
            <w:hideMark/>
          </w:tcPr>
          <w:p w14:paraId="47E6AEB6" w14:textId="77777777" w:rsidR="003B1A79" w:rsidRPr="00DE6A31" w:rsidRDefault="003B1A79" w:rsidP="003B1A79">
            <w:pPr>
              <w:spacing w:before="100" w:beforeAutospacing="1" w:after="100" w:afterAutospacing="1" w:line="360" w:lineRule="auto"/>
              <w:ind w:firstLine="300"/>
              <w:jc w:val="center"/>
              <w:rPr>
                <w:sz w:val="28"/>
                <w:szCs w:val="28"/>
              </w:rPr>
            </w:pPr>
            <w:r w:rsidRPr="00DE6A31">
              <w:rPr>
                <w:sz w:val="28"/>
                <w:szCs w:val="28"/>
              </w:rPr>
              <w:t>1.</w:t>
            </w:r>
          </w:p>
        </w:tc>
        <w:tc>
          <w:tcPr>
            <w:tcW w:w="1700" w:type="pct"/>
            <w:hideMark/>
          </w:tcPr>
          <w:p w14:paraId="77C95401" w14:textId="77777777" w:rsidR="003B1A79" w:rsidRPr="00DE6A31" w:rsidRDefault="003B1A79" w:rsidP="003B1A79">
            <w:pPr>
              <w:rPr>
                <w:sz w:val="28"/>
                <w:szCs w:val="28"/>
              </w:rPr>
            </w:pPr>
            <w:r w:rsidRPr="00DE6A31">
              <w:rPr>
                <w:sz w:val="28"/>
                <w:szCs w:val="28"/>
              </w:rPr>
              <w:t>Pamatojums</w:t>
            </w:r>
          </w:p>
        </w:tc>
        <w:tc>
          <w:tcPr>
            <w:tcW w:w="3000" w:type="pct"/>
            <w:hideMark/>
          </w:tcPr>
          <w:p w14:paraId="01A8AD0B" w14:textId="77777777" w:rsidR="003B1A79" w:rsidRPr="00DE6A31" w:rsidRDefault="007E4912" w:rsidP="006D5CC9">
            <w:pPr>
              <w:jc w:val="both"/>
              <w:rPr>
                <w:sz w:val="28"/>
                <w:szCs w:val="28"/>
              </w:rPr>
            </w:pPr>
            <w:r w:rsidRPr="00DE6A31">
              <w:rPr>
                <w:sz w:val="28"/>
                <w:szCs w:val="28"/>
              </w:rPr>
              <w:t>Valsts ieņēmumu dienesta</w:t>
            </w:r>
            <w:r w:rsidR="000C2A7E" w:rsidRPr="00DE6A31">
              <w:rPr>
                <w:sz w:val="28"/>
                <w:szCs w:val="28"/>
              </w:rPr>
              <w:t xml:space="preserve"> (turpmāk – VID)</w:t>
            </w:r>
            <w:r w:rsidRPr="00DE6A31">
              <w:rPr>
                <w:sz w:val="28"/>
                <w:szCs w:val="28"/>
              </w:rPr>
              <w:t xml:space="preserve"> iniciatīva.</w:t>
            </w:r>
            <w:r w:rsidR="007029DA" w:rsidRPr="00DE6A31">
              <w:rPr>
                <w:sz w:val="28"/>
                <w:szCs w:val="28"/>
              </w:rPr>
              <w:t xml:space="preserve"> </w:t>
            </w:r>
          </w:p>
        </w:tc>
      </w:tr>
      <w:tr w:rsidR="003B1A79" w:rsidRPr="00300104" w14:paraId="1A87008E" w14:textId="77777777" w:rsidTr="003B1A79">
        <w:tc>
          <w:tcPr>
            <w:tcW w:w="300" w:type="pct"/>
            <w:hideMark/>
          </w:tcPr>
          <w:p w14:paraId="77722C1D" w14:textId="77777777" w:rsidR="003B1A79" w:rsidRPr="00DE6A31" w:rsidRDefault="003B1A79" w:rsidP="003B1A79">
            <w:pPr>
              <w:spacing w:before="100" w:beforeAutospacing="1" w:after="100" w:afterAutospacing="1" w:line="360" w:lineRule="auto"/>
              <w:ind w:firstLine="300"/>
              <w:jc w:val="center"/>
              <w:rPr>
                <w:sz w:val="28"/>
                <w:szCs w:val="28"/>
              </w:rPr>
            </w:pPr>
            <w:r w:rsidRPr="00DE6A31">
              <w:rPr>
                <w:sz w:val="28"/>
                <w:szCs w:val="28"/>
              </w:rPr>
              <w:t>2.</w:t>
            </w:r>
          </w:p>
        </w:tc>
        <w:tc>
          <w:tcPr>
            <w:tcW w:w="1700" w:type="pct"/>
            <w:hideMark/>
          </w:tcPr>
          <w:p w14:paraId="72133A96" w14:textId="54D45B34" w:rsidR="00CB64B5" w:rsidRDefault="003B1A79" w:rsidP="003B1A79">
            <w:pPr>
              <w:rPr>
                <w:sz w:val="28"/>
                <w:szCs w:val="28"/>
              </w:rPr>
            </w:pPr>
            <w:r w:rsidRPr="00DE6A31">
              <w:rPr>
                <w:sz w:val="28"/>
                <w:szCs w:val="28"/>
              </w:rPr>
              <w:t>Pašreizējā situācija un problēmas, kuru risināšanai tiesību akta projekts izstrādāts, tiesiskā regulējuma mērķis un būtība</w:t>
            </w:r>
          </w:p>
          <w:p w14:paraId="07628A1A" w14:textId="77777777" w:rsidR="00CB64B5" w:rsidRPr="00CB64B5" w:rsidRDefault="00CB64B5" w:rsidP="00CB64B5">
            <w:pPr>
              <w:rPr>
                <w:sz w:val="28"/>
                <w:szCs w:val="28"/>
              </w:rPr>
            </w:pPr>
          </w:p>
          <w:p w14:paraId="66BA7BEA" w14:textId="77777777" w:rsidR="00CB64B5" w:rsidRPr="00CB64B5" w:rsidRDefault="00CB64B5" w:rsidP="00CB64B5">
            <w:pPr>
              <w:rPr>
                <w:sz w:val="28"/>
                <w:szCs w:val="28"/>
              </w:rPr>
            </w:pPr>
          </w:p>
          <w:p w14:paraId="385908A5" w14:textId="77777777" w:rsidR="00CB64B5" w:rsidRPr="00CB64B5" w:rsidRDefault="00CB64B5" w:rsidP="00CB64B5">
            <w:pPr>
              <w:rPr>
                <w:sz w:val="28"/>
                <w:szCs w:val="28"/>
              </w:rPr>
            </w:pPr>
          </w:p>
          <w:p w14:paraId="794ABDAA" w14:textId="77777777" w:rsidR="00CB64B5" w:rsidRPr="00CB64B5" w:rsidRDefault="00CB64B5" w:rsidP="00CB64B5">
            <w:pPr>
              <w:rPr>
                <w:sz w:val="28"/>
                <w:szCs w:val="28"/>
              </w:rPr>
            </w:pPr>
          </w:p>
          <w:p w14:paraId="1B58DD88" w14:textId="77777777" w:rsidR="00CB64B5" w:rsidRPr="00CB64B5" w:rsidRDefault="00CB64B5" w:rsidP="00CB64B5">
            <w:pPr>
              <w:rPr>
                <w:sz w:val="28"/>
                <w:szCs w:val="28"/>
              </w:rPr>
            </w:pPr>
          </w:p>
          <w:p w14:paraId="588EFC73" w14:textId="77777777" w:rsidR="00CB64B5" w:rsidRPr="00CB64B5" w:rsidRDefault="00CB64B5" w:rsidP="00CB64B5">
            <w:pPr>
              <w:rPr>
                <w:sz w:val="28"/>
                <w:szCs w:val="28"/>
              </w:rPr>
            </w:pPr>
          </w:p>
          <w:p w14:paraId="0B293D6C" w14:textId="77777777" w:rsidR="00CB64B5" w:rsidRPr="00CB64B5" w:rsidRDefault="00CB64B5" w:rsidP="00CB64B5">
            <w:pPr>
              <w:rPr>
                <w:sz w:val="28"/>
                <w:szCs w:val="28"/>
              </w:rPr>
            </w:pPr>
          </w:p>
          <w:p w14:paraId="79A71F3D" w14:textId="77777777" w:rsidR="00CB64B5" w:rsidRPr="00CB64B5" w:rsidRDefault="00CB64B5" w:rsidP="00CB64B5">
            <w:pPr>
              <w:rPr>
                <w:sz w:val="28"/>
                <w:szCs w:val="28"/>
              </w:rPr>
            </w:pPr>
          </w:p>
          <w:p w14:paraId="44167B42" w14:textId="77777777" w:rsidR="00CB64B5" w:rsidRPr="00CB64B5" w:rsidRDefault="00CB64B5" w:rsidP="00CB64B5">
            <w:pPr>
              <w:rPr>
                <w:sz w:val="28"/>
                <w:szCs w:val="28"/>
              </w:rPr>
            </w:pPr>
          </w:p>
          <w:p w14:paraId="243A9363" w14:textId="77777777" w:rsidR="00CB64B5" w:rsidRPr="00CB64B5" w:rsidRDefault="00CB64B5" w:rsidP="00CB64B5">
            <w:pPr>
              <w:rPr>
                <w:sz w:val="28"/>
                <w:szCs w:val="28"/>
              </w:rPr>
            </w:pPr>
          </w:p>
          <w:p w14:paraId="6A68B4A8" w14:textId="77777777" w:rsidR="00CB64B5" w:rsidRPr="00CB64B5" w:rsidRDefault="00CB64B5" w:rsidP="00CB64B5">
            <w:pPr>
              <w:rPr>
                <w:sz w:val="28"/>
                <w:szCs w:val="28"/>
              </w:rPr>
            </w:pPr>
          </w:p>
          <w:p w14:paraId="45E411AE" w14:textId="77777777" w:rsidR="00CB64B5" w:rsidRPr="00CB64B5" w:rsidRDefault="00CB64B5" w:rsidP="00CB64B5">
            <w:pPr>
              <w:rPr>
                <w:sz w:val="28"/>
                <w:szCs w:val="28"/>
              </w:rPr>
            </w:pPr>
          </w:p>
          <w:p w14:paraId="71BBA9E9" w14:textId="4DE784F2" w:rsidR="003B1A79" w:rsidRPr="00CB64B5" w:rsidRDefault="003B1A79" w:rsidP="00CB64B5">
            <w:pPr>
              <w:rPr>
                <w:sz w:val="28"/>
                <w:szCs w:val="28"/>
              </w:rPr>
            </w:pPr>
          </w:p>
        </w:tc>
        <w:tc>
          <w:tcPr>
            <w:tcW w:w="3000" w:type="pct"/>
            <w:hideMark/>
          </w:tcPr>
          <w:p w14:paraId="66BB759D" w14:textId="6B8EC63E" w:rsidR="003B1A79" w:rsidRPr="00DE6A31" w:rsidRDefault="003B1A79" w:rsidP="0062535A">
            <w:pPr>
              <w:ind w:right="142"/>
              <w:jc w:val="both"/>
              <w:rPr>
                <w:sz w:val="28"/>
                <w:szCs w:val="28"/>
              </w:rPr>
            </w:pPr>
            <w:r w:rsidRPr="00DE6A31">
              <w:rPr>
                <w:sz w:val="28"/>
                <w:szCs w:val="28"/>
              </w:rPr>
              <w:t xml:space="preserve">Šobrīd spēkā esošie Ministru kabineta 2013.gada 10.septembra noteikumi Nr.778 “Valsts ieņēmumu dienesta maksas pakalpojumu cenrādis” (turpmāk </w:t>
            </w:r>
            <w:r w:rsidRPr="00DE6A31">
              <w:rPr>
                <w:bCs/>
                <w:sz w:val="28"/>
                <w:szCs w:val="28"/>
              </w:rPr>
              <w:t xml:space="preserve">– </w:t>
            </w:r>
            <w:r w:rsidRPr="00DE6A31">
              <w:rPr>
                <w:sz w:val="28"/>
                <w:szCs w:val="28"/>
              </w:rPr>
              <w:t xml:space="preserve"> noteikumi Nr.778) noteic </w:t>
            </w:r>
            <w:r w:rsidR="000C2A7E" w:rsidRPr="00DE6A31">
              <w:rPr>
                <w:sz w:val="28"/>
                <w:szCs w:val="28"/>
              </w:rPr>
              <w:t>VID</w:t>
            </w:r>
            <w:r w:rsidRPr="00DE6A31">
              <w:rPr>
                <w:sz w:val="28"/>
                <w:szCs w:val="28"/>
              </w:rPr>
              <w:t xml:space="preserve"> sniegto maksas pakalpojumu cenrādi. </w:t>
            </w:r>
          </w:p>
          <w:p w14:paraId="409C023E" w14:textId="322FE3EB" w:rsidR="00F05A20" w:rsidRPr="00DE6A31" w:rsidRDefault="00F05A20" w:rsidP="0062535A">
            <w:pPr>
              <w:ind w:right="142"/>
              <w:jc w:val="both"/>
              <w:rPr>
                <w:sz w:val="28"/>
                <w:szCs w:val="28"/>
              </w:rPr>
            </w:pPr>
            <w:r w:rsidRPr="00DE6A31">
              <w:rPr>
                <w:sz w:val="28"/>
                <w:szCs w:val="28"/>
              </w:rPr>
              <w:t xml:space="preserve">Ministru kabineta noteikumu projekta “Valsts ieņēmumu dienesta maksas pakalpojumu cenrādis” (turpmāk – noteikumu projekts) izstrādes mērķis ir pārskatīt </w:t>
            </w:r>
            <w:r w:rsidR="00A1368E" w:rsidRPr="00DE6A31">
              <w:rPr>
                <w:sz w:val="28"/>
                <w:szCs w:val="28"/>
              </w:rPr>
              <w:t>VID</w:t>
            </w:r>
            <w:r w:rsidRPr="00DE6A31">
              <w:rPr>
                <w:sz w:val="28"/>
                <w:szCs w:val="28"/>
              </w:rPr>
              <w:t xml:space="preserve"> sniegtos maksas pakalpojumus</w:t>
            </w:r>
            <w:r w:rsidR="00AD0B28">
              <w:rPr>
                <w:sz w:val="28"/>
                <w:szCs w:val="28"/>
              </w:rPr>
              <w:t xml:space="preserve"> (turpmāk – pakalpojums)</w:t>
            </w:r>
            <w:r w:rsidRPr="00DE6A31">
              <w:rPr>
                <w:sz w:val="28"/>
                <w:szCs w:val="28"/>
              </w:rPr>
              <w:t xml:space="preserve">, aktualizēt to izcenojumus, noteikt kārtību, kādā persona maksā par VID sniegtajiem maksas pakalpojumiem un kādā personai atmaksā samaksāto </w:t>
            </w:r>
            <w:r w:rsidR="006C5993">
              <w:rPr>
                <w:sz w:val="28"/>
                <w:szCs w:val="28"/>
              </w:rPr>
              <w:t xml:space="preserve">maksas </w:t>
            </w:r>
            <w:r w:rsidRPr="00DE6A31">
              <w:rPr>
                <w:sz w:val="28"/>
                <w:szCs w:val="28"/>
              </w:rPr>
              <w:t>pakalpojuma maksu.</w:t>
            </w:r>
          </w:p>
          <w:p w14:paraId="3C0EE82E" w14:textId="1DC3EC54" w:rsidR="003B1A79" w:rsidRPr="00DE6A31" w:rsidRDefault="00F05A20" w:rsidP="0062535A">
            <w:pPr>
              <w:ind w:right="142"/>
              <w:jc w:val="both"/>
              <w:rPr>
                <w:sz w:val="28"/>
                <w:szCs w:val="28"/>
              </w:rPr>
            </w:pPr>
            <w:r w:rsidRPr="00DE6A31">
              <w:rPr>
                <w:sz w:val="28"/>
                <w:szCs w:val="28"/>
              </w:rPr>
              <w:t>Tā kā grozāmo normu apmērs pārsnie</w:t>
            </w:r>
            <w:r w:rsidR="00886B71" w:rsidRPr="00DE6A31">
              <w:rPr>
                <w:sz w:val="28"/>
                <w:szCs w:val="28"/>
              </w:rPr>
              <w:t>dz</w:t>
            </w:r>
            <w:r w:rsidRPr="00DE6A31">
              <w:rPr>
                <w:sz w:val="28"/>
                <w:szCs w:val="28"/>
              </w:rPr>
              <w:t xml:space="preserve"> pusi no spēkā esošo noteikumu Nr.778 normu apjoma, </w:t>
            </w:r>
            <w:r w:rsidR="00886B71" w:rsidRPr="00DE6A31">
              <w:rPr>
                <w:sz w:val="28"/>
                <w:szCs w:val="28"/>
              </w:rPr>
              <w:t xml:space="preserve">ir </w:t>
            </w:r>
            <w:r w:rsidRPr="00DE6A31">
              <w:rPr>
                <w:sz w:val="28"/>
                <w:szCs w:val="28"/>
              </w:rPr>
              <w:t>izstrādāts jauns noteikumu projekts</w:t>
            </w:r>
            <w:r w:rsidR="00886B71" w:rsidRPr="00DE6A31">
              <w:rPr>
                <w:sz w:val="28"/>
                <w:szCs w:val="28"/>
              </w:rPr>
              <w:t>.</w:t>
            </w:r>
          </w:p>
          <w:p w14:paraId="004E2038" w14:textId="06D6528A" w:rsidR="00A1368E" w:rsidRPr="00DE6A31" w:rsidRDefault="00A1368E" w:rsidP="0062535A">
            <w:pPr>
              <w:ind w:right="142"/>
              <w:jc w:val="both"/>
              <w:rPr>
                <w:sz w:val="28"/>
                <w:szCs w:val="28"/>
              </w:rPr>
            </w:pPr>
            <w:r w:rsidRPr="00DE6A31">
              <w:rPr>
                <w:sz w:val="28"/>
                <w:szCs w:val="28"/>
              </w:rPr>
              <w:lastRenderedPageBreak/>
              <w:t xml:space="preserve">Ņemot vērā minēto, </w:t>
            </w:r>
            <w:r w:rsidR="001B58F0" w:rsidRPr="00DE6A31">
              <w:rPr>
                <w:bCs/>
                <w:sz w:val="28"/>
                <w:szCs w:val="28"/>
              </w:rPr>
              <w:t xml:space="preserve">noteikumu projektā </w:t>
            </w:r>
            <w:r w:rsidR="00B830D5" w:rsidRPr="00DE6A31">
              <w:rPr>
                <w:bCs/>
                <w:sz w:val="28"/>
                <w:szCs w:val="28"/>
              </w:rPr>
              <w:t xml:space="preserve">paredzēts, ka </w:t>
            </w:r>
            <w:r w:rsidR="001B58F0" w:rsidRPr="00DE6A31">
              <w:rPr>
                <w:bCs/>
                <w:sz w:val="28"/>
                <w:szCs w:val="28"/>
              </w:rPr>
              <w:t xml:space="preserve">līdz </w:t>
            </w:r>
            <w:r w:rsidR="00B830D5" w:rsidRPr="00DE6A31">
              <w:rPr>
                <w:bCs/>
                <w:sz w:val="28"/>
                <w:szCs w:val="28"/>
              </w:rPr>
              <w:t xml:space="preserve">ar </w:t>
            </w:r>
            <w:r w:rsidR="001B58F0" w:rsidRPr="00DE6A31">
              <w:rPr>
                <w:bCs/>
                <w:sz w:val="28"/>
                <w:szCs w:val="28"/>
              </w:rPr>
              <w:t>to spēkā stāšanos spēku zaudē</w:t>
            </w:r>
            <w:r w:rsidRPr="00DE6A31">
              <w:rPr>
                <w:bCs/>
                <w:sz w:val="28"/>
                <w:szCs w:val="28"/>
              </w:rPr>
              <w:t xml:space="preserve"> </w:t>
            </w:r>
            <w:r w:rsidR="00B830D5" w:rsidRPr="00DE6A31">
              <w:rPr>
                <w:sz w:val="28"/>
                <w:szCs w:val="28"/>
              </w:rPr>
              <w:t>noteikumi</w:t>
            </w:r>
            <w:r w:rsidRPr="00DE6A31">
              <w:rPr>
                <w:sz w:val="28"/>
                <w:szCs w:val="28"/>
              </w:rPr>
              <w:t xml:space="preserve"> Nr.778</w:t>
            </w:r>
            <w:r w:rsidR="00B830D5" w:rsidRPr="00DE6A31">
              <w:rPr>
                <w:sz w:val="28"/>
                <w:szCs w:val="28"/>
              </w:rPr>
              <w:t>.</w:t>
            </w:r>
            <w:r w:rsidRPr="00DE6A31">
              <w:rPr>
                <w:sz w:val="28"/>
                <w:szCs w:val="28"/>
              </w:rPr>
              <w:t xml:space="preserve"> </w:t>
            </w:r>
          </w:p>
          <w:p w14:paraId="22EDF684" w14:textId="77777777" w:rsidR="003B1A79" w:rsidRPr="00DE6A31" w:rsidRDefault="003B1A79" w:rsidP="003B1A79">
            <w:pPr>
              <w:ind w:right="141"/>
              <w:jc w:val="both"/>
              <w:rPr>
                <w:b/>
                <w:sz w:val="28"/>
                <w:szCs w:val="28"/>
                <w:u w:val="single"/>
              </w:rPr>
            </w:pPr>
          </w:p>
          <w:p w14:paraId="1E16FC93" w14:textId="77777777" w:rsidR="003B1A79" w:rsidRPr="00DE6A31" w:rsidRDefault="000C2A7E" w:rsidP="003B1A79">
            <w:pPr>
              <w:ind w:right="141"/>
              <w:jc w:val="both"/>
              <w:rPr>
                <w:b/>
                <w:sz w:val="28"/>
                <w:szCs w:val="28"/>
                <w:u w:val="single"/>
              </w:rPr>
            </w:pPr>
            <w:r w:rsidRPr="00DE6A31">
              <w:rPr>
                <w:b/>
                <w:sz w:val="28"/>
                <w:szCs w:val="28"/>
                <w:u w:val="single"/>
              </w:rPr>
              <w:t>VID</w:t>
            </w:r>
            <w:r w:rsidR="003B1A79" w:rsidRPr="00DE6A31">
              <w:rPr>
                <w:b/>
                <w:sz w:val="28"/>
                <w:szCs w:val="28"/>
                <w:u w:val="single"/>
              </w:rPr>
              <w:t xml:space="preserve"> sniegto maksas pakalpojumu pārskatīšana.</w:t>
            </w:r>
          </w:p>
          <w:p w14:paraId="72E445FA" w14:textId="0B3D07A6" w:rsidR="003B1A79" w:rsidRPr="00DE6A31" w:rsidRDefault="00463FE5" w:rsidP="003B1A79">
            <w:pPr>
              <w:spacing w:before="120"/>
              <w:ind w:right="141"/>
              <w:jc w:val="both"/>
              <w:rPr>
                <w:bCs/>
                <w:sz w:val="28"/>
                <w:szCs w:val="28"/>
              </w:rPr>
            </w:pPr>
            <w:r w:rsidRPr="00DE6A31">
              <w:rPr>
                <w:sz w:val="28"/>
                <w:szCs w:val="28"/>
              </w:rPr>
              <w:t xml:space="preserve">No </w:t>
            </w:r>
            <w:r w:rsidR="00693503" w:rsidRPr="00DE6A31">
              <w:rPr>
                <w:sz w:val="28"/>
                <w:szCs w:val="28"/>
              </w:rPr>
              <w:t>2016.gada 1.</w:t>
            </w:r>
            <w:r w:rsidR="00D35DFD" w:rsidRPr="00DE6A31">
              <w:rPr>
                <w:sz w:val="28"/>
                <w:szCs w:val="28"/>
              </w:rPr>
              <w:t>jūnij</w:t>
            </w:r>
            <w:r w:rsidRPr="00DE6A31">
              <w:rPr>
                <w:sz w:val="28"/>
                <w:szCs w:val="28"/>
              </w:rPr>
              <w:t>a ir piemērojama</w:t>
            </w:r>
            <w:r w:rsidR="003B1A79" w:rsidRPr="00DE6A31">
              <w:rPr>
                <w:sz w:val="28"/>
                <w:szCs w:val="28"/>
              </w:rPr>
              <w:t xml:space="preserve"> Eiropas Parlamenta un Padomes 2013.gada 9.oktobra regula (ES) Nr.952/2013, ar ko izveido Savienības Muitas kodeksu un cit</w:t>
            </w:r>
            <w:r w:rsidR="007C4CD6" w:rsidRPr="00DE6A31">
              <w:rPr>
                <w:sz w:val="28"/>
                <w:szCs w:val="28"/>
              </w:rPr>
              <w:t>i</w:t>
            </w:r>
            <w:r w:rsidR="003B1A79" w:rsidRPr="00DE6A31">
              <w:rPr>
                <w:sz w:val="28"/>
                <w:szCs w:val="28"/>
              </w:rPr>
              <w:t xml:space="preserve"> uz šīs regulas pamata izdot</w:t>
            </w:r>
            <w:r w:rsidR="007C4CD6" w:rsidRPr="00DE6A31">
              <w:rPr>
                <w:sz w:val="28"/>
                <w:szCs w:val="28"/>
              </w:rPr>
              <w:t>ie</w:t>
            </w:r>
            <w:r w:rsidR="003B1A79" w:rsidRPr="00DE6A31">
              <w:rPr>
                <w:sz w:val="28"/>
                <w:szCs w:val="28"/>
              </w:rPr>
              <w:t xml:space="preserve"> Eiropas Savienības tiesību akt</w:t>
            </w:r>
            <w:r w:rsidR="007C4CD6" w:rsidRPr="00DE6A31">
              <w:rPr>
                <w:sz w:val="28"/>
                <w:szCs w:val="28"/>
              </w:rPr>
              <w:t>i</w:t>
            </w:r>
            <w:r w:rsidR="003B1A79" w:rsidRPr="00DE6A31">
              <w:rPr>
                <w:sz w:val="28"/>
                <w:szCs w:val="28"/>
              </w:rPr>
              <w:t>. Saskaņā ar jaunā Savienības muitas jomas regulējuma ieviešanas prasībām tika izstrādāts jauns Muitas likums, kas stājās spēkā 2016.gada 5.jūlijā. Muitas likuma Pārejas noteikumu 2.</w:t>
            </w:r>
            <w:r w:rsidR="003B1A79" w:rsidRPr="00DE6A31">
              <w:rPr>
                <w:sz w:val="28"/>
                <w:szCs w:val="28"/>
                <w:vertAlign w:val="superscript"/>
              </w:rPr>
              <w:t>1</w:t>
            </w:r>
            <w:r w:rsidR="003B1A79" w:rsidRPr="00DE6A31">
              <w:rPr>
                <w:sz w:val="28"/>
                <w:szCs w:val="28"/>
              </w:rPr>
              <w:t xml:space="preserve">panta pirmā daļa noteic, ka Ministru kabineta 2005.gada 18.oktobra noteikumi Nr.775 “Noteikumi par muitas nodrošinājumu” (turpmāk </w:t>
            </w:r>
            <w:r w:rsidR="00E62490" w:rsidRPr="00DE6A31">
              <w:rPr>
                <w:sz w:val="28"/>
                <w:szCs w:val="28"/>
              </w:rPr>
              <w:t>–</w:t>
            </w:r>
            <w:r w:rsidR="00AB0CC2" w:rsidRPr="00DE6A31">
              <w:rPr>
                <w:sz w:val="28"/>
                <w:szCs w:val="28"/>
              </w:rPr>
              <w:t xml:space="preserve"> </w:t>
            </w:r>
            <w:r w:rsidR="003B1A79" w:rsidRPr="00DE6A31">
              <w:rPr>
                <w:sz w:val="28"/>
                <w:szCs w:val="28"/>
              </w:rPr>
              <w:t>noteikumi Nr.775) ir spēkā līdz attiecīga Ministru kabineta tiesību aktu spēkā stāšanās dienai, bet ne ilgāk kā līdz 2017.gada 1.augustam. Noteikumos Nr.775 ietvertais regulējums daļēji ir pārņemts Ministru kabineta 2017.gada 8.augu</w:t>
            </w:r>
            <w:r w:rsidR="00A21699" w:rsidRPr="00DE6A31">
              <w:rPr>
                <w:sz w:val="28"/>
                <w:szCs w:val="28"/>
              </w:rPr>
              <w:t>sta noteikumos Nr.468 “Noteikumi</w:t>
            </w:r>
            <w:r w:rsidR="003B1A79" w:rsidRPr="00DE6A31">
              <w:rPr>
                <w:sz w:val="28"/>
                <w:szCs w:val="28"/>
              </w:rPr>
              <w:t xml:space="preserve"> par atseviškiem muitas kontroles veidiem”, taču noteikumu Nr.775 normas, kurās bija noteikts pilnvarojums </w:t>
            </w:r>
            <w:r w:rsidR="000C2A7E" w:rsidRPr="00DE6A31">
              <w:rPr>
                <w:sz w:val="28"/>
                <w:szCs w:val="28"/>
              </w:rPr>
              <w:t>VID</w:t>
            </w:r>
            <w:r w:rsidR="003B1A79" w:rsidRPr="00DE6A31">
              <w:rPr>
                <w:sz w:val="28"/>
                <w:szCs w:val="28"/>
              </w:rPr>
              <w:t xml:space="preserve"> realizēt muitas nodrošinājumus (preču identifikācijas līdzekļus) netika pārņemtas, jo jaunajā Muitas likumā šāds pilnvarojums Ministru kabinetam nav paredzēts. Noteikumi Nr.775 spēku zaudēja 2017.gada 2.augustā un turpmāk </w:t>
            </w:r>
            <w:r w:rsidR="000C2A7E" w:rsidRPr="00DE6A31">
              <w:rPr>
                <w:sz w:val="28"/>
                <w:szCs w:val="28"/>
              </w:rPr>
              <w:t>VID</w:t>
            </w:r>
            <w:r w:rsidR="003B1A79" w:rsidRPr="00DE6A31">
              <w:rPr>
                <w:sz w:val="28"/>
                <w:szCs w:val="28"/>
              </w:rPr>
              <w:t xml:space="preserve"> nesniegs </w:t>
            </w:r>
            <w:r w:rsidR="006645C6">
              <w:rPr>
                <w:sz w:val="28"/>
                <w:szCs w:val="28"/>
              </w:rPr>
              <w:t xml:space="preserve">maksas </w:t>
            </w:r>
            <w:r w:rsidR="003B1A79" w:rsidRPr="00DE6A31">
              <w:rPr>
                <w:sz w:val="28"/>
                <w:szCs w:val="28"/>
              </w:rPr>
              <w:t xml:space="preserve">pakalpojumu – muitas plombu un muitas uzlīmju realizācija. </w:t>
            </w:r>
            <w:r w:rsidR="0088611D" w:rsidRPr="00DE6A31">
              <w:rPr>
                <w:sz w:val="28"/>
                <w:szCs w:val="28"/>
              </w:rPr>
              <w:t>Tādējādi n</w:t>
            </w:r>
            <w:r w:rsidR="003B1A79" w:rsidRPr="00DE6A31">
              <w:rPr>
                <w:sz w:val="28"/>
                <w:szCs w:val="28"/>
              </w:rPr>
              <w:t>oteikumu projekt</w:t>
            </w:r>
            <w:r w:rsidR="0088611D" w:rsidRPr="00DE6A31">
              <w:rPr>
                <w:sz w:val="28"/>
                <w:szCs w:val="28"/>
              </w:rPr>
              <w:t>ā</w:t>
            </w:r>
            <w:r w:rsidR="003B1A79" w:rsidRPr="00DE6A31">
              <w:rPr>
                <w:sz w:val="28"/>
                <w:szCs w:val="28"/>
              </w:rPr>
              <w:t xml:space="preserve"> </w:t>
            </w:r>
            <w:r w:rsidR="0088611D" w:rsidRPr="00DE6A31">
              <w:rPr>
                <w:sz w:val="28"/>
                <w:szCs w:val="28"/>
              </w:rPr>
              <w:t>nav ietverti</w:t>
            </w:r>
            <w:r w:rsidR="003B1A79" w:rsidRPr="00DE6A31">
              <w:rPr>
                <w:sz w:val="28"/>
                <w:szCs w:val="28"/>
              </w:rPr>
              <w:t xml:space="preserve"> noteikumu Nr.778 pielikuma </w:t>
            </w:r>
            <w:r w:rsidR="003B1A79" w:rsidRPr="00DE6A31">
              <w:rPr>
                <w:bCs/>
                <w:sz w:val="28"/>
                <w:szCs w:val="28"/>
              </w:rPr>
              <w:t>1.1.apakšpunkt</w:t>
            </w:r>
            <w:r w:rsidR="0088611D" w:rsidRPr="00DE6A31">
              <w:rPr>
                <w:bCs/>
                <w:sz w:val="28"/>
                <w:szCs w:val="28"/>
              </w:rPr>
              <w:t>ā</w:t>
            </w:r>
            <w:r w:rsidR="003B1A79" w:rsidRPr="00DE6A31">
              <w:rPr>
                <w:bCs/>
                <w:sz w:val="28"/>
                <w:szCs w:val="28"/>
              </w:rPr>
              <w:t xml:space="preserve"> (</w:t>
            </w:r>
            <w:r w:rsidR="003B1A79" w:rsidRPr="00DE6A31">
              <w:rPr>
                <w:sz w:val="28"/>
                <w:szCs w:val="28"/>
              </w:rPr>
              <w:t>muitas nodrošinājuma trosīšveida plomba)</w:t>
            </w:r>
            <w:r w:rsidR="003B1A79" w:rsidRPr="00DE6A31">
              <w:rPr>
                <w:bCs/>
                <w:sz w:val="28"/>
                <w:szCs w:val="28"/>
              </w:rPr>
              <w:t xml:space="preserve"> un 2.punkt</w:t>
            </w:r>
            <w:r w:rsidR="0088611D" w:rsidRPr="00DE6A31">
              <w:rPr>
                <w:bCs/>
                <w:sz w:val="28"/>
                <w:szCs w:val="28"/>
              </w:rPr>
              <w:t>ā</w:t>
            </w:r>
            <w:r w:rsidR="003B1A79" w:rsidRPr="00DE6A31">
              <w:rPr>
                <w:bCs/>
                <w:sz w:val="28"/>
                <w:szCs w:val="28"/>
              </w:rPr>
              <w:t xml:space="preserve"> (</w:t>
            </w:r>
            <w:r w:rsidR="003B1A79" w:rsidRPr="00DE6A31">
              <w:rPr>
                <w:sz w:val="28"/>
                <w:szCs w:val="28"/>
              </w:rPr>
              <w:t>muitas nodrošinājuma uzlīmes realizācija)</w:t>
            </w:r>
            <w:r w:rsidR="0088611D" w:rsidRPr="00DE6A31">
              <w:rPr>
                <w:sz w:val="28"/>
                <w:szCs w:val="28"/>
              </w:rPr>
              <w:t xml:space="preserve"> minētie maksas pakalpojumi</w:t>
            </w:r>
            <w:r w:rsidR="003B1A79" w:rsidRPr="00DE6A31">
              <w:rPr>
                <w:bCs/>
                <w:sz w:val="28"/>
                <w:szCs w:val="28"/>
              </w:rPr>
              <w:t>.</w:t>
            </w:r>
          </w:p>
          <w:p w14:paraId="3A5D78F6" w14:textId="6D992021" w:rsidR="00980E18" w:rsidRPr="00DE6A31" w:rsidRDefault="00980E18" w:rsidP="00980E18">
            <w:pPr>
              <w:jc w:val="both"/>
              <w:rPr>
                <w:sz w:val="28"/>
                <w:szCs w:val="28"/>
              </w:rPr>
            </w:pPr>
            <w:r w:rsidRPr="00DE6A31">
              <w:rPr>
                <w:sz w:val="28"/>
                <w:szCs w:val="28"/>
              </w:rPr>
              <w:t xml:space="preserve">Ņemot vērā mūsdienu tehnoloģiju attīstību,  nodokļu un citu maksājumu reģistrēšanas elektroniskās ierīces un iekārtas kļūst arvien mazākas. Tādējādi noteikumu projekta </w:t>
            </w:r>
            <w:r w:rsidR="00E90D06" w:rsidRPr="00DE6A31">
              <w:rPr>
                <w:sz w:val="28"/>
                <w:szCs w:val="28"/>
              </w:rPr>
              <w:t>pielikum</w:t>
            </w:r>
            <w:r w:rsidR="0088611D" w:rsidRPr="00DE6A31">
              <w:rPr>
                <w:sz w:val="28"/>
                <w:szCs w:val="28"/>
              </w:rPr>
              <w:t>u</w:t>
            </w:r>
            <w:r w:rsidR="00E90D06" w:rsidRPr="00DE6A31">
              <w:rPr>
                <w:sz w:val="28"/>
                <w:szCs w:val="28"/>
              </w:rPr>
              <w:t xml:space="preserve"> </w:t>
            </w:r>
            <w:r w:rsidR="0088611D" w:rsidRPr="00DE6A31">
              <w:rPr>
                <w:sz w:val="28"/>
                <w:szCs w:val="28"/>
              </w:rPr>
              <w:t>paredzēts</w:t>
            </w:r>
            <w:r w:rsidR="00E90D06" w:rsidRPr="00DE6A31">
              <w:rPr>
                <w:sz w:val="28"/>
                <w:szCs w:val="28"/>
              </w:rPr>
              <w:t xml:space="preserve"> </w:t>
            </w:r>
            <w:r w:rsidRPr="00DE6A31">
              <w:rPr>
                <w:sz w:val="28"/>
                <w:szCs w:val="28"/>
              </w:rPr>
              <w:t xml:space="preserve">papildināt ar jaunu </w:t>
            </w:r>
            <w:r w:rsidR="00E90D06" w:rsidRPr="00DE6A31">
              <w:rPr>
                <w:sz w:val="28"/>
                <w:szCs w:val="28"/>
              </w:rPr>
              <w:t xml:space="preserve">VID </w:t>
            </w:r>
            <w:r w:rsidRPr="00DE6A31">
              <w:rPr>
                <w:sz w:val="28"/>
                <w:szCs w:val="28"/>
              </w:rPr>
              <w:t xml:space="preserve">maksas </w:t>
            </w:r>
            <w:r w:rsidR="00E90D06" w:rsidRPr="00DE6A31">
              <w:rPr>
                <w:sz w:val="28"/>
                <w:szCs w:val="28"/>
              </w:rPr>
              <w:lastRenderedPageBreak/>
              <w:t xml:space="preserve">pakalpojuma </w:t>
            </w:r>
            <w:r w:rsidRPr="00DE6A31">
              <w:rPr>
                <w:sz w:val="28"/>
                <w:szCs w:val="28"/>
              </w:rPr>
              <w:t xml:space="preserve">veidu  </w:t>
            </w:r>
            <w:r w:rsidRPr="00DE6A31">
              <w:rPr>
                <w:bCs/>
                <w:sz w:val="28"/>
                <w:szCs w:val="28"/>
              </w:rPr>
              <w:t xml:space="preserve">– </w:t>
            </w:r>
            <w:r w:rsidRPr="00DE6A31">
              <w:rPr>
                <w:i/>
                <w:sz w:val="28"/>
                <w:szCs w:val="28"/>
              </w:rPr>
              <w:t xml:space="preserve"> </w:t>
            </w:r>
            <w:r w:rsidRPr="00DE6A31">
              <w:rPr>
                <w:sz w:val="28"/>
                <w:szCs w:val="28"/>
              </w:rPr>
              <w:t>“sabrūkoša tipa hologrāfiska, pašlīmējoša PET materiāla plomba (15x40) nodokļu un citu maksājumu reģistrēšanas elektroniskajām ierīcēm un iekārtām”.</w:t>
            </w:r>
          </w:p>
          <w:p w14:paraId="0950254A" w14:textId="02EE4CAA" w:rsidR="00D50376" w:rsidRPr="00DE6A31" w:rsidRDefault="00D50376" w:rsidP="00736856">
            <w:pPr>
              <w:jc w:val="both"/>
              <w:rPr>
                <w:sz w:val="28"/>
                <w:szCs w:val="28"/>
              </w:rPr>
            </w:pPr>
            <w:r w:rsidRPr="00DE6A31">
              <w:rPr>
                <w:sz w:val="28"/>
                <w:szCs w:val="28"/>
              </w:rPr>
              <w:t xml:space="preserve">Ņemot vērā to, ka </w:t>
            </w:r>
            <w:r w:rsidR="00DF3308" w:rsidRPr="00DE6A31">
              <w:rPr>
                <w:sz w:val="28"/>
                <w:szCs w:val="28"/>
              </w:rPr>
              <w:t xml:space="preserve">komersanti neizmanto </w:t>
            </w:r>
            <w:r w:rsidRPr="00DE6A31">
              <w:rPr>
                <w:sz w:val="28"/>
                <w:szCs w:val="28"/>
              </w:rPr>
              <w:t xml:space="preserve">VID Muitas laboratorijā </w:t>
            </w:r>
            <w:r w:rsidR="00DF3308" w:rsidRPr="00DE6A31">
              <w:rPr>
                <w:sz w:val="28"/>
                <w:szCs w:val="28"/>
              </w:rPr>
              <w:t>esošās iespējas</w:t>
            </w:r>
            <w:r w:rsidRPr="00DE6A31">
              <w:rPr>
                <w:sz w:val="28"/>
                <w:szCs w:val="28"/>
              </w:rPr>
              <w:t xml:space="preserve"> paraugu vakuumdestilācijas analīzes veikšanai, kā rezultātā </w:t>
            </w:r>
            <w:r w:rsidR="006645C6">
              <w:rPr>
                <w:sz w:val="28"/>
                <w:szCs w:val="28"/>
              </w:rPr>
              <w:t xml:space="preserve">maksas </w:t>
            </w:r>
            <w:r w:rsidRPr="00DE6A31">
              <w:rPr>
                <w:sz w:val="28"/>
                <w:szCs w:val="28"/>
              </w:rPr>
              <w:t xml:space="preserve">pakalpojuma “Vakuumdestilācija” nodrošināšana iestādei nav rentabla un varbūtējais nākotnes ieguvums no šī </w:t>
            </w:r>
            <w:r w:rsidR="006645C6">
              <w:rPr>
                <w:sz w:val="28"/>
                <w:szCs w:val="28"/>
              </w:rPr>
              <w:t xml:space="preserve">maksas </w:t>
            </w:r>
            <w:r w:rsidRPr="00DE6A31">
              <w:rPr>
                <w:sz w:val="28"/>
                <w:szCs w:val="28"/>
              </w:rPr>
              <w:t xml:space="preserve">pakalpojuma uzturēšanas ir minimāls pretstatā iekārtu uzturēšanas un materiālu izdevumiem, </w:t>
            </w:r>
            <w:r w:rsidR="003117B3" w:rsidRPr="00DE6A31">
              <w:rPr>
                <w:sz w:val="28"/>
                <w:szCs w:val="28"/>
              </w:rPr>
              <w:t xml:space="preserve">VID </w:t>
            </w:r>
            <w:r w:rsidRPr="00DE6A31">
              <w:rPr>
                <w:sz w:val="28"/>
                <w:szCs w:val="28"/>
              </w:rPr>
              <w:t xml:space="preserve">Muitas laboratorija turpmāk </w:t>
            </w:r>
            <w:r w:rsidR="003117B3" w:rsidRPr="00DE6A31">
              <w:rPr>
                <w:sz w:val="28"/>
                <w:szCs w:val="28"/>
              </w:rPr>
              <w:t>ne</w:t>
            </w:r>
            <w:r w:rsidR="004D4D27" w:rsidRPr="00DE6A31">
              <w:rPr>
                <w:sz w:val="28"/>
                <w:szCs w:val="28"/>
              </w:rPr>
              <w:t xml:space="preserve">sniegs </w:t>
            </w:r>
            <w:r w:rsidRPr="00DE6A31">
              <w:rPr>
                <w:sz w:val="28"/>
                <w:szCs w:val="28"/>
              </w:rPr>
              <w:t xml:space="preserve">minēto </w:t>
            </w:r>
            <w:r w:rsidR="004D4D27" w:rsidRPr="00DE6A31">
              <w:rPr>
                <w:sz w:val="28"/>
                <w:szCs w:val="28"/>
              </w:rPr>
              <w:t>maksas pakalpojum</w:t>
            </w:r>
            <w:r w:rsidR="003117B3" w:rsidRPr="00DE6A31">
              <w:rPr>
                <w:sz w:val="28"/>
                <w:szCs w:val="28"/>
              </w:rPr>
              <w:t>u</w:t>
            </w:r>
            <w:r w:rsidRPr="00DE6A31">
              <w:rPr>
                <w:sz w:val="28"/>
                <w:szCs w:val="28"/>
              </w:rPr>
              <w:t>.</w:t>
            </w:r>
          </w:p>
          <w:p w14:paraId="30A77671" w14:textId="666B6BAD" w:rsidR="00E90D06" w:rsidRPr="00DE6A31" w:rsidRDefault="00D50376" w:rsidP="00D50376">
            <w:pPr>
              <w:jc w:val="both"/>
              <w:rPr>
                <w:sz w:val="28"/>
                <w:szCs w:val="28"/>
              </w:rPr>
            </w:pPr>
            <w:r w:rsidRPr="00DE6A31">
              <w:rPr>
                <w:sz w:val="28"/>
                <w:szCs w:val="28"/>
              </w:rPr>
              <w:t>Vienlaicīgi a</w:t>
            </w:r>
            <w:r w:rsidR="001E54F4" w:rsidRPr="00DE6A31">
              <w:rPr>
                <w:sz w:val="28"/>
                <w:szCs w:val="28"/>
              </w:rPr>
              <w:t>tsevišķi</w:t>
            </w:r>
            <w:r w:rsidRPr="00DE6A31">
              <w:rPr>
                <w:sz w:val="28"/>
                <w:szCs w:val="28"/>
              </w:rPr>
              <w:t xml:space="preserve"> VID Muitas laboratorija</w:t>
            </w:r>
            <w:r w:rsidR="001E54F4" w:rsidRPr="00DE6A31">
              <w:rPr>
                <w:sz w:val="28"/>
                <w:szCs w:val="28"/>
              </w:rPr>
              <w:t>s sniegt</w:t>
            </w:r>
            <w:r w:rsidRPr="00DE6A31">
              <w:rPr>
                <w:sz w:val="28"/>
                <w:szCs w:val="28"/>
              </w:rPr>
              <w:t xml:space="preserve">ie maksas </w:t>
            </w:r>
            <w:r w:rsidR="001E54F4" w:rsidRPr="00DE6A31">
              <w:rPr>
                <w:sz w:val="28"/>
                <w:szCs w:val="28"/>
              </w:rPr>
              <w:t>pakalpojumi</w:t>
            </w:r>
            <w:r w:rsidRPr="00DE6A31">
              <w:rPr>
                <w:sz w:val="28"/>
                <w:szCs w:val="28"/>
              </w:rPr>
              <w:t xml:space="preserve"> tiek </w:t>
            </w:r>
            <w:r w:rsidR="001E54F4" w:rsidRPr="00DE6A31">
              <w:rPr>
                <w:sz w:val="28"/>
                <w:szCs w:val="28"/>
              </w:rPr>
              <w:t xml:space="preserve">apvienoti, kā arī tiek </w:t>
            </w:r>
            <w:r w:rsidRPr="00DE6A31">
              <w:rPr>
                <w:sz w:val="28"/>
                <w:szCs w:val="28"/>
              </w:rPr>
              <w:t>precizēti nosaukumi, jo</w:t>
            </w:r>
            <w:r w:rsidR="001E54F4" w:rsidRPr="00DE6A31">
              <w:rPr>
                <w:sz w:val="28"/>
                <w:szCs w:val="28"/>
              </w:rPr>
              <w:t xml:space="preserve"> iekārta</w:t>
            </w:r>
            <w:r w:rsidR="00664846" w:rsidRPr="00DE6A31">
              <w:rPr>
                <w:sz w:val="28"/>
                <w:szCs w:val="28"/>
              </w:rPr>
              <w:t xml:space="preserve"> </w:t>
            </w:r>
            <w:r w:rsidR="004D4D27" w:rsidRPr="00DE6A31">
              <w:rPr>
                <w:sz w:val="28"/>
                <w:szCs w:val="28"/>
              </w:rPr>
              <w:t>vienas</w:t>
            </w:r>
            <w:r w:rsidR="006D690D" w:rsidRPr="00DE6A31">
              <w:rPr>
                <w:sz w:val="28"/>
                <w:szCs w:val="28"/>
              </w:rPr>
              <w:t xml:space="preserve"> </w:t>
            </w:r>
            <w:r w:rsidR="004D4D27" w:rsidRPr="00DE6A31">
              <w:rPr>
                <w:sz w:val="28"/>
                <w:szCs w:val="28"/>
              </w:rPr>
              <w:t>analīzes</w:t>
            </w:r>
            <w:r w:rsidR="00664846" w:rsidRPr="00DE6A31">
              <w:rPr>
                <w:sz w:val="28"/>
                <w:szCs w:val="28"/>
              </w:rPr>
              <w:t xml:space="preserve"> </w:t>
            </w:r>
            <w:r w:rsidR="004D4D27" w:rsidRPr="00DE6A31">
              <w:rPr>
                <w:sz w:val="28"/>
                <w:szCs w:val="28"/>
              </w:rPr>
              <w:t>ietvaros </w:t>
            </w:r>
            <w:r w:rsidR="001E54F4" w:rsidRPr="00DE6A31">
              <w:rPr>
                <w:sz w:val="28"/>
                <w:szCs w:val="28"/>
              </w:rPr>
              <w:t>sniedz</w:t>
            </w:r>
            <w:r w:rsidR="006D690D" w:rsidRPr="00DE6A31">
              <w:rPr>
                <w:sz w:val="28"/>
                <w:szCs w:val="28"/>
              </w:rPr>
              <w:t xml:space="preserve"> informāciju par </w:t>
            </w:r>
            <w:r w:rsidR="004D4D27" w:rsidRPr="00DE6A31">
              <w:rPr>
                <w:sz w:val="28"/>
                <w:szCs w:val="28"/>
              </w:rPr>
              <w:t>vairāki</w:t>
            </w:r>
            <w:r w:rsidR="006D690D" w:rsidRPr="00DE6A31">
              <w:rPr>
                <w:sz w:val="28"/>
                <w:szCs w:val="28"/>
              </w:rPr>
              <w:t>em</w:t>
            </w:r>
            <w:r w:rsidR="004D4D27" w:rsidRPr="00DE6A31">
              <w:rPr>
                <w:sz w:val="28"/>
                <w:szCs w:val="28"/>
              </w:rPr>
              <w:t xml:space="preserve"> parametri</w:t>
            </w:r>
            <w:r w:rsidR="006D690D" w:rsidRPr="00DE6A31">
              <w:rPr>
                <w:sz w:val="28"/>
                <w:szCs w:val="28"/>
              </w:rPr>
              <w:t>em</w:t>
            </w:r>
            <w:r w:rsidR="00664846" w:rsidRPr="00DE6A31">
              <w:rPr>
                <w:sz w:val="28"/>
                <w:szCs w:val="28"/>
              </w:rPr>
              <w:t>.</w:t>
            </w:r>
          </w:p>
          <w:p w14:paraId="2B7B2283" w14:textId="72F9AA29" w:rsidR="00E90D06" w:rsidRPr="00DE6A31" w:rsidRDefault="003117B3" w:rsidP="00D50376">
            <w:pPr>
              <w:jc w:val="both"/>
              <w:rPr>
                <w:sz w:val="28"/>
                <w:szCs w:val="28"/>
              </w:rPr>
            </w:pPr>
            <w:r w:rsidRPr="00DE6A31">
              <w:rPr>
                <w:sz w:val="28"/>
                <w:szCs w:val="28"/>
              </w:rPr>
              <w:t>I</w:t>
            </w:r>
            <w:r w:rsidR="00CB3958" w:rsidRPr="00DE6A31">
              <w:rPr>
                <w:sz w:val="28"/>
                <w:szCs w:val="28"/>
              </w:rPr>
              <w:t>epriekš sniegtais maksas pakalpoj</w:t>
            </w:r>
            <w:r w:rsidR="00736856" w:rsidRPr="00DE6A31">
              <w:rPr>
                <w:sz w:val="28"/>
                <w:szCs w:val="28"/>
              </w:rPr>
              <w:t xml:space="preserve">ums “Uzliesmošanas temperatūra” tiek </w:t>
            </w:r>
            <w:r w:rsidR="00CB3958" w:rsidRPr="00DE6A31">
              <w:rPr>
                <w:sz w:val="28"/>
                <w:szCs w:val="28"/>
              </w:rPr>
              <w:t xml:space="preserve">izdalīts divos atsevišķos </w:t>
            </w:r>
            <w:r w:rsidR="006645C6">
              <w:rPr>
                <w:sz w:val="28"/>
                <w:szCs w:val="28"/>
              </w:rPr>
              <w:t xml:space="preserve">maksas </w:t>
            </w:r>
            <w:r w:rsidR="00CB3958" w:rsidRPr="00DE6A31">
              <w:rPr>
                <w:sz w:val="28"/>
                <w:szCs w:val="28"/>
              </w:rPr>
              <w:t>pakalpojumos</w:t>
            </w:r>
            <w:r w:rsidR="00736856" w:rsidRPr="00DE6A31">
              <w:rPr>
                <w:sz w:val="28"/>
                <w:szCs w:val="28"/>
              </w:rPr>
              <w:t xml:space="preserve"> </w:t>
            </w:r>
            <w:r w:rsidR="00CB3958" w:rsidRPr="00DE6A31">
              <w:rPr>
                <w:bCs/>
                <w:sz w:val="28"/>
                <w:szCs w:val="28"/>
              </w:rPr>
              <w:t xml:space="preserve">“Uzliesmošanas temperatūra līdz 30ºC (Abela metode)” </w:t>
            </w:r>
            <w:r w:rsidR="00CB3958" w:rsidRPr="00DE6A31">
              <w:rPr>
                <w:sz w:val="28"/>
                <w:szCs w:val="28"/>
              </w:rPr>
              <w:t>un</w:t>
            </w:r>
            <w:r w:rsidR="00CB3958" w:rsidRPr="00DE6A31">
              <w:rPr>
                <w:bCs/>
                <w:sz w:val="28"/>
                <w:szCs w:val="28"/>
              </w:rPr>
              <w:t xml:space="preserve"> “Uzliesmošanas temperatūra virs 30ºC (Penski-Martena)”</w:t>
            </w:r>
            <w:r w:rsidR="00C9265A" w:rsidRPr="00DE6A31">
              <w:rPr>
                <w:bCs/>
                <w:sz w:val="28"/>
                <w:szCs w:val="28"/>
              </w:rPr>
              <w:t xml:space="preserve">, jo </w:t>
            </w:r>
            <w:r w:rsidR="00415910" w:rsidRPr="00DE6A31">
              <w:rPr>
                <w:bCs/>
                <w:sz w:val="28"/>
                <w:szCs w:val="28"/>
              </w:rPr>
              <w:t>l</w:t>
            </w:r>
            <w:r w:rsidR="00CB3958" w:rsidRPr="00DE6A31">
              <w:rPr>
                <w:sz w:val="28"/>
                <w:szCs w:val="28"/>
              </w:rPr>
              <w:t>īdz šim</w:t>
            </w:r>
            <w:r w:rsidR="006C5993">
              <w:rPr>
                <w:sz w:val="28"/>
                <w:szCs w:val="28"/>
              </w:rPr>
              <w:t xml:space="preserve"> maksas</w:t>
            </w:r>
            <w:r w:rsidR="00CB3958" w:rsidRPr="00DE6A31">
              <w:rPr>
                <w:sz w:val="28"/>
                <w:szCs w:val="28"/>
              </w:rPr>
              <w:t xml:space="preserve"> pakalpojuma aprēķinā bija norādītas d</w:t>
            </w:r>
            <w:r w:rsidR="00415910" w:rsidRPr="00DE6A31">
              <w:rPr>
                <w:sz w:val="28"/>
                <w:szCs w:val="28"/>
              </w:rPr>
              <w:t xml:space="preserve">ivas izmantojamās iekārtas, </w:t>
            </w:r>
            <w:r w:rsidR="00C9265A" w:rsidRPr="00DE6A31">
              <w:rPr>
                <w:sz w:val="28"/>
                <w:szCs w:val="28"/>
              </w:rPr>
              <w:t>taču</w:t>
            </w:r>
            <w:r w:rsidRPr="00DE6A31">
              <w:rPr>
                <w:sz w:val="28"/>
                <w:szCs w:val="28"/>
              </w:rPr>
              <w:t>,</w:t>
            </w:r>
            <w:r w:rsidR="00415910" w:rsidRPr="00DE6A31">
              <w:rPr>
                <w:sz w:val="28"/>
                <w:szCs w:val="28"/>
              </w:rPr>
              <w:t xml:space="preserve"> </w:t>
            </w:r>
            <w:r w:rsidR="00CB3958" w:rsidRPr="00DE6A31">
              <w:rPr>
                <w:sz w:val="28"/>
                <w:szCs w:val="28"/>
              </w:rPr>
              <w:t>nosakot uzliesmošanas temperatūru, tiek izmantota viena vai otra</w:t>
            </w:r>
            <w:r w:rsidR="00415910" w:rsidRPr="00DE6A31">
              <w:rPr>
                <w:sz w:val="28"/>
                <w:szCs w:val="28"/>
              </w:rPr>
              <w:t xml:space="preserve"> iekārta</w:t>
            </w:r>
            <w:r w:rsidRPr="00DE6A31">
              <w:rPr>
                <w:sz w:val="28"/>
                <w:szCs w:val="28"/>
              </w:rPr>
              <w:t>,</w:t>
            </w:r>
            <w:r w:rsidR="00736856" w:rsidRPr="00DE6A31">
              <w:rPr>
                <w:sz w:val="28"/>
                <w:szCs w:val="28"/>
              </w:rPr>
              <w:t xml:space="preserve"> nevis abas vienlaicīgi</w:t>
            </w:r>
            <w:r w:rsidR="00C9265A" w:rsidRPr="00DE6A31">
              <w:rPr>
                <w:sz w:val="28"/>
                <w:szCs w:val="28"/>
              </w:rPr>
              <w:t>.</w:t>
            </w:r>
          </w:p>
          <w:p w14:paraId="3BE7634E" w14:textId="08AFCAC9" w:rsidR="009012AF" w:rsidRPr="00DE6A31" w:rsidRDefault="00DE5AA2" w:rsidP="00D50376">
            <w:pPr>
              <w:jc w:val="both"/>
              <w:rPr>
                <w:sz w:val="28"/>
                <w:szCs w:val="28"/>
              </w:rPr>
            </w:pPr>
            <w:r w:rsidRPr="00DE6A31">
              <w:rPr>
                <w:sz w:val="28"/>
                <w:szCs w:val="28"/>
              </w:rPr>
              <w:t>Noteikumu projekta pielikum</w:t>
            </w:r>
            <w:r w:rsidR="00E90D06" w:rsidRPr="00DE6A31">
              <w:rPr>
                <w:sz w:val="28"/>
                <w:szCs w:val="28"/>
              </w:rPr>
              <w:t>s</w:t>
            </w:r>
            <w:r w:rsidRPr="00DE6A31">
              <w:rPr>
                <w:sz w:val="28"/>
                <w:szCs w:val="28"/>
              </w:rPr>
              <w:t xml:space="preserve"> </w:t>
            </w:r>
            <w:r w:rsidR="00E90D06" w:rsidRPr="00DE6A31">
              <w:rPr>
                <w:sz w:val="28"/>
                <w:szCs w:val="28"/>
              </w:rPr>
              <w:t xml:space="preserve">tiek </w:t>
            </w:r>
            <w:r w:rsidRPr="00DE6A31">
              <w:rPr>
                <w:sz w:val="28"/>
                <w:szCs w:val="28"/>
              </w:rPr>
              <w:t>papildināt</w:t>
            </w:r>
            <w:r w:rsidR="00E90D06" w:rsidRPr="00DE6A31">
              <w:rPr>
                <w:sz w:val="28"/>
                <w:szCs w:val="28"/>
              </w:rPr>
              <w:t>s ar</w:t>
            </w:r>
            <w:r w:rsidRPr="00DE6A31">
              <w:rPr>
                <w:sz w:val="28"/>
                <w:szCs w:val="28"/>
              </w:rPr>
              <w:t xml:space="preserve"> jaunu </w:t>
            </w:r>
            <w:r w:rsidR="00E90D06" w:rsidRPr="00DE6A31">
              <w:rPr>
                <w:sz w:val="28"/>
                <w:szCs w:val="28"/>
              </w:rPr>
              <w:t xml:space="preserve">VID </w:t>
            </w:r>
            <w:r w:rsidRPr="00DE6A31">
              <w:rPr>
                <w:sz w:val="28"/>
                <w:szCs w:val="28"/>
              </w:rPr>
              <w:t>maksas pakalpojumu veidu</w:t>
            </w:r>
            <w:r w:rsidR="00736856" w:rsidRPr="00DE6A31">
              <w:rPr>
                <w:sz w:val="28"/>
                <w:szCs w:val="28"/>
              </w:rPr>
              <w:t xml:space="preserve"> </w:t>
            </w:r>
            <w:r w:rsidRPr="00DE6A31">
              <w:rPr>
                <w:sz w:val="28"/>
                <w:szCs w:val="28"/>
              </w:rPr>
              <w:t>–</w:t>
            </w:r>
            <w:r w:rsidR="00736856" w:rsidRPr="00DE6A31">
              <w:rPr>
                <w:sz w:val="28"/>
                <w:szCs w:val="28"/>
              </w:rPr>
              <w:t xml:space="preserve"> </w:t>
            </w:r>
            <w:r w:rsidR="00736856" w:rsidRPr="00DE6A31">
              <w:rPr>
                <w:bCs/>
                <w:sz w:val="28"/>
                <w:szCs w:val="28"/>
              </w:rPr>
              <w:t xml:space="preserve">“Krāsa pēc ASTM”, kas </w:t>
            </w:r>
            <w:r w:rsidR="00014239" w:rsidRPr="00DE6A31">
              <w:rPr>
                <w:bCs/>
                <w:sz w:val="28"/>
                <w:szCs w:val="28"/>
              </w:rPr>
              <w:t xml:space="preserve">ir </w:t>
            </w:r>
            <w:r w:rsidR="00736856" w:rsidRPr="00DE6A31">
              <w:rPr>
                <w:sz w:val="28"/>
                <w:szCs w:val="28"/>
              </w:rPr>
              <w:t xml:space="preserve">atvasināts no </w:t>
            </w:r>
            <w:r w:rsidR="006645C6">
              <w:rPr>
                <w:sz w:val="28"/>
                <w:szCs w:val="28"/>
              </w:rPr>
              <w:t xml:space="preserve">maksas </w:t>
            </w:r>
            <w:r w:rsidR="00736856" w:rsidRPr="00DE6A31">
              <w:rPr>
                <w:sz w:val="28"/>
                <w:szCs w:val="28"/>
              </w:rPr>
              <w:t xml:space="preserve">pakalpojuma “Kolorimetriskais indekss”, </w:t>
            </w:r>
            <w:r w:rsidR="00014239" w:rsidRPr="00DE6A31">
              <w:rPr>
                <w:sz w:val="28"/>
                <w:szCs w:val="28"/>
              </w:rPr>
              <w:t xml:space="preserve">jo </w:t>
            </w:r>
            <w:r w:rsidR="00D000B9" w:rsidRPr="00DE6A31">
              <w:rPr>
                <w:sz w:val="28"/>
                <w:szCs w:val="28"/>
              </w:rPr>
              <w:t>iekārta sniegs informāciju par atsevišķu parametru.</w:t>
            </w:r>
          </w:p>
          <w:p w14:paraId="6049F879" w14:textId="77777777" w:rsidR="00EC5A55" w:rsidRDefault="00EC5A55" w:rsidP="003B1A79">
            <w:pPr>
              <w:jc w:val="both"/>
              <w:rPr>
                <w:b/>
                <w:sz w:val="28"/>
                <w:szCs w:val="28"/>
                <w:u w:val="single"/>
              </w:rPr>
            </w:pPr>
          </w:p>
          <w:p w14:paraId="4E7A4CD5" w14:textId="77777777" w:rsidR="003B1A79" w:rsidRPr="00DE6A31" w:rsidRDefault="000C2A7E" w:rsidP="003B1A79">
            <w:pPr>
              <w:jc w:val="both"/>
              <w:rPr>
                <w:b/>
                <w:sz w:val="28"/>
                <w:szCs w:val="28"/>
                <w:u w:val="single"/>
              </w:rPr>
            </w:pPr>
            <w:r w:rsidRPr="00DE6A31">
              <w:rPr>
                <w:b/>
                <w:sz w:val="28"/>
                <w:szCs w:val="28"/>
                <w:u w:val="single"/>
              </w:rPr>
              <w:t xml:space="preserve">VID </w:t>
            </w:r>
            <w:r w:rsidR="003B1A79" w:rsidRPr="00DE6A31">
              <w:rPr>
                <w:b/>
                <w:bCs/>
                <w:sz w:val="28"/>
                <w:szCs w:val="28"/>
                <w:u w:val="single"/>
              </w:rPr>
              <w:t>sniegto maksas pakalpojumu izcenojuma aktualizēšana.</w:t>
            </w:r>
          </w:p>
          <w:p w14:paraId="44E2711A" w14:textId="00C0F1FF" w:rsidR="003B1A79" w:rsidRPr="00DE6A31" w:rsidRDefault="003B1A79" w:rsidP="003B1A79">
            <w:pPr>
              <w:jc w:val="both"/>
              <w:rPr>
                <w:sz w:val="28"/>
                <w:szCs w:val="28"/>
              </w:rPr>
            </w:pPr>
            <w:r w:rsidRPr="00DE6A31">
              <w:rPr>
                <w:sz w:val="28"/>
                <w:szCs w:val="28"/>
              </w:rPr>
              <w:t xml:space="preserve">2017.gada 29.septembrī </w:t>
            </w:r>
            <w:r w:rsidR="000C2A7E" w:rsidRPr="00DE6A31">
              <w:rPr>
                <w:sz w:val="28"/>
                <w:szCs w:val="28"/>
              </w:rPr>
              <w:t>VID</w:t>
            </w:r>
            <w:r w:rsidRPr="00DE6A31">
              <w:rPr>
                <w:sz w:val="28"/>
                <w:szCs w:val="28"/>
              </w:rPr>
              <w:t xml:space="preserve"> ir noslēdzis līgumu Nr.2017/217 “Plombu iegāde” ar SIA “Consumo”, kura ietvaros  </w:t>
            </w:r>
            <w:r w:rsidR="000C2A7E" w:rsidRPr="00DE6A31">
              <w:rPr>
                <w:sz w:val="28"/>
                <w:szCs w:val="28"/>
              </w:rPr>
              <w:t>VID</w:t>
            </w:r>
            <w:r w:rsidRPr="00DE6A31">
              <w:rPr>
                <w:sz w:val="28"/>
                <w:szCs w:val="28"/>
              </w:rPr>
              <w:t xml:space="preserve"> iegādāsies  noteikumu Nr.778</w:t>
            </w:r>
            <w:r w:rsidRPr="00DE6A31">
              <w:rPr>
                <w:bCs/>
                <w:sz w:val="28"/>
                <w:szCs w:val="28"/>
              </w:rPr>
              <w:t xml:space="preserve"> pielikuma 1.2. un 1.3. apakšpunktā minētās plombas nodokļu un citu maksājumu reģistrēšanas elektroniskajām </w:t>
            </w:r>
            <w:r w:rsidRPr="00DE6A31">
              <w:rPr>
                <w:bCs/>
                <w:sz w:val="28"/>
                <w:szCs w:val="28"/>
              </w:rPr>
              <w:lastRenderedPageBreak/>
              <w:t xml:space="preserve">ierīcēm un iekārtām, kā arī jauna izmēra (15x40) </w:t>
            </w:r>
            <w:r w:rsidRPr="00DE6A31">
              <w:rPr>
                <w:sz w:val="28"/>
                <w:szCs w:val="28"/>
              </w:rPr>
              <w:t>sabrūkoša tipa hologrāfiskas, pašlīmējošas PET materiāla plombas</w:t>
            </w:r>
            <w:r w:rsidRPr="00DE6A31">
              <w:rPr>
                <w:bCs/>
                <w:sz w:val="28"/>
                <w:szCs w:val="28"/>
              </w:rPr>
              <w:t xml:space="preserve"> nodokļu un citu maksājumu reģistrēšanas elektroniskajām ierīcēm un iekārtām</w:t>
            </w:r>
            <w:r w:rsidRPr="00DE6A31">
              <w:rPr>
                <w:sz w:val="28"/>
                <w:szCs w:val="28"/>
              </w:rPr>
              <w:t xml:space="preserve">.  </w:t>
            </w:r>
          </w:p>
          <w:p w14:paraId="3E19D799" w14:textId="77777777" w:rsidR="007B11A7" w:rsidRPr="00DE6A31" w:rsidRDefault="007B11A7" w:rsidP="007B11A7">
            <w:pPr>
              <w:jc w:val="both"/>
              <w:rPr>
                <w:b/>
                <w:bCs/>
                <w:sz w:val="28"/>
                <w:szCs w:val="28"/>
                <w:u w:val="single"/>
              </w:rPr>
            </w:pPr>
            <w:r w:rsidRPr="00DE6A31">
              <w:rPr>
                <w:sz w:val="28"/>
                <w:szCs w:val="28"/>
              </w:rPr>
              <w:t xml:space="preserve">Šobrīd uz vienu nodokļu un citu maksājumu reģistrēšanas elektronisko ierīci un iekārtu tiek uzlīmētas vidēji trīs sabrūkoša tipa hologrāfiskas, pašlīmējošas PET materiāla plombas.  </w:t>
            </w:r>
            <w:r w:rsidRPr="00DE6A31">
              <w:rPr>
                <w:b/>
                <w:bCs/>
                <w:sz w:val="28"/>
                <w:szCs w:val="28"/>
                <w:u w:val="single"/>
              </w:rPr>
              <w:t xml:space="preserve"> </w:t>
            </w:r>
          </w:p>
          <w:p w14:paraId="0070EAAB" w14:textId="36F0B7CE" w:rsidR="003B1A79" w:rsidRPr="00DE6A31" w:rsidRDefault="003B1A79" w:rsidP="003B1A79">
            <w:pPr>
              <w:jc w:val="both"/>
              <w:rPr>
                <w:sz w:val="28"/>
                <w:szCs w:val="28"/>
              </w:rPr>
            </w:pPr>
            <w:r w:rsidRPr="00DE6A31">
              <w:rPr>
                <w:sz w:val="28"/>
                <w:szCs w:val="28"/>
              </w:rPr>
              <w:t>Atbilstoši Ministru kabineta 2011.gada 3.maija noteikumu Nr.333 „Kārtība, kādā plānojami un uzskaitāmi ieņēmumi no maksas pakalpojumiem un ar šo pakalpojumu sniegšanu saistītie izdevumi, kā arī maksas pakalpojumu izcenojumu noteikšanas metodika un izcenojumu apstiprināšanas kārtība”</w:t>
            </w:r>
            <w:r w:rsidR="00EC753C" w:rsidRPr="00DE6A31">
              <w:rPr>
                <w:sz w:val="28"/>
                <w:szCs w:val="28"/>
              </w:rPr>
              <w:t xml:space="preserve"> (turpmāk </w:t>
            </w:r>
            <w:r w:rsidR="00340C2B" w:rsidRPr="00DE6A31">
              <w:rPr>
                <w:sz w:val="28"/>
                <w:szCs w:val="28"/>
              </w:rPr>
              <w:t>-</w:t>
            </w:r>
            <w:r w:rsidR="000F10F7" w:rsidRPr="00DE6A31">
              <w:rPr>
                <w:sz w:val="28"/>
                <w:szCs w:val="28"/>
              </w:rPr>
              <w:t xml:space="preserve"> n</w:t>
            </w:r>
            <w:r w:rsidR="00EC753C" w:rsidRPr="00DE6A31">
              <w:rPr>
                <w:sz w:val="28"/>
                <w:szCs w:val="28"/>
              </w:rPr>
              <w:t xml:space="preserve">oteikumi Nr.333) </w:t>
            </w:r>
            <w:r w:rsidRPr="00DE6A31">
              <w:rPr>
                <w:sz w:val="28"/>
                <w:szCs w:val="28"/>
              </w:rPr>
              <w:t>18.1. un 18.2. apakšpunktā noteiktajam, grozījumus noteikumos par maksas pakalpojumu cenrādi izdara, ja ir mainījušies apstākļi, kas ietekmē iestādes sniedzamo maksas pakalpojumu klāstu un ir būtiski mainījušās (samazinājušās vai palielinājušās) tiešās vai netiešās izmaksas, kuras veido maksas pakalpojumu izcenojumus.  Turklāt Likum</w:t>
            </w:r>
            <w:r w:rsidR="00582D16" w:rsidRPr="00DE6A31">
              <w:rPr>
                <w:sz w:val="28"/>
                <w:szCs w:val="28"/>
              </w:rPr>
              <w:t>a</w:t>
            </w:r>
            <w:r w:rsidRPr="00DE6A31">
              <w:rPr>
                <w:sz w:val="28"/>
                <w:szCs w:val="28"/>
              </w:rPr>
              <w:t xml:space="preserve"> par budžetu un finanšu vadību 5. panta 12.</w:t>
            </w:r>
            <w:r w:rsidRPr="00DE6A31">
              <w:rPr>
                <w:sz w:val="28"/>
                <w:szCs w:val="28"/>
                <w:vertAlign w:val="superscript"/>
              </w:rPr>
              <w:t>1</w:t>
            </w:r>
            <w:r w:rsidRPr="00DE6A31">
              <w:rPr>
                <w:sz w:val="28"/>
                <w:szCs w:val="28"/>
              </w:rPr>
              <w:t xml:space="preserve"> daļā noteikts, ka, nosakot maksas pakalpojuma izcenojumu, ievēro nosacījumu, ka samaksa par </w:t>
            </w:r>
            <w:r w:rsidR="006C5993">
              <w:rPr>
                <w:sz w:val="28"/>
                <w:szCs w:val="28"/>
              </w:rPr>
              <w:t xml:space="preserve">maksas </w:t>
            </w:r>
            <w:r w:rsidRPr="00DE6A31">
              <w:rPr>
                <w:sz w:val="28"/>
                <w:szCs w:val="28"/>
              </w:rPr>
              <w:t xml:space="preserve">pakalpojumu nedrīkst pārsniegt ar </w:t>
            </w:r>
            <w:r w:rsidR="006C5993">
              <w:rPr>
                <w:sz w:val="28"/>
                <w:szCs w:val="28"/>
              </w:rPr>
              <w:t xml:space="preserve">maksas </w:t>
            </w:r>
            <w:r w:rsidRPr="00DE6A31">
              <w:rPr>
                <w:sz w:val="28"/>
                <w:szCs w:val="28"/>
              </w:rPr>
              <w:t xml:space="preserve">pakalpojuma sniegšanu saistītās izmaksas. </w:t>
            </w:r>
            <w:r w:rsidR="00E1504F" w:rsidRPr="00DE6A31">
              <w:rPr>
                <w:sz w:val="28"/>
                <w:szCs w:val="28"/>
              </w:rPr>
              <w:t>N</w:t>
            </w:r>
            <w:r w:rsidRPr="00DE6A31">
              <w:rPr>
                <w:sz w:val="28"/>
                <w:szCs w:val="28"/>
              </w:rPr>
              <w:t xml:space="preserve">oteikumu Nr.778 </w:t>
            </w:r>
            <w:r w:rsidRPr="00DE6A31">
              <w:rPr>
                <w:bCs/>
                <w:sz w:val="28"/>
                <w:szCs w:val="28"/>
              </w:rPr>
              <w:t>pielikuma</w:t>
            </w:r>
            <w:r w:rsidRPr="00DE6A31">
              <w:rPr>
                <w:sz w:val="28"/>
                <w:szCs w:val="28"/>
              </w:rPr>
              <w:t xml:space="preserve"> 1.2.apakšpunktā minētās </w:t>
            </w:r>
            <w:r w:rsidR="000C2A7E" w:rsidRPr="00DE6A31">
              <w:rPr>
                <w:sz w:val="28"/>
                <w:szCs w:val="28"/>
              </w:rPr>
              <w:t>VID</w:t>
            </w:r>
            <w:r w:rsidRPr="00DE6A31">
              <w:rPr>
                <w:sz w:val="28"/>
                <w:szCs w:val="28"/>
              </w:rPr>
              <w:t xml:space="preserve"> sniegtā maksas pakalpojuma veida </w:t>
            </w:r>
            <w:r w:rsidRPr="00DE6A31">
              <w:rPr>
                <w:bCs/>
                <w:sz w:val="28"/>
                <w:szCs w:val="28"/>
              </w:rPr>
              <w:t xml:space="preserve">– </w:t>
            </w:r>
            <w:r w:rsidRPr="00DE6A31">
              <w:rPr>
                <w:sz w:val="28"/>
                <w:szCs w:val="28"/>
              </w:rPr>
              <w:t xml:space="preserve">sabrūkoša tipa hologrāfiska, pašlīmējoša </w:t>
            </w:r>
            <w:r w:rsidRPr="00DE6A31">
              <w:rPr>
                <w:i/>
                <w:sz w:val="28"/>
                <w:szCs w:val="28"/>
              </w:rPr>
              <w:t>PET</w:t>
            </w:r>
            <w:r w:rsidRPr="00DE6A31">
              <w:rPr>
                <w:sz w:val="28"/>
                <w:szCs w:val="28"/>
              </w:rPr>
              <w:t xml:space="preserve"> materiāla plomba (50 x 45) nodokļu un citu maksājumu reģistrēšanas elektroniskajām ierīcēm un iekārtām </w:t>
            </w:r>
            <w:r w:rsidRPr="00DE6A31">
              <w:rPr>
                <w:bCs/>
                <w:sz w:val="28"/>
                <w:szCs w:val="28"/>
              </w:rPr>
              <w:t>–</w:t>
            </w:r>
            <w:r w:rsidRPr="00DE6A31">
              <w:rPr>
                <w:sz w:val="28"/>
                <w:szCs w:val="28"/>
              </w:rPr>
              <w:t xml:space="preserve"> iegādes izmaksas ir samazinājušās</w:t>
            </w:r>
            <w:r w:rsidR="007C36B8" w:rsidRPr="00DE6A31">
              <w:rPr>
                <w:sz w:val="28"/>
                <w:szCs w:val="28"/>
              </w:rPr>
              <w:t xml:space="preserve">, </w:t>
            </w:r>
            <w:r w:rsidR="00AF7C43" w:rsidRPr="00DE6A31">
              <w:rPr>
                <w:sz w:val="28"/>
                <w:szCs w:val="28"/>
              </w:rPr>
              <w:t xml:space="preserve">salīdzinot </w:t>
            </w:r>
            <w:r w:rsidR="00F92A06" w:rsidRPr="00DE6A31">
              <w:rPr>
                <w:sz w:val="28"/>
                <w:szCs w:val="28"/>
              </w:rPr>
              <w:t>iepriekšēj</w:t>
            </w:r>
            <w:r w:rsidR="007C0511" w:rsidRPr="00DE6A31">
              <w:rPr>
                <w:sz w:val="28"/>
                <w:szCs w:val="28"/>
              </w:rPr>
              <w:t>ā</w:t>
            </w:r>
            <w:r w:rsidR="00F92A06" w:rsidRPr="00DE6A31">
              <w:rPr>
                <w:sz w:val="28"/>
                <w:szCs w:val="28"/>
              </w:rPr>
              <w:t xml:space="preserve"> piegādātāj</w:t>
            </w:r>
            <w:r w:rsidR="008F2AA3" w:rsidRPr="00DE6A31">
              <w:rPr>
                <w:sz w:val="28"/>
                <w:szCs w:val="28"/>
              </w:rPr>
              <w:t>a</w:t>
            </w:r>
            <w:r w:rsidR="00F92A06" w:rsidRPr="00DE6A31">
              <w:rPr>
                <w:sz w:val="28"/>
                <w:szCs w:val="28"/>
              </w:rPr>
              <w:t xml:space="preserve"> </w:t>
            </w:r>
            <w:r w:rsidR="007C0511" w:rsidRPr="00DE6A31">
              <w:rPr>
                <w:sz w:val="28"/>
                <w:szCs w:val="28"/>
              </w:rPr>
              <w:t>līgumā noteikto cenu</w:t>
            </w:r>
            <w:r w:rsidR="00F92A06" w:rsidRPr="00DE6A31">
              <w:rPr>
                <w:sz w:val="28"/>
                <w:szCs w:val="28"/>
              </w:rPr>
              <w:t xml:space="preserve"> </w:t>
            </w:r>
            <w:r w:rsidR="007C0511" w:rsidRPr="00DE6A31">
              <w:rPr>
                <w:sz w:val="28"/>
                <w:szCs w:val="28"/>
              </w:rPr>
              <w:t xml:space="preserve">ar </w:t>
            </w:r>
            <w:r w:rsidR="00AF7C43" w:rsidRPr="00DE6A31">
              <w:rPr>
                <w:sz w:val="28"/>
                <w:szCs w:val="28"/>
              </w:rPr>
              <w:t>jaun</w:t>
            </w:r>
            <w:r w:rsidR="007C0511" w:rsidRPr="00DE6A31">
              <w:rPr>
                <w:sz w:val="28"/>
                <w:szCs w:val="28"/>
              </w:rPr>
              <w:t>ajā</w:t>
            </w:r>
            <w:r w:rsidR="00AF7C43" w:rsidRPr="00DE6A31">
              <w:rPr>
                <w:sz w:val="28"/>
                <w:szCs w:val="28"/>
              </w:rPr>
              <w:t xml:space="preserve"> līgum</w:t>
            </w:r>
            <w:r w:rsidR="007C0511" w:rsidRPr="00DE6A31">
              <w:rPr>
                <w:sz w:val="28"/>
                <w:szCs w:val="28"/>
              </w:rPr>
              <w:t>ā</w:t>
            </w:r>
            <w:r w:rsidR="00AF7C43" w:rsidRPr="00DE6A31">
              <w:rPr>
                <w:sz w:val="28"/>
                <w:szCs w:val="28"/>
              </w:rPr>
              <w:t xml:space="preserve"> ar </w:t>
            </w:r>
            <w:r w:rsidR="007C36B8" w:rsidRPr="00DE6A31">
              <w:rPr>
                <w:sz w:val="28"/>
                <w:szCs w:val="28"/>
              </w:rPr>
              <w:t xml:space="preserve"> </w:t>
            </w:r>
            <w:r w:rsidR="00AF7C43" w:rsidRPr="00DE6A31">
              <w:rPr>
                <w:sz w:val="28"/>
                <w:szCs w:val="28"/>
              </w:rPr>
              <w:t xml:space="preserve">SIA “Consumo” </w:t>
            </w:r>
            <w:r w:rsidR="007C0511" w:rsidRPr="00DE6A31">
              <w:rPr>
                <w:sz w:val="28"/>
                <w:szCs w:val="28"/>
              </w:rPr>
              <w:t>noteikto cenu.</w:t>
            </w:r>
            <w:r w:rsidRPr="00DE6A31">
              <w:rPr>
                <w:sz w:val="28"/>
                <w:szCs w:val="28"/>
              </w:rPr>
              <w:t xml:space="preserve"> </w:t>
            </w:r>
          </w:p>
          <w:p w14:paraId="06E74CAF" w14:textId="63255D60" w:rsidR="00AF7C43" w:rsidRPr="00DE6A31" w:rsidRDefault="00E1504F" w:rsidP="00AF7C43">
            <w:pPr>
              <w:jc w:val="both"/>
              <w:rPr>
                <w:sz w:val="28"/>
                <w:szCs w:val="28"/>
              </w:rPr>
            </w:pPr>
            <w:r w:rsidRPr="00DE6A31">
              <w:rPr>
                <w:sz w:val="28"/>
                <w:szCs w:val="28"/>
              </w:rPr>
              <w:t>N</w:t>
            </w:r>
            <w:r w:rsidR="003B1A79" w:rsidRPr="00DE6A31">
              <w:rPr>
                <w:sz w:val="28"/>
                <w:szCs w:val="28"/>
              </w:rPr>
              <w:t>oteikumu Nr.778</w:t>
            </w:r>
            <w:r w:rsidR="003B1A79" w:rsidRPr="00DE6A31">
              <w:rPr>
                <w:bCs/>
                <w:sz w:val="28"/>
                <w:szCs w:val="28"/>
              </w:rPr>
              <w:t xml:space="preserve"> pielikuma</w:t>
            </w:r>
            <w:r w:rsidR="003B1A79" w:rsidRPr="00DE6A31">
              <w:rPr>
                <w:sz w:val="28"/>
                <w:szCs w:val="28"/>
              </w:rPr>
              <w:t xml:space="preserve"> 1.3. apakšpunktā minētās </w:t>
            </w:r>
            <w:r w:rsidR="00B82DF2" w:rsidRPr="00DE6A31">
              <w:rPr>
                <w:sz w:val="28"/>
                <w:szCs w:val="28"/>
              </w:rPr>
              <w:t>VID</w:t>
            </w:r>
            <w:r w:rsidR="003B1A79" w:rsidRPr="00DE6A31">
              <w:rPr>
                <w:sz w:val="28"/>
                <w:szCs w:val="28"/>
              </w:rPr>
              <w:t xml:space="preserve"> sniegtā maksas pakalpojuma veida </w:t>
            </w:r>
            <w:r w:rsidR="003B1A79" w:rsidRPr="00DE6A31">
              <w:rPr>
                <w:bCs/>
                <w:sz w:val="28"/>
                <w:szCs w:val="28"/>
              </w:rPr>
              <w:t xml:space="preserve">– </w:t>
            </w:r>
            <w:r w:rsidR="003B1A79" w:rsidRPr="00DE6A31">
              <w:rPr>
                <w:sz w:val="28"/>
                <w:szCs w:val="28"/>
              </w:rPr>
              <w:t xml:space="preserve">sabrūkoša tipa hologrāfiska, pašlīmējoša PET materiāla plomba (45 x 75) nodokļu un citu maksājumu reģistrēšanas elektroniskajām ierīcēm un iekārtām  </w:t>
            </w:r>
            <w:r w:rsidR="00AF7C43" w:rsidRPr="00DE6A31">
              <w:rPr>
                <w:sz w:val="28"/>
                <w:szCs w:val="28"/>
              </w:rPr>
              <w:t xml:space="preserve">iegādes </w:t>
            </w:r>
            <w:r w:rsidR="003B1A79" w:rsidRPr="00DE6A31">
              <w:rPr>
                <w:sz w:val="28"/>
                <w:szCs w:val="28"/>
              </w:rPr>
              <w:t>izmaksas ir pieaugušas</w:t>
            </w:r>
            <w:r w:rsidR="00AF7C43" w:rsidRPr="00DE6A31">
              <w:rPr>
                <w:sz w:val="28"/>
                <w:szCs w:val="28"/>
              </w:rPr>
              <w:t xml:space="preserve">, </w:t>
            </w:r>
            <w:r w:rsidR="007C0511" w:rsidRPr="00DE6A31">
              <w:rPr>
                <w:sz w:val="28"/>
                <w:szCs w:val="28"/>
              </w:rPr>
              <w:t>salīdzinot iepriekšējā piegādātāj</w:t>
            </w:r>
            <w:r w:rsidR="008F2AA3" w:rsidRPr="00DE6A31">
              <w:rPr>
                <w:sz w:val="28"/>
                <w:szCs w:val="28"/>
              </w:rPr>
              <w:t>a</w:t>
            </w:r>
            <w:r w:rsidR="007C0511" w:rsidRPr="00DE6A31">
              <w:rPr>
                <w:sz w:val="28"/>
                <w:szCs w:val="28"/>
              </w:rPr>
              <w:t xml:space="preserve"> </w:t>
            </w:r>
            <w:r w:rsidR="007C0511" w:rsidRPr="00DE6A31">
              <w:rPr>
                <w:sz w:val="28"/>
                <w:szCs w:val="28"/>
              </w:rPr>
              <w:lastRenderedPageBreak/>
              <w:t>līgumā noteikto cenu ar jaunajā līgumā ar  SIA “Consumo” noteikto cenu.</w:t>
            </w:r>
          </w:p>
          <w:p w14:paraId="72758FA4" w14:textId="3659F19F" w:rsidR="009012AF" w:rsidRPr="00DE6A31" w:rsidRDefault="00DF15CA" w:rsidP="003B1A79">
            <w:pPr>
              <w:jc w:val="both"/>
              <w:rPr>
                <w:sz w:val="28"/>
                <w:szCs w:val="28"/>
              </w:rPr>
            </w:pPr>
            <w:r w:rsidRPr="00DE6A31">
              <w:rPr>
                <w:sz w:val="28"/>
                <w:szCs w:val="28"/>
              </w:rPr>
              <w:t xml:space="preserve">Ņemot vērā VID darbinieku atalgojuma un darba devēja valsts sociālās apdrošināšanas obligāto iemaksu likmes pieaugumu, </w:t>
            </w:r>
            <w:r w:rsidR="00260B15" w:rsidRPr="00DE6A31">
              <w:rPr>
                <w:sz w:val="28"/>
                <w:szCs w:val="28"/>
              </w:rPr>
              <w:t xml:space="preserve">visu maksas pakalpojumu sniegšanā iesaistīto cilvēkresursu izmaksas ir pieaugušas, </w:t>
            </w:r>
            <w:r w:rsidRPr="00DE6A31">
              <w:rPr>
                <w:sz w:val="28"/>
                <w:szCs w:val="28"/>
              </w:rPr>
              <w:t xml:space="preserve">turklāt </w:t>
            </w:r>
            <w:r w:rsidR="00260B15" w:rsidRPr="00DE6A31">
              <w:rPr>
                <w:sz w:val="28"/>
                <w:szCs w:val="28"/>
              </w:rPr>
              <w:t xml:space="preserve">ir mainījušās </w:t>
            </w:r>
            <w:r w:rsidRPr="00DE6A31">
              <w:rPr>
                <w:sz w:val="28"/>
                <w:szCs w:val="28"/>
              </w:rPr>
              <w:t xml:space="preserve">arī </w:t>
            </w:r>
            <w:r w:rsidR="00260B15" w:rsidRPr="00DE6A31">
              <w:rPr>
                <w:sz w:val="28"/>
                <w:szCs w:val="28"/>
              </w:rPr>
              <w:t xml:space="preserve">komunālo pakalpojumu un </w:t>
            </w:r>
            <w:r w:rsidR="003549D5">
              <w:rPr>
                <w:sz w:val="28"/>
                <w:szCs w:val="28"/>
              </w:rPr>
              <w:t xml:space="preserve">maksas </w:t>
            </w:r>
            <w:r w:rsidR="00260B15" w:rsidRPr="00DE6A31">
              <w:rPr>
                <w:sz w:val="28"/>
                <w:szCs w:val="28"/>
              </w:rPr>
              <w:t xml:space="preserve">pakalpojumu sniegšanā nepieciešamo materiālu </w:t>
            </w:r>
            <w:r w:rsidR="009012AF" w:rsidRPr="00DE6A31">
              <w:rPr>
                <w:sz w:val="28"/>
                <w:szCs w:val="28"/>
              </w:rPr>
              <w:t xml:space="preserve">un iekārtu uzturēšanas </w:t>
            </w:r>
            <w:r w:rsidR="00260B15" w:rsidRPr="00DE6A31">
              <w:rPr>
                <w:sz w:val="28"/>
                <w:szCs w:val="28"/>
              </w:rPr>
              <w:t>izmaksas.</w:t>
            </w:r>
            <w:r w:rsidR="009012AF" w:rsidRPr="00DE6A31">
              <w:rPr>
                <w:sz w:val="28"/>
                <w:szCs w:val="28"/>
              </w:rPr>
              <w:t xml:space="preserve"> </w:t>
            </w:r>
          </w:p>
          <w:p w14:paraId="23148984" w14:textId="485FF184" w:rsidR="003B1A79" w:rsidRPr="00DE6A31" w:rsidRDefault="003B1A79" w:rsidP="003B1A79">
            <w:pPr>
              <w:jc w:val="both"/>
              <w:rPr>
                <w:iCs/>
                <w:sz w:val="28"/>
                <w:szCs w:val="28"/>
              </w:rPr>
            </w:pPr>
            <w:r w:rsidRPr="00DE6A31">
              <w:rPr>
                <w:iCs/>
                <w:sz w:val="28"/>
                <w:szCs w:val="28"/>
              </w:rPr>
              <w:t>Atbilstoši faktiskajai situācijai ir veikt</w:t>
            </w:r>
            <w:r w:rsidR="007E378F" w:rsidRPr="00DE6A31">
              <w:rPr>
                <w:iCs/>
                <w:sz w:val="28"/>
                <w:szCs w:val="28"/>
              </w:rPr>
              <w:t>i</w:t>
            </w:r>
            <w:r w:rsidRPr="00DE6A31">
              <w:rPr>
                <w:iCs/>
                <w:sz w:val="28"/>
                <w:szCs w:val="28"/>
              </w:rPr>
              <w:t xml:space="preserve"> maksas pakalpojumu izcenojuma aprēķin</w:t>
            </w:r>
            <w:r w:rsidR="007E378F" w:rsidRPr="00DE6A31">
              <w:rPr>
                <w:iCs/>
                <w:sz w:val="28"/>
                <w:szCs w:val="28"/>
              </w:rPr>
              <w:t>i</w:t>
            </w:r>
            <w:r w:rsidRPr="00DE6A31">
              <w:rPr>
                <w:iCs/>
                <w:sz w:val="28"/>
                <w:szCs w:val="28"/>
              </w:rPr>
              <w:t xml:space="preserve"> noteikumu projekta sākotnējās ietekmes novērtējuma </w:t>
            </w:r>
            <w:r w:rsidR="00A72730" w:rsidRPr="00DE6A31">
              <w:rPr>
                <w:iCs/>
                <w:sz w:val="28"/>
                <w:szCs w:val="28"/>
              </w:rPr>
              <w:t xml:space="preserve">ziņojuma (anotācijas) pielikumā, kurā izmaksas 2. un 4. maksas pakalpojumiem tiek norādītas ieskaitot </w:t>
            </w:r>
            <w:r w:rsidR="00A72730" w:rsidRPr="00DE6A31">
              <w:rPr>
                <w:rFonts w:eastAsia="Calibri"/>
                <w:sz w:val="28"/>
                <w:szCs w:val="28"/>
              </w:rPr>
              <w:t>Pievienotās vērtības nodokli.</w:t>
            </w:r>
          </w:p>
          <w:p w14:paraId="65EC63A5" w14:textId="5B034338" w:rsidR="003B1A79" w:rsidRPr="00DE6A31" w:rsidRDefault="003B1A79" w:rsidP="003B1A79">
            <w:pPr>
              <w:jc w:val="both"/>
              <w:rPr>
                <w:sz w:val="28"/>
                <w:szCs w:val="28"/>
              </w:rPr>
            </w:pPr>
            <w:r w:rsidRPr="00DE6A31">
              <w:rPr>
                <w:sz w:val="28"/>
                <w:szCs w:val="28"/>
              </w:rPr>
              <w:t>Tādējādi</w:t>
            </w:r>
            <w:r w:rsidR="005F385D" w:rsidRPr="00DE6A31">
              <w:rPr>
                <w:sz w:val="28"/>
                <w:szCs w:val="28"/>
              </w:rPr>
              <w:t xml:space="preserve"> </w:t>
            </w:r>
            <w:r w:rsidR="00B64253">
              <w:rPr>
                <w:sz w:val="28"/>
                <w:szCs w:val="28"/>
              </w:rPr>
              <w:t>n</w:t>
            </w:r>
            <w:r w:rsidR="005F385D" w:rsidRPr="00DE6A31">
              <w:rPr>
                <w:sz w:val="28"/>
                <w:szCs w:val="28"/>
              </w:rPr>
              <w:t xml:space="preserve">oteikumu </w:t>
            </w:r>
            <w:r w:rsidR="00DB427D" w:rsidRPr="00DE6A31">
              <w:rPr>
                <w:sz w:val="28"/>
                <w:szCs w:val="28"/>
              </w:rPr>
              <w:t xml:space="preserve">projekta </w:t>
            </w:r>
            <w:r w:rsidRPr="00DE6A31">
              <w:rPr>
                <w:sz w:val="28"/>
                <w:szCs w:val="28"/>
              </w:rPr>
              <w:t>pielikumā ietvert</w:t>
            </w:r>
            <w:r w:rsidR="005F385D" w:rsidRPr="00DE6A31">
              <w:rPr>
                <w:sz w:val="28"/>
                <w:szCs w:val="28"/>
              </w:rPr>
              <w:t>ajiem</w:t>
            </w:r>
            <w:r w:rsidRPr="00DE6A31">
              <w:rPr>
                <w:sz w:val="28"/>
                <w:szCs w:val="28"/>
              </w:rPr>
              <w:t xml:space="preserve"> </w:t>
            </w:r>
            <w:r w:rsidR="005F385D" w:rsidRPr="00DE6A31">
              <w:rPr>
                <w:sz w:val="28"/>
                <w:szCs w:val="28"/>
              </w:rPr>
              <w:t>maksas pakalpojumiem</w:t>
            </w:r>
            <w:r w:rsidRPr="00DE6A31">
              <w:rPr>
                <w:sz w:val="28"/>
                <w:szCs w:val="28"/>
              </w:rPr>
              <w:t xml:space="preserve"> </w:t>
            </w:r>
            <w:r w:rsidR="00DF15CA" w:rsidRPr="00DE6A31">
              <w:rPr>
                <w:sz w:val="28"/>
                <w:szCs w:val="28"/>
              </w:rPr>
              <w:t xml:space="preserve">ir </w:t>
            </w:r>
            <w:r w:rsidRPr="00DE6A31">
              <w:rPr>
                <w:sz w:val="28"/>
                <w:szCs w:val="28"/>
              </w:rPr>
              <w:t>pārskatīt</w:t>
            </w:r>
            <w:r w:rsidR="00DF15CA" w:rsidRPr="00DE6A31">
              <w:rPr>
                <w:sz w:val="28"/>
                <w:szCs w:val="28"/>
              </w:rPr>
              <w:t>as</w:t>
            </w:r>
            <w:r w:rsidRPr="00DE6A31">
              <w:rPr>
                <w:sz w:val="28"/>
                <w:szCs w:val="28"/>
              </w:rPr>
              <w:t xml:space="preserve"> minēto </w:t>
            </w:r>
            <w:r w:rsidR="006645C6">
              <w:rPr>
                <w:sz w:val="28"/>
                <w:szCs w:val="28"/>
              </w:rPr>
              <w:t xml:space="preserve">maksas </w:t>
            </w:r>
            <w:r w:rsidRPr="00DE6A31">
              <w:rPr>
                <w:sz w:val="28"/>
                <w:szCs w:val="28"/>
              </w:rPr>
              <w:t>pakalpojumu cenas</w:t>
            </w:r>
            <w:r w:rsidR="005A30B6" w:rsidRPr="00DE6A31">
              <w:rPr>
                <w:sz w:val="28"/>
                <w:szCs w:val="28"/>
              </w:rPr>
              <w:t>.</w:t>
            </w:r>
          </w:p>
          <w:p w14:paraId="38B790DA" w14:textId="01C9868B" w:rsidR="003B1A79" w:rsidRPr="00DE6A31" w:rsidRDefault="003B1A79" w:rsidP="003B1A79">
            <w:pPr>
              <w:jc w:val="both"/>
              <w:rPr>
                <w:sz w:val="28"/>
                <w:szCs w:val="28"/>
              </w:rPr>
            </w:pPr>
            <w:r w:rsidRPr="00DE6A31">
              <w:rPr>
                <w:rFonts w:eastAsia="Calibri"/>
                <w:sz w:val="28"/>
                <w:szCs w:val="28"/>
              </w:rPr>
              <w:t>Pievienotās vērtības nodoklis</w:t>
            </w:r>
            <w:r w:rsidR="008E6C6F" w:rsidRPr="00DE6A31">
              <w:rPr>
                <w:rFonts w:eastAsia="Calibri"/>
                <w:sz w:val="28"/>
                <w:szCs w:val="28"/>
              </w:rPr>
              <w:t xml:space="preserve"> noteikumu projekta 1. un 3. maksas </w:t>
            </w:r>
            <w:r w:rsidRPr="00DE6A31">
              <w:rPr>
                <w:rFonts w:eastAsia="Calibri"/>
                <w:sz w:val="28"/>
                <w:szCs w:val="28"/>
              </w:rPr>
              <w:t xml:space="preserve">pakalpojumiem nav piemērojams saskaņā ar Pievienotās vērtības nodokļa likuma 3. panta astoto daļu, kura noteic, ka </w:t>
            </w:r>
            <w:r w:rsidRPr="00DE6A31">
              <w:rPr>
                <w:sz w:val="28"/>
                <w:szCs w:val="28"/>
              </w:rPr>
              <w:t xml:space="preserve">publiskas personas, kā arī privātpersonas, kuras saskaņā ar </w:t>
            </w:r>
            <w:hyperlink r:id="rId11" w:tgtFrame="_blank" w:history="1">
              <w:r w:rsidRPr="00DE6A31">
                <w:rPr>
                  <w:sz w:val="28"/>
                  <w:szCs w:val="28"/>
                </w:rPr>
                <w:t>Valsts pārvaldes iekārtas likumu</w:t>
              </w:r>
            </w:hyperlink>
            <w:r w:rsidRPr="00DE6A31">
              <w:rPr>
                <w:sz w:val="28"/>
                <w:szCs w:val="28"/>
              </w:rPr>
              <w:t xml:space="preserve"> pilda tām deleģētus vai ar pilnvarojumu nodotus valsts pārvaldes uzdevumus, neuzskata par nodokļa maksātājiem attiecībā uz darbībām vai darījumiem, kuros tās iesaistās valsts pārvaldes funkciju vai uzdevumu pildīšanā.     </w:t>
            </w:r>
          </w:p>
          <w:p w14:paraId="36E5AD0D" w14:textId="55C75B4B" w:rsidR="005A30B6" w:rsidRPr="00DE6A31" w:rsidRDefault="005A30B6" w:rsidP="003B1A79">
            <w:pPr>
              <w:jc w:val="both"/>
              <w:rPr>
                <w:sz w:val="28"/>
                <w:szCs w:val="28"/>
              </w:rPr>
            </w:pPr>
            <w:r w:rsidRPr="00DE6A31">
              <w:rPr>
                <w:sz w:val="28"/>
                <w:szCs w:val="28"/>
              </w:rPr>
              <w:t xml:space="preserve">Saskaņā ar noteikumu Nr.333 17.punktā noteikto noteikumos par maksas pakalpojumu cenrādi var norādīt maksāšanas kārtību, atvieglojumus, to piemērošanas nosacījumus un citus īpašos nosacījumus. Ņemot vērā minēto, noteikumu projektā ir ietvertas tiesību normas, kas paredz noteikt kārtību, kādā persona maksā par VID sniegtajiem maksas pakalpojumiem un kādā personai atmaksā samaksāto pakalpojuma maksu, ja persona rakstiski atsakās no pakalpojuma, ievērojot noteikumu projektā paredzētos nosacījumus. </w:t>
            </w:r>
          </w:p>
          <w:p w14:paraId="15B3172E" w14:textId="69482BB7" w:rsidR="00281988" w:rsidRPr="00DE6A31" w:rsidRDefault="001E25B4" w:rsidP="003B1A79">
            <w:pPr>
              <w:jc w:val="both"/>
              <w:rPr>
                <w:sz w:val="28"/>
                <w:szCs w:val="28"/>
              </w:rPr>
            </w:pPr>
            <w:r>
              <w:rPr>
                <w:sz w:val="28"/>
                <w:szCs w:val="28"/>
              </w:rPr>
              <w:t xml:space="preserve">Ātrākai pakalpojuma sniegšanas uzsākšanai,  savstarpējie norēķini starp personu un VID notiks izmantojot bezskaidras naudas norēķinus, proti, </w:t>
            </w:r>
            <w:r>
              <w:rPr>
                <w:sz w:val="28"/>
                <w:szCs w:val="28"/>
              </w:rPr>
              <w:lastRenderedPageBreak/>
              <w:t xml:space="preserve">persona veic pārskaitījumu uz atbilstošo VID norēķinu kontu Valsts kasē. </w:t>
            </w:r>
            <w:r w:rsidR="006D5CC9" w:rsidRPr="00DE6A31">
              <w:rPr>
                <w:sz w:val="28"/>
                <w:szCs w:val="28"/>
              </w:rPr>
              <w:t xml:space="preserve">Ņemot vērā, ka </w:t>
            </w:r>
            <w:r w:rsidR="009F097D" w:rsidRPr="00DE6A31">
              <w:rPr>
                <w:sz w:val="28"/>
                <w:szCs w:val="28"/>
              </w:rPr>
              <w:t>šobrīd par maksas pakalpojumiem personas norēķinās ar pēcapmaksu, pastāv risks, ka</w:t>
            </w:r>
            <w:r w:rsidR="006568BA" w:rsidRPr="00DE6A31">
              <w:rPr>
                <w:sz w:val="28"/>
                <w:szCs w:val="28"/>
              </w:rPr>
              <w:t xml:space="preserve"> gadījumā, ja</w:t>
            </w:r>
            <w:r w:rsidR="009F097D" w:rsidRPr="00DE6A31">
              <w:rPr>
                <w:sz w:val="28"/>
                <w:szCs w:val="28"/>
              </w:rPr>
              <w:t xml:space="preserve"> persona </w:t>
            </w:r>
            <w:r w:rsidR="00467F2D" w:rsidRPr="00DE6A31">
              <w:rPr>
                <w:sz w:val="28"/>
                <w:szCs w:val="28"/>
              </w:rPr>
              <w:t>at</w:t>
            </w:r>
            <w:r w:rsidR="006568BA" w:rsidRPr="00DE6A31">
              <w:rPr>
                <w:sz w:val="28"/>
                <w:szCs w:val="28"/>
              </w:rPr>
              <w:t>teiksies</w:t>
            </w:r>
            <w:r w:rsidR="00467F2D" w:rsidRPr="00DE6A31">
              <w:rPr>
                <w:sz w:val="28"/>
                <w:szCs w:val="28"/>
              </w:rPr>
              <w:t xml:space="preserve"> veikt </w:t>
            </w:r>
            <w:r w:rsidR="009F097D" w:rsidRPr="00DE6A31">
              <w:rPr>
                <w:sz w:val="28"/>
                <w:szCs w:val="28"/>
              </w:rPr>
              <w:t>apmaksu</w:t>
            </w:r>
            <w:r w:rsidR="00467F2D" w:rsidRPr="00DE6A31">
              <w:rPr>
                <w:sz w:val="28"/>
                <w:szCs w:val="28"/>
              </w:rPr>
              <w:t xml:space="preserve"> par nodrošināto pakalpojumu, rezultātā</w:t>
            </w:r>
            <w:r w:rsidR="009F097D" w:rsidRPr="00DE6A31">
              <w:rPr>
                <w:sz w:val="28"/>
                <w:szCs w:val="28"/>
              </w:rPr>
              <w:t xml:space="preserve"> </w:t>
            </w:r>
            <w:r w:rsidR="00467F2D" w:rsidRPr="00DE6A31">
              <w:rPr>
                <w:sz w:val="28"/>
                <w:szCs w:val="28"/>
              </w:rPr>
              <w:t>nepamatoti</w:t>
            </w:r>
            <w:r w:rsidR="001D49D3" w:rsidRPr="00DE6A31">
              <w:rPr>
                <w:sz w:val="28"/>
                <w:szCs w:val="28"/>
              </w:rPr>
              <w:t xml:space="preserve"> </w:t>
            </w:r>
            <w:r w:rsidR="006568BA" w:rsidRPr="00DE6A31">
              <w:rPr>
                <w:sz w:val="28"/>
                <w:szCs w:val="28"/>
              </w:rPr>
              <w:t xml:space="preserve">būs </w:t>
            </w:r>
            <w:r w:rsidR="00467F2D" w:rsidRPr="00DE6A31">
              <w:rPr>
                <w:sz w:val="28"/>
                <w:szCs w:val="28"/>
              </w:rPr>
              <w:t xml:space="preserve">izlietoti </w:t>
            </w:r>
            <w:r w:rsidR="00D7666D" w:rsidRPr="00DE6A31">
              <w:rPr>
                <w:sz w:val="28"/>
                <w:szCs w:val="28"/>
              </w:rPr>
              <w:t>valst</w:t>
            </w:r>
            <w:r w:rsidR="00467F2D" w:rsidRPr="00DE6A31">
              <w:rPr>
                <w:sz w:val="28"/>
                <w:szCs w:val="28"/>
              </w:rPr>
              <w:t>s</w:t>
            </w:r>
            <w:r w:rsidR="00D7666D" w:rsidRPr="00DE6A31">
              <w:rPr>
                <w:sz w:val="28"/>
                <w:szCs w:val="28"/>
              </w:rPr>
              <w:t xml:space="preserve"> budžeta finanšu līdzekļi</w:t>
            </w:r>
            <w:r w:rsidR="00467F2D" w:rsidRPr="00DE6A31">
              <w:rPr>
                <w:sz w:val="28"/>
                <w:szCs w:val="28"/>
              </w:rPr>
              <w:t xml:space="preserve"> un </w:t>
            </w:r>
            <w:r w:rsidR="006568BA" w:rsidRPr="00DE6A31">
              <w:rPr>
                <w:sz w:val="28"/>
                <w:szCs w:val="28"/>
              </w:rPr>
              <w:t xml:space="preserve">būs </w:t>
            </w:r>
            <w:r w:rsidR="009F097D" w:rsidRPr="00DE6A31">
              <w:rPr>
                <w:sz w:val="28"/>
                <w:szCs w:val="28"/>
              </w:rPr>
              <w:t>nepieciešams uzsākt naudas līdzekļu piedziņu</w:t>
            </w:r>
            <w:r w:rsidR="00467F2D" w:rsidRPr="00DE6A31">
              <w:rPr>
                <w:sz w:val="28"/>
                <w:szCs w:val="28"/>
              </w:rPr>
              <w:t xml:space="preserve"> no personas</w:t>
            </w:r>
            <w:r w:rsidR="009F097D" w:rsidRPr="00DE6A31">
              <w:rPr>
                <w:sz w:val="28"/>
                <w:szCs w:val="28"/>
              </w:rPr>
              <w:t>. Lai samazinātu neapmaksāto maksas</w:t>
            </w:r>
            <w:r w:rsidR="00D7666D" w:rsidRPr="00DE6A31">
              <w:rPr>
                <w:sz w:val="28"/>
                <w:szCs w:val="28"/>
              </w:rPr>
              <w:t xml:space="preserve"> pakalpojumu risku</w:t>
            </w:r>
            <w:r w:rsidR="009F097D" w:rsidRPr="00DE6A31">
              <w:rPr>
                <w:sz w:val="28"/>
                <w:szCs w:val="28"/>
              </w:rPr>
              <w:t xml:space="preserve">, </w:t>
            </w:r>
            <w:r w:rsidR="000C2A7E" w:rsidRPr="00DE6A31">
              <w:rPr>
                <w:sz w:val="28"/>
                <w:szCs w:val="28"/>
              </w:rPr>
              <w:t>VID</w:t>
            </w:r>
            <w:r w:rsidR="009F097D" w:rsidRPr="00DE6A31">
              <w:rPr>
                <w:sz w:val="28"/>
                <w:szCs w:val="28"/>
              </w:rPr>
              <w:t xml:space="preserve"> </w:t>
            </w:r>
            <w:r w:rsidR="006568BA" w:rsidRPr="00DE6A31">
              <w:rPr>
                <w:sz w:val="28"/>
                <w:szCs w:val="28"/>
              </w:rPr>
              <w:t xml:space="preserve">ir nepieciešams </w:t>
            </w:r>
            <w:r w:rsidR="000C2A7E" w:rsidRPr="00DE6A31">
              <w:rPr>
                <w:sz w:val="28"/>
                <w:szCs w:val="28"/>
              </w:rPr>
              <w:t>ievie</w:t>
            </w:r>
            <w:r w:rsidR="006568BA" w:rsidRPr="00DE6A31">
              <w:rPr>
                <w:sz w:val="28"/>
                <w:szCs w:val="28"/>
              </w:rPr>
              <w:t>st</w:t>
            </w:r>
            <w:r w:rsidR="009F097D" w:rsidRPr="00DE6A31">
              <w:rPr>
                <w:sz w:val="28"/>
                <w:szCs w:val="28"/>
              </w:rPr>
              <w:t xml:space="preserve"> priekšapmaksu</w:t>
            </w:r>
            <w:r w:rsidR="009E2364">
              <w:rPr>
                <w:sz w:val="28"/>
                <w:szCs w:val="28"/>
              </w:rPr>
              <w:t xml:space="preserve"> pilnā pakalpojuma maksas apmērā</w:t>
            </w:r>
            <w:r w:rsidR="009F097D" w:rsidRPr="00DE6A31">
              <w:rPr>
                <w:sz w:val="28"/>
                <w:szCs w:val="28"/>
              </w:rPr>
              <w:t xml:space="preserve">, kā rezultātā </w:t>
            </w:r>
            <w:r w:rsidR="00000352" w:rsidRPr="00DE6A31">
              <w:rPr>
                <w:sz w:val="28"/>
                <w:szCs w:val="28"/>
              </w:rPr>
              <w:t xml:space="preserve">cilvēkresursi un </w:t>
            </w:r>
            <w:r w:rsidR="009F097D" w:rsidRPr="00DE6A31">
              <w:rPr>
                <w:sz w:val="28"/>
                <w:szCs w:val="28"/>
              </w:rPr>
              <w:t xml:space="preserve"> </w:t>
            </w:r>
            <w:r w:rsidR="000C2A7E" w:rsidRPr="00DE6A31">
              <w:rPr>
                <w:sz w:val="28"/>
                <w:szCs w:val="28"/>
              </w:rPr>
              <w:t>materiālais/</w:t>
            </w:r>
            <w:r w:rsidR="009F097D" w:rsidRPr="00DE6A31">
              <w:rPr>
                <w:sz w:val="28"/>
                <w:szCs w:val="28"/>
              </w:rPr>
              <w:t>tehniskais nodrošinājums</w:t>
            </w:r>
            <w:r w:rsidR="00000352" w:rsidRPr="00DE6A31">
              <w:rPr>
                <w:sz w:val="28"/>
                <w:szCs w:val="28"/>
              </w:rPr>
              <w:t xml:space="preserve"> tiktu izmantoti</w:t>
            </w:r>
            <w:r w:rsidR="009F097D" w:rsidRPr="00DE6A31">
              <w:rPr>
                <w:sz w:val="28"/>
                <w:szCs w:val="28"/>
              </w:rPr>
              <w:t xml:space="preserve"> </w:t>
            </w:r>
            <w:r w:rsidR="00000352" w:rsidRPr="00DE6A31">
              <w:rPr>
                <w:sz w:val="28"/>
                <w:szCs w:val="28"/>
              </w:rPr>
              <w:t>maksas pakalpojuma sniegšanā, par ko jau ir saņemta samaksa</w:t>
            </w:r>
            <w:r w:rsidR="009F097D" w:rsidRPr="00DE6A31">
              <w:rPr>
                <w:sz w:val="28"/>
                <w:szCs w:val="28"/>
              </w:rPr>
              <w:t>.</w:t>
            </w:r>
            <w:r w:rsidR="00281988">
              <w:rPr>
                <w:sz w:val="28"/>
                <w:szCs w:val="28"/>
              </w:rPr>
              <w:t xml:space="preserve"> </w:t>
            </w:r>
          </w:p>
          <w:p w14:paraId="5E09AD52" w14:textId="10CE1E97" w:rsidR="001E350F" w:rsidRDefault="00BC3050" w:rsidP="00F436D4">
            <w:pPr>
              <w:jc w:val="both"/>
              <w:rPr>
                <w:sz w:val="28"/>
                <w:szCs w:val="28"/>
              </w:rPr>
            </w:pPr>
            <w:r w:rsidRPr="00DE6A31">
              <w:rPr>
                <w:sz w:val="28"/>
                <w:szCs w:val="28"/>
              </w:rPr>
              <w:t>Vien</w:t>
            </w:r>
            <w:r w:rsidR="009F097D" w:rsidRPr="00DE6A31">
              <w:rPr>
                <w:sz w:val="28"/>
                <w:szCs w:val="28"/>
              </w:rPr>
              <w:t xml:space="preserve">laicīgi tiek </w:t>
            </w:r>
            <w:r w:rsidRPr="00DE6A31">
              <w:rPr>
                <w:sz w:val="28"/>
                <w:szCs w:val="28"/>
              </w:rPr>
              <w:t>noteikts, ka personai</w:t>
            </w:r>
            <w:r w:rsidR="00F436D4" w:rsidRPr="00DE6A31">
              <w:rPr>
                <w:sz w:val="28"/>
                <w:szCs w:val="28"/>
              </w:rPr>
              <w:t>,</w:t>
            </w:r>
            <w:r w:rsidRPr="00DE6A31">
              <w:rPr>
                <w:sz w:val="28"/>
                <w:szCs w:val="28"/>
              </w:rPr>
              <w:t xml:space="preserve"> atsakoties no </w:t>
            </w:r>
            <w:r w:rsidR="00F436D4" w:rsidRPr="00DE6A31">
              <w:rPr>
                <w:sz w:val="28"/>
                <w:szCs w:val="28"/>
              </w:rPr>
              <w:t>noteikumu projekta pielikuma 1. un 3. punktā noteikt</w:t>
            </w:r>
            <w:r w:rsidR="00B5733B" w:rsidRPr="00DE6A31">
              <w:rPr>
                <w:sz w:val="28"/>
                <w:szCs w:val="28"/>
              </w:rPr>
              <w:t>ajiem</w:t>
            </w:r>
            <w:r w:rsidR="00F436D4" w:rsidRPr="00DE6A31">
              <w:rPr>
                <w:sz w:val="28"/>
                <w:szCs w:val="28"/>
              </w:rPr>
              <w:t xml:space="preserve"> maksas pakalpojum</w:t>
            </w:r>
            <w:r w:rsidR="00B5733B" w:rsidRPr="00DE6A31">
              <w:rPr>
                <w:sz w:val="28"/>
                <w:szCs w:val="28"/>
              </w:rPr>
              <w:t>iem</w:t>
            </w:r>
            <w:r w:rsidR="00F436D4" w:rsidRPr="00DE6A31">
              <w:rPr>
                <w:sz w:val="28"/>
                <w:szCs w:val="28"/>
              </w:rPr>
              <w:t xml:space="preserve"> un noteikumu projekta pielikuma 2. un 4. punktā noteiktajiem</w:t>
            </w:r>
            <w:r w:rsidR="00B5733B" w:rsidRPr="00DE6A31">
              <w:rPr>
                <w:sz w:val="28"/>
                <w:szCs w:val="28"/>
              </w:rPr>
              <w:t xml:space="preserve"> maksas pakalpojumiem, kuru sniegšana nav uzsākta,</w:t>
            </w:r>
            <w:r w:rsidR="00F436D4" w:rsidRPr="00DE6A31">
              <w:rPr>
                <w:sz w:val="28"/>
                <w:szCs w:val="28"/>
              </w:rPr>
              <w:t xml:space="preserve"> </w:t>
            </w:r>
            <w:r w:rsidR="00B5733B" w:rsidRPr="00DE6A31">
              <w:rPr>
                <w:sz w:val="28"/>
                <w:szCs w:val="28"/>
              </w:rPr>
              <w:t>saņemtā sa</w:t>
            </w:r>
            <w:r w:rsidRPr="00DE6A31">
              <w:rPr>
                <w:sz w:val="28"/>
                <w:szCs w:val="28"/>
              </w:rPr>
              <w:t xml:space="preserve">maksa </w:t>
            </w:r>
            <w:r w:rsidR="00B5733B" w:rsidRPr="00DE6A31">
              <w:rPr>
                <w:sz w:val="28"/>
                <w:szCs w:val="28"/>
              </w:rPr>
              <w:t xml:space="preserve">tiek atmaksāta </w:t>
            </w:r>
            <w:r w:rsidR="000D13A6" w:rsidRPr="00DE6A31">
              <w:rPr>
                <w:sz w:val="28"/>
                <w:szCs w:val="28"/>
              </w:rPr>
              <w:t>pilnā apmērā</w:t>
            </w:r>
            <w:r w:rsidR="00B5733B" w:rsidRPr="00DE6A31">
              <w:rPr>
                <w:sz w:val="28"/>
                <w:szCs w:val="28"/>
              </w:rPr>
              <w:t>.</w:t>
            </w:r>
          </w:p>
          <w:p w14:paraId="2DC49D8D" w14:textId="50CC3730" w:rsidR="00173ECD" w:rsidRDefault="00173ECD" w:rsidP="002C5DE5">
            <w:pPr>
              <w:jc w:val="both"/>
              <w:rPr>
                <w:sz w:val="28"/>
                <w:szCs w:val="28"/>
              </w:rPr>
            </w:pPr>
            <w:r>
              <w:rPr>
                <w:sz w:val="28"/>
                <w:szCs w:val="28"/>
              </w:rPr>
              <w:t>Noteikumu projekta 6.punktā paredzēts noteikt, ka i</w:t>
            </w:r>
            <w:r w:rsidRPr="000B5D21">
              <w:rPr>
                <w:sz w:val="28"/>
                <w:szCs w:val="28"/>
              </w:rPr>
              <w:t>esniegumā par atteikšanos no pakalpojuma norāda datus par personu (fiziskai personai – vārds, uzvārds un personas kods vai identifikācijas kods, juridiskai personai – nosaukums un reģistrācijas numurs), maksājumu pakalpojuma sniedzēja rekvizītus un konta numuru, kurā ieskaitāma attiecīgā naudas summa.</w:t>
            </w:r>
          </w:p>
          <w:p w14:paraId="31EEB827" w14:textId="55D1E912" w:rsidR="0018786F" w:rsidRDefault="00173ECD" w:rsidP="002C5DE5">
            <w:pPr>
              <w:jc w:val="both"/>
              <w:rPr>
                <w:sz w:val="28"/>
                <w:szCs w:val="28"/>
              </w:rPr>
            </w:pPr>
            <w:r>
              <w:rPr>
                <w:sz w:val="28"/>
                <w:szCs w:val="28"/>
              </w:rPr>
              <w:t>Attiecīb</w:t>
            </w:r>
            <w:r w:rsidR="003549D5">
              <w:rPr>
                <w:sz w:val="28"/>
                <w:szCs w:val="28"/>
              </w:rPr>
              <w:t>ā</w:t>
            </w:r>
            <w:r>
              <w:rPr>
                <w:sz w:val="28"/>
                <w:szCs w:val="28"/>
              </w:rPr>
              <w:t xml:space="preserve"> uz fizisku personu datu aizsardzību, apstrādi un apriti no</w:t>
            </w:r>
            <w:r w:rsidR="0018786F">
              <w:rPr>
                <w:sz w:val="28"/>
                <w:szCs w:val="28"/>
              </w:rPr>
              <w:t xml:space="preserve"> 2018.gada </w:t>
            </w:r>
            <w:r w:rsidR="0018786F" w:rsidRPr="0018786F">
              <w:rPr>
                <w:sz w:val="28"/>
                <w:szCs w:val="28"/>
              </w:rPr>
              <w:t>25.maij</w:t>
            </w:r>
            <w:r>
              <w:rPr>
                <w:sz w:val="28"/>
                <w:szCs w:val="28"/>
              </w:rPr>
              <w:t>a</w:t>
            </w:r>
            <w:r w:rsidR="00E542AB">
              <w:rPr>
                <w:sz w:val="28"/>
                <w:szCs w:val="28"/>
              </w:rPr>
              <w:t xml:space="preserve"> </w:t>
            </w:r>
            <w:r>
              <w:rPr>
                <w:sz w:val="28"/>
                <w:szCs w:val="28"/>
              </w:rPr>
              <w:t>ir piemērojama</w:t>
            </w:r>
            <w:r w:rsidR="0018786F" w:rsidRPr="0018786F">
              <w:rPr>
                <w:sz w:val="28"/>
                <w:szCs w:val="28"/>
              </w:rPr>
              <w:t xml:space="preserve"> Eiropas Parlamenta un Padomes 2016.gada 27.aprīļa Regula (ES) Nr.2016/679 par fizisku personu aizsardzību attiecībā uz personas datu apstrādi un šādu datu brīvu apriti </w:t>
            </w:r>
            <w:r>
              <w:t xml:space="preserve"> </w:t>
            </w:r>
            <w:r w:rsidRPr="00173ECD">
              <w:rPr>
                <w:sz w:val="28"/>
                <w:szCs w:val="28"/>
              </w:rPr>
              <w:t>un ar ko atceļ Direktīvu 95/46/EK (Vispārīgā datu aizsardzības regula)</w:t>
            </w:r>
            <w:r w:rsidR="004C45C9">
              <w:rPr>
                <w:sz w:val="28"/>
                <w:szCs w:val="28"/>
              </w:rPr>
              <w:t xml:space="preserve"> (turpmāk – regula </w:t>
            </w:r>
            <w:r w:rsidR="004C45C9" w:rsidRPr="0018786F">
              <w:rPr>
                <w:sz w:val="28"/>
                <w:szCs w:val="28"/>
              </w:rPr>
              <w:t>Nr.2016/679</w:t>
            </w:r>
            <w:r w:rsidR="0018786F" w:rsidRPr="0018786F">
              <w:rPr>
                <w:sz w:val="28"/>
                <w:szCs w:val="28"/>
              </w:rPr>
              <w:t>.</w:t>
            </w:r>
            <w:r w:rsidR="004C45C9">
              <w:rPr>
                <w:sz w:val="28"/>
                <w:szCs w:val="28"/>
              </w:rPr>
              <w:t xml:space="preserve"> Regulas </w:t>
            </w:r>
            <w:r w:rsidR="004C45C9" w:rsidRPr="0018786F">
              <w:rPr>
                <w:sz w:val="28"/>
                <w:szCs w:val="28"/>
              </w:rPr>
              <w:t>Nr.2016/679</w:t>
            </w:r>
            <w:r w:rsidR="004C45C9">
              <w:rPr>
                <w:sz w:val="28"/>
                <w:szCs w:val="28"/>
              </w:rPr>
              <w:t xml:space="preserve"> 6.panta 1.punkta “c” apakšpunktā  noteikts, ka </w:t>
            </w:r>
            <w:r w:rsidR="004C45C9" w:rsidRPr="002272F8">
              <w:rPr>
                <w:sz w:val="28"/>
                <w:szCs w:val="28"/>
              </w:rPr>
              <w:t xml:space="preserve">apstrāde ir likumīga tikai tādā apmērā un tikai tad, ja ir piemērojams vismaz viens no turpmāk minētajiem pamatojumiem: apstrāde ir vajadzīga, lai izpildītu uz pārzini attiecināmu juridisku </w:t>
            </w:r>
            <w:r w:rsidR="004C45C9" w:rsidRPr="002272F8">
              <w:rPr>
                <w:sz w:val="28"/>
                <w:szCs w:val="28"/>
              </w:rPr>
              <w:lastRenderedPageBreak/>
              <w:t>pienākumu</w:t>
            </w:r>
            <w:r w:rsidR="002272F8" w:rsidRPr="002272F8">
              <w:rPr>
                <w:sz w:val="28"/>
                <w:szCs w:val="28"/>
              </w:rPr>
              <w:t>.</w:t>
            </w:r>
            <w:r w:rsidR="0018786F">
              <w:rPr>
                <w:sz w:val="28"/>
                <w:szCs w:val="28"/>
              </w:rPr>
              <w:t xml:space="preserve"> </w:t>
            </w:r>
            <w:r w:rsidR="003549D5" w:rsidRPr="003549D5">
              <w:rPr>
                <w:sz w:val="28"/>
                <w:szCs w:val="28"/>
              </w:rPr>
              <w:t xml:space="preserve">Ņemot vērā, ka noteikumu projekta 5.punktā un 7.punktā paredzēts noteikt VID pienākumu atmaksāt personai tās veikto priekšapmaksu par </w:t>
            </w:r>
            <w:r w:rsidR="002272F8" w:rsidRPr="000B5D21">
              <w:rPr>
                <w:sz w:val="28"/>
                <w:szCs w:val="28"/>
              </w:rPr>
              <w:t xml:space="preserve">pielikuma 2. un 4. punktā minētajiem </w:t>
            </w:r>
            <w:r w:rsidR="00046C2B">
              <w:rPr>
                <w:sz w:val="28"/>
                <w:szCs w:val="28"/>
              </w:rPr>
              <w:t xml:space="preserve">maksas </w:t>
            </w:r>
            <w:r w:rsidR="002272F8" w:rsidRPr="000B5D21">
              <w:rPr>
                <w:sz w:val="28"/>
                <w:szCs w:val="28"/>
              </w:rPr>
              <w:t>pakalpojumiem</w:t>
            </w:r>
            <w:r w:rsidR="002272F8">
              <w:rPr>
                <w:sz w:val="28"/>
                <w:szCs w:val="28"/>
              </w:rPr>
              <w:t>, tad n</w:t>
            </w:r>
            <w:r w:rsidR="00E542AB">
              <w:rPr>
                <w:sz w:val="28"/>
                <w:szCs w:val="28"/>
              </w:rPr>
              <w:t>oteikumu p</w:t>
            </w:r>
            <w:r w:rsidR="0018786F">
              <w:rPr>
                <w:sz w:val="28"/>
                <w:szCs w:val="28"/>
              </w:rPr>
              <w:t>rojekt</w:t>
            </w:r>
            <w:r w:rsidR="002272F8">
              <w:rPr>
                <w:sz w:val="28"/>
                <w:szCs w:val="28"/>
              </w:rPr>
              <w:t>a 6.punktā paredzētā</w:t>
            </w:r>
            <w:r w:rsidR="0018786F">
              <w:rPr>
                <w:sz w:val="28"/>
                <w:szCs w:val="28"/>
              </w:rPr>
              <w:t xml:space="preserve"> </w:t>
            </w:r>
            <w:r w:rsidR="00E542AB">
              <w:rPr>
                <w:sz w:val="28"/>
                <w:szCs w:val="28"/>
              </w:rPr>
              <w:t>personas datu</w:t>
            </w:r>
            <w:r w:rsidR="00BC0FBF">
              <w:rPr>
                <w:sz w:val="28"/>
                <w:szCs w:val="28"/>
              </w:rPr>
              <w:t>s</w:t>
            </w:r>
            <w:r w:rsidR="00E542AB">
              <w:rPr>
                <w:sz w:val="28"/>
                <w:szCs w:val="28"/>
              </w:rPr>
              <w:t xml:space="preserve"> saturošo </w:t>
            </w:r>
            <w:r w:rsidR="0018786F">
              <w:rPr>
                <w:sz w:val="28"/>
                <w:szCs w:val="28"/>
              </w:rPr>
              <w:t>iesniegumu</w:t>
            </w:r>
            <w:r w:rsidR="00E542AB">
              <w:rPr>
                <w:sz w:val="28"/>
                <w:szCs w:val="28"/>
              </w:rPr>
              <w:t xml:space="preserve"> </w:t>
            </w:r>
            <w:r w:rsidR="0018786F">
              <w:rPr>
                <w:sz w:val="28"/>
                <w:szCs w:val="28"/>
              </w:rPr>
              <w:t xml:space="preserve"> </w:t>
            </w:r>
            <w:r w:rsidR="0018786F" w:rsidRPr="0018786F">
              <w:rPr>
                <w:sz w:val="28"/>
                <w:szCs w:val="28"/>
              </w:rPr>
              <w:t xml:space="preserve">apstrāde ir nepieciešama, lai </w:t>
            </w:r>
            <w:r w:rsidR="00E542AB">
              <w:rPr>
                <w:sz w:val="28"/>
                <w:szCs w:val="28"/>
              </w:rPr>
              <w:t>VID varētu izpildīt</w:t>
            </w:r>
            <w:r w:rsidR="0018786F" w:rsidRPr="0018786F">
              <w:rPr>
                <w:sz w:val="28"/>
                <w:szCs w:val="28"/>
              </w:rPr>
              <w:t xml:space="preserve"> </w:t>
            </w:r>
            <w:r w:rsidR="00E542AB">
              <w:rPr>
                <w:sz w:val="28"/>
                <w:szCs w:val="28"/>
              </w:rPr>
              <w:t>noteikumu projektā paredzēto</w:t>
            </w:r>
            <w:r w:rsidR="0018786F" w:rsidRPr="0018786F">
              <w:rPr>
                <w:sz w:val="28"/>
                <w:szCs w:val="28"/>
              </w:rPr>
              <w:t xml:space="preserve"> </w:t>
            </w:r>
            <w:r w:rsidR="002272F8">
              <w:rPr>
                <w:sz w:val="28"/>
                <w:szCs w:val="28"/>
              </w:rPr>
              <w:t xml:space="preserve">juridisko </w:t>
            </w:r>
            <w:r w:rsidR="0018786F" w:rsidRPr="0018786F">
              <w:rPr>
                <w:sz w:val="28"/>
                <w:szCs w:val="28"/>
              </w:rPr>
              <w:t>pienākumu</w:t>
            </w:r>
            <w:r w:rsidR="00E542AB">
              <w:rPr>
                <w:sz w:val="28"/>
                <w:szCs w:val="28"/>
              </w:rPr>
              <w:t xml:space="preserve"> – atmaksas veikšanu </w:t>
            </w:r>
            <w:r w:rsidR="00D11F71">
              <w:rPr>
                <w:sz w:val="28"/>
                <w:szCs w:val="28"/>
              </w:rPr>
              <w:t>par pārtraukto maksas pakalpojumu, jo Valsts kas</w:t>
            </w:r>
            <w:r w:rsidR="00BC0FBF">
              <w:rPr>
                <w:sz w:val="28"/>
                <w:szCs w:val="28"/>
              </w:rPr>
              <w:t>ei</w:t>
            </w:r>
            <w:r w:rsidR="00D11F71">
              <w:rPr>
                <w:sz w:val="28"/>
                <w:szCs w:val="28"/>
              </w:rPr>
              <w:t xml:space="preserve"> </w:t>
            </w:r>
            <w:r w:rsidR="00BC0FBF">
              <w:rPr>
                <w:sz w:val="28"/>
                <w:szCs w:val="28"/>
              </w:rPr>
              <w:t>ir nepieciešams</w:t>
            </w:r>
            <w:r w:rsidR="00D11F71">
              <w:rPr>
                <w:sz w:val="28"/>
                <w:szCs w:val="28"/>
              </w:rPr>
              <w:t xml:space="preserve"> sagatavot maksājum</w:t>
            </w:r>
            <w:r w:rsidR="00BC0FBF">
              <w:rPr>
                <w:sz w:val="28"/>
                <w:szCs w:val="28"/>
              </w:rPr>
              <w:t>u</w:t>
            </w:r>
            <w:r w:rsidR="00D11F71">
              <w:rPr>
                <w:sz w:val="28"/>
                <w:szCs w:val="28"/>
              </w:rPr>
              <w:t xml:space="preserve">, kurā atbilstoši </w:t>
            </w:r>
            <w:r w:rsidR="00D11F71" w:rsidRPr="00D11F71">
              <w:rPr>
                <w:sz w:val="28"/>
                <w:szCs w:val="28"/>
              </w:rPr>
              <w:t>Maksājumu pakalpojum</w:t>
            </w:r>
            <w:r w:rsidR="00D11F71">
              <w:rPr>
                <w:sz w:val="28"/>
                <w:szCs w:val="28"/>
              </w:rPr>
              <w:t xml:space="preserve">u un elektroniskās naudas likuma </w:t>
            </w:r>
            <w:r w:rsidR="00BC0FBF">
              <w:rPr>
                <w:sz w:val="28"/>
                <w:szCs w:val="28"/>
              </w:rPr>
              <w:t>prasībām ir</w:t>
            </w:r>
            <w:r w:rsidR="00D11F71">
              <w:rPr>
                <w:sz w:val="28"/>
                <w:szCs w:val="28"/>
              </w:rPr>
              <w:t xml:space="preserve"> </w:t>
            </w:r>
            <w:r w:rsidR="00BC0FBF">
              <w:rPr>
                <w:sz w:val="28"/>
                <w:szCs w:val="28"/>
              </w:rPr>
              <w:t>jā</w:t>
            </w:r>
            <w:r w:rsidR="00D11F71">
              <w:rPr>
                <w:sz w:val="28"/>
                <w:szCs w:val="28"/>
              </w:rPr>
              <w:t>norāda informācija par maksājuma saņēmēju</w:t>
            </w:r>
            <w:r w:rsidR="00E542AB">
              <w:rPr>
                <w:sz w:val="28"/>
                <w:szCs w:val="28"/>
              </w:rPr>
              <w:t>.</w:t>
            </w:r>
          </w:p>
          <w:p w14:paraId="344B07A5" w14:textId="4D9A8E88" w:rsidR="00C44B35" w:rsidRPr="00DE6A31" w:rsidRDefault="00C44B35" w:rsidP="002C5DE5">
            <w:pPr>
              <w:jc w:val="both"/>
              <w:rPr>
                <w:sz w:val="28"/>
                <w:szCs w:val="28"/>
              </w:rPr>
            </w:pPr>
            <w:r w:rsidRPr="00DE6A31">
              <w:rPr>
                <w:sz w:val="28"/>
                <w:szCs w:val="28"/>
              </w:rPr>
              <w:t>J</w:t>
            </w:r>
            <w:r w:rsidR="00841AFB" w:rsidRPr="00DE6A31">
              <w:rPr>
                <w:sz w:val="28"/>
                <w:szCs w:val="28"/>
              </w:rPr>
              <w:t xml:space="preserve">a persona atsakās no </w:t>
            </w:r>
            <w:r w:rsidR="001E350F" w:rsidRPr="00DE6A31">
              <w:rPr>
                <w:sz w:val="28"/>
                <w:szCs w:val="28"/>
              </w:rPr>
              <w:t xml:space="preserve">2. un 4. punktā </w:t>
            </w:r>
            <w:r w:rsidRPr="00DE6A31">
              <w:rPr>
                <w:sz w:val="28"/>
                <w:szCs w:val="28"/>
              </w:rPr>
              <w:t>noteiktajiem maksas</w:t>
            </w:r>
            <w:r w:rsidR="001E350F" w:rsidRPr="00DE6A31">
              <w:rPr>
                <w:sz w:val="28"/>
                <w:szCs w:val="28"/>
              </w:rPr>
              <w:t xml:space="preserve"> pakalpojumiem</w:t>
            </w:r>
            <w:r w:rsidR="00841AFB" w:rsidRPr="00DE6A31">
              <w:rPr>
                <w:sz w:val="28"/>
                <w:szCs w:val="28"/>
              </w:rPr>
              <w:t>, k</w:t>
            </w:r>
            <w:r w:rsidRPr="00DE6A31">
              <w:rPr>
                <w:sz w:val="28"/>
                <w:szCs w:val="28"/>
              </w:rPr>
              <w:t xml:space="preserve">uru </w:t>
            </w:r>
            <w:r w:rsidR="00841AFB" w:rsidRPr="00DE6A31">
              <w:rPr>
                <w:sz w:val="28"/>
                <w:szCs w:val="28"/>
              </w:rPr>
              <w:t xml:space="preserve">izpilde ir uzsākta, tiek atmaksāta </w:t>
            </w:r>
            <w:r w:rsidRPr="00DE6A31">
              <w:rPr>
                <w:sz w:val="28"/>
                <w:szCs w:val="28"/>
              </w:rPr>
              <w:t>sa</w:t>
            </w:r>
            <w:r w:rsidR="00841AFB" w:rsidRPr="00DE6A31">
              <w:rPr>
                <w:sz w:val="28"/>
                <w:szCs w:val="28"/>
              </w:rPr>
              <w:t>maksa</w:t>
            </w:r>
            <w:r w:rsidRPr="00DE6A31">
              <w:rPr>
                <w:sz w:val="28"/>
                <w:szCs w:val="28"/>
              </w:rPr>
              <w:t xml:space="preserve"> par</w:t>
            </w:r>
            <w:r w:rsidR="00841AFB" w:rsidRPr="00DE6A31">
              <w:rPr>
                <w:sz w:val="28"/>
                <w:szCs w:val="28"/>
              </w:rPr>
              <w:t xml:space="preserve"> </w:t>
            </w:r>
            <w:r w:rsidR="00046C2B">
              <w:rPr>
                <w:sz w:val="28"/>
                <w:szCs w:val="28"/>
              </w:rPr>
              <w:t xml:space="preserve">maksas </w:t>
            </w:r>
            <w:r w:rsidR="00841AFB" w:rsidRPr="00DE6A31">
              <w:rPr>
                <w:sz w:val="28"/>
                <w:szCs w:val="28"/>
              </w:rPr>
              <w:t>p</w:t>
            </w:r>
            <w:r w:rsidR="001E350F" w:rsidRPr="00DE6A31">
              <w:rPr>
                <w:sz w:val="28"/>
                <w:szCs w:val="28"/>
              </w:rPr>
              <w:t>a</w:t>
            </w:r>
            <w:r w:rsidR="00841AFB" w:rsidRPr="00DE6A31">
              <w:rPr>
                <w:sz w:val="28"/>
                <w:szCs w:val="28"/>
              </w:rPr>
              <w:t xml:space="preserve">kalpojuma </w:t>
            </w:r>
            <w:r w:rsidR="00E72977" w:rsidRPr="00DE6A31">
              <w:rPr>
                <w:sz w:val="28"/>
                <w:szCs w:val="28"/>
              </w:rPr>
              <w:t>izcenojumā ietvert</w:t>
            </w:r>
            <w:r w:rsidR="001E350F" w:rsidRPr="00DE6A31">
              <w:rPr>
                <w:sz w:val="28"/>
                <w:szCs w:val="28"/>
              </w:rPr>
              <w:t>ajām</w:t>
            </w:r>
            <w:r w:rsidR="00E72977" w:rsidRPr="00DE6A31">
              <w:rPr>
                <w:sz w:val="28"/>
                <w:szCs w:val="28"/>
              </w:rPr>
              <w:t xml:space="preserve"> </w:t>
            </w:r>
            <w:r w:rsidRPr="00DE6A31">
              <w:rPr>
                <w:sz w:val="28"/>
                <w:szCs w:val="28"/>
              </w:rPr>
              <w:t>ne</w:t>
            </w:r>
            <w:r w:rsidR="001E350F" w:rsidRPr="00DE6A31">
              <w:rPr>
                <w:sz w:val="28"/>
                <w:szCs w:val="28"/>
              </w:rPr>
              <w:t>tiešajām</w:t>
            </w:r>
            <w:r w:rsidR="00BC3050" w:rsidRPr="00DE6A31">
              <w:rPr>
                <w:sz w:val="28"/>
                <w:szCs w:val="28"/>
              </w:rPr>
              <w:t xml:space="preserve"> </w:t>
            </w:r>
            <w:r w:rsidR="001E350F" w:rsidRPr="00DE6A31">
              <w:rPr>
                <w:sz w:val="28"/>
                <w:szCs w:val="28"/>
              </w:rPr>
              <w:t>izmaksām</w:t>
            </w:r>
            <w:r w:rsidR="00BC3050" w:rsidRPr="00DE6A31">
              <w:rPr>
                <w:sz w:val="28"/>
                <w:szCs w:val="28"/>
              </w:rPr>
              <w:t xml:space="preserve"> </w:t>
            </w:r>
            <w:r w:rsidRPr="00DE6A31">
              <w:rPr>
                <w:sz w:val="28"/>
                <w:szCs w:val="28"/>
              </w:rPr>
              <w:t xml:space="preserve">(piemēram, telpu noma, telpu apsaimniekošana, tehnoloģisko iekārtu nolietojums), savukārt netiek atmaksāta samaksa par </w:t>
            </w:r>
            <w:r w:rsidR="00046C2B">
              <w:rPr>
                <w:sz w:val="28"/>
                <w:szCs w:val="28"/>
              </w:rPr>
              <w:t xml:space="preserve">maksas </w:t>
            </w:r>
            <w:r w:rsidRPr="00DE6A31">
              <w:rPr>
                <w:sz w:val="28"/>
                <w:szCs w:val="28"/>
              </w:rPr>
              <w:t xml:space="preserve">pakalpojuma </w:t>
            </w:r>
            <w:r w:rsidR="00157E4B">
              <w:rPr>
                <w:sz w:val="28"/>
                <w:szCs w:val="28"/>
              </w:rPr>
              <w:t xml:space="preserve">sniegšanas faktiskajiem izdevumiem, piemēram, faktiskajiem </w:t>
            </w:r>
            <w:r w:rsidR="00BC3050" w:rsidRPr="00DE6A31">
              <w:rPr>
                <w:sz w:val="28"/>
                <w:szCs w:val="28"/>
              </w:rPr>
              <w:t>personāla darba samaksas</w:t>
            </w:r>
            <w:r w:rsidR="001E350F" w:rsidRPr="00DE6A31">
              <w:rPr>
                <w:sz w:val="28"/>
                <w:szCs w:val="28"/>
              </w:rPr>
              <w:t xml:space="preserve"> izdevumiem,  laboratorijas trauku</w:t>
            </w:r>
            <w:r w:rsidR="00BE088B" w:rsidRPr="00DE6A31">
              <w:rPr>
                <w:sz w:val="28"/>
                <w:szCs w:val="28"/>
              </w:rPr>
              <w:t xml:space="preserve"> un </w:t>
            </w:r>
            <w:r w:rsidR="001E350F" w:rsidRPr="00DE6A31">
              <w:rPr>
                <w:sz w:val="28"/>
                <w:szCs w:val="28"/>
              </w:rPr>
              <w:t>ķīmisk</w:t>
            </w:r>
            <w:r w:rsidR="00157E4B">
              <w:rPr>
                <w:sz w:val="28"/>
                <w:szCs w:val="28"/>
              </w:rPr>
              <w:t>o</w:t>
            </w:r>
            <w:r w:rsidR="001E350F" w:rsidRPr="00DE6A31">
              <w:rPr>
                <w:sz w:val="28"/>
                <w:szCs w:val="28"/>
              </w:rPr>
              <w:t xml:space="preserve"> reaģentu un vielu izmantošanas izdevumiem</w:t>
            </w:r>
            <w:r w:rsidRPr="00DE6A31">
              <w:rPr>
                <w:sz w:val="28"/>
                <w:szCs w:val="28"/>
              </w:rPr>
              <w:t xml:space="preserve">, </w:t>
            </w:r>
            <w:r w:rsidR="00BE088B" w:rsidRPr="00DE6A31">
              <w:rPr>
                <w:sz w:val="28"/>
                <w:szCs w:val="28"/>
              </w:rPr>
              <w:t>jo</w:t>
            </w:r>
            <w:r w:rsidR="00E72977" w:rsidRPr="00DE6A31">
              <w:rPr>
                <w:sz w:val="28"/>
                <w:szCs w:val="28"/>
              </w:rPr>
              <w:t xml:space="preserve">, </w:t>
            </w:r>
            <w:r w:rsidR="006B3C18" w:rsidRPr="00DE6A31">
              <w:rPr>
                <w:sz w:val="28"/>
                <w:szCs w:val="28"/>
              </w:rPr>
              <w:t xml:space="preserve">uzsākot </w:t>
            </w:r>
            <w:r w:rsidR="00046C2B">
              <w:rPr>
                <w:sz w:val="28"/>
                <w:szCs w:val="28"/>
              </w:rPr>
              <w:t xml:space="preserve">maksas </w:t>
            </w:r>
            <w:r w:rsidR="006B3C18" w:rsidRPr="00DE6A31">
              <w:rPr>
                <w:sz w:val="28"/>
                <w:szCs w:val="28"/>
              </w:rPr>
              <w:t>pakalpojuma izpildi,</w:t>
            </w:r>
            <w:r w:rsidR="00BE088B" w:rsidRPr="00DE6A31">
              <w:rPr>
                <w:sz w:val="28"/>
                <w:szCs w:val="28"/>
              </w:rPr>
              <w:t xml:space="preserve"> iestādei </w:t>
            </w:r>
            <w:r w:rsidR="00157E4B">
              <w:rPr>
                <w:sz w:val="28"/>
                <w:szCs w:val="28"/>
              </w:rPr>
              <w:t xml:space="preserve">ir </w:t>
            </w:r>
            <w:r w:rsidRPr="00DE6A31">
              <w:rPr>
                <w:sz w:val="28"/>
                <w:szCs w:val="28"/>
              </w:rPr>
              <w:t>r</w:t>
            </w:r>
            <w:r w:rsidR="00157E4B">
              <w:rPr>
                <w:sz w:val="28"/>
                <w:szCs w:val="28"/>
              </w:rPr>
              <w:t>adušies</w:t>
            </w:r>
            <w:r w:rsidR="00BE088B" w:rsidRPr="00DE6A31">
              <w:rPr>
                <w:sz w:val="28"/>
                <w:szCs w:val="28"/>
              </w:rPr>
              <w:t xml:space="preserve"> izdevumi</w:t>
            </w:r>
            <w:r w:rsidR="006B3C18" w:rsidRPr="00DE6A31">
              <w:rPr>
                <w:sz w:val="28"/>
                <w:szCs w:val="28"/>
              </w:rPr>
              <w:t>,</w:t>
            </w:r>
            <w:r w:rsidR="00BE088B" w:rsidRPr="00DE6A31">
              <w:rPr>
                <w:sz w:val="28"/>
                <w:szCs w:val="28"/>
              </w:rPr>
              <w:t xml:space="preserve"> kuru segšana no iestādei piešķirt</w:t>
            </w:r>
            <w:r w:rsidR="006B3C18" w:rsidRPr="00DE6A31">
              <w:rPr>
                <w:sz w:val="28"/>
                <w:szCs w:val="28"/>
              </w:rPr>
              <w:t>ajiem</w:t>
            </w:r>
            <w:r w:rsidR="00BE088B" w:rsidRPr="00DE6A31">
              <w:rPr>
                <w:sz w:val="28"/>
                <w:szCs w:val="28"/>
              </w:rPr>
              <w:t xml:space="preserve"> valsts budžeta</w:t>
            </w:r>
            <w:r w:rsidR="006B3C18" w:rsidRPr="00DE6A31">
              <w:rPr>
                <w:sz w:val="28"/>
                <w:szCs w:val="28"/>
              </w:rPr>
              <w:t xml:space="preserve"> līdzekļiem</w:t>
            </w:r>
            <w:r w:rsidR="00BE088B" w:rsidRPr="00DE6A31">
              <w:rPr>
                <w:sz w:val="28"/>
                <w:szCs w:val="28"/>
              </w:rPr>
              <w:t xml:space="preserve"> būtu </w:t>
            </w:r>
            <w:r w:rsidR="003B4425" w:rsidRPr="00DE6A31">
              <w:rPr>
                <w:sz w:val="28"/>
                <w:szCs w:val="28"/>
              </w:rPr>
              <w:t>nepamatota finanšu līdzekļu tērēšana.</w:t>
            </w:r>
            <w:r w:rsidR="001E350F" w:rsidRPr="00DE6A31">
              <w:rPr>
                <w:sz w:val="28"/>
                <w:szCs w:val="28"/>
              </w:rPr>
              <w:t xml:space="preserve"> </w:t>
            </w:r>
          </w:p>
          <w:p w14:paraId="34C59236" w14:textId="338757A2" w:rsidR="003B1A79" w:rsidRPr="00DE6A31" w:rsidRDefault="00DF15CA" w:rsidP="0062535A">
            <w:pPr>
              <w:jc w:val="both"/>
              <w:rPr>
                <w:sz w:val="28"/>
                <w:szCs w:val="28"/>
              </w:rPr>
            </w:pPr>
            <w:r w:rsidRPr="00DE6A31">
              <w:rPr>
                <w:sz w:val="28"/>
                <w:szCs w:val="28"/>
              </w:rPr>
              <w:t>P</w:t>
            </w:r>
            <w:r w:rsidR="002C5DE5" w:rsidRPr="00DE6A31">
              <w:rPr>
                <w:sz w:val="28"/>
                <w:szCs w:val="28"/>
              </w:rPr>
              <w:t xml:space="preserve">ēc </w:t>
            </w:r>
            <w:r w:rsidR="001E350F" w:rsidRPr="00DE6A31">
              <w:rPr>
                <w:sz w:val="28"/>
                <w:szCs w:val="28"/>
              </w:rPr>
              <w:t>maksas pakalpojumu izpildes</w:t>
            </w:r>
            <w:r w:rsidR="00755CD5" w:rsidRPr="00DE6A31">
              <w:rPr>
                <w:sz w:val="28"/>
                <w:szCs w:val="28"/>
              </w:rPr>
              <w:t xml:space="preserve"> </w:t>
            </w:r>
            <w:r w:rsidRPr="00DE6A31">
              <w:rPr>
                <w:sz w:val="28"/>
                <w:szCs w:val="28"/>
              </w:rPr>
              <w:t xml:space="preserve">iegūtie </w:t>
            </w:r>
            <w:r w:rsidR="002C5DE5" w:rsidRPr="00DE6A31">
              <w:rPr>
                <w:sz w:val="28"/>
                <w:szCs w:val="28"/>
              </w:rPr>
              <w:t>finanšu līdzekļi ti</w:t>
            </w:r>
            <w:r w:rsidR="00755CD5" w:rsidRPr="00DE6A31">
              <w:rPr>
                <w:sz w:val="28"/>
                <w:szCs w:val="28"/>
              </w:rPr>
              <w:t>ek</w:t>
            </w:r>
            <w:r w:rsidR="002C5DE5" w:rsidRPr="00DE6A31">
              <w:rPr>
                <w:sz w:val="28"/>
                <w:szCs w:val="28"/>
              </w:rPr>
              <w:t xml:space="preserve"> novirzīti klientu apkalpošanas centru  un muitas kontroles punktu uzturēšanas un muitas laboratorijas </w:t>
            </w:r>
            <w:r w:rsidR="001E350F" w:rsidRPr="00DE6A31">
              <w:rPr>
                <w:sz w:val="28"/>
                <w:szCs w:val="28"/>
              </w:rPr>
              <w:t xml:space="preserve">uzturēšanas </w:t>
            </w:r>
            <w:r w:rsidR="002C5DE5" w:rsidRPr="00DE6A31">
              <w:rPr>
                <w:sz w:val="28"/>
                <w:szCs w:val="28"/>
              </w:rPr>
              <w:t>izdevumu segšanai.</w:t>
            </w:r>
          </w:p>
        </w:tc>
      </w:tr>
      <w:tr w:rsidR="003B1A79" w:rsidRPr="00300104" w14:paraId="7B8CE14F" w14:textId="77777777" w:rsidTr="003B1A79">
        <w:tc>
          <w:tcPr>
            <w:tcW w:w="300" w:type="pct"/>
            <w:hideMark/>
          </w:tcPr>
          <w:p w14:paraId="482D0062" w14:textId="2E1B776D" w:rsidR="003B1A79" w:rsidRPr="00DE6A31" w:rsidRDefault="003B1A79" w:rsidP="003B1A79">
            <w:pPr>
              <w:spacing w:before="100" w:beforeAutospacing="1" w:after="100" w:afterAutospacing="1" w:line="360" w:lineRule="auto"/>
              <w:ind w:firstLine="300"/>
              <w:jc w:val="center"/>
              <w:rPr>
                <w:sz w:val="28"/>
                <w:szCs w:val="28"/>
              </w:rPr>
            </w:pPr>
            <w:r w:rsidRPr="00DE6A31">
              <w:rPr>
                <w:sz w:val="28"/>
                <w:szCs w:val="28"/>
              </w:rPr>
              <w:lastRenderedPageBreak/>
              <w:t>3.</w:t>
            </w:r>
          </w:p>
        </w:tc>
        <w:tc>
          <w:tcPr>
            <w:tcW w:w="1700" w:type="pct"/>
            <w:hideMark/>
          </w:tcPr>
          <w:p w14:paraId="01747D4E" w14:textId="77777777" w:rsidR="003B1A79" w:rsidRPr="00DE6A31" w:rsidRDefault="003B1A79" w:rsidP="003B1A79">
            <w:pPr>
              <w:rPr>
                <w:sz w:val="28"/>
                <w:szCs w:val="28"/>
              </w:rPr>
            </w:pPr>
            <w:r w:rsidRPr="00DE6A31">
              <w:rPr>
                <w:sz w:val="28"/>
                <w:szCs w:val="28"/>
              </w:rPr>
              <w:t>Projekta izstrādē iesaistītās institūcijas un publiskas personas kapitālsabiedrības</w:t>
            </w:r>
          </w:p>
        </w:tc>
        <w:tc>
          <w:tcPr>
            <w:tcW w:w="3000" w:type="pct"/>
            <w:hideMark/>
          </w:tcPr>
          <w:p w14:paraId="6CF7DAAC" w14:textId="77777777" w:rsidR="003B1A79" w:rsidRPr="00DE6A31" w:rsidRDefault="0015287F" w:rsidP="000C2A7E">
            <w:pPr>
              <w:rPr>
                <w:sz w:val="28"/>
                <w:szCs w:val="28"/>
              </w:rPr>
            </w:pPr>
            <w:r w:rsidRPr="00DE6A31">
              <w:rPr>
                <w:sz w:val="28"/>
                <w:szCs w:val="28"/>
              </w:rPr>
              <w:t>F</w:t>
            </w:r>
            <w:r w:rsidR="00F92A06" w:rsidRPr="00DE6A31">
              <w:rPr>
                <w:sz w:val="28"/>
                <w:szCs w:val="28"/>
              </w:rPr>
              <w:t xml:space="preserve">inanšu ministrija, </w:t>
            </w:r>
            <w:r w:rsidR="000C2A7E" w:rsidRPr="00DE6A31">
              <w:rPr>
                <w:sz w:val="28"/>
                <w:szCs w:val="28"/>
              </w:rPr>
              <w:t>VID</w:t>
            </w:r>
          </w:p>
        </w:tc>
      </w:tr>
      <w:tr w:rsidR="003B1A79" w:rsidRPr="00300104" w14:paraId="7DEEA494" w14:textId="77777777" w:rsidTr="003B1A79">
        <w:tc>
          <w:tcPr>
            <w:tcW w:w="300" w:type="pct"/>
            <w:hideMark/>
          </w:tcPr>
          <w:p w14:paraId="66AC7D92" w14:textId="77777777" w:rsidR="003B1A79" w:rsidRPr="00DE6A31" w:rsidRDefault="003B1A79" w:rsidP="003B1A79">
            <w:pPr>
              <w:spacing w:before="100" w:beforeAutospacing="1" w:after="100" w:afterAutospacing="1" w:line="360" w:lineRule="auto"/>
              <w:ind w:firstLine="300"/>
              <w:jc w:val="center"/>
              <w:rPr>
                <w:sz w:val="28"/>
                <w:szCs w:val="28"/>
              </w:rPr>
            </w:pPr>
            <w:r w:rsidRPr="00DE6A31">
              <w:rPr>
                <w:sz w:val="28"/>
                <w:szCs w:val="28"/>
              </w:rPr>
              <w:t>4.</w:t>
            </w:r>
          </w:p>
        </w:tc>
        <w:tc>
          <w:tcPr>
            <w:tcW w:w="1700" w:type="pct"/>
            <w:hideMark/>
          </w:tcPr>
          <w:p w14:paraId="025A3D35" w14:textId="77777777" w:rsidR="003B1A79" w:rsidRPr="00DE6A31" w:rsidRDefault="003B1A79" w:rsidP="003B1A79">
            <w:pPr>
              <w:rPr>
                <w:sz w:val="28"/>
                <w:szCs w:val="28"/>
              </w:rPr>
            </w:pPr>
            <w:r w:rsidRPr="00DE6A31">
              <w:rPr>
                <w:sz w:val="28"/>
                <w:szCs w:val="28"/>
              </w:rPr>
              <w:t>Cita informācija</w:t>
            </w:r>
          </w:p>
        </w:tc>
        <w:tc>
          <w:tcPr>
            <w:tcW w:w="3000" w:type="pct"/>
            <w:hideMark/>
          </w:tcPr>
          <w:p w14:paraId="5AEAD4B2" w14:textId="77777777" w:rsidR="003B1A79" w:rsidRPr="00DE6A31" w:rsidRDefault="003B1A79" w:rsidP="003B1A79">
            <w:pPr>
              <w:rPr>
                <w:sz w:val="28"/>
                <w:szCs w:val="28"/>
              </w:rPr>
            </w:pPr>
            <w:r w:rsidRPr="00DE6A31">
              <w:rPr>
                <w:sz w:val="28"/>
                <w:szCs w:val="28"/>
              </w:rPr>
              <w:t>Nav</w:t>
            </w:r>
          </w:p>
        </w:tc>
      </w:tr>
    </w:tbl>
    <w:p w14:paraId="472CB288" w14:textId="77777777" w:rsidR="003B1A79" w:rsidRPr="00DE6A31" w:rsidRDefault="003B1A79" w:rsidP="003B1A79">
      <w:pPr>
        <w:rPr>
          <w:sz w:val="28"/>
          <w:szCs w:val="28"/>
        </w:rPr>
      </w:pPr>
      <w:r w:rsidRPr="00DE6A31">
        <w:rPr>
          <w:sz w:val="28"/>
          <w:szCs w:val="28"/>
        </w:rPr>
        <w:t xml:space="preserve">  </w:t>
      </w:r>
    </w:p>
    <w:p w14:paraId="568F07C1" w14:textId="77777777" w:rsidR="00AB0CC2" w:rsidRPr="00DE6A31" w:rsidRDefault="00AB0CC2" w:rsidP="003B1A79">
      <w:pPr>
        <w:rPr>
          <w:sz w:val="28"/>
          <w:szCs w:val="28"/>
        </w:rPr>
      </w:pPr>
    </w:p>
    <w:p w14:paraId="482950F4" w14:textId="77777777" w:rsidR="00AB0CC2" w:rsidRPr="00DE6A31" w:rsidRDefault="00AB0CC2" w:rsidP="003B1A79">
      <w:pPr>
        <w:rPr>
          <w:sz w:val="28"/>
          <w:szCs w:val="28"/>
        </w:rPr>
      </w:pPr>
    </w:p>
    <w:p w14:paraId="18C9F37C" w14:textId="77777777" w:rsidR="00683849" w:rsidRPr="00DE6A31" w:rsidRDefault="00683849" w:rsidP="003B1A79">
      <w:pPr>
        <w:rPr>
          <w:sz w:val="28"/>
          <w:szCs w:val="28"/>
        </w:rPr>
      </w:pPr>
    </w:p>
    <w:tbl>
      <w:tblPr>
        <w:tblStyle w:val="TableGrid"/>
        <w:tblW w:w="5000" w:type="pct"/>
        <w:tblLook w:val="04A0" w:firstRow="1" w:lastRow="0" w:firstColumn="1" w:lastColumn="0" w:noHBand="0" w:noVBand="1"/>
      </w:tblPr>
      <w:tblGrid>
        <w:gridCol w:w="726"/>
        <w:gridCol w:w="3200"/>
        <w:gridCol w:w="5703"/>
      </w:tblGrid>
      <w:tr w:rsidR="003B1A79" w:rsidRPr="00300104" w14:paraId="77DCA590" w14:textId="77777777" w:rsidTr="003B1A79">
        <w:tc>
          <w:tcPr>
            <w:tcW w:w="0" w:type="auto"/>
            <w:gridSpan w:val="3"/>
            <w:hideMark/>
          </w:tcPr>
          <w:p w14:paraId="168E9AFD" w14:textId="77777777" w:rsidR="003B1A79" w:rsidRPr="00DE6A31" w:rsidRDefault="003B1A79" w:rsidP="003B1A79">
            <w:pPr>
              <w:spacing w:line="360" w:lineRule="auto"/>
              <w:ind w:firstLine="301"/>
              <w:jc w:val="center"/>
              <w:rPr>
                <w:b/>
                <w:bCs/>
                <w:sz w:val="28"/>
                <w:szCs w:val="28"/>
              </w:rPr>
            </w:pPr>
            <w:r w:rsidRPr="00DE6A31">
              <w:rPr>
                <w:b/>
                <w:bCs/>
                <w:sz w:val="28"/>
                <w:szCs w:val="28"/>
              </w:rPr>
              <w:t>II. Tiesību akta projekta ietekme uz sabiedrību, tautsaimniecības attīstību un administratīvo slogu</w:t>
            </w:r>
          </w:p>
        </w:tc>
      </w:tr>
      <w:tr w:rsidR="003B1A79" w:rsidRPr="00300104" w14:paraId="548C555F" w14:textId="77777777" w:rsidTr="007C0511">
        <w:tc>
          <w:tcPr>
            <w:tcW w:w="300" w:type="pct"/>
            <w:hideMark/>
          </w:tcPr>
          <w:p w14:paraId="66C8745B" w14:textId="77777777" w:rsidR="003B1A79" w:rsidRPr="00DE6A31" w:rsidRDefault="003B1A79" w:rsidP="003B1A79">
            <w:pPr>
              <w:spacing w:before="100" w:beforeAutospacing="1" w:after="100" w:afterAutospacing="1" w:line="360" w:lineRule="auto"/>
              <w:ind w:firstLine="300"/>
              <w:jc w:val="center"/>
              <w:rPr>
                <w:sz w:val="28"/>
                <w:szCs w:val="28"/>
              </w:rPr>
            </w:pPr>
            <w:r w:rsidRPr="00DE6A31">
              <w:rPr>
                <w:sz w:val="28"/>
                <w:szCs w:val="28"/>
              </w:rPr>
              <w:t>1.</w:t>
            </w:r>
          </w:p>
        </w:tc>
        <w:tc>
          <w:tcPr>
            <w:tcW w:w="1700" w:type="pct"/>
            <w:hideMark/>
          </w:tcPr>
          <w:p w14:paraId="3324A864" w14:textId="77777777" w:rsidR="003B1A79" w:rsidRPr="00DE6A31" w:rsidRDefault="003B1A79" w:rsidP="003B1A79">
            <w:pPr>
              <w:rPr>
                <w:sz w:val="28"/>
                <w:szCs w:val="28"/>
              </w:rPr>
            </w:pPr>
            <w:r w:rsidRPr="00DE6A31">
              <w:rPr>
                <w:sz w:val="28"/>
                <w:szCs w:val="28"/>
              </w:rPr>
              <w:t>Sabiedrības mērķgrupas, kuras tiesiskais regulējums ietekmē vai varētu ietekmēt</w:t>
            </w:r>
          </w:p>
        </w:tc>
        <w:tc>
          <w:tcPr>
            <w:tcW w:w="3000" w:type="pct"/>
            <w:hideMark/>
          </w:tcPr>
          <w:p w14:paraId="205CDC4C" w14:textId="77777777" w:rsidR="007C0511" w:rsidRPr="00DE6A31" w:rsidRDefault="003B1A79" w:rsidP="007C0511">
            <w:pPr>
              <w:ind w:right="141"/>
              <w:jc w:val="both"/>
              <w:rPr>
                <w:sz w:val="28"/>
                <w:szCs w:val="28"/>
              </w:rPr>
            </w:pPr>
            <w:r w:rsidRPr="00DE6A31">
              <w:rPr>
                <w:sz w:val="28"/>
                <w:szCs w:val="28"/>
              </w:rPr>
              <w:t xml:space="preserve">Noteikumu projekta tiesiskais regulējums attiecināms uz:    </w:t>
            </w:r>
            <w:r w:rsidRPr="00DE6A31">
              <w:rPr>
                <w:sz w:val="28"/>
                <w:szCs w:val="28"/>
              </w:rPr>
              <w:br/>
              <w:t xml:space="preserve">   • personām, kuras nodokļu un citu maksājumu reģistrēšanai lieto kases aparātu, hibrīda kases aparātu, kases sistēmu, specializēto ierīci vai iekārtu, pamatojoties uz Ministru kabineta 2014.gada 11.februāra noteikumiem Nr.96 “Nodokļu un citu maksājumu reģistrēšanas elektronisko ierīču un iekārtu lietošanas</w:t>
            </w:r>
            <w:r w:rsidR="007C0511" w:rsidRPr="00DE6A31">
              <w:rPr>
                <w:sz w:val="28"/>
                <w:szCs w:val="28"/>
              </w:rPr>
              <w:t xml:space="preserve"> kārtība”:</w:t>
            </w:r>
          </w:p>
          <w:p w14:paraId="257C0C87" w14:textId="77777777" w:rsidR="003B1A79" w:rsidRPr="00DE6A31" w:rsidRDefault="003B1A79" w:rsidP="007C0511">
            <w:pPr>
              <w:ind w:right="141"/>
              <w:jc w:val="both"/>
              <w:rPr>
                <w:sz w:val="28"/>
                <w:szCs w:val="28"/>
              </w:rPr>
            </w:pPr>
            <w:r w:rsidRPr="00DE6A31">
              <w:rPr>
                <w:sz w:val="28"/>
                <w:szCs w:val="28"/>
              </w:rPr>
              <w:t xml:space="preserve">• kases aparātu, hibrīda kases aparātu, kases sistēmu, specializēto ierīci vai iekārtu apkalpojošajiem dienestiem;  </w:t>
            </w:r>
          </w:p>
          <w:p w14:paraId="3B1A707F" w14:textId="77777777" w:rsidR="003B1A79" w:rsidRDefault="003B1A79" w:rsidP="007C0511">
            <w:pPr>
              <w:jc w:val="both"/>
              <w:rPr>
                <w:sz w:val="28"/>
                <w:szCs w:val="28"/>
              </w:rPr>
            </w:pPr>
            <w:r w:rsidRPr="00DE6A31">
              <w:rPr>
                <w:sz w:val="28"/>
                <w:szCs w:val="28"/>
              </w:rPr>
              <w:t>•komersantiem, kuri veic muitošanas darbības</w:t>
            </w:r>
            <w:r w:rsidR="00157E4B">
              <w:rPr>
                <w:sz w:val="28"/>
                <w:szCs w:val="28"/>
              </w:rPr>
              <w:t>;</w:t>
            </w:r>
          </w:p>
          <w:p w14:paraId="22F9645F" w14:textId="050EACCE" w:rsidR="00157E4B" w:rsidRPr="00DE6A31" w:rsidRDefault="00157E4B" w:rsidP="007C0511">
            <w:pPr>
              <w:jc w:val="both"/>
              <w:rPr>
                <w:sz w:val="28"/>
                <w:szCs w:val="28"/>
              </w:rPr>
            </w:pPr>
            <w:r w:rsidRPr="00DE6A31">
              <w:rPr>
                <w:sz w:val="28"/>
                <w:szCs w:val="28"/>
              </w:rPr>
              <w:t xml:space="preserve">•komersantiem, kuri </w:t>
            </w:r>
            <w:r>
              <w:rPr>
                <w:sz w:val="28"/>
                <w:szCs w:val="28"/>
              </w:rPr>
              <w:t>izmanto muitas laboritorijas pakalpojumus.</w:t>
            </w:r>
          </w:p>
        </w:tc>
      </w:tr>
      <w:tr w:rsidR="003B1A79" w:rsidRPr="00300104" w14:paraId="4E15C8DB" w14:textId="77777777" w:rsidTr="003B1A79">
        <w:tc>
          <w:tcPr>
            <w:tcW w:w="300" w:type="pct"/>
            <w:hideMark/>
          </w:tcPr>
          <w:p w14:paraId="26B3F495" w14:textId="005A8C23" w:rsidR="003B1A79" w:rsidRPr="00DE6A31" w:rsidRDefault="003B1A79" w:rsidP="003B1A79">
            <w:pPr>
              <w:spacing w:before="100" w:beforeAutospacing="1" w:after="100" w:afterAutospacing="1" w:line="360" w:lineRule="auto"/>
              <w:ind w:firstLine="300"/>
              <w:jc w:val="center"/>
              <w:rPr>
                <w:sz w:val="28"/>
                <w:szCs w:val="28"/>
              </w:rPr>
            </w:pPr>
            <w:r w:rsidRPr="00DE6A31">
              <w:rPr>
                <w:sz w:val="28"/>
                <w:szCs w:val="28"/>
              </w:rPr>
              <w:t>2.</w:t>
            </w:r>
          </w:p>
        </w:tc>
        <w:tc>
          <w:tcPr>
            <w:tcW w:w="1700" w:type="pct"/>
            <w:hideMark/>
          </w:tcPr>
          <w:p w14:paraId="60BAAE27" w14:textId="77777777" w:rsidR="003B1A79" w:rsidRPr="00DE6A31" w:rsidRDefault="003B1A79" w:rsidP="003B1A79">
            <w:pPr>
              <w:rPr>
                <w:sz w:val="28"/>
                <w:szCs w:val="28"/>
              </w:rPr>
            </w:pPr>
            <w:r w:rsidRPr="00DE6A31">
              <w:rPr>
                <w:sz w:val="28"/>
                <w:szCs w:val="28"/>
              </w:rPr>
              <w:t>Tiesiskā regulējuma ietekme uz tautsaimniecību un administratīvo slogu</w:t>
            </w:r>
          </w:p>
        </w:tc>
        <w:tc>
          <w:tcPr>
            <w:tcW w:w="3000" w:type="pct"/>
            <w:hideMark/>
          </w:tcPr>
          <w:p w14:paraId="74B7E695" w14:textId="77777777" w:rsidR="003B1A79" w:rsidRPr="00DE6A31" w:rsidRDefault="003B1A79" w:rsidP="003B1A79">
            <w:pPr>
              <w:rPr>
                <w:sz w:val="28"/>
                <w:szCs w:val="28"/>
              </w:rPr>
            </w:pPr>
            <w:r w:rsidRPr="00DE6A31">
              <w:rPr>
                <w:sz w:val="28"/>
                <w:szCs w:val="28"/>
              </w:rPr>
              <w:t>Sabiedrības grupām un institūcijām noteikumu projekta tiesiskais regulējums nemaina tiesības un pienākumus.</w:t>
            </w:r>
          </w:p>
        </w:tc>
      </w:tr>
      <w:tr w:rsidR="003B1A79" w:rsidRPr="00300104" w14:paraId="51108FD6" w14:textId="77777777" w:rsidTr="003B1A79">
        <w:tc>
          <w:tcPr>
            <w:tcW w:w="300" w:type="pct"/>
            <w:hideMark/>
          </w:tcPr>
          <w:p w14:paraId="34C75499" w14:textId="77777777" w:rsidR="003B1A79" w:rsidRPr="00DE6A31" w:rsidRDefault="003B1A79" w:rsidP="003B1A79">
            <w:pPr>
              <w:spacing w:before="100" w:beforeAutospacing="1" w:after="100" w:afterAutospacing="1" w:line="360" w:lineRule="auto"/>
              <w:ind w:firstLine="300"/>
              <w:jc w:val="center"/>
              <w:rPr>
                <w:sz w:val="28"/>
                <w:szCs w:val="28"/>
              </w:rPr>
            </w:pPr>
            <w:r w:rsidRPr="00DE6A31">
              <w:rPr>
                <w:sz w:val="28"/>
                <w:szCs w:val="28"/>
              </w:rPr>
              <w:t>3.</w:t>
            </w:r>
          </w:p>
        </w:tc>
        <w:tc>
          <w:tcPr>
            <w:tcW w:w="1700" w:type="pct"/>
            <w:hideMark/>
          </w:tcPr>
          <w:p w14:paraId="5E053FA8" w14:textId="77777777" w:rsidR="003B1A79" w:rsidRPr="00DE6A31" w:rsidRDefault="003B1A79" w:rsidP="003B1A79">
            <w:pPr>
              <w:rPr>
                <w:sz w:val="28"/>
                <w:szCs w:val="28"/>
              </w:rPr>
            </w:pPr>
            <w:r w:rsidRPr="00DE6A31">
              <w:rPr>
                <w:sz w:val="28"/>
                <w:szCs w:val="28"/>
              </w:rPr>
              <w:t>Administratīvo izmaksu monetārs novērtējums</w:t>
            </w:r>
          </w:p>
        </w:tc>
        <w:tc>
          <w:tcPr>
            <w:tcW w:w="3000" w:type="pct"/>
            <w:hideMark/>
          </w:tcPr>
          <w:p w14:paraId="0A67F437" w14:textId="77777777" w:rsidR="003B1A79" w:rsidRPr="00DE6A31" w:rsidRDefault="003B1A79" w:rsidP="003B1A79">
            <w:pPr>
              <w:rPr>
                <w:sz w:val="28"/>
                <w:szCs w:val="28"/>
              </w:rPr>
            </w:pPr>
            <w:r w:rsidRPr="00DE6A31">
              <w:rPr>
                <w:sz w:val="28"/>
                <w:szCs w:val="28"/>
              </w:rPr>
              <w:t>Noteikumu projekts šo jomu neskar.</w:t>
            </w:r>
          </w:p>
        </w:tc>
      </w:tr>
      <w:tr w:rsidR="003B1A79" w:rsidRPr="00300104" w14:paraId="6B014D8A" w14:textId="77777777" w:rsidTr="003B1A79">
        <w:tc>
          <w:tcPr>
            <w:tcW w:w="300" w:type="pct"/>
            <w:hideMark/>
          </w:tcPr>
          <w:p w14:paraId="036AE4E1" w14:textId="77777777" w:rsidR="003B1A79" w:rsidRPr="00DE6A31" w:rsidRDefault="003B1A79" w:rsidP="003B1A79">
            <w:pPr>
              <w:spacing w:before="100" w:beforeAutospacing="1" w:after="100" w:afterAutospacing="1" w:line="360" w:lineRule="auto"/>
              <w:ind w:firstLine="300"/>
              <w:jc w:val="center"/>
              <w:rPr>
                <w:sz w:val="28"/>
                <w:szCs w:val="28"/>
              </w:rPr>
            </w:pPr>
            <w:r w:rsidRPr="00DE6A31">
              <w:rPr>
                <w:sz w:val="28"/>
                <w:szCs w:val="28"/>
              </w:rPr>
              <w:t>4.</w:t>
            </w:r>
          </w:p>
        </w:tc>
        <w:tc>
          <w:tcPr>
            <w:tcW w:w="1700" w:type="pct"/>
            <w:hideMark/>
          </w:tcPr>
          <w:p w14:paraId="36DB40F0" w14:textId="77777777" w:rsidR="003B1A79" w:rsidRPr="00DE6A31" w:rsidRDefault="003B1A79" w:rsidP="003B1A79">
            <w:pPr>
              <w:rPr>
                <w:sz w:val="28"/>
                <w:szCs w:val="28"/>
              </w:rPr>
            </w:pPr>
            <w:r w:rsidRPr="00DE6A31">
              <w:rPr>
                <w:sz w:val="28"/>
                <w:szCs w:val="28"/>
              </w:rPr>
              <w:t>Atbilstības izmaksu monetārs novērtējums</w:t>
            </w:r>
          </w:p>
        </w:tc>
        <w:tc>
          <w:tcPr>
            <w:tcW w:w="3000" w:type="pct"/>
            <w:hideMark/>
          </w:tcPr>
          <w:p w14:paraId="14570FAE" w14:textId="77777777" w:rsidR="003B1A79" w:rsidRPr="00DE6A31" w:rsidRDefault="003B1A79" w:rsidP="003B1A79">
            <w:pPr>
              <w:rPr>
                <w:sz w:val="28"/>
                <w:szCs w:val="28"/>
              </w:rPr>
            </w:pPr>
            <w:r w:rsidRPr="00DE6A31">
              <w:rPr>
                <w:sz w:val="28"/>
                <w:szCs w:val="28"/>
              </w:rPr>
              <w:t>Noteikumu projekts šo jomu neskar.</w:t>
            </w:r>
          </w:p>
        </w:tc>
      </w:tr>
      <w:tr w:rsidR="003B1A79" w:rsidRPr="00300104" w14:paraId="534F920F" w14:textId="77777777" w:rsidTr="003B1A79">
        <w:tc>
          <w:tcPr>
            <w:tcW w:w="300" w:type="pct"/>
            <w:hideMark/>
          </w:tcPr>
          <w:p w14:paraId="2C08A457" w14:textId="77777777" w:rsidR="003B1A79" w:rsidRPr="00DE6A31" w:rsidRDefault="003B1A79" w:rsidP="003B1A79">
            <w:pPr>
              <w:spacing w:before="100" w:beforeAutospacing="1" w:after="100" w:afterAutospacing="1" w:line="360" w:lineRule="auto"/>
              <w:ind w:firstLine="300"/>
              <w:jc w:val="center"/>
              <w:rPr>
                <w:sz w:val="28"/>
                <w:szCs w:val="28"/>
              </w:rPr>
            </w:pPr>
            <w:r w:rsidRPr="00DE6A31">
              <w:rPr>
                <w:sz w:val="28"/>
                <w:szCs w:val="28"/>
              </w:rPr>
              <w:t>5.</w:t>
            </w:r>
          </w:p>
        </w:tc>
        <w:tc>
          <w:tcPr>
            <w:tcW w:w="1700" w:type="pct"/>
            <w:hideMark/>
          </w:tcPr>
          <w:p w14:paraId="62956529" w14:textId="77777777" w:rsidR="003B1A79" w:rsidRPr="00DE6A31" w:rsidRDefault="003B1A79" w:rsidP="003B1A79">
            <w:pPr>
              <w:rPr>
                <w:sz w:val="28"/>
                <w:szCs w:val="28"/>
              </w:rPr>
            </w:pPr>
            <w:r w:rsidRPr="00DE6A31">
              <w:rPr>
                <w:sz w:val="28"/>
                <w:szCs w:val="28"/>
              </w:rPr>
              <w:t>Cita informācija</w:t>
            </w:r>
          </w:p>
        </w:tc>
        <w:tc>
          <w:tcPr>
            <w:tcW w:w="3000" w:type="pct"/>
            <w:hideMark/>
          </w:tcPr>
          <w:p w14:paraId="1856C1A5" w14:textId="77777777" w:rsidR="003B1A79" w:rsidRPr="00DE6A31" w:rsidRDefault="003B1A79" w:rsidP="003B1A79">
            <w:pPr>
              <w:rPr>
                <w:sz w:val="28"/>
                <w:szCs w:val="28"/>
              </w:rPr>
            </w:pPr>
            <w:r w:rsidRPr="00DE6A31">
              <w:rPr>
                <w:sz w:val="28"/>
                <w:szCs w:val="28"/>
              </w:rPr>
              <w:t>Nav</w:t>
            </w:r>
          </w:p>
        </w:tc>
      </w:tr>
    </w:tbl>
    <w:p w14:paraId="2EA32F5A" w14:textId="77777777" w:rsidR="003B1A79" w:rsidRPr="00DE6A31" w:rsidRDefault="003B1A79" w:rsidP="003B1A79">
      <w:pPr>
        <w:rPr>
          <w:sz w:val="28"/>
          <w:szCs w:val="28"/>
        </w:rPr>
      </w:pPr>
      <w:r w:rsidRPr="00DE6A31">
        <w:rPr>
          <w:sz w:val="28"/>
          <w:szCs w:val="28"/>
        </w:rPr>
        <w:t xml:space="preserve">  </w:t>
      </w:r>
    </w:p>
    <w:p w14:paraId="4BB28047" w14:textId="77777777" w:rsidR="00AB0CC2" w:rsidRPr="00DE6A31" w:rsidRDefault="00AB0CC2" w:rsidP="003B1A79">
      <w:pPr>
        <w:rPr>
          <w:sz w:val="28"/>
          <w:szCs w:val="28"/>
        </w:rPr>
      </w:pPr>
    </w:p>
    <w:tbl>
      <w:tblPr>
        <w:tblStyle w:val="TableGrid"/>
        <w:tblW w:w="5000" w:type="pct"/>
        <w:jc w:val="center"/>
        <w:tblLayout w:type="fixed"/>
        <w:tblLook w:val="04A0" w:firstRow="1" w:lastRow="0" w:firstColumn="1" w:lastColumn="0" w:noHBand="0" w:noVBand="1"/>
      </w:tblPr>
      <w:tblGrid>
        <w:gridCol w:w="1838"/>
        <w:gridCol w:w="992"/>
        <w:gridCol w:w="1061"/>
        <w:gridCol w:w="1014"/>
        <w:gridCol w:w="1164"/>
        <w:gridCol w:w="1035"/>
        <w:gridCol w:w="1257"/>
        <w:gridCol w:w="1268"/>
      </w:tblGrid>
      <w:tr w:rsidR="003B1A79" w:rsidRPr="00300104" w14:paraId="53EB2CB1" w14:textId="77777777" w:rsidTr="00AB0CC2">
        <w:trPr>
          <w:jc w:val="center"/>
        </w:trPr>
        <w:tc>
          <w:tcPr>
            <w:tcW w:w="9629" w:type="dxa"/>
            <w:gridSpan w:val="8"/>
            <w:tcBorders>
              <w:bottom w:val="single" w:sz="4" w:space="0" w:color="auto"/>
            </w:tcBorders>
            <w:hideMark/>
          </w:tcPr>
          <w:p w14:paraId="05777C60" w14:textId="77777777" w:rsidR="003B1A79" w:rsidRPr="00DE6A31" w:rsidRDefault="003B1A79" w:rsidP="003B1A79">
            <w:pPr>
              <w:spacing w:before="100" w:beforeAutospacing="1" w:after="100" w:afterAutospacing="1" w:line="360" w:lineRule="auto"/>
              <w:ind w:firstLine="300"/>
              <w:jc w:val="center"/>
              <w:rPr>
                <w:b/>
                <w:bCs/>
                <w:sz w:val="28"/>
                <w:szCs w:val="28"/>
              </w:rPr>
            </w:pPr>
            <w:r w:rsidRPr="00DE6A31">
              <w:rPr>
                <w:b/>
                <w:bCs/>
                <w:sz w:val="28"/>
                <w:szCs w:val="28"/>
              </w:rPr>
              <w:t>III. Tiesību akta projekta ietekme uz valsts budžetu un pašvaldību budžetiem</w:t>
            </w:r>
          </w:p>
        </w:tc>
      </w:tr>
      <w:tr w:rsidR="003B1A79" w:rsidRPr="00300104" w14:paraId="40C98D00" w14:textId="77777777" w:rsidTr="00472147">
        <w:trPr>
          <w:jc w:val="center"/>
        </w:trPr>
        <w:tc>
          <w:tcPr>
            <w:tcW w:w="1838" w:type="dxa"/>
            <w:vMerge w:val="restart"/>
            <w:tcBorders>
              <w:top w:val="single" w:sz="4" w:space="0" w:color="auto"/>
              <w:left w:val="single" w:sz="4" w:space="0" w:color="auto"/>
              <w:bottom w:val="single" w:sz="4" w:space="0" w:color="auto"/>
              <w:right w:val="single" w:sz="4" w:space="0" w:color="auto"/>
            </w:tcBorders>
            <w:hideMark/>
          </w:tcPr>
          <w:p w14:paraId="001E5686" w14:textId="77777777" w:rsidR="003B1A79" w:rsidRPr="00DE6A31" w:rsidRDefault="003B1A79" w:rsidP="003B1A79">
            <w:pPr>
              <w:spacing w:before="100" w:beforeAutospacing="1" w:after="100" w:afterAutospacing="1" w:line="360" w:lineRule="auto"/>
              <w:ind w:firstLine="300"/>
              <w:jc w:val="center"/>
              <w:rPr>
                <w:sz w:val="28"/>
                <w:szCs w:val="28"/>
              </w:rPr>
            </w:pPr>
          </w:p>
          <w:p w14:paraId="26EA0C74" w14:textId="77777777" w:rsidR="003B1A79" w:rsidRPr="00DE6A31" w:rsidRDefault="003B1A79" w:rsidP="003B1A79">
            <w:pPr>
              <w:spacing w:before="100" w:beforeAutospacing="1" w:after="100" w:afterAutospacing="1" w:line="360" w:lineRule="auto"/>
              <w:ind w:firstLine="300"/>
              <w:jc w:val="center"/>
              <w:rPr>
                <w:sz w:val="28"/>
                <w:szCs w:val="28"/>
              </w:rPr>
            </w:pPr>
          </w:p>
          <w:p w14:paraId="7BEC7356" w14:textId="77777777" w:rsidR="003B1A79" w:rsidRPr="00DE6A31" w:rsidRDefault="003B1A79" w:rsidP="003B1A79">
            <w:pPr>
              <w:spacing w:before="100" w:beforeAutospacing="1" w:after="100" w:afterAutospacing="1" w:line="360" w:lineRule="auto"/>
              <w:ind w:firstLine="300"/>
              <w:jc w:val="center"/>
              <w:rPr>
                <w:sz w:val="28"/>
                <w:szCs w:val="28"/>
              </w:rPr>
            </w:pPr>
          </w:p>
          <w:p w14:paraId="3911B77C" w14:textId="77777777" w:rsidR="003B1A79" w:rsidRPr="00DE6A31" w:rsidRDefault="003B1A79" w:rsidP="003B1A79">
            <w:pPr>
              <w:spacing w:before="100" w:beforeAutospacing="1" w:after="100" w:afterAutospacing="1" w:line="360" w:lineRule="auto"/>
              <w:ind w:firstLine="300"/>
              <w:jc w:val="center"/>
              <w:rPr>
                <w:sz w:val="28"/>
                <w:szCs w:val="28"/>
              </w:rPr>
            </w:pPr>
            <w:r w:rsidRPr="00DE6A31">
              <w:rPr>
                <w:sz w:val="28"/>
                <w:szCs w:val="28"/>
              </w:rPr>
              <w:t>Rādītāji</w:t>
            </w:r>
          </w:p>
        </w:tc>
        <w:tc>
          <w:tcPr>
            <w:tcW w:w="205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7B8D2A8" w14:textId="77777777" w:rsidR="003B1A79" w:rsidRPr="00DE6A31" w:rsidRDefault="003B1A79" w:rsidP="003B1A79">
            <w:pPr>
              <w:spacing w:line="360" w:lineRule="auto"/>
              <w:jc w:val="center"/>
              <w:rPr>
                <w:sz w:val="28"/>
                <w:szCs w:val="28"/>
              </w:rPr>
            </w:pPr>
            <w:r w:rsidRPr="00DE6A31">
              <w:rPr>
                <w:sz w:val="28"/>
                <w:szCs w:val="28"/>
              </w:rPr>
              <w:t>2018</w:t>
            </w:r>
          </w:p>
        </w:tc>
        <w:tc>
          <w:tcPr>
            <w:tcW w:w="5738" w:type="dxa"/>
            <w:gridSpan w:val="5"/>
            <w:tcBorders>
              <w:top w:val="single" w:sz="4" w:space="0" w:color="auto"/>
              <w:left w:val="single" w:sz="4" w:space="0" w:color="auto"/>
              <w:bottom w:val="single" w:sz="4" w:space="0" w:color="auto"/>
              <w:right w:val="single" w:sz="4" w:space="0" w:color="auto"/>
            </w:tcBorders>
            <w:hideMark/>
          </w:tcPr>
          <w:p w14:paraId="0876633B" w14:textId="77777777" w:rsidR="003B1A79" w:rsidRPr="00DE6A31" w:rsidRDefault="003B1A79" w:rsidP="003B1A79">
            <w:pPr>
              <w:spacing w:before="100" w:beforeAutospacing="1" w:after="100" w:afterAutospacing="1" w:line="360" w:lineRule="auto"/>
              <w:ind w:firstLine="300"/>
              <w:jc w:val="center"/>
              <w:rPr>
                <w:sz w:val="28"/>
                <w:szCs w:val="28"/>
              </w:rPr>
            </w:pPr>
            <w:r w:rsidRPr="00DE6A31">
              <w:rPr>
                <w:sz w:val="28"/>
                <w:szCs w:val="28"/>
              </w:rPr>
              <w:t>Turpmākie trīs gadi (</w:t>
            </w:r>
            <w:r w:rsidRPr="00DE6A31">
              <w:rPr>
                <w:i/>
                <w:iCs/>
                <w:sz w:val="28"/>
                <w:szCs w:val="28"/>
              </w:rPr>
              <w:t>euro</w:t>
            </w:r>
            <w:r w:rsidRPr="00DE6A31">
              <w:rPr>
                <w:sz w:val="28"/>
                <w:szCs w:val="28"/>
              </w:rPr>
              <w:t>)</w:t>
            </w:r>
          </w:p>
        </w:tc>
      </w:tr>
      <w:tr w:rsidR="003B1A79" w:rsidRPr="00300104" w14:paraId="0B1CFECF" w14:textId="77777777" w:rsidTr="00472147">
        <w:trPr>
          <w:jc w:val="center"/>
        </w:trPr>
        <w:tc>
          <w:tcPr>
            <w:tcW w:w="1838" w:type="dxa"/>
            <w:vMerge/>
            <w:tcBorders>
              <w:top w:val="single" w:sz="4" w:space="0" w:color="auto"/>
              <w:left w:val="single" w:sz="4" w:space="0" w:color="auto"/>
              <w:bottom w:val="single" w:sz="4" w:space="0" w:color="auto"/>
              <w:right w:val="single" w:sz="4" w:space="0" w:color="auto"/>
            </w:tcBorders>
            <w:hideMark/>
          </w:tcPr>
          <w:p w14:paraId="0F33062E" w14:textId="77777777" w:rsidR="003B1A79" w:rsidRPr="00DE6A31" w:rsidRDefault="003B1A79" w:rsidP="003B1A79">
            <w:pPr>
              <w:jc w:val="center"/>
              <w:rPr>
                <w:sz w:val="28"/>
                <w:szCs w:val="28"/>
              </w:rPr>
            </w:pPr>
          </w:p>
        </w:tc>
        <w:tc>
          <w:tcPr>
            <w:tcW w:w="2053" w:type="dxa"/>
            <w:gridSpan w:val="2"/>
            <w:vMerge/>
            <w:tcBorders>
              <w:top w:val="single" w:sz="4" w:space="0" w:color="auto"/>
              <w:left w:val="single" w:sz="4" w:space="0" w:color="auto"/>
              <w:bottom w:val="single" w:sz="4" w:space="0" w:color="auto"/>
              <w:right w:val="single" w:sz="4" w:space="0" w:color="auto"/>
            </w:tcBorders>
            <w:hideMark/>
          </w:tcPr>
          <w:p w14:paraId="3380C9A2" w14:textId="77777777" w:rsidR="003B1A79" w:rsidRPr="00DE6A31" w:rsidRDefault="003B1A79" w:rsidP="003B1A79">
            <w:pPr>
              <w:jc w:val="center"/>
              <w:rPr>
                <w:sz w:val="28"/>
                <w:szCs w:val="28"/>
              </w:rPr>
            </w:pPr>
          </w:p>
        </w:tc>
        <w:tc>
          <w:tcPr>
            <w:tcW w:w="2178" w:type="dxa"/>
            <w:gridSpan w:val="2"/>
            <w:tcBorders>
              <w:top w:val="single" w:sz="4" w:space="0" w:color="auto"/>
              <w:left w:val="single" w:sz="4" w:space="0" w:color="auto"/>
              <w:bottom w:val="single" w:sz="4" w:space="0" w:color="auto"/>
              <w:right w:val="single" w:sz="4" w:space="0" w:color="auto"/>
            </w:tcBorders>
            <w:hideMark/>
          </w:tcPr>
          <w:p w14:paraId="6EC42B28" w14:textId="77777777" w:rsidR="003B1A79" w:rsidRPr="00DE6A31" w:rsidRDefault="003B1A79" w:rsidP="00472147">
            <w:pPr>
              <w:spacing w:before="100" w:beforeAutospacing="1" w:after="100" w:afterAutospacing="1" w:line="360" w:lineRule="auto"/>
              <w:ind w:firstLine="300"/>
              <w:jc w:val="center"/>
              <w:rPr>
                <w:sz w:val="28"/>
                <w:szCs w:val="28"/>
              </w:rPr>
            </w:pPr>
            <w:r w:rsidRPr="00DE6A31">
              <w:rPr>
                <w:sz w:val="28"/>
                <w:szCs w:val="28"/>
              </w:rPr>
              <w:t>2019</w:t>
            </w:r>
          </w:p>
        </w:tc>
        <w:tc>
          <w:tcPr>
            <w:tcW w:w="2292" w:type="dxa"/>
            <w:gridSpan w:val="2"/>
            <w:tcBorders>
              <w:top w:val="single" w:sz="4" w:space="0" w:color="auto"/>
              <w:left w:val="single" w:sz="4" w:space="0" w:color="auto"/>
              <w:bottom w:val="single" w:sz="4" w:space="0" w:color="auto"/>
              <w:right w:val="single" w:sz="4" w:space="0" w:color="auto"/>
            </w:tcBorders>
            <w:hideMark/>
          </w:tcPr>
          <w:p w14:paraId="76B89F87" w14:textId="77777777" w:rsidR="003B1A79" w:rsidRPr="00DE6A31" w:rsidRDefault="003B1A79" w:rsidP="00472147">
            <w:pPr>
              <w:spacing w:before="100" w:beforeAutospacing="1" w:after="100" w:afterAutospacing="1" w:line="360" w:lineRule="auto"/>
              <w:ind w:firstLine="300"/>
              <w:jc w:val="center"/>
              <w:rPr>
                <w:sz w:val="28"/>
                <w:szCs w:val="28"/>
              </w:rPr>
            </w:pPr>
            <w:r w:rsidRPr="00DE6A31">
              <w:rPr>
                <w:sz w:val="28"/>
                <w:szCs w:val="28"/>
              </w:rPr>
              <w:t>2020</w:t>
            </w:r>
          </w:p>
        </w:tc>
        <w:tc>
          <w:tcPr>
            <w:tcW w:w="1268" w:type="dxa"/>
            <w:tcBorders>
              <w:top w:val="single" w:sz="4" w:space="0" w:color="auto"/>
              <w:left w:val="single" w:sz="4" w:space="0" w:color="auto"/>
              <w:bottom w:val="single" w:sz="4" w:space="0" w:color="auto"/>
              <w:right w:val="single" w:sz="4" w:space="0" w:color="auto"/>
            </w:tcBorders>
            <w:hideMark/>
          </w:tcPr>
          <w:p w14:paraId="23CD03F1" w14:textId="77777777" w:rsidR="003B1A79" w:rsidRPr="00DE6A31" w:rsidRDefault="003B1A79" w:rsidP="00472147">
            <w:pPr>
              <w:spacing w:before="100" w:beforeAutospacing="1" w:after="100" w:afterAutospacing="1" w:line="360" w:lineRule="auto"/>
              <w:ind w:firstLine="300"/>
              <w:jc w:val="center"/>
              <w:rPr>
                <w:sz w:val="28"/>
                <w:szCs w:val="28"/>
              </w:rPr>
            </w:pPr>
            <w:r w:rsidRPr="00DE6A31">
              <w:rPr>
                <w:sz w:val="28"/>
                <w:szCs w:val="28"/>
              </w:rPr>
              <w:t>2021</w:t>
            </w:r>
          </w:p>
        </w:tc>
      </w:tr>
      <w:tr w:rsidR="003B1A79" w:rsidRPr="00300104" w14:paraId="61A458C5" w14:textId="77777777" w:rsidTr="00472147">
        <w:trPr>
          <w:jc w:val="center"/>
        </w:trPr>
        <w:tc>
          <w:tcPr>
            <w:tcW w:w="1838" w:type="dxa"/>
            <w:vMerge/>
            <w:tcBorders>
              <w:top w:val="single" w:sz="4" w:space="0" w:color="auto"/>
              <w:left w:val="single" w:sz="4" w:space="0" w:color="auto"/>
              <w:bottom w:val="single" w:sz="4" w:space="0" w:color="auto"/>
              <w:right w:val="single" w:sz="4" w:space="0" w:color="auto"/>
            </w:tcBorders>
            <w:hideMark/>
          </w:tcPr>
          <w:p w14:paraId="7267FEE6" w14:textId="77777777" w:rsidR="003B1A79" w:rsidRPr="00DE6A31" w:rsidRDefault="003B1A79" w:rsidP="003B1A79">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14:paraId="1AAAA422" w14:textId="77777777" w:rsidR="003B1A79" w:rsidRPr="00DE6A31" w:rsidRDefault="003B1A79" w:rsidP="007C0511">
            <w:pPr>
              <w:spacing w:before="100" w:beforeAutospacing="1" w:after="100" w:afterAutospacing="1"/>
              <w:jc w:val="center"/>
              <w:rPr>
                <w:sz w:val="28"/>
                <w:szCs w:val="28"/>
              </w:rPr>
            </w:pPr>
            <w:r w:rsidRPr="00DE6A31">
              <w:rPr>
                <w:sz w:val="28"/>
                <w:szCs w:val="28"/>
              </w:rPr>
              <w:t>saskaņā ar valsts budžetu kārtēja</w:t>
            </w:r>
            <w:r w:rsidRPr="00DE6A31">
              <w:rPr>
                <w:sz w:val="28"/>
                <w:szCs w:val="28"/>
              </w:rPr>
              <w:lastRenderedPageBreak/>
              <w:t>m gadam</w:t>
            </w:r>
          </w:p>
        </w:tc>
        <w:tc>
          <w:tcPr>
            <w:tcW w:w="1061" w:type="dxa"/>
            <w:tcBorders>
              <w:top w:val="single" w:sz="4" w:space="0" w:color="auto"/>
              <w:left w:val="single" w:sz="4" w:space="0" w:color="auto"/>
              <w:bottom w:val="single" w:sz="4" w:space="0" w:color="auto"/>
              <w:right w:val="single" w:sz="4" w:space="0" w:color="auto"/>
            </w:tcBorders>
            <w:hideMark/>
          </w:tcPr>
          <w:p w14:paraId="1F677975" w14:textId="77777777" w:rsidR="003B1A79" w:rsidRPr="00DE6A31" w:rsidRDefault="003B1A79" w:rsidP="007C0511">
            <w:pPr>
              <w:spacing w:before="100" w:beforeAutospacing="1" w:after="100" w:afterAutospacing="1"/>
              <w:jc w:val="center"/>
              <w:rPr>
                <w:sz w:val="28"/>
                <w:szCs w:val="28"/>
              </w:rPr>
            </w:pPr>
            <w:r w:rsidRPr="00DE6A31">
              <w:rPr>
                <w:sz w:val="28"/>
                <w:szCs w:val="28"/>
              </w:rPr>
              <w:lastRenderedPageBreak/>
              <w:t xml:space="preserve">izmaiņas kārtējā gadā, salīdzinot ar valsts </w:t>
            </w:r>
            <w:r w:rsidRPr="00DE6A31">
              <w:rPr>
                <w:sz w:val="28"/>
                <w:szCs w:val="28"/>
              </w:rPr>
              <w:lastRenderedPageBreak/>
              <w:t>budžetu kārtējam gadam</w:t>
            </w:r>
          </w:p>
        </w:tc>
        <w:tc>
          <w:tcPr>
            <w:tcW w:w="1014" w:type="dxa"/>
            <w:tcBorders>
              <w:top w:val="single" w:sz="4" w:space="0" w:color="auto"/>
              <w:left w:val="single" w:sz="4" w:space="0" w:color="auto"/>
              <w:bottom w:val="single" w:sz="4" w:space="0" w:color="auto"/>
              <w:right w:val="single" w:sz="4" w:space="0" w:color="auto"/>
            </w:tcBorders>
            <w:hideMark/>
          </w:tcPr>
          <w:p w14:paraId="5FAB2D75" w14:textId="77777777" w:rsidR="003B1A79" w:rsidRPr="00DE6A31" w:rsidRDefault="003B1A79" w:rsidP="007C0511">
            <w:pPr>
              <w:spacing w:before="100" w:beforeAutospacing="1" w:after="100" w:afterAutospacing="1"/>
              <w:jc w:val="center"/>
              <w:rPr>
                <w:sz w:val="28"/>
                <w:szCs w:val="28"/>
              </w:rPr>
            </w:pPr>
            <w:r w:rsidRPr="00DE6A31">
              <w:rPr>
                <w:sz w:val="28"/>
                <w:szCs w:val="28"/>
              </w:rPr>
              <w:lastRenderedPageBreak/>
              <w:t>saskaņā ar vidēja termiņa budžet</w:t>
            </w:r>
            <w:r w:rsidRPr="00DE6A31">
              <w:rPr>
                <w:sz w:val="28"/>
                <w:szCs w:val="28"/>
              </w:rPr>
              <w:lastRenderedPageBreak/>
              <w:t>a ietvaru</w:t>
            </w:r>
          </w:p>
        </w:tc>
        <w:tc>
          <w:tcPr>
            <w:tcW w:w="1164" w:type="dxa"/>
            <w:tcBorders>
              <w:top w:val="single" w:sz="4" w:space="0" w:color="auto"/>
              <w:left w:val="single" w:sz="4" w:space="0" w:color="auto"/>
              <w:bottom w:val="single" w:sz="4" w:space="0" w:color="auto"/>
              <w:right w:val="single" w:sz="4" w:space="0" w:color="auto"/>
            </w:tcBorders>
            <w:hideMark/>
          </w:tcPr>
          <w:p w14:paraId="44FBC4EF" w14:textId="77777777" w:rsidR="003B1A79" w:rsidRPr="00DE6A31" w:rsidRDefault="003B1A79" w:rsidP="007C0511">
            <w:pPr>
              <w:spacing w:before="100" w:beforeAutospacing="1" w:after="100" w:afterAutospacing="1"/>
              <w:jc w:val="center"/>
              <w:rPr>
                <w:sz w:val="28"/>
                <w:szCs w:val="28"/>
              </w:rPr>
            </w:pPr>
            <w:r w:rsidRPr="00DE6A31">
              <w:rPr>
                <w:sz w:val="28"/>
                <w:szCs w:val="28"/>
              </w:rPr>
              <w:lastRenderedPageBreak/>
              <w:t xml:space="preserve">izmaiņas, salīdzinot ar vidēja termiņa budžeta </w:t>
            </w:r>
            <w:r w:rsidRPr="00DE6A31">
              <w:rPr>
                <w:sz w:val="28"/>
                <w:szCs w:val="28"/>
              </w:rPr>
              <w:lastRenderedPageBreak/>
              <w:t>ietvaru n+1 gadam</w:t>
            </w:r>
          </w:p>
        </w:tc>
        <w:tc>
          <w:tcPr>
            <w:tcW w:w="1035" w:type="dxa"/>
            <w:tcBorders>
              <w:top w:val="single" w:sz="4" w:space="0" w:color="auto"/>
              <w:left w:val="single" w:sz="4" w:space="0" w:color="auto"/>
              <w:bottom w:val="single" w:sz="4" w:space="0" w:color="auto"/>
              <w:right w:val="single" w:sz="4" w:space="0" w:color="auto"/>
            </w:tcBorders>
            <w:hideMark/>
          </w:tcPr>
          <w:p w14:paraId="09BEE017" w14:textId="77777777" w:rsidR="003B1A79" w:rsidRPr="00DE6A31" w:rsidRDefault="003B1A79" w:rsidP="007C0511">
            <w:pPr>
              <w:spacing w:before="100" w:beforeAutospacing="1" w:after="100" w:afterAutospacing="1"/>
              <w:jc w:val="center"/>
              <w:rPr>
                <w:sz w:val="28"/>
                <w:szCs w:val="28"/>
              </w:rPr>
            </w:pPr>
            <w:r w:rsidRPr="00DE6A31">
              <w:rPr>
                <w:sz w:val="28"/>
                <w:szCs w:val="28"/>
              </w:rPr>
              <w:lastRenderedPageBreak/>
              <w:t>saskaņā ar vidēja termiņa budžet</w:t>
            </w:r>
            <w:r w:rsidRPr="00DE6A31">
              <w:rPr>
                <w:sz w:val="28"/>
                <w:szCs w:val="28"/>
              </w:rPr>
              <w:lastRenderedPageBreak/>
              <w:t>a ietvaru</w:t>
            </w:r>
          </w:p>
        </w:tc>
        <w:tc>
          <w:tcPr>
            <w:tcW w:w="1257" w:type="dxa"/>
            <w:tcBorders>
              <w:top w:val="single" w:sz="4" w:space="0" w:color="auto"/>
              <w:left w:val="single" w:sz="4" w:space="0" w:color="auto"/>
              <w:bottom w:val="single" w:sz="4" w:space="0" w:color="auto"/>
              <w:right w:val="single" w:sz="4" w:space="0" w:color="auto"/>
            </w:tcBorders>
            <w:hideMark/>
          </w:tcPr>
          <w:p w14:paraId="7AA78EF8" w14:textId="77777777" w:rsidR="003B1A79" w:rsidRPr="00DE6A31" w:rsidRDefault="003B1A79" w:rsidP="007C0511">
            <w:pPr>
              <w:spacing w:before="100" w:beforeAutospacing="1" w:after="100" w:afterAutospacing="1"/>
              <w:jc w:val="center"/>
              <w:rPr>
                <w:sz w:val="28"/>
                <w:szCs w:val="28"/>
              </w:rPr>
            </w:pPr>
            <w:r w:rsidRPr="00DE6A31">
              <w:rPr>
                <w:sz w:val="28"/>
                <w:szCs w:val="28"/>
              </w:rPr>
              <w:lastRenderedPageBreak/>
              <w:t xml:space="preserve">izmaiņas, salīdzinot ar vidēja termiņa budžeta </w:t>
            </w:r>
            <w:r w:rsidRPr="00DE6A31">
              <w:rPr>
                <w:sz w:val="28"/>
                <w:szCs w:val="28"/>
              </w:rPr>
              <w:lastRenderedPageBreak/>
              <w:t>ietvaru n+2 gadam</w:t>
            </w:r>
          </w:p>
        </w:tc>
        <w:tc>
          <w:tcPr>
            <w:tcW w:w="1268" w:type="dxa"/>
            <w:tcBorders>
              <w:top w:val="single" w:sz="4" w:space="0" w:color="auto"/>
              <w:left w:val="single" w:sz="4" w:space="0" w:color="auto"/>
              <w:bottom w:val="single" w:sz="4" w:space="0" w:color="auto"/>
              <w:right w:val="single" w:sz="4" w:space="0" w:color="auto"/>
            </w:tcBorders>
            <w:hideMark/>
          </w:tcPr>
          <w:p w14:paraId="0924BE47" w14:textId="77777777" w:rsidR="003B1A79" w:rsidRPr="00DE6A31" w:rsidRDefault="003B1A79" w:rsidP="007C0511">
            <w:pPr>
              <w:spacing w:before="100" w:beforeAutospacing="1" w:after="100" w:afterAutospacing="1"/>
              <w:jc w:val="center"/>
              <w:rPr>
                <w:sz w:val="28"/>
                <w:szCs w:val="28"/>
              </w:rPr>
            </w:pPr>
            <w:r w:rsidRPr="00DE6A31">
              <w:rPr>
                <w:sz w:val="28"/>
                <w:szCs w:val="28"/>
              </w:rPr>
              <w:lastRenderedPageBreak/>
              <w:t xml:space="preserve">izmaiņas, salīdzinot ar vidēja termiņa budžeta </w:t>
            </w:r>
            <w:r w:rsidRPr="00DE6A31">
              <w:rPr>
                <w:sz w:val="28"/>
                <w:szCs w:val="28"/>
              </w:rPr>
              <w:lastRenderedPageBreak/>
              <w:t>ietvaru n+2 gadam</w:t>
            </w:r>
          </w:p>
        </w:tc>
      </w:tr>
      <w:tr w:rsidR="003B1A79" w:rsidRPr="00300104" w14:paraId="280FC546" w14:textId="77777777" w:rsidTr="00472147">
        <w:trPr>
          <w:jc w:val="center"/>
        </w:trPr>
        <w:tc>
          <w:tcPr>
            <w:tcW w:w="1838" w:type="dxa"/>
            <w:tcBorders>
              <w:top w:val="single" w:sz="4" w:space="0" w:color="auto"/>
            </w:tcBorders>
            <w:hideMark/>
          </w:tcPr>
          <w:p w14:paraId="78EE797F" w14:textId="77777777" w:rsidR="003B1A79" w:rsidRPr="00DE6A31" w:rsidRDefault="003B1A79" w:rsidP="00656093">
            <w:pPr>
              <w:spacing w:before="100" w:beforeAutospacing="1" w:after="100" w:afterAutospacing="1" w:line="360" w:lineRule="auto"/>
              <w:jc w:val="center"/>
              <w:rPr>
                <w:sz w:val="28"/>
                <w:szCs w:val="28"/>
              </w:rPr>
            </w:pPr>
            <w:r w:rsidRPr="00DE6A31">
              <w:rPr>
                <w:sz w:val="28"/>
                <w:szCs w:val="28"/>
              </w:rPr>
              <w:lastRenderedPageBreak/>
              <w:t>1</w:t>
            </w:r>
          </w:p>
        </w:tc>
        <w:tc>
          <w:tcPr>
            <w:tcW w:w="992" w:type="dxa"/>
            <w:tcBorders>
              <w:top w:val="single" w:sz="4" w:space="0" w:color="auto"/>
            </w:tcBorders>
            <w:hideMark/>
          </w:tcPr>
          <w:p w14:paraId="6FB7E79B" w14:textId="77777777" w:rsidR="003B1A79" w:rsidRPr="00DE6A31" w:rsidRDefault="003B1A79" w:rsidP="00656093">
            <w:pPr>
              <w:spacing w:before="100" w:beforeAutospacing="1" w:after="100" w:afterAutospacing="1" w:line="360" w:lineRule="auto"/>
              <w:jc w:val="center"/>
              <w:rPr>
                <w:sz w:val="28"/>
                <w:szCs w:val="28"/>
              </w:rPr>
            </w:pPr>
            <w:r w:rsidRPr="00DE6A31">
              <w:rPr>
                <w:sz w:val="28"/>
                <w:szCs w:val="28"/>
              </w:rPr>
              <w:t>2</w:t>
            </w:r>
          </w:p>
        </w:tc>
        <w:tc>
          <w:tcPr>
            <w:tcW w:w="1061" w:type="dxa"/>
            <w:tcBorders>
              <w:top w:val="single" w:sz="4" w:space="0" w:color="auto"/>
            </w:tcBorders>
            <w:hideMark/>
          </w:tcPr>
          <w:p w14:paraId="7D3D29DA" w14:textId="77777777" w:rsidR="003B1A79" w:rsidRPr="00DE6A31" w:rsidRDefault="003B1A79" w:rsidP="00656093">
            <w:pPr>
              <w:spacing w:before="100" w:beforeAutospacing="1" w:after="100" w:afterAutospacing="1" w:line="360" w:lineRule="auto"/>
              <w:jc w:val="center"/>
              <w:rPr>
                <w:sz w:val="28"/>
                <w:szCs w:val="28"/>
              </w:rPr>
            </w:pPr>
            <w:r w:rsidRPr="00DE6A31">
              <w:rPr>
                <w:sz w:val="28"/>
                <w:szCs w:val="28"/>
              </w:rPr>
              <w:t>3</w:t>
            </w:r>
          </w:p>
        </w:tc>
        <w:tc>
          <w:tcPr>
            <w:tcW w:w="1014" w:type="dxa"/>
            <w:tcBorders>
              <w:top w:val="single" w:sz="4" w:space="0" w:color="auto"/>
            </w:tcBorders>
            <w:hideMark/>
          </w:tcPr>
          <w:p w14:paraId="2E7B9CD6" w14:textId="77777777" w:rsidR="003B1A79" w:rsidRPr="00DE6A31" w:rsidRDefault="003B1A79" w:rsidP="00656093">
            <w:pPr>
              <w:spacing w:before="100" w:beforeAutospacing="1" w:after="100" w:afterAutospacing="1" w:line="360" w:lineRule="auto"/>
              <w:jc w:val="center"/>
              <w:rPr>
                <w:sz w:val="28"/>
                <w:szCs w:val="28"/>
              </w:rPr>
            </w:pPr>
            <w:r w:rsidRPr="00DE6A31">
              <w:rPr>
                <w:sz w:val="28"/>
                <w:szCs w:val="28"/>
              </w:rPr>
              <w:t>4</w:t>
            </w:r>
          </w:p>
        </w:tc>
        <w:tc>
          <w:tcPr>
            <w:tcW w:w="1164" w:type="dxa"/>
            <w:tcBorders>
              <w:top w:val="single" w:sz="4" w:space="0" w:color="auto"/>
            </w:tcBorders>
            <w:hideMark/>
          </w:tcPr>
          <w:p w14:paraId="573C9555" w14:textId="77777777" w:rsidR="003B1A79" w:rsidRPr="00DE6A31" w:rsidRDefault="003B1A79" w:rsidP="00656093">
            <w:pPr>
              <w:spacing w:before="100" w:beforeAutospacing="1" w:after="100" w:afterAutospacing="1" w:line="360" w:lineRule="auto"/>
              <w:jc w:val="center"/>
              <w:rPr>
                <w:sz w:val="28"/>
                <w:szCs w:val="28"/>
              </w:rPr>
            </w:pPr>
            <w:r w:rsidRPr="00DE6A31">
              <w:rPr>
                <w:sz w:val="28"/>
                <w:szCs w:val="28"/>
              </w:rPr>
              <w:t>5</w:t>
            </w:r>
          </w:p>
        </w:tc>
        <w:tc>
          <w:tcPr>
            <w:tcW w:w="1035" w:type="dxa"/>
            <w:tcBorders>
              <w:top w:val="single" w:sz="4" w:space="0" w:color="auto"/>
            </w:tcBorders>
            <w:hideMark/>
          </w:tcPr>
          <w:p w14:paraId="4A39C4AE" w14:textId="77777777" w:rsidR="003B1A79" w:rsidRPr="00DE6A31" w:rsidRDefault="003B1A79" w:rsidP="00656093">
            <w:pPr>
              <w:spacing w:before="100" w:beforeAutospacing="1" w:after="100" w:afterAutospacing="1" w:line="360" w:lineRule="auto"/>
              <w:jc w:val="center"/>
              <w:rPr>
                <w:sz w:val="28"/>
                <w:szCs w:val="28"/>
              </w:rPr>
            </w:pPr>
            <w:r w:rsidRPr="00DE6A31">
              <w:rPr>
                <w:sz w:val="28"/>
                <w:szCs w:val="28"/>
              </w:rPr>
              <w:t>6</w:t>
            </w:r>
          </w:p>
        </w:tc>
        <w:tc>
          <w:tcPr>
            <w:tcW w:w="1257" w:type="dxa"/>
            <w:tcBorders>
              <w:top w:val="single" w:sz="4" w:space="0" w:color="auto"/>
            </w:tcBorders>
            <w:hideMark/>
          </w:tcPr>
          <w:p w14:paraId="253B2925" w14:textId="77777777" w:rsidR="003B1A79" w:rsidRPr="00DE6A31" w:rsidRDefault="003B1A79" w:rsidP="00656093">
            <w:pPr>
              <w:spacing w:before="100" w:beforeAutospacing="1" w:after="100" w:afterAutospacing="1" w:line="360" w:lineRule="auto"/>
              <w:jc w:val="center"/>
              <w:rPr>
                <w:sz w:val="28"/>
                <w:szCs w:val="28"/>
              </w:rPr>
            </w:pPr>
            <w:r w:rsidRPr="00DE6A31">
              <w:rPr>
                <w:sz w:val="28"/>
                <w:szCs w:val="28"/>
              </w:rPr>
              <w:t>7</w:t>
            </w:r>
          </w:p>
        </w:tc>
        <w:tc>
          <w:tcPr>
            <w:tcW w:w="1268" w:type="dxa"/>
            <w:tcBorders>
              <w:top w:val="single" w:sz="4" w:space="0" w:color="auto"/>
            </w:tcBorders>
            <w:hideMark/>
          </w:tcPr>
          <w:p w14:paraId="69A6336D" w14:textId="77777777" w:rsidR="003B1A79" w:rsidRPr="00DE6A31" w:rsidRDefault="003B1A79" w:rsidP="00656093">
            <w:pPr>
              <w:spacing w:before="100" w:beforeAutospacing="1" w:after="100" w:afterAutospacing="1" w:line="360" w:lineRule="auto"/>
              <w:jc w:val="center"/>
              <w:rPr>
                <w:sz w:val="28"/>
                <w:szCs w:val="28"/>
              </w:rPr>
            </w:pPr>
            <w:r w:rsidRPr="00DE6A31">
              <w:rPr>
                <w:sz w:val="28"/>
                <w:szCs w:val="28"/>
              </w:rPr>
              <w:t>8</w:t>
            </w:r>
          </w:p>
        </w:tc>
      </w:tr>
      <w:tr w:rsidR="003D5A55" w:rsidRPr="00300104" w14:paraId="60B3902B" w14:textId="77777777" w:rsidTr="00472147">
        <w:trPr>
          <w:jc w:val="center"/>
        </w:trPr>
        <w:tc>
          <w:tcPr>
            <w:tcW w:w="1838" w:type="dxa"/>
            <w:hideMark/>
          </w:tcPr>
          <w:p w14:paraId="000FDEC2" w14:textId="77777777" w:rsidR="003D5A55" w:rsidRPr="00DE6A31" w:rsidRDefault="003D5A55" w:rsidP="003D5A55">
            <w:pPr>
              <w:rPr>
                <w:sz w:val="28"/>
                <w:szCs w:val="28"/>
              </w:rPr>
            </w:pPr>
            <w:r w:rsidRPr="00DE6A31">
              <w:rPr>
                <w:sz w:val="28"/>
                <w:szCs w:val="28"/>
              </w:rPr>
              <w:t>1. Budžeta ieņēmumi</w:t>
            </w:r>
          </w:p>
        </w:tc>
        <w:tc>
          <w:tcPr>
            <w:tcW w:w="992" w:type="dxa"/>
            <w:vAlign w:val="center"/>
            <w:hideMark/>
          </w:tcPr>
          <w:p w14:paraId="7BE16129" w14:textId="40D18A47" w:rsidR="003D5A55" w:rsidRPr="00DE6A31" w:rsidRDefault="003D5A55" w:rsidP="003D5A55">
            <w:pPr>
              <w:tabs>
                <w:tab w:val="left" w:pos="4305"/>
              </w:tabs>
              <w:jc w:val="center"/>
              <w:rPr>
                <w:sz w:val="28"/>
                <w:szCs w:val="28"/>
                <w:lang w:eastAsia="en-US"/>
              </w:rPr>
            </w:pPr>
            <w:r w:rsidRPr="00DE6A31">
              <w:rPr>
                <w:sz w:val="28"/>
                <w:szCs w:val="28"/>
                <w:lang w:eastAsia="en-US"/>
              </w:rPr>
              <w:t>51 866</w:t>
            </w:r>
          </w:p>
        </w:tc>
        <w:tc>
          <w:tcPr>
            <w:tcW w:w="1061" w:type="dxa"/>
            <w:vAlign w:val="center"/>
            <w:hideMark/>
          </w:tcPr>
          <w:p w14:paraId="105953F1" w14:textId="77777777" w:rsidR="003D5A55" w:rsidRPr="00DE6A31" w:rsidRDefault="003D5A55" w:rsidP="003D5A55">
            <w:pPr>
              <w:jc w:val="center"/>
              <w:rPr>
                <w:sz w:val="28"/>
                <w:szCs w:val="28"/>
              </w:rPr>
            </w:pPr>
            <w:r w:rsidRPr="00DE6A31">
              <w:rPr>
                <w:sz w:val="28"/>
                <w:szCs w:val="28"/>
              </w:rPr>
              <w:t>0</w:t>
            </w:r>
          </w:p>
        </w:tc>
        <w:tc>
          <w:tcPr>
            <w:tcW w:w="1014" w:type="dxa"/>
            <w:vAlign w:val="center"/>
            <w:hideMark/>
          </w:tcPr>
          <w:p w14:paraId="4DF5F0FC" w14:textId="41B2ABB2" w:rsidR="003D5A55" w:rsidRPr="00DE6A31" w:rsidRDefault="003D5A55" w:rsidP="003D5A55">
            <w:pPr>
              <w:tabs>
                <w:tab w:val="left" w:pos="4305"/>
              </w:tabs>
              <w:jc w:val="center"/>
              <w:rPr>
                <w:sz w:val="28"/>
                <w:szCs w:val="28"/>
                <w:lang w:eastAsia="en-US"/>
              </w:rPr>
            </w:pPr>
            <w:r w:rsidRPr="00DE6A31">
              <w:rPr>
                <w:sz w:val="28"/>
                <w:szCs w:val="28"/>
                <w:lang w:eastAsia="en-US"/>
              </w:rPr>
              <w:t>51 866</w:t>
            </w:r>
          </w:p>
        </w:tc>
        <w:tc>
          <w:tcPr>
            <w:tcW w:w="1164" w:type="dxa"/>
            <w:vAlign w:val="center"/>
            <w:hideMark/>
          </w:tcPr>
          <w:p w14:paraId="6F2AC25E" w14:textId="7E71A6B3" w:rsidR="003D5A55" w:rsidRPr="00DE6A31" w:rsidRDefault="003D5A55">
            <w:pPr>
              <w:jc w:val="center"/>
              <w:rPr>
                <w:rFonts w:eastAsiaTheme="minorHAnsi"/>
                <w:sz w:val="28"/>
                <w:szCs w:val="28"/>
                <w:lang w:eastAsia="en-US"/>
              </w:rPr>
            </w:pPr>
            <w:r w:rsidRPr="00DE6A31">
              <w:rPr>
                <w:sz w:val="28"/>
                <w:szCs w:val="28"/>
              </w:rPr>
              <w:t>0</w:t>
            </w:r>
          </w:p>
        </w:tc>
        <w:tc>
          <w:tcPr>
            <w:tcW w:w="1035" w:type="dxa"/>
            <w:vAlign w:val="center"/>
            <w:hideMark/>
          </w:tcPr>
          <w:p w14:paraId="566F93A6" w14:textId="69151577" w:rsidR="003D5A55" w:rsidRPr="00DE6A31" w:rsidRDefault="003D5A55" w:rsidP="003D5A55">
            <w:pPr>
              <w:tabs>
                <w:tab w:val="left" w:pos="4305"/>
              </w:tabs>
              <w:jc w:val="center"/>
              <w:rPr>
                <w:sz w:val="28"/>
                <w:szCs w:val="28"/>
                <w:lang w:eastAsia="en-US"/>
              </w:rPr>
            </w:pPr>
            <w:r w:rsidRPr="00DE6A31">
              <w:rPr>
                <w:sz w:val="28"/>
                <w:szCs w:val="28"/>
                <w:lang w:eastAsia="en-US"/>
              </w:rPr>
              <w:t>51 866</w:t>
            </w:r>
          </w:p>
        </w:tc>
        <w:tc>
          <w:tcPr>
            <w:tcW w:w="1257" w:type="dxa"/>
            <w:vAlign w:val="center"/>
            <w:hideMark/>
          </w:tcPr>
          <w:p w14:paraId="118018C1" w14:textId="68E55A8F" w:rsidR="003D5A55" w:rsidRPr="00DE6A31" w:rsidRDefault="003D5A55" w:rsidP="003D5A55">
            <w:pPr>
              <w:jc w:val="center"/>
              <w:rPr>
                <w:rFonts w:eastAsiaTheme="minorHAnsi"/>
                <w:sz w:val="28"/>
                <w:szCs w:val="28"/>
                <w:lang w:eastAsia="en-US"/>
              </w:rPr>
            </w:pPr>
            <w:r w:rsidRPr="00DE6A31">
              <w:rPr>
                <w:sz w:val="28"/>
                <w:szCs w:val="28"/>
              </w:rPr>
              <w:t>0</w:t>
            </w:r>
          </w:p>
        </w:tc>
        <w:tc>
          <w:tcPr>
            <w:tcW w:w="1268" w:type="dxa"/>
            <w:vAlign w:val="center"/>
            <w:hideMark/>
          </w:tcPr>
          <w:p w14:paraId="7A426898" w14:textId="41D0021B" w:rsidR="003D5A55" w:rsidRPr="00DE6A31" w:rsidRDefault="003D5A55" w:rsidP="003D5A55">
            <w:pPr>
              <w:tabs>
                <w:tab w:val="left" w:pos="4305"/>
              </w:tabs>
              <w:jc w:val="center"/>
              <w:rPr>
                <w:rFonts w:eastAsiaTheme="minorHAnsi"/>
                <w:sz w:val="28"/>
                <w:szCs w:val="28"/>
                <w:lang w:eastAsia="en-US"/>
              </w:rPr>
            </w:pPr>
            <w:r w:rsidRPr="00DE6A31">
              <w:rPr>
                <w:rFonts w:eastAsiaTheme="minorHAnsi"/>
                <w:sz w:val="28"/>
                <w:szCs w:val="28"/>
                <w:lang w:eastAsia="en-US"/>
              </w:rPr>
              <w:t>0</w:t>
            </w:r>
          </w:p>
        </w:tc>
      </w:tr>
      <w:tr w:rsidR="003D5A55" w:rsidRPr="00300104" w14:paraId="4BFCD742" w14:textId="77777777" w:rsidTr="00472147">
        <w:trPr>
          <w:jc w:val="center"/>
        </w:trPr>
        <w:tc>
          <w:tcPr>
            <w:tcW w:w="1838" w:type="dxa"/>
            <w:hideMark/>
          </w:tcPr>
          <w:p w14:paraId="63AEB2B0" w14:textId="77777777" w:rsidR="003D5A55" w:rsidRPr="00DE6A31" w:rsidRDefault="003D5A55" w:rsidP="003D5A55">
            <w:pPr>
              <w:rPr>
                <w:sz w:val="28"/>
                <w:szCs w:val="28"/>
              </w:rPr>
            </w:pPr>
            <w:r w:rsidRPr="00DE6A31">
              <w:rPr>
                <w:sz w:val="28"/>
                <w:szCs w:val="28"/>
              </w:rPr>
              <w:t>1.1. valsts pamatbudžets, tai skaitā ieņēmumi no maksas pakalpojumiem un citi pašu ieņēmumi</w:t>
            </w:r>
          </w:p>
        </w:tc>
        <w:tc>
          <w:tcPr>
            <w:tcW w:w="992" w:type="dxa"/>
            <w:vAlign w:val="center"/>
            <w:hideMark/>
          </w:tcPr>
          <w:p w14:paraId="4009E773" w14:textId="2DC7B857" w:rsidR="003D5A55" w:rsidRPr="00DE6A31" w:rsidRDefault="003D5A55" w:rsidP="003D5A55">
            <w:pPr>
              <w:tabs>
                <w:tab w:val="left" w:pos="4305"/>
              </w:tabs>
              <w:jc w:val="center"/>
              <w:rPr>
                <w:sz w:val="28"/>
                <w:szCs w:val="28"/>
                <w:lang w:eastAsia="en-US"/>
              </w:rPr>
            </w:pPr>
            <w:r w:rsidRPr="00DE6A31">
              <w:rPr>
                <w:sz w:val="28"/>
                <w:szCs w:val="28"/>
                <w:lang w:eastAsia="en-US"/>
              </w:rPr>
              <w:t>51 866</w:t>
            </w:r>
          </w:p>
        </w:tc>
        <w:tc>
          <w:tcPr>
            <w:tcW w:w="1061" w:type="dxa"/>
            <w:vAlign w:val="center"/>
            <w:hideMark/>
          </w:tcPr>
          <w:p w14:paraId="5700F4A0" w14:textId="77777777" w:rsidR="003D5A55" w:rsidRPr="00DE6A31" w:rsidRDefault="003D5A55" w:rsidP="003D5A55">
            <w:pPr>
              <w:jc w:val="center"/>
              <w:rPr>
                <w:sz w:val="28"/>
                <w:szCs w:val="28"/>
              </w:rPr>
            </w:pPr>
            <w:r w:rsidRPr="00DE6A31">
              <w:rPr>
                <w:sz w:val="28"/>
                <w:szCs w:val="28"/>
              </w:rPr>
              <w:t>0</w:t>
            </w:r>
          </w:p>
        </w:tc>
        <w:tc>
          <w:tcPr>
            <w:tcW w:w="1014" w:type="dxa"/>
            <w:vAlign w:val="center"/>
            <w:hideMark/>
          </w:tcPr>
          <w:p w14:paraId="5AB593C3" w14:textId="61F7B30D" w:rsidR="003D5A55" w:rsidRPr="00DE6A31" w:rsidRDefault="003D5A55" w:rsidP="003D5A55">
            <w:pPr>
              <w:tabs>
                <w:tab w:val="left" w:pos="4305"/>
              </w:tabs>
              <w:jc w:val="center"/>
              <w:rPr>
                <w:sz w:val="28"/>
                <w:szCs w:val="28"/>
                <w:lang w:eastAsia="en-US"/>
              </w:rPr>
            </w:pPr>
            <w:r w:rsidRPr="00DE6A31">
              <w:rPr>
                <w:sz w:val="28"/>
                <w:szCs w:val="28"/>
                <w:lang w:eastAsia="en-US"/>
              </w:rPr>
              <w:t>51 866</w:t>
            </w:r>
          </w:p>
        </w:tc>
        <w:tc>
          <w:tcPr>
            <w:tcW w:w="1164" w:type="dxa"/>
            <w:vAlign w:val="center"/>
            <w:hideMark/>
          </w:tcPr>
          <w:p w14:paraId="02F2806D" w14:textId="769CE491" w:rsidR="003D5A55" w:rsidRPr="00DE6A31" w:rsidRDefault="003D5A55" w:rsidP="003D5A55">
            <w:pPr>
              <w:jc w:val="center"/>
              <w:rPr>
                <w:rFonts w:eastAsiaTheme="minorHAnsi"/>
                <w:sz w:val="28"/>
                <w:szCs w:val="28"/>
                <w:lang w:eastAsia="en-US"/>
              </w:rPr>
            </w:pPr>
            <w:r w:rsidRPr="00DE6A31">
              <w:rPr>
                <w:rFonts w:eastAsiaTheme="minorHAnsi"/>
                <w:sz w:val="28"/>
                <w:szCs w:val="28"/>
                <w:lang w:eastAsia="en-US"/>
              </w:rPr>
              <w:t>0</w:t>
            </w:r>
          </w:p>
        </w:tc>
        <w:tc>
          <w:tcPr>
            <w:tcW w:w="1035" w:type="dxa"/>
            <w:vAlign w:val="center"/>
            <w:hideMark/>
          </w:tcPr>
          <w:p w14:paraId="2C358E3F" w14:textId="7BF98FA0" w:rsidR="003D5A55" w:rsidRPr="00DE6A31" w:rsidRDefault="003D5A55" w:rsidP="003D5A55">
            <w:pPr>
              <w:tabs>
                <w:tab w:val="left" w:pos="4305"/>
              </w:tabs>
              <w:jc w:val="center"/>
              <w:rPr>
                <w:sz w:val="28"/>
                <w:szCs w:val="28"/>
                <w:lang w:eastAsia="en-US"/>
              </w:rPr>
            </w:pPr>
            <w:r w:rsidRPr="00DE6A31">
              <w:rPr>
                <w:sz w:val="28"/>
                <w:szCs w:val="28"/>
                <w:lang w:eastAsia="en-US"/>
              </w:rPr>
              <w:t>51 866</w:t>
            </w:r>
          </w:p>
        </w:tc>
        <w:tc>
          <w:tcPr>
            <w:tcW w:w="1257" w:type="dxa"/>
            <w:vAlign w:val="center"/>
            <w:hideMark/>
          </w:tcPr>
          <w:p w14:paraId="1D9EC6A8" w14:textId="3007DE31" w:rsidR="003D5A55" w:rsidRPr="00DE6A31" w:rsidRDefault="003D5A55" w:rsidP="003D5A55">
            <w:pPr>
              <w:jc w:val="center"/>
              <w:rPr>
                <w:rFonts w:eastAsiaTheme="minorHAnsi"/>
                <w:sz w:val="28"/>
                <w:szCs w:val="28"/>
                <w:lang w:eastAsia="en-US"/>
              </w:rPr>
            </w:pPr>
            <w:r w:rsidRPr="00DE6A31">
              <w:rPr>
                <w:rFonts w:eastAsiaTheme="minorHAnsi"/>
                <w:sz w:val="28"/>
                <w:szCs w:val="28"/>
                <w:lang w:eastAsia="en-US"/>
              </w:rPr>
              <w:t>0</w:t>
            </w:r>
          </w:p>
        </w:tc>
        <w:tc>
          <w:tcPr>
            <w:tcW w:w="1268" w:type="dxa"/>
            <w:vAlign w:val="center"/>
            <w:hideMark/>
          </w:tcPr>
          <w:p w14:paraId="6F37D53F" w14:textId="38E3DB63" w:rsidR="003D5A55" w:rsidRPr="00DE6A31" w:rsidRDefault="003D5A55" w:rsidP="003D5A55">
            <w:pPr>
              <w:tabs>
                <w:tab w:val="left" w:pos="4305"/>
              </w:tabs>
              <w:jc w:val="center"/>
              <w:rPr>
                <w:rFonts w:eastAsiaTheme="minorHAnsi"/>
                <w:sz w:val="28"/>
                <w:szCs w:val="28"/>
                <w:lang w:eastAsia="en-US"/>
              </w:rPr>
            </w:pPr>
            <w:r w:rsidRPr="00DE6A31">
              <w:rPr>
                <w:rFonts w:eastAsiaTheme="minorHAnsi"/>
                <w:sz w:val="28"/>
                <w:szCs w:val="28"/>
                <w:lang w:eastAsia="en-US"/>
              </w:rPr>
              <w:t>0</w:t>
            </w:r>
          </w:p>
        </w:tc>
      </w:tr>
      <w:tr w:rsidR="003D5A55" w:rsidRPr="00300104" w14:paraId="46C9AEB6" w14:textId="77777777" w:rsidTr="00472147">
        <w:trPr>
          <w:jc w:val="center"/>
        </w:trPr>
        <w:tc>
          <w:tcPr>
            <w:tcW w:w="1838" w:type="dxa"/>
            <w:hideMark/>
          </w:tcPr>
          <w:p w14:paraId="3DDAE51B" w14:textId="77777777" w:rsidR="003D5A55" w:rsidRPr="00DE6A31" w:rsidRDefault="003D5A55" w:rsidP="003D5A55">
            <w:pPr>
              <w:rPr>
                <w:sz w:val="28"/>
                <w:szCs w:val="28"/>
              </w:rPr>
            </w:pPr>
            <w:r w:rsidRPr="00DE6A31">
              <w:rPr>
                <w:sz w:val="28"/>
                <w:szCs w:val="28"/>
              </w:rPr>
              <w:t>1.2. valsts speciālais budžets</w:t>
            </w:r>
          </w:p>
        </w:tc>
        <w:tc>
          <w:tcPr>
            <w:tcW w:w="992" w:type="dxa"/>
            <w:vAlign w:val="center"/>
            <w:hideMark/>
          </w:tcPr>
          <w:p w14:paraId="11940664" w14:textId="77777777" w:rsidR="003D5A55" w:rsidRPr="00DE6A31" w:rsidRDefault="003D5A55" w:rsidP="003D5A55">
            <w:pPr>
              <w:jc w:val="center"/>
              <w:rPr>
                <w:sz w:val="28"/>
                <w:szCs w:val="28"/>
              </w:rPr>
            </w:pPr>
            <w:r w:rsidRPr="00DE6A31">
              <w:rPr>
                <w:sz w:val="28"/>
                <w:szCs w:val="28"/>
              </w:rPr>
              <w:t>0</w:t>
            </w:r>
          </w:p>
        </w:tc>
        <w:tc>
          <w:tcPr>
            <w:tcW w:w="1061" w:type="dxa"/>
            <w:vAlign w:val="center"/>
            <w:hideMark/>
          </w:tcPr>
          <w:p w14:paraId="76C5EC0A" w14:textId="77777777" w:rsidR="003D5A55" w:rsidRPr="00DE6A31" w:rsidRDefault="003D5A55" w:rsidP="003D5A55">
            <w:pPr>
              <w:jc w:val="center"/>
              <w:rPr>
                <w:sz w:val="28"/>
                <w:szCs w:val="28"/>
              </w:rPr>
            </w:pPr>
            <w:r w:rsidRPr="00DE6A31">
              <w:rPr>
                <w:sz w:val="28"/>
                <w:szCs w:val="28"/>
              </w:rPr>
              <w:t>0</w:t>
            </w:r>
          </w:p>
        </w:tc>
        <w:tc>
          <w:tcPr>
            <w:tcW w:w="1014" w:type="dxa"/>
            <w:vAlign w:val="center"/>
            <w:hideMark/>
          </w:tcPr>
          <w:p w14:paraId="21FD20F0" w14:textId="186439C9" w:rsidR="003D5A55" w:rsidRPr="00DE6A31" w:rsidRDefault="003D5A55" w:rsidP="003D5A55">
            <w:pPr>
              <w:jc w:val="center"/>
              <w:rPr>
                <w:sz w:val="28"/>
                <w:szCs w:val="28"/>
              </w:rPr>
            </w:pPr>
            <w:r w:rsidRPr="00DE6A31">
              <w:rPr>
                <w:sz w:val="28"/>
                <w:szCs w:val="28"/>
              </w:rPr>
              <w:t>0</w:t>
            </w:r>
          </w:p>
        </w:tc>
        <w:tc>
          <w:tcPr>
            <w:tcW w:w="1164" w:type="dxa"/>
            <w:vAlign w:val="center"/>
            <w:hideMark/>
          </w:tcPr>
          <w:p w14:paraId="06E560D9" w14:textId="77777777" w:rsidR="003D5A55" w:rsidRPr="00DE6A31" w:rsidRDefault="003D5A55" w:rsidP="003D5A55">
            <w:pPr>
              <w:jc w:val="center"/>
              <w:rPr>
                <w:sz w:val="28"/>
                <w:szCs w:val="28"/>
              </w:rPr>
            </w:pPr>
            <w:r w:rsidRPr="00DE6A31">
              <w:rPr>
                <w:sz w:val="28"/>
                <w:szCs w:val="28"/>
              </w:rPr>
              <w:t>0</w:t>
            </w:r>
          </w:p>
        </w:tc>
        <w:tc>
          <w:tcPr>
            <w:tcW w:w="1035" w:type="dxa"/>
            <w:vAlign w:val="center"/>
            <w:hideMark/>
          </w:tcPr>
          <w:p w14:paraId="28C10727" w14:textId="58099F2C" w:rsidR="003D5A55" w:rsidRPr="00DE6A31" w:rsidRDefault="003D5A55" w:rsidP="003D5A55">
            <w:pPr>
              <w:jc w:val="center"/>
              <w:rPr>
                <w:sz w:val="28"/>
                <w:szCs w:val="28"/>
              </w:rPr>
            </w:pPr>
            <w:r w:rsidRPr="00DE6A31">
              <w:rPr>
                <w:sz w:val="28"/>
                <w:szCs w:val="28"/>
              </w:rPr>
              <w:t>0</w:t>
            </w:r>
          </w:p>
        </w:tc>
        <w:tc>
          <w:tcPr>
            <w:tcW w:w="1257" w:type="dxa"/>
            <w:vAlign w:val="center"/>
            <w:hideMark/>
          </w:tcPr>
          <w:p w14:paraId="103C1DFD" w14:textId="77777777" w:rsidR="003D5A55" w:rsidRPr="00DE6A31" w:rsidRDefault="003D5A55" w:rsidP="003D5A55">
            <w:pPr>
              <w:jc w:val="center"/>
              <w:rPr>
                <w:rFonts w:eastAsiaTheme="minorHAnsi"/>
                <w:sz w:val="28"/>
                <w:szCs w:val="28"/>
                <w:lang w:eastAsia="en-US"/>
              </w:rPr>
            </w:pPr>
            <w:r w:rsidRPr="00DE6A31">
              <w:rPr>
                <w:rFonts w:eastAsiaTheme="minorHAnsi"/>
                <w:sz w:val="28"/>
                <w:szCs w:val="28"/>
                <w:lang w:eastAsia="en-US"/>
              </w:rPr>
              <w:t>0</w:t>
            </w:r>
          </w:p>
        </w:tc>
        <w:tc>
          <w:tcPr>
            <w:tcW w:w="1268" w:type="dxa"/>
            <w:vAlign w:val="center"/>
            <w:hideMark/>
          </w:tcPr>
          <w:p w14:paraId="6D573CF0" w14:textId="77777777" w:rsidR="003D5A55" w:rsidRPr="00DE6A31" w:rsidRDefault="003D5A55" w:rsidP="003D5A55">
            <w:pPr>
              <w:jc w:val="center"/>
              <w:rPr>
                <w:rFonts w:eastAsiaTheme="minorHAnsi"/>
                <w:sz w:val="28"/>
                <w:szCs w:val="28"/>
                <w:lang w:eastAsia="en-US"/>
              </w:rPr>
            </w:pPr>
            <w:r w:rsidRPr="00DE6A31">
              <w:rPr>
                <w:rFonts w:eastAsiaTheme="minorHAnsi"/>
                <w:sz w:val="28"/>
                <w:szCs w:val="28"/>
                <w:lang w:eastAsia="en-US"/>
              </w:rPr>
              <w:t>0</w:t>
            </w:r>
          </w:p>
        </w:tc>
      </w:tr>
      <w:tr w:rsidR="003D5A55" w:rsidRPr="00300104" w14:paraId="31A2DF4B" w14:textId="77777777" w:rsidTr="00472147">
        <w:trPr>
          <w:jc w:val="center"/>
        </w:trPr>
        <w:tc>
          <w:tcPr>
            <w:tcW w:w="1838" w:type="dxa"/>
            <w:hideMark/>
          </w:tcPr>
          <w:p w14:paraId="424048C5" w14:textId="77777777" w:rsidR="003D5A55" w:rsidRPr="00DE6A31" w:rsidRDefault="003D5A55" w:rsidP="003D5A55">
            <w:pPr>
              <w:rPr>
                <w:sz w:val="28"/>
                <w:szCs w:val="28"/>
              </w:rPr>
            </w:pPr>
            <w:r w:rsidRPr="00DE6A31">
              <w:rPr>
                <w:sz w:val="28"/>
                <w:szCs w:val="28"/>
              </w:rPr>
              <w:t>1.3. pašvaldību budžets</w:t>
            </w:r>
          </w:p>
        </w:tc>
        <w:tc>
          <w:tcPr>
            <w:tcW w:w="992" w:type="dxa"/>
            <w:vAlign w:val="center"/>
            <w:hideMark/>
          </w:tcPr>
          <w:p w14:paraId="37348070" w14:textId="77777777" w:rsidR="003D5A55" w:rsidRPr="00DE6A31" w:rsidRDefault="003D5A55" w:rsidP="003D5A55">
            <w:pPr>
              <w:jc w:val="center"/>
              <w:rPr>
                <w:sz w:val="28"/>
                <w:szCs w:val="28"/>
              </w:rPr>
            </w:pPr>
            <w:r w:rsidRPr="00DE6A31">
              <w:rPr>
                <w:sz w:val="28"/>
                <w:szCs w:val="28"/>
              </w:rPr>
              <w:t>0</w:t>
            </w:r>
          </w:p>
        </w:tc>
        <w:tc>
          <w:tcPr>
            <w:tcW w:w="1061" w:type="dxa"/>
            <w:vAlign w:val="center"/>
            <w:hideMark/>
          </w:tcPr>
          <w:p w14:paraId="74301E7A" w14:textId="77777777" w:rsidR="003D5A55" w:rsidRPr="00DE6A31" w:rsidRDefault="003D5A55" w:rsidP="003D5A55">
            <w:pPr>
              <w:jc w:val="center"/>
              <w:rPr>
                <w:sz w:val="28"/>
                <w:szCs w:val="28"/>
              </w:rPr>
            </w:pPr>
            <w:r w:rsidRPr="00DE6A31">
              <w:rPr>
                <w:sz w:val="28"/>
                <w:szCs w:val="28"/>
              </w:rPr>
              <w:t>0</w:t>
            </w:r>
          </w:p>
        </w:tc>
        <w:tc>
          <w:tcPr>
            <w:tcW w:w="1014" w:type="dxa"/>
            <w:vAlign w:val="center"/>
            <w:hideMark/>
          </w:tcPr>
          <w:p w14:paraId="750E2DB2" w14:textId="042C3BF2" w:rsidR="003D5A55" w:rsidRPr="00DE6A31" w:rsidRDefault="003D5A55" w:rsidP="003D5A55">
            <w:pPr>
              <w:jc w:val="center"/>
              <w:rPr>
                <w:sz w:val="28"/>
                <w:szCs w:val="28"/>
              </w:rPr>
            </w:pPr>
            <w:r w:rsidRPr="00DE6A31">
              <w:rPr>
                <w:sz w:val="28"/>
                <w:szCs w:val="28"/>
              </w:rPr>
              <w:t>0</w:t>
            </w:r>
          </w:p>
        </w:tc>
        <w:tc>
          <w:tcPr>
            <w:tcW w:w="1164" w:type="dxa"/>
            <w:vAlign w:val="center"/>
            <w:hideMark/>
          </w:tcPr>
          <w:p w14:paraId="3BFBFDC6" w14:textId="77777777" w:rsidR="003D5A55" w:rsidRPr="00DE6A31" w:rsidRDefault="003D5A55" w:rsidP="003D5A55">
            <w:pPr>
              <w:jc w:val="center"/>
              <w:rPr>
                <w:sz w:val="28"/>
                <w:szCs w:val="28"/>
              </w:rPr>
            </w:pPr>
            <w:r w:rsidRPr="00DE6A31">
              <w:rPr>
                <w:sz w:val="28"/>
                <w:szCs w:val="28"/>
              </w:rPr>
              <w:t>0</w:t>
            </w:r>
          </w:p>
        </w:tc>
        <w:tc>
          <w:tcPr>
            <w:tcW w:w="1035" w:type="dxa"/>
            <w:vAlign w:val="center"/>
            <w:hideMark/>
          </w:tcPr>
          <w:p w14:paraId="4D43755D" w14:textId="3004680A" w:rsidR="003D5A55" w:rsidRPr="00DE6A31" w:rsidRDefault="003D5A55" w:rsidP="003D5A55">
            <w:pPr>
              <w:jc w:val="center"/>
              <w:rPr>
                <w:sz w:val="28"/>
                <w:szCs w:val="28"/>
              </w:rPr>
            </w:pPr>
            <w:r w:rsidRPr="00DE6A31">
              <w:rPr>
                <w:sz w:val="28"/>
                <w:szCs w:val="28"/>
              </w:rPr>
              <w:t>0</w:t>
            </w:r>
          </w:p>
        </w:tc>
        <w:tc>
          <w:tcPr>
            <w:tcW w:w="1257" w:type="dxa"/>
            <w:vAlign w:val="center"/>
            <w:hideMark/>
          </w:tcPr>
          <w:p w14:paraId="2FFA41DC" w14:textId="77777777" w:rsidR="003D5A55" w:rsidRPr="00DE6A31" w:rsidRDefault="003D5A55" w:rsidP="003D5A55">
            <w:pPr>
              <w:jc w:val="center"/>
              <w:rPr>
                <w:rFonts w:eastAsiaTheme="minorHAnsi"/>
                <w:sz w:val="28"/>
                <w:szCs w:val="28"/>
                <w:lang w:eastAsia="en-US"/>
              </w:rPr>
            </w:pPr>
            <w:r w:rsidRPr="00DE6A31">
              <w:rPr>
                <w:rFonts w:eastAsiaTheme="minorHAnsi"/>
                <w:sz w:val="28"/>
                <w:szCs w:val="28"/>
                <w:lang w:eastAsia="en-US"/>
              </w:rPr>
              <w:t>0</w:t>
            </w:r>
          </w:p>
        </w:tc>
        <w:tc>
          <w:tcPr>
            <w:tcW w:w="1268" w:type="dxa"/>
            <w:vAlign w:val="center"/>
            <w:hideMark/>
          </w:tcPr>
          <w:p w14:paraId="2EBD5CEE" w14:textId="77777777" w:rsidR="003D5A55" w:rsidRPr="00DE6A31" w:rsidRDefault="003D5A55" w:rsidP="003D5A55">
            <w:pPr>
              <w:jc w:val="center"/>
              <w:rPr>
                <w:rFonts w:eastAsiaTheme="minorHAnsi"/>
                <w:sz w:val="28"/>
                <w:szCs w:val="28"/>
                <w:lang w:eastAsia="en-US"/>
              </w:rPr>
            </w:pPr>
            <w:r w:rsidRPr="00DE6A31">
              <w:rPr>
                <w:rFonts w:eastAsiaTheme="minorHAnsi"/>
                <w:sz w:val="28"/>
                <w:szCs w:val="28"/>
                <w:lang w:eastAsia="en-US"/>
              </w:rPr>
              <w:t>0</w:t>
            </w:r>
          </w:p>
        </w:tc>
      </w:tr>
      <w:tr w:rsidR="003D5A55" w:rsidRPr="00300104" w14:paraId="0F86F23B" w14:textId="77777777" w:rsidTr="00472147">
        <w:trPr>
          <w:jc w:val="center"/>
        </w:trPr>
        <w:tc>
          <w:tcPr>
            <w:tcW w:w="1838" w:type="dxa"/>
            <w:hideMark/>
          </w:tcPr>
          <w:p w14:paraId="505D0900" w14:textId="77777777" w:rsidR="003D5A55" w:rsidRPr="00DE6A31" w:rsidRDefault="003D5A55" w:rsidP="003D5A55">
            <w:pPr>
              <w:rPr>
                <w:sz w:val="28"/>
                <w:szCs w:val="28"/>
              </w:rPr>
            </w:pPr>
            <w:r w:rsidRPr="00DE6A31">
              <w:rPr>
                <w:sz w:val="28"/>
                <w:szCs w:val="28"/>
              </w:rPr>
              <w:t>2. Budžeta izdevumi</w:t>
            </w:r>
          </w:p>
        </w:tc>
        <w:tc>
          <w:tcPr>
            <w:tcW w:w="992" w:type="dxa"/>
            <w:vAlign w:val="center"/>
            <w:hideMark/>
          </w:tcPr>
          <w:p w14:paraId="1C2F2D27" w14:textId="1B89DEFD" w:rsidR="003D5A55" w:rsidRPr="00DE6A31" w:rsidRDefault="003D5A55" w:rsidP="003D5A55">
            <w:pPr>
              <w:tabs>
                <w:tab w:val="left" w:pos="4305"/>
              </w:tabs>
              <w:jc w:val="center"/>
              <w:rPr>
                <w:sz w:val="28"/>
                <w:szCs w:val="28"/>
                <w:lang w:eastAsia="en-US"/>
              </w:rPr>
            </w:pPr>
            <w:r w:rsidRPr="00DE6A31">
              <w:rPr>
                <w:sz w:val="28"/>
                <w:szCs w:val="28"/>
                <w:lang w:eastAsia="en-US"/>
              </w:rPr>
              <w:t>51 866</w:t>
            </w:r>
          </w:p>
        </w:tc>
        <w:tc>
          <w:tcPr>
            <w:tcW w:w="1061" w:type="dxa"/>
            <w:vAlign w:val="center"/>
            <w:hideMark/>
          </w:tcPr>
          <w:p w14:paraId="58E3F713" w14:textId="77777777" w:rsidR="003D5A55" w:rsidRPr="00DE6A31" w:rsidRDefault="003D5A55" w:rsidP="003D5A55">
            <w:pPr>
              <w:jc w:val="center"/>
              <w:rPr>
                <w:sz w:val="28"/>
                <w:szCs w:val="28"/>
              </w:rPr>
            </w:pPr>
            <w:r w:rsidRPr="00DE6A31">
              <w:rPr>
                <w:sz w:val="28"/>
                <w:szCs w:val="28"/>
              </w:rPr>
              <w:t>0</w:t>
            </w:r>
          </w:p>
        </w:tc>
        <w:tc>
          <w:tcPr>
            <w:tcW w:w="1014" w:type="dxa"/>
            <w:vAlign w:val="center"/>
            <w:hideMark/>
          </w:tcPr>
          <w:p w14:paraId="3C8A7FCD" w14:textId="133C4004" w:rsidR="003D5A55" w:rsidRPr="00DE6A31" w:rsidRDefault="003D5A55" w:rsidP="003D5A55">
            <w:pPr>
              <w:tabs>
                <w:tab w:val="left" w:pos="4305"/>
              </w:tabs>
              <w:jc w:val="center"/>
              <w:rPr>
                <w:sz w:val="28"/>
                <w:szCs w:val="28"/>
                <w:lang w:eastAsia="en-US"/>
              </w:rPr>
            </w:pPr>
            <w:r w:rsidRPr="00DE6A31">
              <w:rPr>
                <w:sz w:val="28"/>
                <w:szCs w:val="28"/>
                <w:lang w:eastAsia="en-US"/>
              </w:rPr>
              <w:t>51 866</w:t>
            </w:r>
          </w:p>
        </w:tc>
        <w:tc>
          <w:tcPr>
            <w:tcW w:w="1164" w:type="dxa"/>
            <w:vAlign w:val="center"/>
            <w:hideMark/>
          </w:tcPr>
          <w:p w14:paraId="2855A488" w14:textId="0970A476" w:rsidR="003D5A55" w:rsidRPr="00DE6A31" w:rsidRDefault="003D5A55" w:rsidP="003D5A55">
            <w:pPr>
              <w:jc w:val="center"/>
              <w:rPr>
                <w:rFonts w:eastAsiaTheme="minorHAnsi"/>
                <w:sz w:val="28"/>
                <w:szCs w:val="28"/>
                <w:lang w:eastAsia="en-US"/>
              </w:rPr>
            </w:pPr>
            <w:r w:rsidRPr="00DE6A31">
              <w:rPr>
                <w:rFonts w:eastAsiaTheme="minorHAnsi"/>
                <w:sz w:val="28"/>
                <w:szCs w:val="28"/>
                <w:lang w:eastAsia="en-US"/>
              </w:rPr>
              <w:t>0</w:t>
            </w:r>
          </w:p>
        </w:tc>
        <w:tc>
          <w:tcPr>
            <w:tcW w:w="1035" w:type="dxa"/>
            <w:vAlign w:val="center"/>
            <w:hideMark/>
          </w:tcPr>
          <w:p w14:paraId="7895ACB3" w14:textId="4161EF86" w:rsidR="003D5A55" w:rsidRPr="00DE6A31" w:rsidRDefault="003D5A55" w:rsidP="003D5A55">
            <w:pPr>
              <w:tabs>
                <w:tab w:val="left" w:pos="4305"/>
              </w:tabs>
              <w:jc w:val="center"/>
              <w:rPr>
                <w:sz w:val="28"/>
                <w:szCs w:val="28"/>
                <w:lang w:eastAsia="en-US"/>
              </w:rPr>
            </w:pPr>
            <w:r w:rsidRPr="00DE6A31">
              <w:rPr>
                <w:sz w:val="28"/>
                <w:szCs w:val="28"/>
                <w:lang w:eastAsia="en-US"/>
              </w:rPr>
              <w:t>51 866</w:t>
            </w:r>
          </w:p>
        </w:tc>
        <w:tc>
          <w:tcPr>
            <w:tcW w:w="1257" w:type="dxa"/>
            <w:vAlign w:val="center"/>
            <w:hideMark/>
          </w:tcPr>
          <w:p w14:paraId="210F512E" w14:textId="652ECB68" w:rsidR="003D5A55" w:rsidRPr="00DE6A31" w:rsidRDefault="003D5A55" w:rsidP="003D5A55">
            <w:pPr>
              <w:jc w:val="center"/>
              <w:rPr>
                <w:rFonts w:eastAsiaTheme="minorHAnsi"/>
                <w:sz w:val="28"/>
                <w:szCs w:val="28"/>
                <w:lang w:eastAsia="en-US"/>
              </w:rPr>
            </w:pPr>
            <w:r w:rsidRPr="00DE6A31">
              <w:rPr>
                <w:rFonts w:eastAsiaTheme="minorHAnsi"/>
                <w:sz w:val="28"/>
                <w:szCs w:val="28"/>
                <w:lang w:eastAsia="en-US"/>
              </w:rPr>
              <w:t>0</w:t>
            </w:r>
          </w:p>
        </w:tc>
        <w:tc>
          <w:tcPr>
            <w:tcW w:w="1268" w:type="dxa"/>
            <w:vAlign w:val="center"/>
            <w:hideMark/>
          </w:tcPr>
          <w:p w14:paraId="63AA18D1" w14:textId="4F3E4BEB" w:rsidR="003D5A55" w:rsidRPr="00DE6A31" w:rsidRDefault="003D5A55" w:rsidP="003D5A55">
            <w:pPr>
              <w:tabs>
                <w:tab w:val="left" w:pos="4305"/>
              </w:tabs>
              <w:jc w:val="center"/>
              <w:rPr>
                <w:rFonts w:eastAsiaTheme="minorHAnsi"/>
                <w:sz w:val="28"/>
                <w:szCs w:val="28"/>
                <w:lang w:eastAsia="en-US"/>
              </w:rPr>
            </w:pPr>
            <w:r w:rsidRPr="00DE6A31">
              <w:rPr>
                <w:rFonts w:eastAsiaTheme="minorHAnsi"/>
                <w:sz w:val="28"/>
                <w:szCs w:val="28"/>
                <w:lang w:eastAsia="en-US"/>
              </w:rPr>
              <w:t>0</w:t>
            </w:r>
          </w:p>
        </w:tc>
      </w:tr>
      <w:tr w:rsidR="003D5A55" w:rsidRPr="00300104" w14:paraId="79690490" w14:textId="77777777" w:rsidTr="00472147">
        <w:trPr>
          <w:jc w:val="center"/>
        </w:trPr>
        <w:tc>
          <w:tcPr>
            <w:tcW w:w="1838" w:type="dxa"/>
            <w:hideMark/>
          </w:tcPr>
          <w:p w14:paraId="47076EEA" w14:textId="77777777" w:rsidR="003D5A55" w:rsidRPr="00DE6A31" w:rsidRDefault="003D5A55" w:rsidP="003D5A55">
            <w:pPr>
              <w:rPr>
                <w:sz w:val="28"/>
                <w:szCs w:val="28"/>
              </w:rPr>
            </w:pPr>
            <w:r w:rsidRPr="00DE6A31">
              <w:rPr>
                <w:sz w:val="28"/>
                <w:szCs w:val="28"/>
              </w:rPr>
              <w:t>2.1. valsts pamatbudžets</w:t>
            </w:r>
          </w:p>
        </w:tc>
        <w:tc>
          <w:tcPr>
            <w:tcW w:w="992" w:type="dxa"/>
            <w:vAlign w:val="center"/>
            <w:hideMark/>
          </w:tcPr>
          <w:p w14:paraId="0336EAAB" w14:textId="473F45F6" w:rsidR="003D5A55" w:rsidRPr="00DE6A31" w:rsidRDefault="003D5A55" w:rsidP="003D5A55">
            <w:pPr>
              <w:tabs>
                <w:tab w:val="left" w:pos="4305"/>
              </w:tabs>
              <w:jc w:val="center"/>
              <w:rPr>
                <w:sz w:val="28"/>
                <w:szCs w:val="28"/>
                <w:lang w:eastAsia="en-US"/>
              </w:rPr>
            </w:pPr>
            <w:r w:rsidRPr="00DE6A31">
              <w:rPr>
                <w:sz w:val="28"/>
                <w:szCs w:val="28"/>
                <w:lang w:eastAsia="en-US"/>
              </w:rPr>
              <w:t>51 866</w:t>
            </w:r>
          </w:p>
        </w:tc>
        <w:tc>
          <w:tcPr>
            <w:tcW w:w="1061" w:type="dxa"/>
            <w:vAlign w:val="center"/>
            <w:hideMark/>
          </w:tcPr>
          <w:p w14:paraId="6CD5458F" w14:textId="77777777" w:rsidR="003D5A55" w:rsidRPr="00DE6A31" w:rsidRDefault="003D5A55" w:rsidP="003D5A55">
            <w:pPr>
              <w:jc w:val="center"/>
              <w:rPr>
                <w:sz w:val="28"/>
                <w:szCs w:val="28"/>
              </w:rPr>
            </w:pPr>
            <w:r w:rsidRPr="00DE6A31">
              <w:rPr>
                <w:sz w:val="28"/>
                <w:szCs w:val="28"/>
              </w:rPr>
              <w:t>0</w:t>
            </w:r>
          </w:p>
        </w:tc>
        <w:tc>
          <w:tcPr>
            <w:tcW w:w="1014" w:type="dxa"/>
            <w:vAlign w:val="center"/>
            <w:hideMark/>
          </w:tcPr>
          <w:p w14:paraId="4CDA7BEE" w14:textId="616BDBFC" w:rsidR="003D5A55" w:rsidRPr="00DE6A31" w:rsidRDefault="003D5A55" w:rsidP="003D5A55">
            <w:pPr>
              <w:tabs>
                <w:tab w:val="left" w:pos="4305"/>
              </w:tabs>
              <w:jc w:val="center"/>
              <w:rPr>
                <w:sz w:val="28"/>
                <w:szCs w:val="28"/>
                <w:lang w:eastAsia="en-US"/>
              </w:rPr>
            </w:pPr>
            <w:r w:rsidRPr="00DE6A31">
              <w:rPr>
                <w:sz w:val="28"/>
                <w:szCs w:val="28"/>
                <w:lang w:eastAsia="en-US"/>
              </w:rPr>
              <w:t>51 866</w:t>
            </w:r>
          </w:p>
        </w:tc>
        <w:tc>
          <w:tcPr>
            <w:tcW w:w="1164" w:type="dxa"/>
            <w:vAlign w:val="center"/>
            <w:hideMark/>
          </w:tcPr>
          <w:p w14:paraId="74D1497A" w14:textId="01E348CA" w:rsidR="003D5A55" w:rsidRPr="00DE6A31" w:rsidRDefault="003D5A55" w:rsidP="003D5A55">
            <w:pPr>
              <w:jc w:val="center"/>
              <w:rPr>
                <w:rFonts w:eastAsiaTheme="minorHAnsi"/>
                <w:sz w:val="28"/>
                <w:szCs w:val="28"/>
                <w:lang w:eastAsia="en-US"/>
              </w:rPr>
            </w:pPr>
            <w:r w:rsidRPr="00DE6A31">
              <w:rPr>
                <w:rFonts w:eastAsiaTheme="minorHAnsi"/>
                <w:sz w:val="28"/>
                <w:szCs w:val="28"/>
                <w:lang w:eastAsia="en-US"/>
              </w:rPr>
              <w:t>0</w:t>
            </w:r>
          </w:p>
        </w:tc>
        <w:tc>
          <w:tcPr>
            <w:tcW w:w="1035" w:type="dxa"/>
            <w:vAlign w:val="center"/>
            <w:hideMark/>
          </w:tcPr>
          <w:p w14:paraId="1BFCBC5E" w14:textId="076C12A0" w:rsidR="003D5A55" w:rsidRPr="00DE6A31" w:rsidRDefault="003D5A55" w:rsidP="003D5A55">
            <w:pPr>
              <w:tabs>
                <w:tab w:val="left" w:pos="4305"/>
              </w:tabs>
              <w:jc w:val="center"/>
              <w:rPr>
                <w:sz w:val="28"/>
                <w:szCs w:val="28"/>
                <w:lang w:eastAsia="en-US"/>
              </w:rPr>
            </w:pPr>
            <w:r w:rsidRPr="00DE6A31">
              <w:rPr>
                <w:sz w:val="28"/>
                <w:szCs w:val="28"/>
                <w:lang w:eastAsia="en-US"/>
              </w:rPr>
              <w:t>51 866</w:t>
            </w:r>
          </w:p>
        </w:tc>
        <w:tc>
          <w:tcPr>
            <w:tcW w:w="1257" w:type="dxa"/>
            <w:vAlign w:val="center"/>
            <w:hideMark/>
          </w:tcPr>
          <w:p w14:paraId="49D31D1E" w14:textId="5813422B" w:rsidR="003D5A55" w:rsidRPr="00DE6A31" w:rsidRDefault="003D5A55" w:rsidP="003D5A55">
            <w:pPr>
              <w:jc w:val="center"/>
              <w:rPr>
                <w:rFonts w:eastAsiaTheme="minorHAnsi"/>
                <w:sz w:val="28"/>
                <w:szCs w:val="28"/>
                <w:lang w:eastAsia="en-US"/>
              </w:rPr>
            </w:pPr>
            <w:r w:rsidRPr="00DE6A31">
              <w:rPr>
                <w:rFonts w:eastAsiaTheme="minorHAnsi"/>
                <w:sz w:val="28"/>
                <w:szCs w:val="28"/>
                <w:lang w:eastAsia="en-US"/>
              </w:rPr>
              <w:t>0</w:t>
            </w:r>
          </w:p>
        </w:tc>
        <w:tc>
          <w:tcPr>
            <w:tcW w:w="1268" w:type="dxa"/>
            <w:vAlign w:val="center"/>
            <w:hideMark/>
          </w:tcPr>
          <w:p w14:paraId="4310DFDD" w14:textId="75DE455F" w:rsidR="003D5A55" w:rsidRPr="00DE6A31" w:rsidRDefault="003D5A55" w:rsidP="003D5A55">
            <w:pPr>
              <w:tabs>
                <w:tab w:val="left" w:pos="4305"/>
              </w:tabs>
              <w:jc w:val="center"/>
              <w:rPr>
                <w:rFonts w:eastAsiaTheme="minorHAnsi"/>
                <w:sz w:val="28"/>
                <w:szCs w:val="28"/>
                <w:lang w:eastAsia="en-US"/>
              </w:rPr>
            </w:pPr>
            <w:r w:rsidRPr="00DE6A31">
              <w:rPr>
                <w:rFonts w:eastAsiaTheme="minorHAnsi"/>
                <w:sz w:val="28"/>
                <w:szCs w:val="28"/>
                <w:lang w:eastAsia="en-US"/>
              </w:rPr>
              <w:t>0</w:t>
            </w:r>
          </w:p>
        </w:tc>
      </w:tr>
      <w:tr w:rsidR="003B1A79" w:rsidRPr="00300104" w14:paraId="44D71D04" w14:textId="77777777" w:rsidTr="00472147">
        <w:trPr>
          <w:jc w:val="center"/>
        </w:trPr>
        <w:tc>
          <w:tcPr>
            <w:tcW w:w="1838" w:type="dxa"/>
            <w:hideMark/>
          </w:tcPr>
          <w:p w14:paraId="4CE0FC00" w14:textId="77777777" w:rsidR="003B1A79" w:rsidRPr="00DE6A31" w:rsidRDefault="003B1A79" w:rsidP="003B1A79">
            <w:pPr>
              <w:rPr>
                <w:sz w:val="28"/>
                <w:szCs w:val="28"/>
              </w:rPr>
            </w:pPr>
            <w:r w:rsidRPr="00DE6A31">
              <w:rPr>
                <w:sz w:val="28"/>
                <w:szCs w:val="28"/>
              </w:rPr>
              <w:t>2.2. valsts speciālais budžets</w:t>
            </w:r>
          </w:p>
        </w:tc>
        <w:tc>
          <w:tcPr>
            <w:tcW w:w="992" w:type="dxa"/>
            <w:vAlign w:val="center"/>
            <w:hideMark/>
          </w:tcPr>
          <w:p w14:paraId="6E307738" w14:textId="77777777" w:rsidR="003B1A79" w:rsidRPr="00DE6A31" w:rsidRDefault="003B1A79" w:rsidP="003B1A79">
            <w:pPr>
              <w:jc w:val="center"/>
              <w:rPr>
                <w:sz w:val="28"/>
                <w:szCs w:val="28"/>
              </w:rPr>
            </w:pPr>
            <w:r w:rsidRPr="00DE6A31">
              <w:rPr>
                <w:sz w:val="28"/>
                <w:szCs w:val="28"/>
              </w:rPr>
              <w:t>0</w:t>
            </w:r>
          </w:p>
        </w:tc>
        <w:tc>
          <w:tcPr>
            <w:tcW w:w="1061" w:type="dxa"/>
            <w:vAlign w:val="center"/>
            <w:hideMark/>
          </w:tcPr>
          <w:p w14:paraId="545A9CC6" w14:textId="77777777" w:rsidR="003B1A79" w:rsidRPr="00DE6A31" w:rsidRDefault="003B1A79" w:rsidP="003B1A79">
            <w:pPr>
              <w:jc w:val="center"/>
              <w:rPr>
                <w:sz w:val="28"/>
                <w:szCs w:val="28"/>
              </w:rPr>
            </w:pPr>
            <w:r w:rsidRPr="00DE6A31">
              <w:rPr>
                <w:sz w:val="28"/>
                <w:szCs w:val="28"/>
              </w:rPr>
              <w:t>0</w:t>
            </w:r>
          </w:p>
        </w:tc>
        <w:tc>
          <w:tcPr>
            <w:tcW w:w="1014" w:type="dxa"/>
            <w:vAlign w:val="center"/>
            <w:hideMark/>
          </w:tcPr>
          <w:p w14:paraId="333D3478" w14:textId="77777777" w:rsidR="003B1A79" w:rsidRPr="00DE6A31" w:rsidRDefault="003B1A79" w:rsidP="003B1A79">
            <w:pPr>
              <w:jc w:val="center"/>
              <w:rPr>
                <w:sz w:val="28"/>
                <w:szCs w:val="28"/>
              </w:rPr>
            </w:pPr>
            <w:r w:rsidRPr="00DE6A31">
              <w:rPr>
                <w:sz w:val="28"/>
                <w:szCs w:val="28"/>
              </w:rPr>
              <w:t>0</w:t>
            </w:r>
          </w:p>
        </w:tc>
        <w:tc>
          <w:tcPr>
            <w:tcW w:w="1164" w:type="dxa"/>
            <w:vAlign w:val="center"/>
            <w:hideMark/>
          </w:tcPr>
          <w:p w14:paraId="4E129F95" w14:textId="77777777" w:rsidR="003B1A79" w:rsidRPr="00DE6A31" w:rsidRDefault="003B1A79" w:rsidP="003B1A79">
            <w:pPr>
              <w:jc w:val="center"/>
              <w:rPr>
                <w:sz w:val="28"/>
                <w:szCs w:val="28"/>
              </w:rPr>
            </w:pPr>
            <w:r w:rsidRPr="00DE6A31">
              <w:rPr>
                <w:sz w:val="28"/>
                <w:szCs w:val="28"/>
              </w:rPr>
              <w:t>0</w:t>
            </w:r>
          </w:p>
        </w:tc>
        <w:tc>
          <w:tcPr>
            <w:tcW w:w="1035" w:type="dxa"/>
            <w:vAlign w:val="center"/>
            <w:hideMark/>
          </w:tcPr>
          <w:p w14:paraId="3B80F59D" w14:textId="77777777" w:rsidR="003B1A79" w:rsidRPr="00DE6A31" w:rsidRDefault="003B1A79" w:rsidP="003B1A79">
            <w:pPr>
              <w:jc w:val="center"/>
              <w:rPr>
                <w:sz w:val="28"/>
                <w:szCs w:val="28"/>
              </w:rPr>
            </w:pPr>
            <w:r w:rsidRPr="00DE6A31">
              <w:rPr>
                <w:sz w:val="28"/>
                <w:szCs w:val="28"/>
              </w:rPr>
              <w:t>0</w:t>
            </w:r>
          </w:p>
        </w:tc>
        <w:tc>
          <w:tcPr>
            <w:tcW w:w="1257" w:type="dxa"/>
            <w:vAlign w:val="center"/>
            <w:hideMark/>
          </w:tcPr>
          <w:p w14:paraId="5D5B63BF" w14:textId="77777777" w:rsidR="003B1A79" w:rsidRPr="00DE6A31" w:rsidRDefault="003B1A79" w:rsidP="003B1A79">
            <w:pPr>
              <w:jc w:val="center"/>
              <w:rPr>
                <w:rFonts w:eastAsiaTheme="minorHAnsi"/>
                <w:sz w:val="28"/>
                <w:szCs w:val="28"/>
                <w:lang w:eastAsia="en-US"/>
              </w:rPr>
            </w:pPr>
            <w:r w:rsidRPr="00DE6A31">
              <w:rPr>
                <w:rFonts w:eastAsiaTheme="minorHAnsi"/>
                <w:sz w:val="28"/>
                <w:szCs w:val="28"/>
                <w:lang w:eastAsia="en-US"/>
              </w:rPr>
              <w:t>0</w:t>
            </w:r>
          </w:p>
        </w:tc>
        <w:tc>
          <w:tcPr>
            <w:tcW w:w="1268" w:type="dxa"/>
            <w:vAlign w:val="center"/>
            <w:hideMark/>
          </w:tcPr>
          <w:p w14:paraId="160E7CD1" w14:textId="77777777" w:rsidR="003B1A79" w:rsidRPr="00DE6A31" w:rsidRDefault="003B1A79" w:rsidP="003B1A79">
            <w:pPr>
              <w:jc w:val="center"/>
              <w:rPr>
                <w:rFonts w:eastAsiaTheme="minorHAnsi"/>
                <w:sz w:val="28"/>
                <w:szCs w:val="28"/>
                <w:lang w:eastAsia="en-US"/>
              </w:rPr>
            </w:pPr>
            <w:r w:rsidRPr="00DE6A31">
              <w:rPr>
                <w:rFonts w:eastAsiaTheme="minorHAnsi"/>
                <w:sz w:val="28"/>
                <w:szCs w:val="28"/>
                <w:lang w:eastAsia="en-US"/>
              </w:rPr>
              <w:t>0</w:t>
            </w:r>
          </w:p>
        </w:tc>
      </w:tr>
      <w:tr w:rsidR="003B1A79" w:rsidRPr="00300104" w14:paraId="379F0C91" w14:textId="77777777" w:rsidTr="00472147">
        <w:trPr>
          <w:jc w:val="center"/>
        </w:trPr>
        <w:tc>
          <w:tcPr>
            <w:tcW w:w="1838" w:type="dxa"/>
            <w:hideMark/>
          </w:tcPr>
          <w:p w14:paraId="0B80FA0C" w14:textId="77777777" w:rsidR="003B1A79" w:rsidRPr="00DE6A31" w:rsidRDefault="003B1A79" w:rsidP="003B1A79">
            <w:pPr>
              <w:rPr>
                <w:sz w:val="28"/>
                <w:szCs w:val="28"/>
              </w:rPr>
            </w:pPr>
            <w:r w:rsidRPr="00DE6A31">
              <w:rPr>
                <w:sz w:val="28"/>
                <w:szCs w:val="28"/>
              </w:rPr>
              <w:t>2.3. pašvaldību budžets</w:t>
            </w:r>
          </w:p>
        </w:tc>
        <w:tc>
          <w:tcPr>
            <w:tcW w:w="992" w:type="dxa"/>
            <w:vAlign w:val="center"/>
            <w:hideMark/>
          </w:tcPr>
          <w:p w14:paraId="6E055ECC" w14:textId="77777777" w:rsidR="003B1A79" w:rsidRPr="00DE6A31" w:rsidRDefault="003B1A79" w:rsidP="003B1A79">
            <w:pPr>
              <w:jc w:val="center"/>
              <w:rPr>
                <w:sz w:val="28"/>
                <w:szCs w:val="28"/>
              </w:rPr>
            </w:pPr>
            <w:r w:rsidRPr="00DE6A31">
              <w:rPr>
                <w:sz w:val="28"/>
                <w:szCs w:val="28"/>
              </w:rPr>
              <w:t>0</w:t>
            </w:r>
          </w:p>
        </w:tc>
        <w:tc>
          <w:tcPr>
            <w:tcW w:w="1061" w:type="dxa"/>
            <w:vAlign w:val="center"/>
            <w:hideMark/>
          </w:tcPr>
          <w:p w14:paraId="5F129A0A" w14:textId="77777777" w:rsidR="003B1A79" w:rsidRPr="00DE6A31" w:rsidRDefault="003B1A79" w:rsidP="003B1A79">
            <w:pPr>
              <w:jc w:val="center"/>
              <w:rPr>
                <w:sz w:val="28"/>
                <w:szCs w:val="28"/>
              </w:rPr>
            </w:pPr>
            <w:r w:rsidRPr="00DE6A31">
              <w:rPr>
                <w:sz w:val="28"/>
                <w:szCs w:val="28"/>
              </w:rPr>
              <w:t>0</w:t>
            </w:r>
          </w:p>
        </w:tc>
        <w:tc>
          <w:tcPr>
            <w:tcW w:w="1014" w:type="dxa"/>
            <w:vAlign w:val="center"/>
            <w:hideMark/>
          </w:tcPr>
          <w:p w14:paraId="67AC5B0E" w14:textId="77777777" w:rsidR="003B1A79" w:rsidRPr="00DE6A31" w:rsidRDefault="003B1A79" w:rsidP="003B1A79">
            <w:pPr>
              <w:jc w:val="center"/>
              <w:rPr>
                <w:sz w:val="28"/>
                <w:szCs w:val="28"/>
              </w:rPr>
            </w:pPr>
            <w:r w:rsidRPr="00DE6A31">
              <w:rPr>
                <w:sz w:val="28"/>
                <w:szCs w:val="28"/>
              </w:rPr>
              <w:t>0</w:t>
            </w:r>
          </w:p>
        </w:tc>
        <w:tc>
          <w:tcPr>
            <w:tcW w:w="1164" w:type="dxa"/>
            <w:vAlign w:val="center"/>
            <w:hideMark/>
          </w:tcPr>
          <w:p w14:paraId="5A2E17BA" w14:textId="77777777" w:rsidR="003B1A79" w:rsidRPr="00DE6A31" w:rsidRDefault="003B1A79" w:rsidP="003B1A79">
            <w:pPr>
              <w:jc w:val="center"/>
              <w:rPr>
                <w:sz w:val="28"/>
                <w:szCs w:val="28"/>
              </w:rPr>
            </w:pPr>
            <w:r w:rsidRPr="00DE6A31">
              <w:rPr>
                <w:sz w:val="28"/>
                <w:szCs w:val="28"/>
              </w:rPr>
              <w:t>0</w:t>
            </w:r>
          </w:p>
        </w:tc>
        <w:tc>
          <w:tcPr>
            <w:tcW w:w="1035" w:type="dxa"/>
            <w:vAlign w:val="center"/>
            <w:hideMark/>
          </w:tcPr>
          <w:p w14:paraId="35512D23" w14:textId="77777777" w:rsidR="003B1A79" w:rsidRPr="00DE6A31" w:rsidRDefault="003B1A79" w:rsidP="003B1A79">
            <w:pPr>
              <w:jc w:val="center"/>
              <w:rPr>
                <w:sz w:val="28"/>
                <w:szCs w:val="28"/>
              </w:rPr>
            </w:pPr>
            <w:r w:rsidRPr="00DE6A31">
              <w:rPr>
                <w:sz w:val="28"/>
                <w:szCs w:val="28"/>
              </w:rPr>
              <w:t>0</w:t>
            </w:r>
          </w:p>
        </w:tc>
        <w:tc>
          <w:tcPr>
            <w:tcW w:w="1257" w:type="dxa"/>
            <w:vAlign w:val="center"/>
            <w:hideMark/>
          </w:tcPr>
          <w:p w14:paraId="063D6725" w14:textId="77777777" w:rsidR="003B1A79" w:rsidRPr="00DE6A31" w:rsidRDefault="003B1A79" w:rsidP="003B1A79">
            <w:pPr>
              <w:jc w:val="center"/>
              <w:rPr>
                <w:rFonts w:eastAsiaTheme="minorHAnsi"/>
                <w:sz w:val="28"/>
                <w:szCs w:val="28"/>
                <w:lang w:eastAsia="en-US"/>
              </w:rPr>
            </w:pPr>
            <w:r w:rsidRPr="00DE6A31">
              <w:rPr>
                <w:rFonts w:eastAsiaTheme="minorHAnsi"/>
                <w:sz w:val="28"/>
                <w:szCs w:val="28"/>
                <w:lang w:eastAsia="en-US"/>
              </w:rPr>
              <w:t>0</w:t>
            </w:r>
          </w:p>
        </w:tc>
        <w:tc>
          <w:tcPr>
            <w:tcW w:w="1268" w:type="dxa"/>
            <w:vAlign w:val="center"/>
            <w:hideMark/>
          </w:tcPr>
          <w:p w14:paraId="7CAA983B" w14:textId="77777777" w:rsidR="003B1A79" w:rsidRPr="00DE6A31" w:rsidRDefault="003B1A79" w:rsidP="003B1A79">
            <w:pPr>
              <w:jc w:val="center"/>
              <w:rPr>
                <w:rFonts w:eastAsiaTheme="minorHAnsi"/>
                <w:sz w:val="28"/>
                <w:szCs w:val="28"/>
                <w:lang w:eastAsia="en-US"/>
              </w:rPr>
            </w:pPr>
            <w:r w:rsidRPr="00DE6A31">
              <w:rPr>
                <w:rFonts w:eastAsiaTheme="minorHAnsi"/>
                <w:sz w:val="28"/>
                <w:szCs w:val="28"/>
                <w:lang w:eastAsia="en-US"/>
              </w:rPr>
              <w:t>0</w:t>
            </w:r>
          </w:p>
        </w:tc>
      </w:tr>
      <w:tr w:rsidR="003B1A79" w:rsidRPr="00300104" w14:paraId="642A32D9" w14:textId="77777777" w:rsidTr="00472147">
        <w:trPr>
          <w:jc w:val="center"/>
        </w:trPr>
        <w:tc>
          <w:tcPr>
            <w:tcW w:w="1838" w:type="dxa"/>
            <w:hideMark/>
          </w:tcPr>
          <w:p w14:paraId="6BB1D756" w14:textId="77777777" w:rsidR="003B1A79" w:rsidRPr="00DE6A31" w:rsidRDefault="003B1A79" w:rsidP="003B1A79">
            <w:pPr>
              <w:rPr>
                <w:sz w:val="28"/>
                <w:szCs w:val="28"/>
              </w:rPr>
            </w:pPr>
            <w:r w:rsidRPr="00DE6A31">
              <w:rPr>
                <w:sz w:val="28"/>
                <w:szCs w:val="28"/>
              </w:rPr>
              <w:t>3. Finansiālā ietekme</w:t>
            </w:r>
          </w:p>
        </w:tc>
        <w:tc>
          <w:tcPr>
            <w:tcW w:w="992" w:type="dxa"/>
            <w:vAlign w:val="center"/>
            <w:hideMark/>
          </w:tcPr>
          <w:p w14:paraId="209EF515" w14:textId="77777777" w:rsidR="003B1A79" w:rsidRPr="00DE6A31" w:rsidRDefault="003B1A79" w:rsidP="003B1A79">
            <w:pPr>
              <w:jc w:val="center"/>
              <w:rPr>
                <w:sz w:val="28"/>
                <w:szCs w:val="28"/>
              </w:rPr>
            </w:pPr>
            <w:r w:rsidRPr="00DE6A31">
              <w:rPr>
                <w:sz w:val="28"/>
                <w:szCs w:val="28"/>
              </w:rPr>
              <w:t>0</w:t>
            </w:r>
          </w:p>
        </w:tc>
        <w:tc>
          <w:tcPr>
            <w:tcW w:w="1061" w:type="dxa"/>
            <w:vAlign w:val="center"/>
            <w:hideMark/>
          </w:tcPr>
          <w:p w14:paraId="0D2CDD68" w14:textId="77777777" w:rsidR="003B1A79" w:rsidRPr="00DE6A31" w:rsidRDefault="003B1A79" w:rsidP="003B1A79">
            <w:pPr>
              <w:jc w:val="center"/>
              <w:rPr>
                <w:sz w:val="28"/>
                <w:szCs w:val="28"/>
              </w:rPr>
            </w:pPr>
            <w:r w:rsidRPr="00DE6A31">
              <w:rPr>
                <w:sz w:val="28"/>
                <w:szCs w:val="28"/>
              </w:rPr>
              <w:t>0</w:t>
            </w:r>
          </w:p>
        </w:tc>
        <w:tc>
          <w:tcPr>
            <w:tcW w:w="1014" w:type="dxa"/>
            <w:vAlign w:val="center"/>
            <w:hideMark/>
          </w:tcPr>
          <w:p w14:paraId="0D3689CB" w14:textId="77777777" w:rsidR="003B1A79" w:rsidRPr="00DE6A31" w:rsidRDefault="003B1A79" w:rsidP="003B1A79">
            <w:pPr>
              <w:jc w:val="center"/>
              <w:rPr>
                <w:sz w:val="28"/>
                <w:szCs w:val="28"/>
              </w:rPr>
            </w:pPr>
            <w:r w:rsidRPr="00DE6A31">
              <w:rPr>
                <w:sz w:val="28"/>
                <w:szCs w:val="28"/>
              </w:rPr>
              <w:t>0</w:t>
            </w:r>
          </w:p>
        </w:tc>
        <w:tc>
          <w:tcPr>
            <w:tcW w:w="1164" w:type="dxa"/>
            <w:vAlign w:val="center"/>
            <w:hideMark/>
          </w:tcPr>
          <w:p w14:paraId="0050EE44" w14:textId="77777777" w:rsidR="003B1A79" w:rsidRPr="00DE6A31" w:rsidRDefault="003B1A79" w:rsidP="003B1A79">
            <w:pPr>
              <w:jc w:val="center"/>
              <w:rPr>
                <w:sz w:val="28"/>
                <w:szCs w:val="28"/>
              </w:rPr>
            </w:pPr>
            <w:r w:rsidRPr="00DE6A31">
              <w:rPr>
                <w:sz w:val="28"/>
                <w:szCs w:val="28"/>
              </w:rPr>
              <w:t>0</w:t>
            </w:r>
          </w:p>
        </w:tc>
        <w:tc>
          <w:tcPr>
            <w:tcW w:w="1035" w:type="dxa"/>
            <w:vAlign w:val="center"/>
            <w:hideMark/>
          </w:tcPr>
          <w:p w14:paraId="3BD15F0D" w14:textId="77777777" w:rsidR="003B1A79" w:rsidRPr="00DE6A31" w:rsidRDefault="003B1A79" w:rsidP="003B1A79">
            <w:pPr>
              <w:jc w:val="center"/>
              <w:rPr>
                <w:sz w:val="28"/>
                <w:szCs w:val="28"/>
              </w:rPr>
            </w:pPr>
            <w:r w:rsidRPr="00DE6A31">
              <w:rPr>
                <w:sz w:val="28"/>
                <w:szCs w:val="28"/>
              </w:rPr>
              <w:t>0</w:t>
            </w:r>
          </w:p>
        </w:tc>
        <w:tc>
          <w:tcPr>
            <w:tcW w:w="1257" w:type="dxa"/>
            <w:vAlign w:val="center"/>
            <w:hideMark/>
          </w:tcPr>
          <w:p w14:paraId="6A383FFA" w14:textId="77777777" w:rsidR="003B1A79" w:rsidRPr="00DE6A31" w:rsidRDefault="003B1A79" w:rsidP="003B1A79">
            <w:pPr>
              <w:jc w:val="center"/>
              <w:rPr>
                <w:rFonts w:eastAsiaTheme="minorHAnsi"/>
                <w:sz w:val="28"/>
                <w:szCs w:val="28"/>
                <w:lang w:eastAsia="en-US"/>
              </w:rPr>
            </w:pPr>
            <w:r w:rsidRPr="00DE6A31">
              <w:rPr>
                <w:rFonts w:eastAsiaTheme="minorHAnsi"/>
                <w:sz w:val="28"/>
                <w:szCs w:val="28"/>
                <w:lang w:eastAsia="en-US"/>
              </w:rPr>
              <w:t>0</w:t>
            </w:r>
          </w:p>
        </w:tc>
        <w:tc>
          <w:tcPr>
            <w:tcW w:w="1268" w:type="dxa"/>
            <w:vAlign w:val="center"/>
            <w:hideMark/>
          </w:tcPr>
          <w:p w14:paraId="0AFB4246" w14:textId="77777777" w:rsidR="003B1A79" w:rsidRPr="00DE6A31" w:rsidRDefault="003B1A79" w:rsidP="003B1A79">
            <w:pPr>
              <w:jc w:val="center"/>
              <w:rPr>
                <w:rFonts w:eastAsiaTheme="minorHAnsi"/>
                <w:sz w:val="28"/>
                <w:szCs w:val="28"/>
                <w:lang w:eastAsia="en-US"/>
              </w:rPr>
            </w:pPr>
            <w:r w:rsidRPr="00DE6A31">
              <w:rPr>
                <w:rFonts w:eastAsiaTheme="minorHAnsi"/>
                <w:sz w:val="28"/>
                <w:szCs w:val="28"/>
                <w:lang w:eastAsia="en-US"/>
              </w:rPr>
              <w:t>0</w:t>
            </w:r>
          </w:p>
        </w:tc>
      </w:tr>
      <w:tr w:rsidR="003B1A79" w:rsidRPr="00300104" w14:paraId="2729B25A" w14:textId="77777777" w:rsidTr="00472147">
        <w:trPr>
          <w:jc w:val="center"/>
        </w:trPr>
        <w:tc>
          <w:tcPr>
            <w:tcW w:w="1838" w:type="dxa"/>
            <w:hideMark/>
          </w:tcPr>
          <w:p w14:paraId="41ED8A3F" w14:textId="77777777" w:rsidR="003B1A79" w:rsidRPr="00DE6A31" w:rsidRDefault="003B1A79" w:rsidP="003B1A79">
            <w:pPr>
              <w:rPr>
                <w:sz w:val="28"/>
                <w:szCs w:val="28"/>
              </w:rPr>
            </w:pPr>
            <w:r w:rsidRPr="00DE6A31">
              <w:rPr>
                <w:sz w:val="28"/>
                <w:szCs w:val="28"/>
              </w:rPr>
              <w:t>3.1. valsts pamatbudžets</w:t>
            </w:r>
          </w:p>
        </w:tc>
        <w:tc>
          <w:tcPr>
            <w:tcW w:w="992" w:type="dxa"/>
            <w:vAlign w:val="center"/>
            <w:hideMark/>
          </w:tcPr>
          <w:p w14:paraId="50DD5D71" w14:textId="77777777" w:rsidR="003B1A79" w:rsidRPr="00DE6A31" w:rsidRDefault="003B1A79" w:rsidP="003B1A79">
            <w:pPr>
              <w:jc w:val="center"/>
              <w:rPr>
                <w:sz w:val="28"/>
                <w:szCs w:val="28"/>
              </w:rPr>
            </w:pPr>
            <w:r w:rsidRPr="00DE6A31">
              <w:rPr>
                <w:sz w:val="28"/>
                <w:szCs w:val="28"/>
              </w:rPr>
              <w:t>0</w:t>
            </w:r>
          </w:p>
        </w:tc>
        <w:tc>
          <w:tcPr>
            <w:tcW w:w="1061" w:type="dxa"/>
            <w:vAlign w:val="center"/>
            <w:hideMark/>
          </w:tcPr>
          <w:p w14:paraId="575687A0" w14:textId="77777777" w:rsidR="003B1A79" w:rsidRPr="00DE6A31" w:rsidRDefault="003B1A79" w:rsidP="003B1A79">
            <w:pPr>
              <w:jc w:val="center"/>
              <w:rPr>
                <w:sz w:val="28"/>
                <w:szCs w:val="28"/>
              </w:rPr>
            </w:pPr>
            <w:r w:rsidRPr="00DE6A31">
              <w:rPr>
                <w:sz w:val="28"/>
                <w:szCs w:val="28"/>
              </w:rPr>
              <w:t>0</w:t>
            </w:r>
          </w:p>
        </w:tc>
        <w:tc>
          <w:tcPr>
            <w:tcW w:w="1014" w:type="dxa"/>
            <w:vAlign w:val="center"/>
            <w:hideMark/>
          </w:tcPr>
          <w:p w14:paraId="2D9DDB38" w14:textId="77777777" w:rsidR="003B1A79" w:rsidRPr="00DE6A31" w:rsidRDefault="003B1A79" w:rsidP="003B1A79">
            <w:pPr>
              <w:jc w:val="center"/>
              <w:rPr>
                <w:sz w:val="28"/>
                <w:szCs w:val="28"/>
              </w:rPr>
            </w:pPr>
            <w:r w:rsidRPr="00DE6A31">
              <w:rPr>
                <w:sz w:val="28"/>
                <w:szCs w:val="28"/>
              </w:rPr>
              <w:t>0</w:t>
            </w:r>
          </w:p>
        </w:tc>
        <w:tc>
          <w:tcPr>
            <w:tcW w:w="1164" w:type="dxa"/>
            <w:vAlign w:val="center"/>
            <w:hideMark/>
          </w:tcPr>
          <w:p w14:paraId="1BEFC1DF" w14:textId="77777777" w:rsidR="003B1A79" w:rsidRPr="00DE6A31" w:rsidRDefault="003B1A79" w:rsidP="003B1A79">
            <w:pPr>
              <w:jc w:val="center"/>
              <w:rPr>
                <w:sz w:val="28"/>
                <w:szCs w:val="28"/>
              </w:rPr>
            </w:pPr>
            <w:r w:rsidRPr="00DE6A31">
              <w:rPr>
                <w:sz w:val="28"/>
                <w:szCs w:val="28"/>
              </w:rPr>
              <w:t>0</w:t>
            </w:r>
          </w:p>
        </w:tc>
        <w:tc>
          <w:tcPr>
            <w:tcW w:w="1035" w:type="dxa"/>
            <w:vAlign w:val="center"/>
            <w:hideMark/>
          </w:tcPr>
          <w:p w14:paraId="57ED4946" w14:textId="77777777" w:rsidR="003B1A79" w:rsidRPr="00DE6A31" w:rsidRDefault="003B1A79" w:rsidP="003B1A79">
            <w:pPr>
              <w:jc w:val="center"/>
              <w:rPr>
                <w:sz w:val="28"/>
                <w:szCs w:val="28"/>
              </w:rPr>
            </w:pPr>
            <w:r w:rsidRPr="00DE6A31">
              <w:rPr>
                <w:sz w:val="28"/>
                <w:szCs w:val="28"/>
              </w:rPr>
              <w:t>0</w:t>
            </w:r>
          </w:p>
        </w:tc>
        <w:tc>
          <w:tcPr>
            <w:tcW w:w="1257" w:type="dxa"/>
            <w:vAlign w:val="center"/>
            <w:hideMark/>
          </w:tcPr>
          <w:p w14:paraId="4520E449" w14:textId="77777777" w:rsidR="003B1A79" w:rsidRPr="00DE6A31" w:rsidRDefault="003B1A79" w:rsidP="003B1A79">
            <w:pPr>
              <w:jc w:val="center"/>
              <w:rPr>
                <w:sz w:val="28"/>
                <w:szCs w:val="28"/>
              </w:rPr>
            </w:pPr>
            <w:r w:rsidRPr="00DE6A31">
              <w:rPr>
                <w:sz w:val="28"/>
                <w:szCs w:val="28"/>
              </w:rPr>
              <w:t>0</w:t>
            </w:r>
          </w:p>
        </w:tc>
        <w:tc>
          <w:tcPr>
            <w:tcW w:w="1268" w:type="dxa"/>
            <w:vAlign w:val="center"/>
            <w:hideMark/>
          </w:tcPr>
          <w:p w14:paraId="19E2A6E7" w14:textId="77777777" w:rsidR="003B1A79" w:rsidRPr="00DE6A31" w:rsidRDefault="003B1A79" w:rsidP="003B1A79">
            <w:pPr>
              <w:jc w:val="center"/>
              <w:rPr>
                <w:sz w:val="28"/>
                <w:szCs w:val="28"/>
              </w:rPr>
            </w:pPr>
            <w:r w:rsidRPr="00DE6A31">
              <w:rPr>
                <w:sz w:val="28"/>
                <w:szCs w:val="28"/>
              </w:rPr>
              <w:t>0</w:t>
            </w:r>
          </w:p>
        </w:tc>
      </w:tr>
      <w:tr w:rsidR="003B1A79" w:rsidRPr="00300104" w14:paraId="59B1858C" w14:textId="77777777" w:rsidTr="00472147">
        <w:trPr>
          <w:jc w:val="center"/>
        </w:trPr>
        <w:tc>
          <w:tcPr>
            <w:tcW w:w="1838" w:type="dxa"/>
            <w:hideMark/>
          </w:tcPr>
          <w:p w14:paraId="05ABF6A6" w14:textId="77777777" w:rsidR="003B1A79" w:rsidRPr="00DE6A31" w:rsidRDefault="003B1A79" w:rsidP="003B1A79">
            <w:pPr>
              <w:rPr>
                <w:sz w:val="28"/>
                <w:szCs w:val="28"/>
              </w:rPr>
            </w:pPr>
            <w:r w:rsidRPr="00DE6A31">
              <w:rPr>
                <w:sz w:val="28"/>
                <w:szCs w:val="28"/>
              </w:rPr>
              <w:t>3.2. speciālais budžets</w:t>
            </w:r>
          </w:p>
        </w:tc>
        <w:tc>
          <w:tcPr>
            <w:tcW w:w="992" w:type="dxa"/>
            <w:vAlign w:val="center"/>
            <w:hideMark/>
          </w:tcPr>
          <w:p w14:paraId="3121EA83" w14:textId="77777777" w:rsidR="003B1A79" w:rsidRPr="00DE6A31" w:rsidRDefault="003B1A79" w:rsidP="003B1A79">
            <w:pPr>
              <w:jc w:val="center"/>
              <w:rPr>
                <w:sz w:val="28"/>
                <w:szCs w:val="28"/>
              </w:rPr>
            </w:pPr>
            <w:r w:rsidRPr="00DE6A31">
              <w:rPr>
                <w:sz w:val="28"/>
                <w:szCs w:val="28"/>
              </w:rPr>
              <w:t>0</w:t>
            </w:r>
          </w:p>
        </w:tc>
        <w:tc>
          <w:tcPr>
            <w:tcW w:w="1061" w:type="dxa"/>
            <w:vAlign w:val="center"/>
            <w:hideMark/>
          </w:tcPr>
          <w:p w14:paraId="7D2E83DF" w14:textId="77777777" w:rsidR="003B1A79" w:rsidRPr="00DE6A31" w:rsidRDefault="003B1A79" w:rsidP="003B1A79">
            <w:pPr>
              <w:jc w:val="center"/>
              <w:rPr>
                <w:sz w:val="28"/>
                <w:szCs w:val="28"/>
              </w:rPr>
            </w:pPr>
            <w:r w:rsidRPr="00DE6A31">
              <w:rPr>
                <w:sz w:val="28"/>
                <w:szCs w:val="28"/>
              </w:rPr>
              <w:t>0</w:t>
            </w:r>
          </w:p>
        </w:tc>
        <w:tc>
          <w:tcPr>
            <w:tcW w:w="1014" w:type="dxa"/>
            <w:vAlign w:val="center"/>
            <w:hideMark/>
          </w:tcPr>
          <w:p w14:paraId="7C85EB82" w14:textId="77777777" w:rsidR="003B1A79" w:rsidRPr="00DE6A31" w:rsidRDefault="003B1A79" w:rsidP="003B1A79">
            <w:pPr>
              <w:jc w:val="center"/>
              <w:rPr>
                <w:sz w:val="28"/>
                <w:szCs w:val="28"/>
              </w:rPr>
            </w:pPr>
            <w:r w:rsidRPr="00DE6A31">
              <w:rPr>
                <w:sz w:val="28"/>
                <w:szCs w:val="28"/>
              </w:rPr>
              <w:t>0</w:t>
            </w:r>
          </w:p>
        </w:tc>
        <w:tc>
          <w:tcPr>
            <w:tcW w:w="1164" w:type="dxa"/>
            <w:vAlign w:val="center"/>
            <w:hideMark/>
          </w:tcPr>
          <w:p w14:paraId="38A8D0D7" w14:textId="77777777" w:rsidR="003B1A79" w:rsidRPr="00DE6A31" w:rsidRDefault="003B1A79" w:rsidP="003B1A79">
            <w:pPr>
              <w:jc w:val="center"/>
              <w:rPr>
                <w:sz w:val="28"/>
                <w:szCs w:val="28"/>
              </w:rPr>
            </w:pPr>
            <w:r w:rsidRPr="00DE6A31">
              <w:rPr>
                <w:sz w:val="28"/>
                <w:szCs w:val="28"/>
              </w:rPr>
              <w:t>0</w:t>
            </w:r>
          </w:p>
        </w:tc>
        <w:tc>
          <w:tcPr>
            <w:tcW w:w="1035" w:type="dxa"/>
            <w:vAlign w:val="center"/>
            <w:hideMark/>
          </w:tcPr>
          <w:p w14:paraId="3F609043" w14:textId="77777777" w:rsidR="003B1A79" w:rsidRPr="00DE6A31" w:rsidRDefault="003B1A79" w:rsidP="003B1A79">
            <w:pPr>
              <w:jc w:val="center"/>
              <w:rPr>
                <w:sz w:val="28"/>
                <w:szCs w:val="28"/>
              </w:rPr>
            </w:pPr>
            <w:r w:rsidRPr="00DE6A31">
              <w:rPr>
                <w:sz w:val="28"/>
                <w:szCs w:val="28"/>
              </w:rPr>
              <w:t>0</w:t>
            </w:r>
          </w:p>
        </w:tc>
        <w:tc>
          <w:tcPr>
            <w:tcW w:w="1257" w:type="dxa"/>
            <w:vAlign w:val="center"/>
            <w:hideMark/>
          </w:tcPr>
          <w:p w14:paraId="768B311B" w14:textId="77777777" w:rsidR="003B1A79" w:rsidRPr="00DE6A31" w:rsidRDefault="003B1A79" w:rsidP="003B1A79">
            <w:pPr>
              <w:jc w:val="center"/>
              <w:rPr>
                <w:sz w:val="28"/>
                <w:szCs w:val="28"/>
              </w:rPr>
            </w:pPr>
            <w:r w:rsidRPr="00DE6A31">
              <w:rPr>
                <w:sz w:val="28"/>
                <w:szCs w:val="28"/>
              </w:rPr>
              <w:t>0</w:t>
            </w:r>
          </w:p>
        </w:tc>
        <w:tc>
          <w:tcPr>
            <w:tcW w:w="1268" w:type="dxa"/>
            <w:vAlign w:val="center"/>
            <w:hideMark/>
          </w:tcPr>
          <w:p w14:paraId="54E7BFAF" w14:textId="77777777" w:rsidR="003B1A79" w:rsidRPr="00DE6A31" w:rsidRDefault="003B1A79" w:rsidP="003B1A79">
            <w:pPr>
              <w:jc w:val="center"/>
              <w:rPr>
                <w:sz w:val="28"/>
                <w:szCs w:val="28"/>
              </w:rPr>
            </w:pPr>
            <w:r w:rsidRPr="00DE6A31">
              <w:rPr>
                <w:sz w:val="28"/>
                <w:szCs w:val="28"/>
              </w:rPr>
              <w:t>0</w:t>
            </w:r>
          </w:p>
        </w:tc>
      </w:tr>
      <w:tr w:rsidR="003B1A79" w:rsidRPr="00300104" w14:paraId="23916E78" w14:textId="77777777" w:rsidTr="00472147">
        <w:trPr>
          <w:jc w:val="center"/>
        </w:trPr>
        <w:tc>
          <w:tcPr>
            <w:tcW w:w="1838" w:type="dxa"/>
            <w:hideMark/>
          </w:tcPr>
          <w:p w14:paraId="0A5D380F" w14:textId="77777777" w:rsidR="003B1A79" w:rsidRPr="00DE6A31" w:rsidRDefault="003B1A79" w:rsidP="003B1A79">
            <w:pPr>
              <w:rPr>
                <w:sz w:val="28"/>
                <w:szCs w:val="28"/>
              </w:rPr>
            </w:pPr>
            <w:r w:rsidRPr="00DE6A31">
              <w:rPr>
                <w:sz w:val="28"/>
                <w:szCs w:val="28"/>
              </w:rPr>
              <w:t>3.3. pašvaldību budžets</w:t>
            </w:r>
          </w:p>
        </w:tc>
        <w:tc>
          <w:tcPr>
            <w:tcW w:w="992" w:type="dxa"/>
            <w:vAlign w:val="center"/>
            <w:hideMark/>
          </w:tcPr>
          <w:p w14:paraId="353C5604" w14:textId="77777777" w:rsidR="003B1A79" w:rsidRPr="00DE6A31" w:rsidRDefault="003B1A79" w:rsidP="003B1A79">
            <w:pPr>
              <w:jc w:val="center"/>
              <w:rPr>
                <w:sz w:val="28"/>
                <w:szCs w:val="28"/>
              </w:rPr>
            </w:pPr>
            <w:r w:rsidRPr="00DE6A31">
              <w:rPr>
                <w:sz w:val="28"/>
                <w:szCs w:val="28"/>
              </w:rPr>
              <w:t>0</w:t>
            </w:r>
          </w:p>
        </w:tc>
        <w:tc>
          <w:tcPr>
            <w:tcW w:w="1061" w:type="dxa"/>
            <w:vAlign w:val="center"/>
            <w:hideMark/>
          </w:tcPr>
          <w:p w14:paraId="66BCA4A1" w14:textId="77777777" w:rsidR="003B1A79" w:rsidRPr="00DE6A31" w:rsidRDefault="003B1A79" w:rsidP="003B1A79">
            <w:pPr>
              <w:jc w:val="center"/>
              <w:rPr>
                <w:sz w:val="28"/>
                <w:szCs w:val="28"/>
              </w:rPr>
            </w:pPr>
            <w:r w:rsidRPr="00DE6A31">
              <w:rPr>
                <w:sz w:val="28"/>
                <w:szCs w:val="28"/>
              </w:rPr>
              <w:t>0</w:t>
            </w:r>
          </w:p>
        </w:tc>
        <w:tc>
          <w:tcPr>
            <w:tcW w:w="1014" w:type="dxa"/>
            <w:vAlign w:val="center"/>
            <w:hideMark/>
          </w:tcPr>
          <w:p w14:paraId="6E0491C6" w14:textId="77777777" w:rsidR="003B1A79" w:rsidRPr="00DE6A31" w:rsidRDefault="003B1A79" w:rsidP="003B1A79">
            <w:pPr>
              <w:jc w:val="center"/>
              <w:rPr>
                <w:sz w:val="28"/>
                <w:szCs w:val="28"/>
              </w:rPr>
            </w:pPr>
            <w:r w:rsidRPr="00DE6A31">
              <w:rPr>
                <w:sz w:val="28"/>
                <w:szCs w:val="28"/>
              </w:rPr>
              <w:t>0</w:t>
            </w:r>
          </w:p>
        </w:tc>
        <w:tc>
          <w:tcPr>
            <w:tcW w:w="1164" w:type="dxa"/>
            <w:vAlign w:val="center"/>
            <w:hideMark/>
          </w:tcPr>
          <w:p w14:paraId="4059383D" w14:textId="77777777" w:rsidR="003B1A79" w:rsidRPr="00DE6A31" w:rsidRDefault="003B1A79" w:rsidP="003B1A79">
            <w:pPr>
              <w:jc w:val="center"/>
              <w:rPr>
                <w:sz w:val="28"/>
                <w:szCs w:val="28"/>
              </w:rPr>
            </w:pPr>
            <w:r w:rsidRPr="00DE6A31">
              <w:rPr>
                <w:sz w:val="28"/>
                <w:szCs w:val="28"/>
              </w:rPr>
              <w:t>0</w:t>
            </w:r>
          </w:p>
        </w:tc>
        <w:tc>
          <w:tcPr>
            <w:tcW w:w="1035" w:type="dxa"/>
            <w:vAlign w:val="center"/>
            <w:hideMark/>
          </w:tcPr>
          <w:p w14:paraId="39CF57CC" w14:textId="77777777" w:rsidR="003B1A79" w:rsidRPr="00DE6A31" w:rsidRDefault="003B1A79" w:rsidP="003B1A79">
            <w:pPr>
              <w:jc w:val="center"/>
              <w:rPr>
                <w:sz w:val="28"/>
                <w:szCs w:val="28"/>
              </w:rPr>
            </w:pPr>
            <w:r w:rsidRPr="00DE6A31">
              <w:rPr>
                <w:sz w:val="28"/>
                <w:szCs w:val="28"/>
              </w:rPr>
              <w:t>0</w:t>
            </w:r>
          </w:p>
        </w:tc>
        <w:tc>
          <w:tcPr>
            <w:tcW w:w="1257" w:type="dxa"/>
            <w:vAlign w:val="center"/>
            <w:hideMark/>
          </w:tcPr>
          <w:p w14:paraId="62680C91" w14:textId="77777777" w:rsidR="003B1A79" w:rsidRPr="00DE6A31" w:rsidRDefault="003B1A79" w:rsidP="003B1A79">
            <w:pPr>
              <w:jc w:val="center"/>
              <w:rPr>
                <w:sz w:val="28"/>
                <w:szCs w:val="28"/>
              </w:rPr>
            </w:pPr>
            <w:r w:rsidRPr="00DE6A31">
              <w:rPr>
                <w:sz w:val="28"/>
                <w:szCs w:val="28"/>
              </w:rPr>
              <w:t>0</w:t>
            </w:r>
          </w:p>
        </w:tc>
        <w:tc>
          <w:tcPr>
            <w:tcW w:w="1268" w:type="dxa"/>
            <w:vAlign w:val="center"/>
            <w:hideMark/>
          </w:tcPr>
          <w:p w14:paraId="4CB70040" w14:textId="77777777" w:rsidR="003B1A79" w:rsidRPr="00DE6A31" w:rsidRDefault="003B1A79" w:rsidP="003B1A79">
            <w:pPr>
              <w:jc w:val="center"/>
              <w:rPr>
                <w:sz w:val="28"/>
                <w:szCs w:val="28"/>
              </w:rPr>
            </w:pPr>
            <w:r w:rsidRPr="00DE6A31">
              <w:rPr>
                <w:sz w:val="28"/>
                <w:szCs w:val="28"/>
              </w:rPr>
              <w:t>0</w:t>
            </w:r>
          </w:p>
        </w:tc>
      </w:tr>
      <w:tr w:rsidR="003B1A79" w:rsidRPr="00300104" w14:paraId="4C784044" w14:textId="77777777" w:rsidTr="00472147">
        <w:trPr>
          <w:jc w:val="center"/>
        </w:trPr>
        <w:tc>
          <w:tcPr>
            <w:tcW w:w="1838" w:type="dxa"/>
            <w:hideMark/>
          </w:tcPr>
          <w:p w14:paraId="1D47B58E" w14:textId="77777777" w:rsidR="003B1A79" w:rsidRPr="00DE6A31" w:rsidRDefault="003B1A79" w:rsidP="003B1A79">
            <w:pPr>
              <w:rPr>
                <w:sz w:val="28"/>
                <w:szCs w:val="28"/>
              </w:rPr>
            </w:pPr>
            <w:r w:rsidRPr="00DE6A31">
              <w:rPr>
                <w:sz w:val="28"/>
                <w:szCs w:val="28"/>
              </w:rPr>
              <w:t xml:space="preserve">4. Finanšu līdzekļi papildu </w:t>
            </w:r>
            <w:r w:rsidRPr="00DE6A31">
              <w:rPr>
                <w:sz w:val="28"/>
                <w:szCs w:val="28"/>
              </w:rPr>
              <w:lastRenderedPageBreak/>
              <w:t>izdevumu finansēšanai (kompensējošu izdevumu samazinājumu norāda ar "+" zīmi)</w:t>
            </w:r>
          </w:p>
        </w:tc>
        <w:tc>
          <w:tcPr>
            <w:tcW w:w="992" w:type="dxa"/>
            <w:vAlign w:val="center"/>
            <w:hideMark/>
          </w:tcPr>
          <w:p w14:paraId="630CD8C2" w14:textId="77777777" w:rsidR="003B1A79" w:rsidRPr="00DE6A31" w:rsidRDefault="003B1A79" w:rsidP="003B1A79">
            <w:pPr>
              <w:jc w:val="center"/>
              <w:rPr>
                <w:sz w:val="28"/>
                <w:szCs w:val="28"/>
              </w:rPr>
            </w:pPr>
            <w:r w:rsidRPr="00DE6A31">
              <w:rPr>
                <w:sz w:val="28"/>
                <w:szCs w:val="28"/>
              </w:rPr>
              <w:lastRenderedPageBreak/>
              <w:t>0</w:t>
            </w:r>
          </w:p>
        </w:tc>
        <w:tc>
          <w:tcPr>
            <w:tcW w:w="1061" w:type="dxa"/>
            <w:vAlign w:val="center"/>
            <w:hideMark/>
          </w:tcPr>
          <w:p w14:paraId="7EE471F3" w14:textId="77777777" w:rsidR="003B1A79" w:rsidRPr="00DE6A31" w:rsidRDefault="003B1A79" w:rsidP="003B1A79">
            <w:pPr>
              <w:jc w:val="center"/>
              <w:rPr>
                <w:sz w:val="28"/>
                <w:szCs w:val="28"/>
              </w:rPr>
            </w:pPr>
            <w:r w:rsidRPr="00DE6A31">
              <w:rPr>
                <w:sz w:val="28"/>
                <w:szCs w:val="28"/>
              </w:rPr>
              <w:t>0</w:t>
            </w:r>
          </w:p>
        </w:tc>
        <w:tc>
          <w:tcPr>
            <w:tcW w:w="1014" w:type="dxa"/>
            <w:vAlign w:val="center"/>
            <w:hideMark/>
          </w:tcPr>
          <w:p w14:paraId="1CF47190" w14:textId="77777777" w:rsidR="003B1A79" w:rsidRPr="00DE6A31" w:rsidRDefault="003B1A79" w:rsidP="003B1A79">
            <w:pPr>
              <w:jc w:val="center"/>
              <w:rPr>
                <w:sz w:val="28"/>
                <w:szCs w:val="28"/>
              </w:rPr>
            </w:pPr>
            <w:r w:rsidRPr="00DE6A31">
              <w:rPr>
                <w:sz w:val="28"/>
                <w:szCs w:val="28"/>
              </w:rPr>
              <w:t>0</w:t>
            </w:r>
          </w:p>
        </w:tc>
        <w:tc>
          <w:tcPr>
            <w:tcW w:w="1164" w:type="dxa"/>
            <w:vAlign w:val="center"/>
            <w:hideMark/>
          </w:tcPr>
          <w:p w14:paraId="68B56592" w14:textId="77777777" w:rsidR="003B1A79" w:rsidRPr="00DE6A31" w:rsidRDefault="003B1A79" w:rsidP="003B1A79">
            <w:pPr>
              <w:jc w:val="center"/>
              <w:rPr>
                <w:sz w:val="28"/>
                <w:szCs w:val="28"/>
              </w:rPr>
            </w:pPr>
            <w:r w:rsidRPr="00DE6A31">
              <w:rPr>
                <w:sz w:val="28"/>
                <w:szCs w:val="28"/>
              </w:rPr>
              <w:t>0</w:t>
            </w:r>
          </w:p>
        </w:tc>
        <w:tc>
          <w:tcPr>
            <w:tcW w:w="1035" w:type="dxa"/>
            <w:vAlign w:val="center"/>
            <w:hideMark/>
          </w:tcPr>
          <w:p w14:paraId="12067E17" w14:textId="77777777" w:rsidR="003B1A79" w:rsidRPr="00DE6A31" w:rsidRDefault="003B1A79" w:rsidP="003B1A79">
            <w:pPr>
              <w:jc w:val="center"/>
              <w:rPr>
                <w:sz w:val="28"/>
                <w:szCs w:val="28"/>
              </w:rPr>
            </w:pPr>
            <w:r w:rsidRPr="00DE6A31">
              <w:rPr>
                <w:sz w:val="28"/>
                <w:szCs w:val="28"/>
              </w:rPr>
              <w:t>0</w:t>
            </w:r>
          </w:p>
        </w:tc>
        <w:tc>
          <w:tcPr>
            <w:tcW w:w="1257" w:type="dxa"/>
            <w:vAlign w:val="center"/>
            <w:hideMark/>
          </w:tcPr>
          <w:p w14:paraId="1E1FE8FD" w14:textId="77777777" w:rsidR="003B1A79" w:rsidRPr="00DE6A31" w:rsidRDefault="003B1A79" w:rsidP="003B1A79">
            <w:pPr>
              <w:jc w:val="center"/>
              <w:rPr>
                <w:sz w:val="28"/>
                <w:szCs w:val="28"/>
              </w:rPr>
            </w:pPr>
            <w:r w:rsidRPr="00DE6A31">
              <w:rPr>
                <w:sz w:val="28"/>
                <w:szCs w:val="28"/>
              </w:rPr>
              <w:t>0</w:t>
            </w:r>
          </w:p>
        </w:tc>
        <w:tc>
          <w:tcPr>
            <w:tcW w:w="1268" w:type="dxa"/>
            <w:vAlign w:val="center"/>
            <w:hideMark/>
          </w:tcPr>
          <w:p w14:paraId="4939E0F7" w14:textId="77777777" w:rsidR="003B1A79" w:rsidRPr="00DE6A31" w:rsidRDefault="003B1A79" w:rsidP="003B1A79">
            <w:pPr>
              <w:jc w:val="center"/>
              <w:rPr>
                <w:sz w:val="28"/>
                <w:szCs w:val="28"/>
              </w:rPr>
            </w:pPr>
            <w:r w:rsidRPr="00DE6A31">
              <w:rPr>
                <w:sz w:val="28"/>
                <w:szCs w:val="28"/>
              </w:rPr>
              <w:t>0</w:t>
            </w:r>
          </w:p>
        </w:tc>
      </w:tr>
      <w:tr w:rsidR="003B1A79" w:rsidRPr="00300104" w14:paraId="4911D628" w14:textId="77777777" w:rsidTr="00472147">
        <w:trPr>
          <w:jc w:val="center"/>
        </w:trPr>
        <w:tc>
          <w:tcPr>
            <w:tcW w:w="1838" w:type="dxa"/>
            <w:hideMark/>
          </w:tcPr>
          <w:p w14:paraId="3C46570E" w14:textId="77777777" w:rsidR="003B1A79" w:rsidRPr="00DE6A31" w:rsidRDefault="003B1A79" w:rsidP="003B1A79">
            <w:pPr>
              <w:rPr>
                <w:sz w:val="28"/>
                <w:szCs w:val="28"/>
              </w:rPr>
            </w:pPr>
            <w:r w:rsidRPr="00DE6A31">
              <w:rPr>
                <w:sz w:val="28"/>
                <w:szCs w:val="28"/>
              </w:rPr>
              <w:t>5. Precizēta finansiālā ietekme</w:t>
            </w:r>
          </w:p>
        </w:tc>
        <w:tc>
          <w:tcPr>
            <w:tcW w:w="992" w:type="dxa"/>
            <w:vMerge w:val="restart"/>
            <w:vAlign w:val="center"/>
            <w:hideMark/>
          </w:tcPr>
          <w:p w14:paraId="71869291" w14:textId="77777777" w:rsidR="003B1A79" w:rsidRPr="00DE6A31" w:rsidRDefault="003B1A79" w:rsidP="003B1A79">
            <w:pPr>
              <w:jc w:val="center"/>
              <w:rPr>
                <w:sz w:val="28"/>
                <w:szCs w:val="28"/>
              </w:rPr>
            </w:pPr>
            <w:r w:rsidRPr="00DE6A31">
              <w:rPr>
                <w:sz w:val="28"/>
                <w:szCs w:val="28"/>
              </w:rPr>
              <w:t>X</w:t>
            </w:r>
          </w:p>
        </w:tc>
        <w:tc>
          <w:tcPr>
            <w:tcW w:w="1061" w:type="dxa"/>
            <w:vAlign w:val="center"/>
            <w:hideMark/>
          </w:tcPr>
          <w:p w14:paraId="52B1C6C0" w14:textId="77777777" w:rsidR="003B1A79" w:rsidRPr="00DE6A31" w:rsidRDefault="003B1A79" w:rsidP="003B1A79">
            <w:pPr>
              <w:jc w:val="center"/>
              <w:rPr>
                <w:sz w:val="28"/>
                <w:szCs w:val="28"/>
              </w:rPr>
            </w:pPr>
            <w:r w:rsidRPr="00DE6A31">
              <w:rPr>
                <w:sz w:val="28"/>
                <w:szCs w:val="28"/>
              </w:rPr>
              <w:t>0</w:t>
            </w:r>
          </w:p>
        </w:tc>
        <w:tc>
          <w:tcPr>
            <w:tcW w:w="1014" w:type="dxa"/>
            <w:vMerge w:val="restart"/>
            <w:vAlign w:val="center"/>
            <w:hideMark/>
          </w:tcPr>
          <w:p w14:paraId="09229A2E" w14:textId="77777777" w:rsidR="003B1A79" w:rsidRPr="00DE6A31" w:rsidRDefault="003B1A79" w:rsidP="003B1A79">
            <w:pPr>
              <w:jc w:val="center"/>
              <w:rPr>
                <w:sz w:val="28"/>
                <w:szCs w:val="28"/>
              </w:rPr>
            </w:pPr>
            <w:r w:rsidRPr="00DE6A31">
              <w:rPr>
                <w:sz w:val="28"/>
                <w:szCs w:val="28"/>
              </w:rPr>
              <w:t>X</w:t>
            </w:r>
          </w:p>
        </w:tc>
        <w:tc>
          <w:tcPr>
            <w:tcW w:w="1164" w:type="dxa"/>
            <w:vAlign w:val="center"/>
            <w:hideMark/>
          </w:tcPr>
          <w:p w14:paraId="0F8195CE" w14:textId="77777777" w:rsidR="003B1A79" w:rsidRPr="00DE6A31" w:rsidRDefault="003B1A79" w:rsidP="003B1A79">
            <w:pPr>
              <w:jc w:val="center"/>
              <w:rPr>
                <w:sz w:val="28"/>
                <w:szCs w:val="28"/>
              </w:rPr>
            </w:pPr>
            <w:r w:rsidRPr="00DE6A31">
              <w:rPr>
                <w:sz w:val="28"/>
                <w:szCs w:val="28"/>
              </w:rPr>
              <w:t>0</w:t>
            </w:r>
          </w:p>
        </w:tc>
        <w:tc>
          <w:tcPr>
            <w:tcW w:w="1035" w:type="dxa"/>
            <w:vMerge w:val="restart"/>
            <w:vAlign w:val="center"/>
            <w:hideMark/>
          </w:tcPr>
          <w:p w14:paraId="795CB110" w14:textId="77777777" w:rsidR="003B1A79" w:rsidRPr="00DE6A31" w:rsidRDefault="003B1A79" w:rsidP="003B1A79">
            <w:pPr>
              <w:jc w:val="center"/>
              <w:rPr>
                <w:sz w:val="28"/>
                <w:szCs w:val="28"/>
              </w:rPr>
            </w:pPr>
            <w:r w:rsidRPr="00DE6A31">
              <w:rPr>
                <w:sz w:val="28"/>
                <w:szCs w:val="28"/>
              </w:rPr>
              <w:t>X</w:t>
            </w:r>
          </w:p>
        </w:tc>
        <w:tc>
          <w:tcPr>
            <w:tcW w:w="1257" w:type="dxa"/>
            <w:vAlign w:val="center"/>
            <w:hideMark/>
          </w:tcPr>
          <w:p w14:paraId="7401999C" w14:textId="77777777" w:rsidR="003B1A79" w:rsidRPr="00DE6A31" w:rsidRDefault="003B1A79" w:rsidP="003B1A79">
            <w:pPr>
              <w:jc w:val="center"/>
              <w:rPr>
                <w:sz w:val="28"/>
                <w:szCs w:val="28"/>
              </w:rPr>
            </w:pPr>
            <w:r w:rsidRPr="00DE6A31">
              <w:rPr>
                <w:sz w:val="28"/>
                <w:szCs w:val="28"/>
              </w:rPr>
              <w:t>0</w:t>
            </w:r>
          </w:p>
        </w:tc>
        <w:tc>
          <w:tcPr>
            <w:tcW w:w="1268" w:type="dxa"/>
            <w:vAlign w:val="center"/>
            <w:hideMark/>
          </w:tcPr>
          <w:p w14:paraId="7C6EFDF7" w14:textId="77777777" w:rsidR="003B1A79" w:rsidRPr="00DE6A31" w:rsidRDefault="003B1A79" w:rsidP="003B1A79">
            <w:pPr>
              <w:jc w:val="center"/>
              <w:rPr>
                <w:sz w:val="28"/>
                <w:szCs w:val="28"/>
              </w:rPr>
            </w:pPr>
            <w:r w:rsidRPr="00DE6A31">
              <w:rPr>
                <w:sz w:val="28"/>
                <w:szCs w:val="28"/>
              </w:rPr>
              <w:t>0</w:t>
            </w:r>
          </w:p>
        </w:tc>
      </w:tr>
      <w:tr w:rsidR="003B1A79" w:rsidRPr="00300104" w14:paraId="531B8F64" w14:textId="77777777" w:rsidTr="00472147">
        <w:trPr>
          <w:jc w:val="center"/>
        </w:trPr>
        <w:tc>
          <w:tcPr>
            <w:tcW w:w="1838" w:type="dxa"/>
            <w:hideMark/>
          </w:tcPr>
          <w:p w14:paraId="4C5185E3" w14:textId="77777777" w:rsidR="003B1A79" w:rsidRPr="00DE6A31" w:rsidRDefault="003B1A79" w:rsidP="003B1A79">
            <w:pPr>
              <w:rPr>
                <w:sz w:val="28"/>
                <w:szCs w:val="28"/>
              </w:rPr>
            </w:pPr>
            <w:r w:rsidRPr="00DE6A31">
              <w:rPr>
                <w:sz w:val="28"/>
                <w:szCs w:val="28"/>
              </w:rPr>
              <w:t>5.1. valsts pamatbudžets</w:t>
            </w:r>
          </w:p>
        </w:tc>
        <w:tc>
          <w:tcPr>
            <w:tcW w:w="992" w:type="dxa"/>
            <w:vMerge/>
            <w:vAlign w:val="center"/>
            <w:hideMark/>
          </w:tcPr>
          <w:p w14:paraId="6E8A28A2" w14:textId="77777777" w:rsidR="003B1A79" w:rsidRPr="00DE6A31" w:rsidRDefault="003B1A79" w:rsidP="003B1A79">
            <w:pPr>
              <w:jc w:val="center"/>
              <w:rPr>
                <w:sz w:val="28"/>
                <w:szCs w:val="28"/>
              </w:rPr>
            </w:pPr>
          </w:p>
        </w:tc>
        <w:tc>
          <w:tcPr>
            <w:tcW w:w="1061" w:type="dxa"/>
            <w:vAlign w:val="center"/>
            <w:hideMark/>
          </w:tcPr>
          <w:p w14:paraId="4545C085" w14:textId="77777777" w:rsidR="003B1A79" w:rsidRPr="00DE6A31" w:rsidRDefault="003B1A79" w:rsidP="003B1A79">
            <w:pPr>
              <w:jc w:val="center"/>
              <w:rPr>
                <w:sz w:val="28"/>
                <w:szCs w:val="28"/>
              </w:rPr>
            </w:pPr>
            <w:r w:rsidRPr="00DE6A31">
              <w:rPr>
                <w:sz w:val="28"/>
                <w:szCs w:val="28"/>
              </w:rPr>
              <w:t>0</w:t>
            </w:r>
          </w:p>
        </w:tc>
        <w:tc>
          <w:tcPr>
            <w:tcW w:w="1014" w:type="dxa"/>
            <w:vMerge/>
            <w:vAlign w:val="center"/>
            <w:hideMark/>
          </w:tcPr>
          <w:p w14:paraId="1FF776ED" w14:textId="77777777" w:rsidR="003B1A79" w:rsidRPr="00DE6A31" w:rsidRDefault="003B1A79" w:rsidP="003B1A79">
            <w:pPr>
              <w:jc w:val="center"/>
              <w:rPr>
                <w:sz w:val="28"/>
                <w:szCs w:val="28"/>
              </w:rPr>
            </w:pPr>
          </w:p>
        </w:tc>
        <w:tc>
          <w:tcPr>
            <w:tcW w:w="1164" w:type="dxa"/>
            <w:vAlign w:val="center"/>
            <w:hideMark/>
          </w:tcPr>
          <w:p w14:paraId="739A15F2" w14:textId="77777777" w:rsidR="003B1A79" w:rsidRPr="00DE6A31" w:rsidRDefault="003B1A79" w:rsidP="003B1A79">
            <w:pPr>
              <w:jc w:val="center"/>
              <w:rPr>
                <w:sz w:val="28"/>
                <w:szCs w:val="28"/>
              </w:rPr>
            </w:pPr>
            <w:r w:rsidRPr="00DE6A31">
              <w:rPr>
                <w:sz w:val="28"/>
                <w:szCs w:val="28"/>
              </w:rPr>
              <w:t>0</w:t>
            </w:r>
          </w:p>
        </w:tc>
        <w:tc>
          <w:tcPr>
            <w:tcW w:w="1035" w:type="dxa"/>
            <w:vMerge/>
            <w:vAlign w:val="center"/>
            <w:hideMark/>
          </w:tcPr>
          <w:p w14:paraId="7948D96D" w14:textId="77777777" w:rsidR="003B1A79" w:rsidRPr="00DE6A31" w:rsidRDefault="003B1A79" w:rsidP="003B1A79">
            <w:pPr>
              <w:jc w:val="center"/>
              <w:rPr>
                <w:sz w:val="28"/>
                <w:szCs w:val="28"/>
              </w:rPr>
            </w:pPr>
          </w:p>
        </w:tc>
        <w:tc>
          <w:tcPr>
            <w:tcW w:w="1257" w:type="dxa"/>
            <w:vAlign w:val="center"/>
            <w:hideMark/>
          </w:tcPr>
          <w:p w14:paraId="7ACA15D1" w14:textId="77777777" w:rsidR="003B1A79" w:rsidRPr="00DE6A31" w:rsidRDefault="003B1A79" w:rsidP="003B1A79">
            <w:pPr>
              <w:jc w:val="center"/>
              <w:rPr>
                <w:sz w:val="28"/>
                <w:szCs w:val="28"/>
              </w:rPr>
            </w:pPr>
            <w:r w:rsidRPr="00DE6A31">
              <w:rPr>
                <w:sz w:val="28"/>
                <w:szCs w:val="28"/>
              </w:rPr>
              <w:t>0</w:t>
            </w:r>
          </w:p>
        </w:tc>
        <w:tc>
          <w:tcPr>
            <w:tcW w:w="1268" w:type="dxa"/>
            <w:vAlign w:val="center"/>
            <w:hideMark/>
          </w:tcPr>
          <w:p w14:paraId="35B3F06E" w14:textId="77777777" w:rsidR="003B1A79" w:rsidRPr="00DE6A31" w:rsidRDefault="003B1A79" w:rsidP="003B1A79">
            <w:pPr>
              <w:jc w:val="center"/>
              <w:rPr>
                <w:sz w:val="28"/>
                <w:szCs w:val="28"/>
              </w:rPr>
            </w:pPr>
            <w:r w:rsidRPr="00DE6A31">
              <w:rPr>
                <w:sz w:val="28"/>
                <w:szCs w:val="28"/>
              </w:rPr>
              <w:t>0</w:t>
            </w:r>
          </w:p>
        </w:tc>
      </w:tr>
      <w:tr w:rsidR="003B1A79" w:rsidRPr="00300104" w14:paraId="3FB1C5A2" w14:textId="77777777" w:rsidTr="00472147">
        <w:trPr>
          <w:jc w:val="center"/>
        </w:trPr>
        <w:tc>
          <w:tcPr>
            <w:tcW w:w="1838" w:type="dxa"/>
            <w:hideMark/>
          </w:tcPr>
          <w:p w14:paraId="6358CA97" w14:textId="77777777" w:rsidR="003B1A79" w:rsidRPr="00DE6A31" w:rsidRDefault="003B1A79" w:rsidP="003B1A79">
            <w:pPr>
              <w:rPr>
                <w:sz w:val="28"/>
                <w:szCs w:val="28"/>
              </w:rPr>
            </w:pPr>
            <w:r w:rsidRPr="00DE6A31">
              <w:rPr>
                <w:sz w:val="28"/>
                <w:szCs w:val="28"/>
              </w:rPr>
              <w:t>5.2. speciālais budžets</w:t>
            </w:r>
          </w:p>
        </w:tc>
        <w:tc>
          <w:tcPr>
            <w:tcW w:w="992" w:type="dxa"/>
            <w:vMerge/>
            <w:vAlign w:val="center"/>
            <w:hideMark/>
          </w:tcPr>
          <w:p w14:paraId="6060E5D6" w14:textId="77777777" w:rsidR="003B1A79" w:rsidRPr="00DE6A31" w:rsidRDefault="003B1A79" w:rsidP="003B1A79">
            <w:pPr>
              <w:jc w:val="center"/>
              <w:rPr>
                <w:sz w:val="28"/>
                <w:szCs w:val="28"/>
              </w:rPr>
            </w:pPr>
          </w:p>
        </w:tc>
        <w:tc>
          <w:tcPr>
            <w:tcW w:w="1061" w:type="dxa"/>
            <w:vAlign w:val="center"/>
            <w:hideMark/>
          </w:tcPr>
          <w:p w14:paraId="005E1A90" w14:textId="77777777" w:rsidR="003B1A79" w:rsidRPr="00DE6A31" w:rsidRDefault="003B1A79" w:rsidP="003B1A79">
            <w:pPr>
              <w:jc w:val="center"/>
              <w:rPr>
                <w:sz w:val="28"/>
                <w:szCs w:val="28"/>
              </w:rPr>
            </w:pPr>
            <w:r w:rsidRPr="00DE6A31">
              <w:rPr>
                <w:sz w:val="28"/>
                <w:szCs w:val="28"/>
              </w:rPr>
              <w:t>0</w:t>
            </w:r>
          </w:p>
        </w:tc>
        <w:tc>
          <w:tcPr>
            <w:tcW w:w="1014" w:type="dxa"/>
            <w:vMerge/>
            <w:vAlign w:val="center"/>
            <w:hideMark/>
          </w:tcPr>
          <w:p w14:paraId="352DB54B" w14:textId="77777777" w:rsidR="003B1A79" w:rsidRPr="00DE6A31" w:rsidRDefault="003B1A79" w:rsidP="003B1A79">
            <w:pPr>
              <w:jc w:val="center"/>
              <w:rPr>
                <w:sz w:val="28"/>
                <w:szCs w:val="28"/>
              </w:rPr>
            </w:pPr>
          </w:p>
        </w:tc>
        <w:tc>
          <w:tcPr>
            <w:tcW w:w="1164" w:type="dxa"/>
            <w:vAlign w:val="center"/>
            <w:hideMark/>
          </w:tcPr>
          <w:p w14:paraId="3590D3D1" w14:textId="77777777" w:rsidR="003B1A79" w:rsidRPr="00DE6A31" w:rsidRDefault="003B1A79" w:rsidP="003B1A79">
            <w:pPr>
              <w:jc w:val="center"/>
              <w:rPr>
                <w:sz w:val="28"/>
                <w:szCs w:val="28"/>
              </w:rPr>
            </w:pPr>
            <w:r w:rsidRPr="00DE6A31">
              <w:rPr>
                <w:sz w:val="28"/>
                <w:szCs w:val="28"/>
              </w:rPr>
              <w:t>0</w:t>
            </w:r>
          </w:p>
        </w:tc>
        <w:tc>
          <w:tcPr>
            <w:tcW w:w="1035" w:type="dxa"/>
            <w:vMerge/>
            <w:vAlign w:val="center"/>
            <w:hideMark/>
          </w:tcPr>
          <w:p w14:paraId="101ACB6D" w14:textId="77777777" w:rsidR="003B1A79" w:rsidRPr="00DE6A31" w:rsidRDefault="003B1A79" w:rsidP="003B1A79">
            <w:pPr>
              <w:jc w:val="center"/>
              <w:rPr>
                <w:sz w:val="28"/>
                <w:szCs w:val="28"/>
              </w:rPr>
            </w:pPr>
          </w:p>
        </w:tc>
        <w:tc>
          <w:tcPr>
            <w:tcW w:w="1257" w:type="dxa"/>
            <w:vAlign w:val="center"/>
            <w:hideMark/>
          </w:tcPr>
          <w:p w14:paraId="6EFAC78C" w14:textId="77777777" w:rsidR="003B1A79" w:rsidRPr="00DE6A31" w:rsidRDefault="003B1A79" w:rsidP="003B1A79">
            <w:pPr>
              <w:jc w:val="center"/>
              <w:rPr>
                <w:sz w:val="28"/>
                <w:szCs w:val="28"/>
              </w:rPr>
            </w:pPr>
            <w:r w:rsidRPr="00DE6A31">
              <w:rPr>
                <w:sz w:val="28"/>
                <w:szCs w:val="28"/>
              </w:rPr>
              <w:t>0</w:t>
            </w:r>
          </w:p>
        </w:tc>
        <w:tc>
          <w:tcPr>
            <w:tcW w:w="1268" w:type="dxa"/>
            <w:vAlign w:val="center"/>
            <w:hideMark/>
          </w:tcPr>
          <w:p w14:paraId="25C6337B" w14:textId="77777777" w:rsidR="003B1A79" w:rsidRPr="00DE6A31" w:rsidRDefault="003B1A79" w:rsidP="003B1A79">
            <w:pPr>
              <w:jc w:val="center"/>
              <w:rPr>
                <w:sz w:val="28"/>
                <w:szCs w:val="28"/>
              </w:rPr>
            </w:pPr>
            <w:r w:rsidRPr="00DE6A31">
              <w:rPr>
                <w:sz w:val="28"/>
                <w:szCs w:val="28"/>
              </w:rPr>
              <w:t>0</w:t>
            </w:r>
          </w:p>
        </w:tc>
      </w:tr>
      <w:tr w:rsidR="003B1A79" w:rsidRPr="00300104" w14:paraId="4314CA6D" w14:textId="77777777" w:rsidTr="00472147">
        <w:trPr>
          <w:jc w:val="center"/>
        </w:trPr>
        <w:tc>
          <w:tcPr>
            <w:tcW w:w="1838" w:type="dxa"/>
            <w:hideMark/>
          </w:tcPr>
          <w:p w14:paraId="21F7AA6D" w14:textId="5AFD2282" w:rsidR="003B1A79" w:rsidRPr="00DE6A31" w:rsidRDefault="003B1A79" w:rsidP="003B1A79">
            <w:pPr>
              <w:rPr>
                <w:sz w:val="28"/>
                <w:szCs w:val="28"/>
              </w:rPr>
            </w:pPr>
            <w:r w:rsidRPr="00DE6A31">
              <w:rPr>
                <w:sz w:val="28"/>
                <w:szCs w:val="28"/>
              </w:rPr>
              <w:t>5.3.pašvaldību budžets</w:t>
            </w:r>
          </w:p>
        </w:tc>
        <w:tc>
          <w:tcPr>
            <w:tcW w:w="992" w:type="dxa"/>
            <w:vMerge/>
            <w:vAlign w:val="center"/>
            <w:hideMark/>
          </w:tcPr>
          <w:p w14:paraId="3551D185" w14:textId="77777777" w:rsidR="003B1A79" w:rsidRPr="00DE6A31" w:rsidRDefault="003B1A79" w:rsidP="003B1A79">
            <w:pPr>
              <w:jc w:val="center"/>
              <w:rPr>
                <w:sz w:val="28"/>
                <w:szCs w:val="28"/>
              </w:rPr>
            </w:pPr>
          </w:p>
        </w:tc>
        <w:tc>
          <w:tcPr>
            <w:tcW w:w="1061" w:type="dxa"/>
            <w:vAlign w:val="center"/>
            <w:hideMark/>
          </w:tcPr>
          <w:p w14:paraId="1EDF9E74" w14:textId="77777777" w:rsidR="003B1A79" w:rsidRPr="00DE6A31" w:rsidRDefault="003B1A79" w:rsidP="003B1A79">
            <w:pPr>
              <w:jc w:val="center"/>
              <w:rPr>
                <w:sz w:val="28"/>
                <w:szCs w:val="28"/>
              </w:rPr>
            </w:pPr>
            <w:r w:rsidRPr="00DE6A31">
              <w:rPr>
                <w:sz w:val="28"/>
                <w:szCs w:val="28"/>
              </w:rPr>
              <w:t>0</w:t>
            </w:r>
          </w:p>
        </w:tc>
        <w:tc>
          <w:tcPr>
            <w:tcW w:w="1014" w:type="dxa"/>
            <w:vMerge/>
            <w:vAlign w:val="center"/>
            <w:hideMark/>
          </w:tcPr>
          <w:p w14:paraId="03CE9865" w14:textId="77777777" w:rsidR="003B1A79" w:rsidRPr="00DE6A31" w:rsidRDefault="003B1A79" w:rsidP="003B1A79">
            <w:pPr>
              <w:jc w:val="center"/>
              <w:rPr>
                <w:sz w:val="28"/>
                <w:szCs w:val="28"/>
              </w:rPr>
            </w:pPr>
          </w:p>
        </w:tc>
        <w:tc>
          <w:tcPr>
            <w:tcW w:w="1164" w:type="dxa"/>
            <w:vAlign w:val="center"/>
            <w:hideMark/>
          </w:tcPr>
          <w:p w14:paraId="27B8FC69" w14:textId="77777777" w:rsidR="003B1A79" w:rsidRPr="00DE6A31" w:rsidRDefault="003B1A79" w:rsidP="003B1A79">
            <w:pPr>
              <w:jc w:val="center"/>
              <w:rPr>
                <w:sz w:val="28"/>
                <w:szCs w:val="28"/>
              </w:rPr>
            </w:pPr>
            <w:r w:rsidRPr="00DE6A31">
              <w:rPr>
                <w:sz w:val="28"/>
                <w:szCs w:val="28"/>
              </w:rPr>
              <w:t>0</w:t>
            </w:r>
          </w:p>
        </w:tc>
        <w:tc>
          <w:tcPr>
            <w:tcW w:w="1035" w:type="dxa"/>
            <w:vMerge/>
            <w:vAlign w:val="center"/>
            <w:hideMark/>
          </w:tcPr>
          <w:p w14:paraId="7EB817F1" w14:textId="77777777" w:rsidR="003B1A79" w:rsidRPr="00DE6A31" w:rsidRDefault="003B1A79" w:rsidP="003B1A79">
            <w:pPr>
              <w:jc w:val="center"/>
              <w:rPr>
                <w:sz w:val="28"/>
                <w:szCs w:val="28"/>
              </w:rPr>
            </w:pPr>
          </w:p>
        </w:tc>
        <w:tc>
          <w:tcPr>
            <w:tcW w:w="1257" w:type="dxa"/>
            <w:vAlign w:val="center"/>
            <w:hideMark/>
          </w:tcPr>
          <w:p w14:paraId="777B638C" w14:textId="77777777" w:rsidR="003B1A79" w:rsidRPr="00DE6A31" w:rsidRDefault="003B1A79" w:rsidP="003B1A79">
            <w:pPr>
              <w:jc w:val="center"/>
              <w:rPr>
                <w:sz w:val="28"/>
                <w:szCs w:val="28"/>
              </w:rPr>
            </w:pPr>
            <w:r w:rsidRPr="00DE6A31">
              <w:rPr>
                <w:sz w:val="28"/>
                <w:szCs w:val="28"/>
              </w:rPr>
              <w:t>0</w:t>
            </w:r>
          </w:p>
        </w:tc>
        <w:tc>
          <w:tcPr>
            <w:tcW w:w="1268" w:type="dxa"/>
            <w:vAlign w:val="center"/>
            <w:hideMark/>
          </w:tcPr>
          <w:p w14:paraId="53A6DA62" w14:textId="77777777" w:rsidR="003B1A79" w:rsidRPr="00DE6A31" w:rsidRDefault="003B1A79" w:rsidP="003B1A79">
            <w:pPr>
              <w:jc w:val="center"/>
              <w:rPr>
                <w:sz w:val="28"/>
                <w:szCs w:val="28"/>
              </w:rPr>
            </w:pPr>
            <w:r w:rsidRPr="00DE6A31">
              <w:rPr>
                <w:sz w:val="28"/>
                <w:szCs w:val="28"/>
              </w:rPr>
              <w:t>0</w:t>
            </w:r>
          </w:p>
        </w:tc>
      </w:tr>
      <w:tr w:rsidR="003B1A79" w:rsidRPr="00300104" w14:paraId="7BF4F6A2" w14:textId="77777777" w:rsidTr="00472147">
        <w:trPr>
          <w:jc w:val="center"/>
        </w:trPr>
        <w:tc>
          <w:tcPr>
            <w:tcW w:w="1838" w:type="dxa"/>
            <w:hideMark/>
          </w:tcPr>
          <w:p w14:paraId="0FA695DC" w14:textId="77777777" w:rsidR="003B1A79" w:rsidRPr="00DE6A31" w:rsidRDefault="003B1A79" w:rsidP="003B1A79">
            <w:pPr>
              <w:rPr>
                <w:sz w:val="28"/>
                <w:szCs w:val="28"/>
              </w:rPr>
            </w:pPr>
            <w:r w:rsidRPr="00DE6A31">
              <w:rPr>
                <w:sz w:val="28"/>
                <w:szCs w:val="28"/>
              </w:rPr>
              <w:t>6. Detalizēts ieņēmumu un izdevumu aprēķins (ja nepieciešams, detalizētu ieņēmumu un izdevumu aprēķinu var pievienot anotācijas pielikumā)</w:t>
            </w:r>
          </w:p>
        </w:tc>
        <w:tc>
          <w:tcPr>
            <w:tcW w:w="7791" w:type="dxa"/>
            <w:gridSpan w:val="7"/>
            <w:vMerge w:val="restart"/>
            <w:hideMark/>
          </w:tcPr>
          <w:p w14:paraId="04CFDFBC" w14:textId="14FD64EB" w:rsidR="00A632DE" w:rsidRPr="00DE6A31" w:rsidRDefault="003B1A79" w:rsidP="003B1A79">
            <w:pPr>
              <w:ind w:right="141"/>
              <w:jc w:val="both"/>
              <w:rPr>
                <w:sz w:val="28"/>
                <w:szCs w:val="28"/>
              </w:rPr>
            </w:pPr>
            <w:r w:rsidRPr="00DE6A31">
              <w:rPr>
                <w:sz w:val="28"/>
                <w:szCs w:val="28"/>
              </w:rPr>
              <w:t xml:space="preserve">     Šobrīd </w:t>
            </w:r>
            <w:r w:rsidR="00A35E8B" w:rsidRPr="00DE6A31">
              <w:rPr>
                <w:sz w:val="28"/>
                <w:szCs w:val="28"/>
              </w:rPr>
              <w:t>VID</w:t>
            </w:r>
            <w:r w:rsidRPr="00DE6A31">
              <w:rPr>
                <w:sz w:val="28"/>
                <w:szCs w:val="28"/>
              </w:rPr>
              <w:t xml:space="preserve"> 33.00.00 programmas “Valsts ieņēmumu un muitas politikas nodrošināšana” 2018</w:t>
            </w:r>
            <w:r w:rsidR="00C219D6" w:rsidRPr="00DE6A31">
              <w:rPr>
                <w:sz w:val="28"/>
                <w:szCs w:val="28"/>
              </w:rPr>
              <w:t>.gadā un turpmāk ik gadu</w:t>
            </w:r>
            <w:r w:rsidRPr="00DE6A31">
              <w:rPr>
                <w:sz w:val="28"/>
                <w:szCs w:val="28"/>
              </w:rPr>
              <w:t xml:space="preserve"> pašu ieņēmumu plānā paredzēti ieņēmumi </w:t>
            </w:r>
            <w:r w:rsidR="00C26E47" w:rsidRPr="00DE6A31">
              <w:rPr>
                <w:sz w:val="28"/>
                <w:szCs w:val="28"/>
              </w:rPr>
              <w:t xml:space="preserve">51 866 </w:t>
            </w:r>
            <w:r w:rsidR="00C26E47" w:rsidRPr="00DE6A31">
              <w:rPr>
                <w:i/>
                <w:sz w:val="28"/>
                <w:szCs w:val="28"/>
              </w:rPr>
              <w:t>euro</w:t>
            </w:r>
            <w:r w:rsidR="00C26E47" w:rsidRPr="00DE6A31">
              <w:rPr>
                <w:sz w:val="28"/>
                <w:szCs w:val="28"/>
              </w:rPr>
              <w:t xml:space="preserve"> apmērā</w:t>
            </w:r>
            <w:r w:rsidR="001E38FD" w:rsidRPr="00DE6A31">
              <w:rPr>
                <w:sz w:val="28"/>
                <w:szCs w:val="28"/>
              </w:rPr>
              <w:t>, tajā skaitā</w:t>
            </w:r>
            <w:r w:rsidR="00A632DE" w:rsidRPr="00DE6A31">
              <w:rPr>
                <w:sz w:val="28"/>
                <w:szCs w:val="28"/>
              </w:rPr>
              <w:t>:</w:t>
            </w:r>
          </w:p>
          <w:p w14:paraId="35C6D55D" w14:textId="29952714" w:rsidR="00A632DE" w:rsidRPr="00DE6A31" w:rsidRDefault="003B1A79" w:rsidP="0062535A">
            <w:pPr>
              <w:pStyle w:val="ListParagraph"/>
              <w:numPr>
                <w:ilvl w:val="0"/>
                <w:numId w:val="20"/>
              </w:numPr>
              <w:ind w:right="141"/>
              <w:jc w:val="both"/>
              <w:rPr>
                <w:sz w:val="28"/>
                <w:szCs w:val="28"/>
              </w:rPr>
            </w:pPr>
            <w:r w:rsidRPr="00DE6A31">
              <w:rPr>
                <w:sz w:val="28"/>
                <w:szCs w:val="28"/>
              </w:rPr>
              <w:t xml:space="preserve">nodokļu un citu maksājumu reģistrēšanas elektroniskajām ierīcēm un iekārtām plombu realizācija 22 773 </w:t>
            </w:r>
            <w:r w:rsidRPr="00DE6A31">
              <w:rPr>
                <w:i/>
                <w:sz w:val="28"/>
                <w:szCs w:val="28"/>
              </w:rPr>
              <w:t>euro</w:t>
            </w:r>
            <w:r w:rsidRPr="00DE6A31">
              <w:rPr>
                <w:sz w:val="28"/>
                <w:szCs w:val="28"/>
              </w:rPr>
              <w:t xml:space="preserve"> apmērā</w:t>
            </w:r>
            <w:r w:rsidR="00A632DE" w:rsidRPr="00DE6A31">
              <w:rPr>
                <w:sz w:val="28"/>
                <w:szCs w:val="28"/>
              </w:rPr>
              <w:t>;</w:t>
            </w:r>
          </w:p>
          <w:p w14:paraId="27F40EC1" w14:textId="5420A029" w:rsidR="00A632DE" w:rsidRPr="00DE6A31" w:rsidRDefault="003B1A79" w:rsidP="0062535A">
            <w:pPr>
              <w:pStyle w:val="ListParagraph"/>
              <w:numPr>
                <w:ilvl w:val="0"/>
                <w:numId w:val="20"/>
              </w:numPr>
              <w:ind w:right="141"/>
              <w:jc w:val="both"/>
              <w:rPr>
                <w:i/>
                <w:sz w:val="28"/>
                <w:szCs w:val="28"/>
              </w:rPr>
            </w:pPr>
            <w:r w:rsidRPr="00DE6A31">
              <w:rPr>
                <w:sz w:val="28"/>
                <w:szCs w:val="28"/>
              </w:rPr>
              <w:t xml:space="preserve">muitas nodrošinājuma plombējošo drošības uzlīmju realizācija 996 </w:t>
            </w:r>
            <w:r w:rsidRPr="00DE6A31">
              <w:rPr>
                <w:i/>
                <w:sz w:val="28"/>
                <w:szCs w:val="28"/>
              </w:rPr>
              <w:t>euro</w:t>
            </w:r>
            <w:r w:rsidR="00A632DE" w:rsidRPr="00DE6A31">
              <w:rPr>
                <w:i/>
                <w:sz w:val="28"/>
                <w:szCs w:val="28"/>
              </w:rPr>
              <w:t xml:space="preserve"> </w:t>
            </w:r>
            <w:r w:rsidR="00A632DE" w:rsidRPr="00DE6A31">
              <w:rPr>
                <w:sz w:val="28"/>
                <w:szCs w:val="28"/>
              </w:rPr>
              <w:t>apmērā;</w:t>
            </w:r>
          </w:p>
          <w:p w14:paraId="58E6BDE8" w14:textId="77F2FD7A" w:rsidR="00A632DE" w:rsidRPr="00DE6A31" w:rsidRDefault="003B1A79" w:rsidP="0062535A">
            <w:pPr>
              <w:pStyle w:val="ListParagraph"/>
              <w:numPr>
                <w:ilvl w:val="0"/>
                <w:numId w:val="20"/>
              </w:numPr>
              <w:ind w:right="141"/>
              <w:jc w:val="both"/>
              <w:rPr>
                <w:sz w:val="28"/>
                <w:szCs w:val="28"/>
              </w:rPr>
            </w:pPr>
            <w:r w:rsidRPr="00DE6A31">
              <w:rPr>
                <w:sz w:val="28"/>
                <w:szCs w:val="28"/>
              </w:rPr>
              <w:t xml:space="preserve">muitas nodrošinājuma trosīšveida plombu realizācija 4 410 </w:t>
            </w:r>
            <w:r w:rsidRPr="00DE6A31">
              <w:rPr>
                <w:i/>
                <w:sz w:val="28"/>
                <w:szCs w:val="28"/>
              </w:rPr>
              <w:t>euro</w:t>
            </w:r>
            <w:r w:rsidR="00A632DE" w:rsidRPr="00DE6A31">
              <w:rPr>
                <w:sz w:val="28"/>
                <w:szCs w:val="28"/>
              </w:rPr>
              <w:t xml:space="preserve"> apmērā; </w:t>
            </w:r>
          </w:p>
          <w:p w14:paraId="2710452D" w14:textId="77777777" w:rsidR="00A632DE" w:rsidRPr="00DE6A31" w:rsidRDefault="00A632DE" w:rsidP="0062535A">
            <w:pPr>
              <w:pStyle w:val="ListParagraph"/>
              <w:numPr>
                <w:ilvl w:val="0"/>
                <w:numId w:val="20"/>
              </w:numPr>
              <w:ind w:right="141"/>
              <w:jc w:val="both"/>
              <w:rPr>
                <w:sz w:val="28"/>
                <w:szCs w:val="28"/>
              </w:rPr>
            </w:pPr>
            <w:r w:rsidRPr="00DE6A31">
              <w:rPr>
                <w:sz w:val="28"/>
                <w:szCs w:val="28"/>
              </w:rPr>
              <w:t xml:space="preserve">Atzinumu par iezīmēto (marķēto) naftas produktu atbilstību Latvijas Republikas normatīvo aktu prasībām sniegšana </w:t>
            </w:r>
            <w:r w:rsidR="00C26E47" w:rsidRPr="00DE6A31">
              <w:rPr>
                <w:sz w:val="28"/>
                <w:szCs w:val="28"/>
              </w:rPr>
              <w:t>17 958 euro apmērā;</w:t>
            </w:r>
          </w:p>
          <w:p w14:paraId="363A854C" w14:textId="77777777" w:rsidR="00A632DE" w:rsidRPr="00DE6A31" w:rsidRDefault="00A632DE" w:rsidP="0062535A">
            <w:pPr>
              <w:pStyle w:val="ListParagraph"/>
              <w:numPr>
                <w:ilvl w:val="0"/>
                <w:numId w:val="20"/>
              </w:numPr>
              <w:ind w:right="141"/>
              <w:jc w:val="both"/>
              <w:rPr>
                <w:sz w:val="28"/>
                <w:szCs w:val="28"/>
              </w:rPr>
            </w:pPr>
            <w:r w:rsidRPr="00DE6A31">
              <w:rPr>
                <w:sz w:val="28"/>
                <w:szCs w:val="28"/>
              </w:rPr>
              <w:t>preču muitošana ārpus muitas iestādes atrašanās vietas vai ārpus muitas iestādes darba laika, izņemot preču muitošanu noformējot muitas procedūru – tranzīts</w:t>
            </w:r>
            <w:r w:rsidR="003B1A79" w:rsidRPr="00DE6A31">
              <w:rPr>
                <w:sz w:val="28"/>
                <w:szCs w:val="28"/>
              </w:rPr>
              <w:t xml:space="preserve"> </w:t>
            </w:r>
            <w:r w:rsidRPr="00DE6A31">
              <w:rPr>
                <w:sz w:val="28"/>
                <w:szCs w:val="28"/>
              </w:rPr>
              <w:t xml:space="preserve">1 986 </w:t>
            </w:r>
            <w:r w:rsidRPr="00DE6A31">
              <w:rPr>
                <w:i/>
                <w:sz w:val="28"/>
                <w:szCs w:val="28"/>
              </w:rPr>
              <w:t>euro</w:t>
            </w:r>
            <w:r w:rsidRPr="00DE6A31">
              <w:rPr>
                <w:sz w:val="28"/>
                <w:szCs w:val="28"/>
              </w:rPr>
              <w:t xml:space="preserve"> apmērā;</w:t>
            </w:r>
          </w:p>
          <w:p w14:paraId="7E18860E" w14:textId="77777777" w:rsidR="00A632DE" w:rsidRPr="00DE6A31" w:rsidRDefault="00A632DE" w:rsidP="0062535A">
            <w:pPr>
              <w:pStyle w:val="ListParagraph"/>
              <w:numPr>
                <w:ilvl w:val="0"/>
                <w:numId w:val="20"/>
              </w:numPr>
              <w:ind w:right="141"/>
              <w:jc w:val="both"/>
              <w:rPr>
                <w:sz w:val="28"/>
                <w:szCs w:val="28"/>
              </w:rPr>
            </w:pPr>
            <w:r w:rsidRPr="00DE6A31">
              <w:rPr>
                <w:sz w:val="28"/>
                <w:szCs w:val="28"/>
              </w:rPr>
              <w:t>analīzes veikšana muitas laboratorijā pēc komersanta pieprasījuma, kas nepieciešamas preces Eiropas Savienības Kombinētās nomenklatūras koda, Eiropas Savienības kopējā muitas tarifa (TARIC) koda vai papi</w:t>
            </w:r>
            <w:r w:rsidR="00C26E47" w:rsidRPr="00DE6A31">
              <w:rPr>
                <w:sz w:val="28"/>
                <w:szCs w:val="28"/>
              </w:rPr>
              <w:t xml:space="preserve">ldkoda noteikšanai 3 743 </w:t>
            </w:r>
            <w:r w:rsidR="00C26E47" w:rsidRPr="00DE6A31">
              <w:rPr>
                <w:i/>
                <w:sz w:val="28"/>
                <w:szCs w:val="28"/>
              </w:rPr>
              <w:t>euro</w:t>
            </w:r>
            <w:r w:rsidR="00C26E47" w:rsidRPr="00DE6A31">
              <w:rPr>
                <w:sz w:val="28"/>
                <w:szCs w:val="28"/>
              </w:rPr>
              <w:t xml:space="preserve"> apmērā.</w:t>
            </w:r>
          </w:p>
          <w:p w14:paraId="0DDBB1F0" w14:textId="679E0523" w:rsidR="003B1A79" w:rsidRPr="00DE6A31" w:rsidRDefault="00A632DE" w:rsidP="003B1A79">
            <w:pPr>
              <w:ind w:right="141"/>
              <w:jc w:val="both"/>
              <w:rPr>
                <w:sz w:val="28"/>
                <w:szCs w:val="28"/>
              </w:rPr>
            </w:pPr>
            <w:r w:rsidRPr="00DE6A31">
              <w:rPr>
                <w:sz w:val="28"/>
                <w:szCs w:val="28"/>
              </w:rPr>
              <w:t xml:space="preserve"> </w:t>
            </w:r>
          </w:p>
          <w:p w14:paraId="4045F890" w14:textId="70F22969" w:rsidR="003B1A79" w:rsidRPr="00DE6A31" w:rsidRDefault="003B1A79" w:rsidP="003B1A79">
            <w:pPr>
              <w:ind w:right="141"/>
              <w:jc w:val="both"/>
              <w:rPr>
                <w:sz w:val="28"/>
                <w:szCs w:val="28"/>
              </w:rPr>
            </w:pPr>
            <w:r w:rsidRPr="00DE6A31">
              <w:rPr>
                <w:sz w:val="28"/>
                <w:szCs w:val="28"/>
              </w:rPr>
              <w:t xml:space="preserve">     2019.gadā un turpmāk ik gadu pašu ieņēmumu plānā prognozēti </w:t>
            </w:r>
            <w:r w:rsidR="00092EC7" w:rsidRPr="00DE6A31">
              <w:rPr>
                <w:sz w:val="28"/>
                <w:szCs w:val="28"/>
              </w:rPr>
              <w:t>51 866</w:t>
            </w:r>
            <w:r w:rsidR="00D35DFD" w:rsidRPr="00DE6A31">
              <w:rPr>
                <w:sz w:val="28"/>
                <w:szCs w:val="28"/>
              </w:rPr>
              <w:t xml:space="preserve"> </w:t>
            </w:r>
            <w:r w:rsidRPr="00DE6A31">
              <w:rPr>
                <w:i/>
                <w:sz w:val="28"/>
                <w:szCs w:val="28"/>
              </w:rPr>
              <w:t>euro</w:t>
            </w:r>
            <w:r w:rsidRPr="00DE6A31">
              <w:rPr>
                <w:sz w:val="28"/>
                <w:szCs w:val="28"/>
              </w:rPr>
              <w:t xml:space="preserve"> apmērā, tajā skaitā:</w:t>
            </w:r>
          </w:p>
          <w:p w14:paraId="575D84E0" w14:textId="0F83525C" w:rsidR="003B1A79" w:rsidRPr="00DE6A31" w:rsidRDefault="003B1A79" w:rsidP="003B1A79">
            <w:pPr>
              <w:numPr>
                <w:ilvl w:val="0"/>
                <w:numId w:val="16"/>
              </w:numPr>
              <w:ind w:left="0" w:right="141" w:firstLine="543"/>
              <w:contextualSpacing/>
              <w:jc w:val="both"/>
              <w:rPr>
                <w:sz w:val="28"/>
                <w:szCs w:val="28"/>
              </w:rPr>
            </w:pPr>
            <w:r w:rsidRPr="00DE6A31">
              <w:rPr>
                <w:sz w:val="28"/>
                <w:szCs w:val="28"/>
              </w:rPr>
              <w:t xml:space="preserve">precizējot nodokļu un citu maksājumu reģistrēšanas elektroniskajām ierīcēm un iekārtām plombu veidus un realizējamo cenu </w:t>
            </w:r>
            <w:r w:rsidR="00A35E8B" w:rsidRPr="00DE6A31">
              <w:rPr>
                <w:sz w:val="28"/>
                <w:szCs w:val="28"/>
              </w:rPr>
              <w:t>VID</w:t>
            </w:r>
            <w:r w:rsidRPr="00DE6A31">
              <w:rPr>
                <w:sz w:val="28"/>
                <w:szCs w:val="28"/>
              </w:rPr>
              <w:t xml:space="preserve"> pašu ieņēmumi no sniegtajiem maksas pakalpojumiem (sabrūkoša tipa hologrāfiska, pašlīmējoša PET materiāla plombu </w:t>
            </w:r>
            <w:r w:rsidRPr="00DE6A31">
              <w:rPr>
                <w:sz w:val="28"/>
                <w:szCs w:val="28"/>
              </w:rPr>
              <w:lastRenderedPageBreak/>
              <w:t>(50x45; 45x75) pārdošana  nodokļu un citu maksājumu reģistrēšanas elektroniskajām ierīcēm un iekārtām) turpmāk ik gadu paredzēti</w:t>
            </w:r>
            <w:r w:rsidR="00140836" w:rsidRPr="00DE6A31">
              <w:rPr>
                <w:sz w:val="28"/>
                <w:szCs w:val="28"/>
              </w:rPr>
              <w:t xml:space="preserve"> </w:t>
            </w:r>
            <w:r w:rsidRPr="00DE6A31">
              <w:rPr>
                <w:sz w:val="28"/>
                <w:szCs w:val="28"/>
              </w:rPr>
              <w:t>15</w:t>
            </w:r>
            <w:r w:rsidR="00C26E47" w:rsidRPr="00DE6A31">
              <w:rPr>
                <w:sz w:val="28"/>
                <w:szCs w:val="28"/>
              </w:rPr>
              <w:t xml:space="preserve"> 575 </w:t>
            </w:r>
            <w:r w:rsidRPr="00DE6A31">
              <w:rPr>
                <w:i/>
                <w:sz w:val="28"/>
                <w:szCs w:val="28"/>
              </w:rPr>
              <w:t>euro</w:t>
            </w:r>
            <w:r w:rsidRPr="00DE6A31">
              <w:rPr>
                <w:sz w:val="28"/>
                <w:szCs w:val="28"/>
              </w:rPr>
              <w:t xml:space="preserve"> apmērā;</w:t>
            </w:r>
          </w:p>
          <w:p w14:paraId="39BF7A0A" w14:textId="3ACDF931" w:rsidR="003B1A79" w:rsidRPr="00DE6A31" w:rsidRDefault="003B1A79" w:rsidP="0062535A">
            <w:pPr>
              <w:numPr>
                <w:ilvl w:val="0"/>
                <w:numId w:val="16"/>
              </w:numPr>
              <w:ind w:left="0" w:right="141" w:firstLine="543"/>
              <w:contextualSpacing/>
              <w:jc w:val="both"/>
              <w:rPr>
                <w:sz w:val="28"/>
                <w:szCs w:val="28"/>
              </w:rPr>
            </w:pPr>
            <w:r w:rsidRPr="00DE6A31">
              <w:rPr>
                <w:sz w:val="28"/>
                <w:szCs w:val="28"/>
              </w:rPr>
              <w:t>jaunā maksas pakalpojuma “sabrūkoša tipa hologrāfiska, pašlīmējoša PET materiāla plomba (15x40) nodokļu un citu maksājumu reģistrēšanas elektroniskajām ierīcēm un iekārtām” pašu ieņēmumi no sniegtajiem maksas pakalpojumiem turpmāk ik gadu tiek prognozēti  1</w:t>
            </w:r>
            <w:r w:rsidR="00C26E47" w:rsidRPr="00DE6A31">
              <w:rPr>
                <w:sz w:val="28"/>
                <w:szCs w:val="28"/>
              </w:rPr>
              <w:t>2 89</w:t>
            </w:r>
            <w:r w:rsidR="00092EC7" w:rsidRPr="00DE6A31">
              <w:rPr>
                <w:sz w:val="28"/>
                <w:szCs w:val="28"/>
              </w:rPr>
              <w:t>4</w:t>
            </w:r>
            <w:r w:rsidR="00D35DFD" w:rsidRPr="00DE6A31">
              <w:rPr>
                <w:sz w:val="28"/>
                <w:szCs w:val="28"/>
              </w:rPr>
              <w:t xml:space="preserve"> </w:t>
            </w:r>
            <w:r w:rsidRPr="00DE6A31">
              <w:rPr>
                <w:i/>
                <w:sz w:val="28"/>
                <w:szCs w:val="28"/>
              </w:rPr>
              <w:t>euro</w:t>
            </w:r>
            <w:r w:rsidRPr="00DE6A31">
              <w:rPr>
                <w:sz w:val="28"/>
                <w:szCs w:val="28"/>
              </w:rPr>
              <w:t xml:space="preserve"> apmērā.</w:t>
            </w:r>
          </w:p>
          <w:p w14:paraId="01B9A45C" w14:textId="4E8C9558" w:rsidR="00C26E47" w:rsidRPr="00DE6A31" w:rsidRDefault="00C26E47" w:rsidP="0062535A">
            <w:pPr>
              <w:pStyle w:val="ListParagraph"/>
              <w:numPr>
                <w:ilvl w:val="0"/>
                <w:numId w:val="21"/>
              </w:numPr>
              <w:ind w:left="0" w:right="141" w:firstLine="486"/>
              <w:jc w:val="both"/>
              <w:rPr>
                <w:sz w:val="28"/>
                <w:szCs w:val="28"/>
              </w:rPr>
            </w:pPr>
            <w:r w:rsidRPr="00DE6A31">
              <w:rPr>
                <w:sz w:val="28"/>
                <w:szCs w:val="28"/>
              </w:rPr>
              <w:t>precizējot atzinuma par iezīmēto (marķēto) naftas produktu atbilstību Latvijas Republikas normatīvo aktu prasībām</w:t>
            </w:r>
            <w:r w:rsidR="009E6424" w:rsidRPr="00DE6A31">
              <w:rPr>
                <w:sz w:val="28"/>
                <w:szCs w:val="28"/>
              </w:rPr>
              <w:t xml:space="preserve"> sniegšanas cenu</w:t>
            </w:r>
            <w:r w:rsidR="0059784A" w:rsidRPr="00DE6A31">
              <w:rPr>
                <w:sz w:val="28"/>
                <w:szCs w:val="28"/>
              </w:rPr>
              <w:t xml:space="preserve"> un prognozēto sniegto pakalpojumu skaitu gadā,</w:t>
            </w:r>
            <w:r w:rsidR="009E6424" w:rsidRPr="00DE6A31">
              <w:rPr>
                <w:sz w:val="28"/>
                <w:szCs w:val="28"/>
              </w:rPr>
              <w:t xml:space="preserve"> pašu ieņēmumi no sniegtajiem maksas pakalpojumiem turpmāk ik gadu tiek prognozēti  </w:t>
            </w:r>
            <w:r w:rsidR="00092EC7" w:rsidRPr="00DE6A31">
              <w:rPr>
                <w:sz w:val="28"/>
                <w:szCs w:val="28"/>
              </w:rPr>
              <w:t>17 413</w:t>
            </w:r>
            <w:r w:rsidR="009E6424" w:rsidRPr="00DE6A31">
              <w:rPr>
                <w:sz w:val="28"/>
                <w:szCs w:val="28"/>
              </w:rPr>
              <w:t xml:space="preserve"> </w:t>
            </w:r>
            <w:r w:rsidR="009E6424" w:rsidRPr="00DE6A31">
              <w:rPr>
                <w:i/>
                <w:sz w:val="28"/>
                <w:szCs w:val="28"/>
              </w:rPr>
              <w:t>euro</w:t>
            </w:r>
            <w:r w:rsidR="009E6424" w:rsidRPr="00DE6A31">
              <w:rPr>
                <w:sz w:val="28"/>
                <w:szCs w:val="28"/>
              </w:rPr>
              <w:t xml:space="preserve"> apmērā;</w:t>
            </w:r>
          </w:p>
          <w:p w14:paraId="49E2FEEA" w14:textId="13EFEB7A" w:rsidR="009E6424" w:rsidRPr="00DE6A31" w:rsidRDefault="009E6424" w:rsidP="0062535A">
            <w:pPr>
              <w:pStyle w:val="ListParagraph"/>
              <w:numPr>
                <w:ilvl w:val="0"/>
                <w:numId w:val="21"/>
              </w:numPr>
              <w:ind w:left="0" w:right="141" w:firstLine="486"/>
              <w:jc w:val="both"/>
              <w:rPr>
                <w:sz w:val="28"/>
                <w:szCs w:val="28"/>
              </w:rPr>
            </w:pPr>
            <w:r w:rsidRPr="00DE6A31">
              <w:rPr>
                <w:sz w:val="28"/>
                <w:szCs w:val="28"/>
              </w:rPr>
              <w:t xml:space="preserve">precizējot preču muitošanas ārpus muitas iestādes atrašanās vietas vai ārpus muitas iestādes darba laika, izņemot preču muitošanu, noformējot muitas procedūru – tranzīts sniegšanas izmaksas, pašu ieņēmumi no sniegtajiem maksas pakalpojumiem turpmāk ik gadu tiek prognozēti 2 339 </w:t>
            </w:r>
            <w:r w:rsidRPr="00DE6A31">
              <w:rPr>
                <w:i/>
                <w:sz w:val="28"/>
                <w:szCs w:val="28"/>
              </w:rPr>
              <w:t>euro</w:t>
            </w:r>
            <w:r w:rsidRPr="00DE6A31">
              <w:rPr>
                <w:sz w:val="28"/>
                <w:szCs w:val="28"/>
              </w:rPr>
              <w:t xml:space="preserve"> apmērā.</w:t>
            </w:r>
          </w:p>
          <w:p w14:paraId="245A3845" w14:textId="03418499" w:rsidR="009E6424" w:rsidRPr="00DE6A31" w:rsidRDefault="009E6424" w:rsidP="0062535A">
            <w:pPr>
              <w:pStyle w:val="ListParagraph"/>
              <w:numPr>
                <w:ilvl w:val="0"/>
                <w:numId w:val="21"/>
              </w:numPr>
              <w:ind w:left="0" w:right="141" w:firstLine="486"/>
              <w:jc w:val="both"/>
              <w:rPr>
                <w:sz w:val="28"/>
                <w:szCs w:val="28"/>
              </w:rPr>
            </w:pPr>
            <w:r w:rsidRPr="00DE6A31">
              <w:rPr>
                <w:sz w:val="28"/>
                <w:szCs w:val="28"/>
              </w:rPr>
              <w:t>precizējot maksas pakalpojuma “</w:t>
            </w:r>
            <w:r w:rsidR="00A632DE" w:rsidRPr="00DE6A31">
              <w:rPr>
                <w:sz w:val="28"/>
                <w:szCs w:val="28"/>
              </w:rPr>
              <w:t>analīz</w:t>
            </w:r>
            <w:r w:rsidRPr="00DE6A31">
              <w:rPr>
                <w:sz w:val="28"/>
                <w:szCs w:val="28"/>
              </w:rPr>
              <w:t>es</w:t>
            </w:r>
            <w:r w:rsidR="00A632DE" w:rsidRPr="00DE6A31">
              <w:rPr>
                <w:sz w:val="28"/>
                <w:szCs w:val="28"/>
              </w:rPr>
              <w:t xml:space="preserve"> </w:t>
            </w:r>
            <w:r w:rsidRPr="00DE6A31">
              <w:rPr>
                <w:sz w:val="28"/>
                <w:szCs w:val="28"/>
              </w:rPr>
              <w:t>veikšana m</w:t>
            </w:r>
            <w:r w:rsidR="00A632DE" w:rsidRPr="00DE6A31">
              <w:rPr>
                <w:sz w:val="28"/>
                <w:szCs w:val="28"/>
              </w:rPr>
              <w:t>uitas laboratorijā pēc komersanta pieprasījuma</w:t>
            </w:r>
            <w:r w:rsidRPr="00DE6A31">
              <w:rPr>
                <w:sz w:val="28"/>
                <w:szCs w:val="28"/>
              </w:rPr>
              <w:t xml:space="preserve">, </w:t>
            </w:r>
            <w:r w:rsidR="00A632DE" w:rsidRPr="00DE6A31">
              <w:rPr>
                <w:sz w:val="28"/>
                <w:szCs w:val="28"/>
              </w:rPr>
              <w:t>kas nepieciešamas preces Eiropas Savienības Kombinētās nomenklatūras koda, Eiropas Savienības kopējā muitas tarifa (TARIC) koda vai papi</w:t>
            </w:r>
            <w:r w:rsidRPr="00DE6A31">
              <w:rPr>
                <w:sz w:val="28"/>
                <w:szCs w:val="28"/>
              </w:rPr>
              <w:t>ldkoda noteikšanai” norādītos parametrus pašu ieņēmumi no sniegtajiem maksas pakalpojumiem turpmāk ik gadu tiek prognozēti  3 6</w:t>
            </w:r>
            <w:r w:rsidR="00092EC7" w:rsidRPr="00DE6A31">
              <w:rPr>
                <w:sz w:val="28"/>
                <w:szCs w:val="28"/>
              </w:rPr>
              <w:t>45</w:t>
            </w:r>
            <w:r w:rsidRPr="00DE6A31">
              <w:rPr>
                <w:sz w:val="28"/>
                <w:szCs w:val="28"/>
              </w:rPr>
              <w:t xml:space="preserve"> </w:t>
            </w:r>
            <w:r w:rsidRPr="00DE6A31">
              <w:rPr>
                <w:i/>
                <w:sz w:val="28"/>
                <w:szCs w:val="28"/>
              </w:rPr>
              <w:t>euro</w:t>
            </w:r>
            <w:r w:rsidRPr="00DE6A31">
              <w:rPr>
                <w:sz w:val="28"/>
                <w:szCs w:val="28"/>
              </w:rPr>
              <w:t xml:space="preserve"> apmērā.</w:t>
            </w:r>
          </w:p>
          <w:p w14:paraId="342D70B4" w14:textId="53993863" w:rsidR="003B1A79" w:rsidRPr="00DE6A31" w:rsidRDefault="003B1A79" w:rsidP="003B1A79">
            <w:pPr>
              <w:ind w:right="141"/>
              <w:jc w:val="both"/>
              <w:rPr>
                <w:sz w:val="28"/>
                <w:szCs w:val="28"/>
              </w:rPr>
            </w:pPr>
            <w:r w:rsidRPr="00DE6A31">
              <w:rPr>
                <w:sz w:val="28"/>
                <w:szCs w:val="28"/>
              </w:rPr>
              <w:t xml:space="preserve">       </w:t>
            </w:r>
            <w:r w:rsidR="00092EC7" w:rsidRPr="00DE6A31">
              <w:rPr>
                <w:sz w:val="28"/>
                <w:szCs w:val="28"/>
              </w:rPr>
              <w:t>Noteikumu projekts paredz</w:t>
            </w:r>
            <w:r w:rsidRPr="00DE6A31">
              <w:rPr>
                <w:sz w:val="28"/>
                <w:szCs w:val="28"/>
              </w:rPr>
              <w:t xml:space="preserve"> </w:t>
            </w:r>
            <w:r w:rsidR="00092EC7" w:rsidRPr="00DE6A31">
              <w:rPr>
                <w:sz w:val="28"/>
                <w:szCs w:val="28"/>
              </w:rPr>
              <w:t>pārskatī</w:t>
            </w:r>
            <w:r w:rsidRPr="00DE6A31">
              <w:rPr>
                <w:sz w:val="28"/>
                <w:szCs w:val="28"/>
              </w:rPr>
              <w:t>t spēkā esoš</w:t>
            </w:r>
            <w:r w:rsidR="00092EC7" w:rsidRPr="00DE6A31">
              <w:rPr>
                <w:sz w:val="28"/>
                <w:szCs w:val="28"/>
              </w:rPr>
              <w:t>o pakalpojumu cenas un papildinā</w:t>
            </w:r>
            <w:r w:rsidRPr="00DE6A31">
              <w:rPr>
                <w:sz w:val="28"/>
                <w:szCs w:val="28"/>
              </w:rPr>
              <w:t>t ar jaun</w:t>
            </w:r>
            <w:r w:rsidR="0089511E" w:rsidRPr="00DE6A31">
              <w:rPr>
                <w:sz w:val="28"/>
                <w:szCs w:val="28"/>
              </w:rPr>
              <w:t>iem</w:t>
            </w:r>
            <w:r w:rsidRPr="00DE6A31">
              <w:rPr>
                <w:sz w:val="28"/>
                <w:szCs w:val="28"/>
              </w:rPr>
              <w:t xml:space="preserve"> pakalpojuma veid</w:t>
            </w:r>
            <w:r w:rsidR="0089511E" w:rsidRPr="00DE6A31">
              <w:rPr>
                <w:sz w:val="28"/>
                <w:szCs w:val="28"/>
              </w:rPr>
              <w:t>iem</w:t>
            </w:r>
            <w:r w:rsidR="00092EC7" w:rsidRPr="00DE6A31">
              <w:rPr>
                <w:sz w:val="28"/>
                <w:szCs w:val="28"/>
              </w:rPr>
              <w:t>, tā rezultātā</w:t>
            </w:r>
            <w:r w:rsidRPr="00DE6A31">
              <w:rPr>
                <w:sz w:val="28"/>
                <w:szCs w:val="28"/>
              </w:rPr>
              <w:t xml:space="preserve"> </w:t>
            </w:r>
            <w:r w:rsidR="00092EC7" w:rsidRPr="00DE6A31">
              <w:rPr>
                <w:sz w:val="28"/>
                <w:szCs w:val="28"/>
              </w:rPr>
              <w:t xml:space="preserve">VID 33.00.00 programmā “Valsts ieņēmumu un muitas politikas nodrošināšana” </w:t>
            </w:r>
            <w:r w:rsidRPr="00DE6A31">
              <w:rPr>
                <w:sz w:val="28"/>
                <w:szCs w:val="28"/>
              </w:rPr>
              <w:t xml:space="preserve">turpmāk ik gadu pašu ieņēmumi no sniegtajiem maksas pakalpojumiem </w:t>
            </w:r>
            <w:r w:rsidR="00092EC7" w:rsidRPr="00DE6A31">
              <w:rPr>
                <w:sz w:val="28"/>
                <w:szCs w:val="28"/>
              </w:rPr>
              <w:t>nemainās</w:t>
            </w:r>
            <w:r w:rsidRPr="00DE6A31">
              <w:rPr>
                <w:sz w:val="28"/>
                <w:szCs w:val="28"/>
              </w:rPr>
              <w:t xml:space="preserve"> </w:t>
            </w:r>
            <w:r w:rsidR="0059784A" w:rsidRPr="00DE6A31">
              <w:rPr>
                <w:sz w:val="28"/>
                <w:szCs w:val="28"/>
              </w:rPr>
              <w:t xml:space="preserve"> </w:t>
            </w:r>
            <w:r w:rsidRPr="00DE6A31">
              <w:rPr>
                <w:sz w:val="28"/>
                <w:szCs w:val="28"/>
              </w:rPr>
              <w:t>(15 </w:t>
            </w:r>
            <w:r w:rsidR="0059784A" w:rsidRPr="00DE6A31">
              <w:rPr>
                <w:sz w:val="28"/>
                <w:szCs w:val="28"/>
              </w:rPr>
              <w:t>575</w:t>
            </w:r>
            <w:r w:rsidRPr="00DE6A31">
              <w:rPr>
                <w:sz w:val="28"/>
                <w:szCs w:val="28"/>
              </w:rPr>
              <w:t>+1</w:t>
            </w:r>
            <w:r w:rsidR="00092EC7" w:rsidRPr="00DE6A31">
              <w:rPr>
                <w:sz w:val="28"/>
                <w:szCs w:val="28"/>
              </w:rPr>
              <w:t>2 894</w:t>
            </w:r>
            <w:r w:rsidR="0059784A" w:rsidRPr="00DE6A31">
              <w:rPr>
                <w:sz w:val="28"/>
                <w:szCs w:val="28"/>
              </w:rPr>
              <w:t>+</w:t>
            </w:r>
            <w:r w:rsidR="00092EC7" w:rsidRPr="00DE6A31">
              <w:rPr>
                <w:sz w:val="28"/>
                <w:szCs w:val="28"/>
              </w:rPr>
              <w:t>17 413+2 339+3 645</w:t>
            </w:r>
            <w:r w:rsidRPr="00DE6A31">
              <w:rPr>
                <w:sz w:val="28"/>
                <w:szCs w:val="28"/>
              </w:rPr>
              <w:t>-22 773</w:t>
            </w:r>
            <w:r w:rsidR="0059784A" w:rsidRPr="00DE6A31">
              <w:rPr>
                <w:sz w:val="28"/>
                <w:szCs w:val="28"/>
              </w:rPr>
              <w:t>-996</w:t>
            </w:r>
            <w:r w:rsidRPr="00DE6A31">
              <w:rPr>
                <w:sz w:val="28"/>
                <w:szCs w:val="28"/>
              </w:rPr>
              <w:t>-4</w:t>
            </w:r>
            <w:r w:rsidR="0059784A" w:rsidRPr="00DE6A31">
              <w:rPr>
                <w:sz w:val="28"/>
                <w:szCs w:val="28"/>
              </w:rPr>
              <w:t> </w:t>
            </w:r>
            <w:r w:rsidRPr="00DE6A31">
              <w:rPr>
                <w:sz w:val="28"/>
                <w:szCs w:val="28"/>
              </w:rPr>
              <w:t>410</w:t>
            </w:r>
            <w:r w:rsidR="00092EC7" w:rsidRPr="00DE6A31">
              <w:rPr>
                <w:sz w:val="28"/>
                <w:szCs w:val="28"/>
              </w:rPr>
              <w:t>-17 958-1 986-</w:t>
            </w:r>
            <w:r w:rsidR="0059784A" w:rsidRPr="00DE6A31">
              <w:rPr>
                <w:sz w:val="28"/>
                <w:szCs w:val="28"/>
              </w:rPr>
              <w:t>3</w:t>
            </w:r>
            <w:r w:rsidR="00092EC7" w:rsidRPr="00DE6A31">
              <w:rPr>
                <w:sz w:val="28"/>
                <w:szCs w:val="28"/>
              </w:rPr>
              <w:t> </w:t>
            </w:r>
            <w:r w:rsidR="0059784A" w:rsidRPr="00DE6A31">
              <w:rPr>
                <w:sz w:val="28"/>
                <w:szCs w:val="28"/>
              </w:rPr>
              <w:t>743</w:t>
            </w:r>
            <w:r w:rsidR="00092EC7" w:rsidRPr="00DE6A31">
              <w:rPr>
                <w:sz w:val="28"/>
                <w:szCs w:val="28"/>
              </w:rPr>
              <w:t xml:space="preserve"> </w:t>
            </w:r>
            <w:r w:rsidRPr="00DE6A31">
              <w:rPr>
                <w:sz w:val="28"/>
                <w:szCs w:val="28"/>
              </w:rPr>
              <w:t>=</w:t>
            </w:r>
            <w:r w:rsidR="00092EC7" w:rsidRPr="00DE6A31">
              <w:rPr>
                <w:sz w:val="28"/>
                <w:szCs w:val="28"/>
              </w:rPr>
              <w:t xml:space="preserve">  </w:t>
            </w:r>
            <w:r w:rsidR="0059784A" w:rsidRPr="00DE6A31">
              <w:rPr>
                <w:sz w:val="28"/>
                <w:szCs w:val="28"/>
              </w:rPr>
              <w:t>0</w:t>
            </w:r>
            <w:r w:rsidRPr="00DE6A31">
              <w:rPr>
                <w:sz w:val="28"/>
                <w:szCs w:val="28"/>
              </w:rPr>
              <w:t xml:space="preserve">). </w:t>
            </w:r>
          </w:p>
          <w:p w14:paraId="4E4987BA" w14:textId="1CA7685A" w:rsidR="003B1A79" w:rsidRPr="00DE6A31" w:rsidRDefault="003B1A79" w:rsidP="003B1A79">
            <w:pPr>
              <w:ind w:right="141"/>
              <w:jc w:val="both"/>
              <w:rPr>
                <w:sz w:val="28"/>
                <w:szCs w:val="28"/>
              </w:rPr>
            </w:pPr>
            <w:r w:rsidRPr="00DE6A31">
              <w:rPr>
                <w:sz w:val="28"/>
                <w:szCs w:val="28"/>
              </w:rPr>
              <w:t xml:space="preserve">        Maksas pakalpojumu ieņēmumi ļaus segt ar pakalpojumu sniegšanu radītās </w:t>
            </w:r>
            <w:r w:rsidR="00B82DF2" w:rsidRPr="00DE6A31">
              <w:rPr>
                <w:sz w:val="28"/>
                <w:szCs w:val="28"/>
              </w:rPr>
              <w:t>VID</w:t>
            </w:r>
            <w:r w:rsidRPr="00DE6A31">
              <w:rPr>
                <w:sz w:val="28"/>
                <w:szCs w:val="28"/>
              </w:rPr>
              <w:t xml:space="preserve"> izmaksas. Ņemot vērā, ka nav iespējams konkrēti prognozēt</w:t>
            </w:r>
            <w:r w:rsidR="001E38FD" w:rsidRPr="00DE6A31">
              <w:rPr>
                <w:sz w:val="28"/>
                <w:szCs w:val="28"/>
              </w:rPr>
              <w:t>,</w:t>
            </w:r>
            <w:r w:rsidRPr="00DE6A31">
              <w:rPr>
                <w:sz w:val="28"/>
                <w:szCs w:val="28"/>
              </w:rPr>
              <w:t xml:space="preserve"> vai pakalpojumi tiks izmantoti un kādā apmērā, nav iespējams samazināt </w:t>
            </w:r>
            <w:r w:rsidR="0089511E" w:rsidRPr="00DE6A31">
              <w:rPr>
                <w:sz w:val="28"/>
                <w:szCs w:val="28"/>
              </w:rPr>
              <w:t xml:space="preserve">iepriekš prognozētos </w:t>
            </w:r>
            <w:r w:rsidRPr="00DE6A31">
              <w:rPr>
                <w:sz w:val="28"/>
                <w:szCs w:val="28"/>
              </w:rPr>
              <w:t xml:space="preserve">izdevumus pozīcijās, kuru uzturēšana tiek finansēta no vispārējā kārtībā sadalāmās dotācijas no vispārējiem ieņēmumiem. Iespējamie brīvie finanšu līdzekļi 2018.gadā un turpmākajos gados tiks novirzīti klientu apkalpošanas centru </w:t>
            </w:r>
            <w:r w:rsidR="00AB0CC2" w:rsidRPr="00DE6A31">
              <w:rPr>
                <w:sz w:val="28"/>
                <w:szCs w:val="28"/>
              </w:rPr>
              <w:t xml:space="preserve">un muitas laboratorijas </w:t>
            </w:r>
            <w:r w:rsidRPr="00DE6A31">
              <w:rPr>
                <w:sz w:val="28"/>
                <w:szCs w:val="28"/>
              </w:rPr>
              <w:t>neparedzētu uzturēšanas (piem., remontdarbu) izdevumu segšanai.</w:t>
            </w:r>
          </w:p>
          <w:p w14:paraId="75E8B858" w14:textId="77777777" w:rsidR="003B1A79" w:rsidRPr="00DE6A31" w:rsidRDefault="003B1A79" w:rsidP="005628AE">
            <w:pPr>
              <w:ind w:right="141"/>
              <w:jc w:val="both"/>
              <w:rPr>
                <w:sz w:val="28"/>
                <w:szCs w:val="28"/>
              </w:rPr>
            </w:pPr>
            <w:r w:rsidRPr="00DE6A31">
              <w:rPr>
                <w:sz w:val="28"/>
                <w:szCs w:val="28"/>
              </w:rPr>
              <w:t xml:space="preserve">       Maksas pakalpojumu izcenojuma aprēķins ir pievienots anotācijas pielikumā.</w:t>
            </w:r>
          </w:p>
        </w:tc>
      </w:tr>
      <w:tr w:rsidR="003B1A79" w:rsidRPr="00300104" w14:paraId="6724BED9" w14:textId="77777777" w:rsidTr="00472147">
        <w:trPr>
          <w:jc w:val="center"/>
        </w:trPr>
        <w:tc>
          <w:tcPr>
            <w:tcW w:w="1838" w:type="dxa"/>
            <w:hideMark/>
          </w:tcPr>
          <w:p w14:paraId="7FA6AFFD" w14:textId="77777777" w:rsidR="003B1A79" w:rsidRPr="00DE6A31" w:rsidRDefault="003B1A79" w:rsidP="003B1A79">
            <w:pPr>
              <w:rPr>
                <w:sz w:val="28"/>
                <w:szCs w:val="28"/>
              </w:rPr>
            </w:pPr>
            <w:r w:rsidRPr="00DE6A31">
              <w:rPr>
                <w:sz w:val="28"/>
                <w:szCs w:val="28"/>
              </w:rPr>
              <w:t>6.1. detalizēts ieņēmumu aprēķins</w:t>
            </w:r>
          </w:p>
        </w:tc>
        <w:tc>
          <w:tcPr>
            <w:tcW w:w="7791" w:type="dxa"/>
            <w:gridSpan w:val="7"/>
            <w:vMerge/>
            <w:hideMark/>
          </w:tcPr>
          <w:p w14:paraId="38BA88F4" w14:textId="77777777" w:rsidR="003B1A79" w:rsidRPr="00DE6A31" w:rsidRDefault="003B1A79" w:rsidP="003B1A79">
            <w:pPr>
              <w:rPr>
                <w:sz w:val="28"/>
                <w:szCs w:val="28"/>
              </w:rPr>
            </w:pPr>
          </w:p>
        </w:tc>
      </w:tr>
      <w:tr w:rsidR="003B1A79" w:rsidRPr="00300104" w14:paraId="7D9C5AE0" w14:textId="77777777" w:rsidTr="00472147">
        <w:trPr>
          <w:jc w:val="center"/>
        </w:trPr>
        <w:tc>
          <w:tcPr>
            <w:tcW w:w="1838" w:type="dxa"/>
            <w:hideMark/>
          </w:tcPr>
          <w:p w14:paraId="07BA6C3E" w14:textId="77777777" w:rsidR="003B1A79" w:rsidRPr="00DE6A31" w:rsidRDefault="003B1A79" w:rsidP="003B1A79">
            <w:pPr>
              <w:rPr>
                <w:sz w:val="28"/>
                <w:szCs w:val="28"/>
              </w:rPr>
            </w:pPr>
            <w:r w:rsidRPr="00DE6A31">
              <w:rPr>
                <w:sz w:val="28"/>
                <w:szCs w:val="28"/>
              </w:rPr>
              <w:t>6.2. detalizēts izdevumu aprēķins</w:t>
            </w:r>
          </w:p>
        </w:tc>
        <w:tc>
          <w:tcPr>
            <w:tcW w:w="7791" w:type="dxa"/>
            <w:gridSpan w:val="7"/>
            <w:vMerge/>
            <w:hideMark/>
          </w:tcPr>
          <w:p w14:paraId="15D73F19" w14:textId="77777777" w:rsidR="003B1A79" w:rsidRPr="00DE6A31" w:rsidRDefault="003B1A79" w:rsidP="003B1A79">
            <w:pPr>
              <w:rPr>
                <w:sz w:val="28"/>
                <w:szCs w:val="28"/>
              </w:rPr>
            </w:pPr>
          </w:p>
        </w:tc>
      </w:tr>
      <w:tr w:rsidR="003B1A79" w:rsidRPr="00300104" w14:paraId="101CBDBD" w14:textId="77777777" w:rsidTr="00472147">
        <w:trPr>
          <w:jc w:val="center"/>
        </w:trPr>
        <w:tc>
          <w:tcPr>
            <w:tcW w:w="1838" w:type="dxa"/>
            <w:hideMark/>
          </w:tcPr>
          <w:p w14:paraId="72573770" w14:textId="77777777" w:rsidR="003B1A79" w:rsidRPr="00DE6A31" w:rsidRDefault="003B1A79" w:rsidP="003B1A79">
            <w:pPr>
              <w:rPr>
                <w:sz w:val="28"/>
                <w:szCs w:val="28"/>
              </w:rPr>
            </w:pPr>
            <w:r w:rsidRPr="00DE6A31">
              <w:rPr>
                <w:sz w:val="28"/>
                <w:szCs w:val="28"/>
              </w:rPr>
              <w:lastRenderedPageBreak/>
              <w:t>7. Amata vietu skaita izmaiņas</w:t>
            </w:r>
          </w:p>
        </w:tc>
        <w:tc>
          <w:tcPr>
            <w:tcW w:w="7791" w:type="dxa"/>
            <w:gridSpan w:val="7"/>
            <w:hideMark/>
          </w:tcPr>
          <w:p w14:paraId="16F6AB77" w14:textId="77777777" w:rsidR="003B1A79" w:rsidRPr="00DE6A31" w:rsidRDefault="003B1A79" w:rsidP="003B1A79">
            <w:pPr>
              <w:tabs>
                <w:tab w:val="left" w:pos="3135"/>
              </w:tabs>
              <w:rPr>
                <w:sz w:val="28"/>
                <w:szCs w:val="28"/>
              </w:rPr>
            </w:pPr>
            <w:r w:rsidRPr="00DE6A31">
              <w:rPr>
                <w:sz w:val="28"/>
                <w:szCs w:val="28"/>
              </w:rPr>
              <w:t>Noteikumu projekts šo jomu neskar.</w:t>
            </w:r>
            <w:r w:rsidRPr="00DE6A31">
              <w:rPr>
                <w:sz w:val="28"/>
                <w:szCs w:val="28"/>
              </w:rPr>
              <w:tab/>
            </w:r>
          </w:p>
        </w:tc>
      </w:tr>
      <w:tr w:rsidR="003B1A79" w:rsidRPr="00300104" w14:paraId="099505C1" w14:textId="77777777" w:rsidTr="00472147">
        <w:trPr>
          <w:jc w:val="center"/>
        </w:trPr>
        <w:tc>
          <w:tcPr>
            <w:tcW w:w="1838" w:type="dxa"/>
            <w:hideMark/>
          </w:tcPr>
          <w:p w14:paraId="39A7B668" w14:textId="77777777" w:rsidR="003B1A79" w:rsidRPr="00DE6A31" w:rsidRDefault="003B1A79" w:rsidP="003B1A79">
            <w:pPr>
              <w:rPr>
                <w:sz w:val="28"/>
                <w:szCs w:val="28"/>
              </w:rPr>
            </w:pPr>
            <w:r w:rsidRPr="00DE6A31">
              <w:rPr>
                <w:sz w:val="28"/>
                <w:szCs w:val="28"/>
              </w:rPr>
              <w:t>8. Cita informācija</w:t>
            </w:r>
          </w:p>
        </w:tc>
        <w:tc>
          <w:tcPr>
            <w:tcW w:w="7791" w:type="dxa"/>
            <w:gridSpan w:val="7"/>
            <w:hideMark/>
          </w:tcPr>
          <w:p w14:paraId="720D76D7" w14:textId="0999FCE0" w:rsidR="003B1A79" w:rsidRPr="00DE6A31" w:rsidRDefault="003B1A79" w:rsidP="007B6C31">
            <w:pPr>
              <w:jc w:val="both"/>
              <w:rPr>
                <w:sz w:val="28"/>
                <w:szCs w:val="28"/>
              </w:rPr>
            </w:pPr>
            <w:r w:rsidRPr="00DE6A31">
              <w:rPr>
                <w:sz w:val="28"/>
                <w:szCs w:val="28"/>
              </w:rPr>
              <w:t>2018.gadā pašu ieņēmumu plān</w:t>
            </w:r>
            <w:r w:rsidR="00B228C6" w:rsidRPr="00DE6A31">
              <w:rPr>
                <w:sz w:val="28"/>
                <w:szCs w:val="28"/>
              </w:rPr>
              <w:t>s</w:t>
            </w:r>
            <w:r w:rsidRPr="00DE6A31">
              <w:rPr>
                <w:sz w:val="28"/>
                <w:szCs w:val="28"/>
              </w:rPr>
              <w:t xml:space="preserve"> </w:t>
            </w:r>
            <w:r w:rsidR="00B228C6" w:rsidRPr="00DE6A31">
              <w:rPr>
                <w:sz w:val="28"/>
                <w:szCs w:val="28"/>
              </w:rPr>
              <w:t xml:space="preserve">netiks </w:t>
            </w:r>
            <w:r w:rsidRPr="00DE6A31">
              <w:rPr>
                <w:sz w:val="28"/>
                <w:szCs w:val="28"/>
              </w:rPr>
              <w:t>precizē</w:t>
            </w:r>
            <w:r w:rsidR="00B228C6" w:rsidRPr="00DE6A31">
              <w:rPr>
                <w:sz w:val="28"/>
                <w:szCs w:val="28"/>
              </w:rPr>
              <w:t>t</w:t>
            </w:r>
            <w:r w:rsidRPr="00DE6A31">
              <w:rPr>
                <w:sz w:val="28"/>
                <w:szCs w:val="28"/>
              </w:rPr>
              <w:t>s, jo ar noteikumu projektā paredzētajiem grozījumiem tiks izp</w:t>
            </w:r>
            <w:r w:rsidR="007B6C31" w:rsidRPr="00DE6A31">
              <w:rPr>
                <w:sz w:val="28"/>
                <w:szCs w:val="28"/>
              </w:rPr>
              <w:t>ildīts iepriekš plānotais 2018.</w:t>
            </w:r>
            <w:r w:rsidRPr="00DE6A31">
              <w:rPr>
                <w:sz w:val="28"/>
                <w:szCs w:val="28"/>
              </w:rPr>
              <w:t>gada pašu ieņēmumu plāns.</w:t>
            </w:r>
          </w:p>
        </w:tc>
      </w:tr>
    </w:tbl>
    <w:p w14:paraId="350A631A" w14:textId="77777777" w:rsidR="003B1A79" w:rsidRPr="00DE6A31" w:rsidRDefault="003B1A79" w:rsidP="003B1A79">
      <w:pPr>
        <w:rPr>
          <w:sz w:val="28"/>
          <w:szCs w:val="28"/>
        </w:rPr>
      </w:pPr>
      <w:r w:rsidRPr="00DE6A31">
        <w:rPr>
          <w:sz w:val="28"/>
          <w:szCs w:val="28"/>
        </w:rPr>
        <w:t xml:space="preserve">  </w:t>
      </w:r>
    </w:p>
    <w:tbl>
      <w:tblPr>
        <w:tblW w:w="5008" w:type="pct"/>
        <w:tblInd w:w="-8"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638"/>
      </w:tblGrid>
      <w:tr w:rsidR="003B1A79" w:rsidRPr="00300104" w14:paraId="1A4CFA1E" w14:textId="77777777" w:rsidTr="003B1A79">
        <w:trPr>
          <w:trHeight w:val="36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A88B9CE" w14:textId="77777777" w:rsidR="003B1A79" w:rsidRPr="00DE6A31" w:rsidRDefault="003B1A79" w:rsidP="003B1A79">
            <w:pPr>
              <w:spacing w:before="100" w:beforeAutospacing="1" w:after="100" w:afterAutospacing="1" w:line="293" w:lineRule="atLeast"/>
              <w:jc w:val="center"/>
              <w:rPr>
                <w:b/>
                <w:bCs/>
                <w:sz w:val="28"/>
                <w:szCs w:val="28"/>
              </w:rPr>
            </w:pPr>
            <w:r w:rsidRPr="00DE6A31">
              <w:rPr>
                <w:b/>
                <w:bCs/>
                <w:sz w:val="28"/>
                <w:szCs w:val="28"/>
              </w:rPr>
              <w:t>IV. Tiesību akta projekta ietekme uz spēkā esošo tiesību normu sistēmu</w:t>
            </w:r>
          </w:p>
        </w:tc>
      </w:tr>
      <w:tr w:rsidR="003B1A79" w:rsidRPr="00300104" w14:paraId="7E6F8C8D" w14:textId="77777777" w:rsidTr="003B1A79">
        <w:trPr>
          <w:trHeight w:val="525"/>
        </w:trPr>
        <w:tc>
          <w:tcPr>
            <w:tcW w:w="5000" w:type="pct"/>
            <w:tcBorders>
              <w:top w:val="outset" w:sz="6" w:space="0" w:color="414142"/>
              <w:left w:val="outset" w:sz="6" w:space="0" w:color="414142"/>
              <w:right w:val="outset" w:sz="6" w:space="0" w:color="414142"/>
            </w:tcBorders>
            <w:shd w:val="clear" w:color="auto" w:fill="FFFFFF"/>
            <w:vAlign w:val="center"/>
            <w:hideMark/>
          </w:tcPr>
          <w:p w14:paraId="1624020E" w14:textId="77777777" w:rsidR="003B1A79" w:rsidRPr="00DE6A31" w:rsidRDefault="003B1A79" w:rsidP="003B1A79">
            <w:pPr>
              <w:spacing w:before="100" w:beforeAutospacing="1" w:after="100" w:afterAutospacing="1" w:line="293" w:lineRule="atLeast"/>
              <w:jc w:val="center"/>
              <w:rPr>
                <w:sz w:val="28"/>
                <w:szCs w:val="28"/>
              </w:rPr>
            </w:pPr>
            <w:r w:rsidRPr="00DE6A31">
              <w:rPr>
                <w:sz w:val="28"/>
                <w:szCs w:val="28"/>
              </w:rPr>
              <w:t>Noteikumu projekts šo jomu neskar.</w:t>
            </w:r>
          </w:p>
        </w:tc>
      </w:tr>
      <w:tr w:rsidR="003B1A79" w:rsidRPr="00300104" w14:paraId="1D2E9B57" w14:textId="77777777" w:rsidTr="003B1A79">
        <w:trPr>
          <w:trHeight w:val="36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7009A4" w14:textId="77777777" w:rsidR="003B1A79" w:rsidRPr="00DE6A31" w:rsidRDefault="003B1A79" w:rsidP="003B1A79">
            <w:pPr>
              <w:spacing w:before="100" w:beforeAutospacing="1" w:after="100" w:afterAutospacing="1" w:line="293" w:lineRule="atLeast"/>
              <w:jc w:val="center"/>
              <w:rPr>
                <w:b/>
                <w:bCs/>
                <w:sz w:val="28"/>
                <w:szCs w:val="28"/>
              </w:rPr>
            </w:pPr>
            <w:r w:rsidRPr="00DE6A31">
              <w:rPr>
                <w:b/>
                <w:bCs/>
                <w:sz w:val="28"/>
                <w:szCs w:val="28"/>
              </w:rPr>
              <w:t>V. Tiesību akta projekta atbilstība Latvijas Republikas starptautiskajām saistībām</w:t>
            </w:r>
          </w:p>
        </w:tc>
      </w:tr>
      <w:tr w:rsidR="003B1A79" w:rsidRPr="00300104" w14:paraId="41553B90" w14:textId="77777777" w:rsidTr="003B1A79">
        <w:trPr>
          <w:trHeight w:val="525"/>
        </w:trPr>
        <w:tc>
          <w:tcPr>
            <w:tcW w:w="5000" w:type="pct"/>
            <w:tcBorders>
              <w:top w:val="outset" w:sz="6" w:space="0" w:color="414142"/>
              <w:left w:val="outset" w:sz="6" w:space="0" w:color="414142"/>
              <w:right w:val="outset" w:sz="6" w:space="0" w:color="414142"/>
            </w:tcBorders>
            <w:shd w:val="clear" w:color="auto" w:fill="FFFFFF"/>
            <w:vAlign w:val="center"/>
            <w:hideMark/>
          </w:tcPr>
          <w:p w14:paraId="200A2C61" w14:textId="77777777" w:rsidR="003B1A79" w:rsidRPr="00DE6A31" w:rsidRDefault="003B1A79" w:rsidP="003B1A79">
            <w:pPr>
              <w:spacing w:before="100" w:beforeAutospacing="1" w:after="100" w:afterAutospacing="1" w:line="293" w:lineRule="atLeast"/>
              <w:jc w:val="center"/>
              <w:rPr>
                <w:sz w:val="28"/>
                <w:szCs w:val="28"/>
              </w:rPr>
            </w:pPr>
            <w:r w:rsidRPr="00DE6A31">
              <w:rPr>
                <w:sz w:val="28"/>
                <w:szCs w:val="28"/>
              </w:rPr>
              <w:t>Noteikumu projekts šo jomu neskar.</w:t>
            </w:r>
          </w:p>
        </w:tc>
      </w:tr>
    </w:tbl>
    <w:p w14:paraId="7DDAD13C" w14:textId="77777777" w:rsidR="003B1A79" w:rsidRPr="00DE6A31" w:rsidRDefault="003B1A79" w:rsidP="003B1A79">
      <w:pPr>
        <w:rPr>
          <w:color w:val="414142"/>
          <w:sz w:val="28"/>
          <w:szCs w:val="28"/>
        </w:rPr>
      </w:pPr>
      <w:r w:rsidRPr="00DE6A31">
        <w:rPr>
          <w:color w:val="414142"/>
          <w:sz w:val="28"/>
          <w:szCs w:val="28"/>
        </w:rPr>
        <w:t xml:space="preserve">  </w:t>
      </w:r>
    </w:p>
    <w:p w14:paraId="5F4DE54A" w14:textId="77777777" w:rsidR="00035BB2" w:rsidRPr="00DE6A31" w:rsidRDefault="00035BB2" w:rsidP="003B1A79">
      <w:pPr>
        <w:rPr>
          <w:color w:val="414142"/>
          <w:sz w:val="28"/>
          <w:szCs w:val="28"/>
        </w:rPr>
      </w:pPr>
    </w:p>
    <w:tbl>
      <w:tblPr>
        <w:tblStyle w:val="TableGrid"/>
        <w:tblW w:w="5003" w:type="pct"/>
        <w:tblLayout w:type="fixed"/>
        <w:tblLook w:val="04A0" w:firstRow="1" w:lastRow="0" w:firstColumn="1" w:lastColumn="0" w:noHBand="0" w:noVBand="1"/>
      </w:tblPr>
      <w:tblGrid>
        <w:gridCol w:w="563"/>
        <w:gridCol w:w="1453"/>
        <w:gridCol w:w="7619"/>
      </w:tblGrid>
      <w:tr w:rsidR="003B1A79" w:rsidRPr="00300104" w14:paraId="014F36F5" w14:textId="77777777" w:rsidTr="0062535A">
        <w:tc>
          <w:tcPr>
            <w:tcW w:w="5000" w:type="pct"/>
            <w:gridSpan w:val="3"/>
            <w:hideMark/>
          </w:tcPr>
          <w:p w14:paraId="4E99E767" w14:textId="77777777" w:rsidR="003B1A79" w:rsidRPr="00DE6A31" w:rsidRDefault="003B1A79" w:rsidP="003B1A79">
            <w:pPr>
              <w:spacing w:before="100" w:beforeAutospacing="1" w:after="100" w:afterAutospacing="1" w:line="360" w:lineRule="auto"/>
              <w:ind w:firstLine="300"/>
              <w:jc w:val="center"/>
              <w:rPr>
                <w:b/>
                <w:bCs/>
                <w:sz w:val="28"/>
                <w:szCs w:val="28"/>
              </w:rPr>
            </w:pPr>
            <w:r w:rsidRPr="00DE6A31">
              <w:rPr>
                <w:b/>
                <w:bCs/>
                <w:sz w:val="28"/>
                <w:szCs w:val="28"/>
              </w:rPr>
              <w:t>VI. Sabiedrības līdzdalība un komunikācijas aktivitātes</w:t>
            </w:r>
          </w:p>
        </w:tc>
      </w:tr>
      <w:tr w:rsidR="003B1A79" w:rsidRPr="00300104" w14:paraId="2CD5B747" w14:textId="77777777" w:rsidTr="00DE6A31">
        <w:tc>
          <w:tcPr>
            <w:tcW w:w="292" w:type="pct"/>
            <w:hideMark/>
          </w:tcPr>
          <w:p w14:paraId="56FC14FE" w14:textId="77777777" w:rsidR="003B1A79" w:rsidRPr="00DE6A31" w:rsidRDefault="003B1A79" w:rsidP="0062535A">
            <w:pPr>
              <w:spacing w:before="100" w:beforeAutospacing="1" w:after="100" w:afterAutospacing="1" w:line="360" w:lineRule="auto"/>
              <w:rPr>
                <w:sz w:val="28"/>
                <w:szCs w:val="28"/>
              </w:rPr>
            </w:pPr>
            <w:r w:rsidRPr="00DE6A31">
              <w:rPr>
                <w:sz w:val="28"/>
                <w:szCs w:val="28"/>
              </w:rPr>
              <w:t>1.</w:t>
            </w:r>
          </w:p>
        </w:tc>
        <w:tc>
          <w:tcPr>
            <w:tcW w:w="754" w:type="pct"/>
            <w:hideMark/>
          </w:tcPr>
          <w:p w14:paraId="1FBE32C3" w14:textId="77777777" w:rsidR="003B1A79" w:rsidRPr="00DE6A31" w:rsidRDefault="003B1A79" w:rsidP="003B1A79">
            <w:pPr>
              <w:rPr>
                <w:sz w:val="28"/>
                <w:szCs w:val="28"/>
              </w:rPr>
            </w:pPr>
            <w:r w:rsidRPr="00DE6A31">
              <w:rPr>
                <w:sz w:val="28"/>
                <w:szCs w:val="28"/>
              </w:rPr>
              <w:t>Plānotās sabiedrības līdzdalības un komunikācijas aktivitātes saistībā ar projektu</w:t>
            </w:r>
          </w:p>
        </w:tc>
        <w:tc>
          <w:tcPr>
            <w:tcW w:w="3955" w:type="pct"/>
            <w:hideMark/>
          </w:tcPr>
          <w:p w14:paraId="599A9C14" w14:textId="1F9AAA8B" w:rsidR="009A4A90" w:rsidRPr="00DE6A31" w:rsidRDefault="0086117C" w:rsidP="009A4A90">
            <w:pPr>
              <w:rPr>
                <w:sz w:val="28"/>
                <w:szCs w:val="28"/>
              </w:rPr>
            </w:pPr>
            <w:r w:rsidRPr="00DE6A31">
              <w:rPr>
                <w:bCs/>
                <w:sz w:val="28"/>
                <w:szCs w:val="28"/>
              </w:rPr>
              <w:t>Sabiedrība par noteikumu projekt</w:t>
            </w:r>
            <w:r w:rsidR="006038A6" w:rsidRPr="00DE6A31">
              <w:rPr>
                <w:bCs/>
                <w:sz w:val="28"/>
                <w:szCs w:val="28"/>
              </w:rPr>
              <w:t>a</w:t>
            </w:r>
            <w:r w:rsidRPr="00DE6A31">
              <w:rPr>
                <w:bCs/>
                <w:sz w:val="28"/>
                <w:szCs w:val="28"/>
              </w:rPr>
              <w:t xml:space="preserve"> izstrādi </w:t>
            </w:r>
            <w:r w:rsidR="00B228C6" w:rsidRPr="00DE6A31">
              <w:rPr>
                <w:bCs/>
                <w:sz w:val="28"/>
                <w:szCs w:val="28"/>
              </w:rPr>
              <w:t xml:space="preserve">ir </w:t>
            </w:r>
            <w:r w:rsidRPr="00DE6A31">
              <w:rPr>
                <w:bCs/>
                <w:sz w:val="28"/>
                <w:szCs w:val="28"/>
              </w:rPr>
              <w:t>informēta, ievietojot Finanšu ministrijas tīmekļa vietnē sada</w:t>
            </w:r>
            <w:r w:rsidR="00D35DFD" w:rsidRPr="00DE6A31">
              <w:rPr>
                <w:bCs/>
                <w:sz w:val="28"/>
                <w:szCs w:val="28"/>
              </w:rPr>
              <w:t>ļ</w:t>
            </w:r>
            <w:r w:rsidRPr="00DE6A31">
              <w:rPr>
                <w:bCs/>
                <w:sz w:val="28"/>
                <w:szCs w:val="28"/>
              </w:rPr>
              <w:t xml:space="preserve">ā “Sabiedrības līdzdalība” </w:t>
            </w:r>
            <w:r w:rsidR="00B228C6" w:rsidRPr="00DE6A31">
              <w:rPr>
                <w:bCs/>
                <w:sz w:val="28"/>
                <w:szCs w:val="28"/>
              </w:rPr>
              <w:t xml:space="preserve">informāciju </w:t>
            </w:r>
            <w:r w:rsidRPr="00DE6A31">
              <w:rPr>
                <w:bCs/>
                <w:sz w:val="28"/>
                <w:szCs w:val="28"/>
              </w:rPr>
              <w:t>par noteikumu projekt</w:t>
            </w:r>
            <w:r w:rsidR="00B228C6" w:rsidRPr="00DE6A31">
              <w:rPr>
                <w:bCs/>
                <w:sz w:val="28"/>
                <w:szCs w:val="28"/>
              </w:rPr>
              <w:t>a izstrādi</w:t>
            </w:r>
            <w:r w:rsidR="009A4A90" w:rsidRPr="00DE6A31">
              <w:rPr>
                <w:bCs/>
                <w:sz w:val="28"/>
                <w:szCs w:val="28"/>
              </w:rPr>
              <w:t>.</w:t>
            </w:r>
          </w:p>
          <w:p w14:paraId="1B628003" w14:textId="2FAC06BF" w:rsidR="003B1A79" w:rsidRPr="00DE6A31" w:rsidRDefault="003B1A79" w:rsidP="00157E4B">
            <w:pPr>
              <w:rPr>
                <w:sz w:val="28"/>
                <w:szCs w:val="28"/>
              </w:rPr>
            </w:pPr>
          </w:p>
        </w:tc>
      </w:tr>
      <w:tr w:rsidR="003B1A79" w:rsidRPr="00300104" w14:paraId="29813D70" w14:textId="77777777" w:rsidTr="00DE6A31">
        <w:tc>
          <w:tcPr>
            <w:tcW w:w="292" w:type="pct"/>
            <w:hideMark/>
          </w:tcPr>
          <w:p w14:paraId="1DE4DD83" w14:textId="77777777" w:rsidR="003B1A79" w:rsidRPr="00DE6A31" w:rsidRDefault="003B1A79" w:rsidP="0062535A">
            <w:pPr>
              <w:spacing w:before="100" w:beforeAutospacing="1" w:after="100" w:afterAutospacing="1" w:line="360" w:lineRule="auto"/>
              <w:rPr>
                <w:sz w:val="28"/>
                <w:szCs w:val="28"/>
              </w:rPr>
            </w:pPr>
            <w:r w:rsidRPr="00DE6A31">
              <w:rPr>
                <w:sz w:val="28"/>
                <w:szCs w:val="28"/>
              </w:rPr>
              <w:t>2.</w:t>
            </w:r>
          </w:p>
        </w:tc>
        <w:tc>
          <w:tcPr>
            <w:tcW w:w="754" w:type="pct"/>
            <w:hideMark/>
          </w:tcPr>
          <w:p w14:paraId="70129F56" w14:textId="77777777" w:rsidR="003B1A79" w:rsidRPr="00DE6A31" w:rsidRDefault="003B1A79" w:rsidP="003B1A79">
            <w:pPr>
              <w:rPr>
                <w:sz w:val="28"/>
                <w:szCs w:val="28"/>
              </w:rPr>
            </w:pPr>
            <w:r w:rsidRPr="00DE6A31">
              <w:rPr>
                <w:sz w:val="28"/>
                <w:szCs w:val="28"/>
              </w:rPr>
              <w:t>Sabiedrības līdzdalība projekta izstrādē</w:t>
            </w:r>
          </w:p>
        </w:tc>
        <w:tc>
          <w:tcPr>
            <w:tcW w:w="3955" w:type="pct"/>
            <w:hideMark/>
          </w:tcPr>
          <w:p w14:paraId="1577A1A7" w14:textId="49897194" w:rsidR="003B1A79" w:rsidRPr="00DE6A31" w:rsidRDefault="00F534E3" w:rsidP="00727EC5">
            <w:pPr>
              <w:rPr>
                <w:sz w:val="28"/>
                <w:szCs w:val="28"/>
              </w:rPr>
            </w:pPr>
            <w:r w:rsidRPr="00DE6A31">
              <w:rPr>
                <w:bCs/>
                <w:sz w:val="28"/>
                <w:szCs w:val="28"/>
              </w:rPr>
              <w:t>2018.gada</w:t>
            </w:r>
            <w:r w:rsidR="00727EC5" w:rsidRPr="00DE6A31">
              <w:rPr>
                <w:bCs/>
                <w:sz w:val="28"/>
                <w:szCs w:val="28"/>
              </w:rPr>
              <w:t xml:space="preserve"> 7</w:t>
            </w:r>
            <w:r w:rsidR="009A4A90" w:rsidRPr="00DE6A31">
              <w:rPr>
                <w:bCs/>
                <w:sz w:val="28"/>
                <w:szCs w:val="28"/>
              </w:rPr>
              <w:t>.</w:t>
            </w:r>
            <w:r w:rsidR="00727EC5" w:rsidRPr="00DE6A31">
              <w:rPr>
                <w:bCs/>
                <w:sz w:val="28"/>
                <w:szCs w:val="28"/>
              </w:rPr>
              <w:t>februārī</w:t>
            </w:r>
            <w:r w:rsidR="009A4A90" w:rsidRPr="00DE6A31">
              <w:rPr>
                <w:bCs/>
                <w:sz w:val="28"/>
                <w:szCs w:val="28"/>
              </w:rPr>
              <w:t xml:space="preserve"> Finanšu ministrijas tīmekļa vietnē sadaļā “Sabiedrības līdzdalība” ir publicēta informācija par noteikumu projekta izstrādi </w:t>
            </w:r>
            <w:hyperlink r:id="rId12" w:anchor="project444" w:history="1">
              <w:r w:rsidR="00727EC5" w:rsidRPr="00DE6A31">
                <w:rPr>
                  <w:rStyle w:val="Hyperlink"/>
                  <w:bCs/>
                  <w:sz w:val="28"/>
                  <w:szCs w:val="28"/>
                </w:rPr>
                <w:t>http://fm.gov.lv/lv/sabiedribas_lidzdaliba/tiesibu_aktu_projekti/muitas_politika#project444</w:t>
              </w:r>
            </w:hyperlink>
            <w:r w:rsidR="00727EC5" w:rsidRPr="00DE6A31">
              <w:rPr>
                <w:bCs/>
                <w:sz w:val="28"/>
                <w:szCs w:val="28"/>
              </w:rPr>
              <w:t xml:space="preserve"> </w:t>
            </w:r>
            <w:r w:rsidR="00553FCC" w:rsidRPr="00DE6A31">
              <w:rPr>
                <w:bCs/>
                <w:sz w:val="28"/>
                <w:szCs w:val="28"/>
              </w:rPr>
              <w:t>.</w:t>
            </w:r>
          </w:p>
        </w:tc>
      </w:tr>
      <w:tr w:rsidR="003B1A79" w:rsidRPr="00300104" w14:paraId="1BE8E1E7" w14:textId="77777777" w:rsidTr="00DE6A31">
        <w:tc>
          <w:tcPr>
            <w:tcW w:w="292" w:type="pct"/>
            <w:hideMark/>
          </w:tcPr>
          <w:p w14:paraId="5E1ECD40" w14:textId="77777777" w:rsidR="003B1A79" w:rsidRPr="00DE6A31" w:rsidRDefault="003B1A79" w:rsidP="0062535A">
            <w:pPr>
              <w:spacing w:before="100" w:beforeAutospacing="1" w:after="100" w:afterAutospacing="1" w:line="360" w:lineRule="auto"/>
              <w:rPr>
                <w:sz w:val="28"/>
                <w:szCs w:val="28"/>
              </w:rPr>
            </w:pPr>
            <w:r w:rsidRPr="00DE6A31">
              <w:rPr>
                <w:sz w:val="28"/>
                <w:szCs w:val="28"/>
              </w:rPr>
              <w:t>3.</w:t>
            </w:r>
          </w:p>
        </w:tc>
        <w:tc>
          <w:tcPr>
            <w:tcW w:w="754" w:type="pct"/>
            <w:hideMark/>
          </w:tcPr>
          <w:p w14:paraId="5EB4E8BD" w14:textId="77777777" w:rsidR="003B1A79" w:rsidRPr="00DE6A31" w:rsidRDefault="003B1A79" w:rsidP="003B1A79">
            <w:pPr>
              <w:rPr>
                <w:sz w:val="28"/>
                <w:szCs w:val="28"/>
              </w:rPr>
            </w:pPr>
            <w:r w:rsidRPr="00DE6A31">
              <w:rPr>
                <w:sz w:val="28"/>
                <w:szCs w:val="28"/>
              </w:rPr>
              <w:t>Sabiedrības līdzdalības rezultāti</w:t>
            </w:r>
          </w:p>
        </w:tc>
        <w:tc>
          <w:tcPr>
            <w:tcW w:w="3955" w:type="pct"/>
            <w:hideMark/>
          </w:tcPr>
          <w:p w14:paraId="5D51885B" w14:textId="5E002850" w:rsidR="003B1A79" w:rsidRPr="00DE6A31" w:rsidRDefault="009A4A90" w:rsidP="003B1A79">
            <w:pPr>
              <w:rPr>
                <w:sz w:val="28"/>
                <w:szCs w:val="28"/>
              </w:rPr>
            </w:pPr>
            <w:r w:rsidRPr="00DE6A31">
              <w:rPr>
                <w:sz w:val="28"/>
                <w:szCs w:val="28"/>
              </w:rPr>
              <w:t>Nav saņemti iebildumi no sabiedrības pārstāvjiem, kā rezultātā noteikumu projekts tiek atbalstīts pilnībā.</w:t>
            </w:r>
          </w:p>
        </w:tc>
      </w:tr>
      <w:tr w:rsidR="003B1A79" w:rsidRPr="00300104" w14:paraId="342E11B6" w14:textId="77777777" w:rsidTr="00DE6A31">
        <w:tc>
          <w:tcPr>
            <w:tcW w:w="292" w:type="pct"/>
            <w:hideMark/>
          </w:tcPr>
          <w:p w14:paraId="502F2266" w14:textId="77777777" w:rsidR="003B1A79" w:rsidRPr="00DE6A31" w:rsidRDefault="003B1A79" w:rsidP="0062535A">
            <w:pPr>
              <w:spacing w:before="100" w:beforeAutospacing="1" w:after="100" w:afterAutospacing="1" w:line="360" w:lineRule="auto"/>
              <w:rPr>
                <w:sz w:val="28"/>
                <w:szCs w:val="28"/>
              </w:rPr>
            </w:pPr>
            <w:r w:rsidRPr="00DE6A31">
              <w:rPr>
                <w:sz w:val="28"/>
                <w:szCs w:val="28"/>
              </w:rPr>
              <w:t>4.</w:t>
            </w:r>
          </w:p>
        </w:tc>
        <w:tc>
          <w:tcPr>
            <w:tcW w:w="754" w:type="pct"/>
            <w:hideMark/>
          </w:tcPr>
          <w:p w14:paraId="3B4787D5" w14:textId="77777777" w:rsidR="003B1A79" w:rsidRPr="00DE6A31" w:rsidRDefault="003B1A79" w:rsidP="003B1A79">
            <w:pPr>
              <w:rPr>
                <w:sz w:val="28"/>
                <w:szCs w:val="28"/>
              </w:rPr>
            </w:pPr>
            <w:r w:rsidRPr="00DE6A31">
              <w:rPr>
                <w:sz w:val="28"/>
                <w:szCs w:val="28"/>
              </w:rPr>
              <w:t>Cita informācija</w:t>
            </w:r>
          </w:p>
        </w:tc>
        <w:tc>
          <w:tcPr>
            <w:tcW w:w="3955" w:type="pct"/>
            <w:hideMark/>
          </w:tcPr>
          <w:p w14:paraId="4232DBFB" w14:textId="77777777" w:rsidR="003B1A79" w:rsidRPr="00DE6A31" w:rsidRDefault="003B1A79" w:rsidP="003B1A79">
            <w:pPr>
              <w:rPr>
                <w:sz w:val="28"/>
                <w:szCs w:val="28"/>
              </w:rPr>
            </w:pPr>
            <w:r w:rsidRPr="00DE6A31">
              <w:rPr>
                <w:sz w:val="28"/>
                <w:szCs w:val="28"/>
              </w:rPr>
              <w:t>Nav</w:t>
            </w:r>
          </w:p>
        </w:tc>
      </w:tr>
    </w:tbl>
    <w:p w14:paraId="666A51AD" w14:textId="77777777" w:rsidR="003B1A79" w:rsidRPr="00DE6A31" w:rsidRDefault="003B1A79" w:rsidP="003B1A79">
      <w:pPr>
        <w:rPr>
          <w:sz w:val="28"/>
          <w:szCs w:val="28"/>
        </w:rPr>
      </w:pPr>
      <w:r w:rsidRPr="00DE6A31">
        <w:rPr>
          <w:sz w:val="28"/>
          <w:szCs w:val="28"/>
        </w:rPr>
        <w:t xml:space="preserve">  </w:t>
      </w:r>
    </w:p>
    <w:tbl>
      <w:tblPr>
        <w:tblStyle w:val="TableGrid"/>
        <w:tblW w:w="5000" w:type="pct"/>
        <w:tblLook w:val="04A0" w:firstRow="1" w:lastRow="0" w:firstColumn="1" w:lastColumn="0" w:noHBand="0" w:noVBand="1"/>
      </w:tblPr>
      <w:tblGrid>
        <w:gridCol w:w="726"/>
        <w:gridCol w:w="3198"/>
        <w:gridCol w:w="5705"/>
      </w:tblGrid>
      <w:tr w:rsidR="003B1A79" w:rsidRPr="00300104" w14:paraId="113AE95A" w14:textId="77777777" w:rsidTr="003B1A79">
        <w:tc>
          <w:tcPr>
            <w:tcW w:w="0" w:type="auto"/>
            <w:gridSpan w:val="3"/>
            <w:hideMark/>
          </w:tcPr>
          <w:p w14:paraId="17CC3C88" w14:textId="77777777" w:rsidR="003B1A79" w:rsidRPr="00DE6A31" w:rsidRDefault="003B1A79" w:rsidP="003B1A79">
            <w:pPr>
              <w:spacing w:before="100" w:beforeAutospacing="1" w:after="100" w:afterAutospacing="1" w:line="360" w:lineRule="auto"/>
              <w:ind w:firstLine="300"/>
              <w:jc w:val="center"/>
              <w:rPr>
                <w:b/>
                <w:bCs/>
                <w:sz w:val="28"/>
                <w:szCs w:val="28"/>
              </w:rPr>
            </w:pPr>
            <w:r w:rsidRPr="00DE6A31">
              <w:rPr>
                <w:b/>
                <w:bCs/>
                <w:sz w:val="28"/>
                <w:szCs w:val="28"/>
              </w:rPr>
              <w:t>VII. Tiesību akta projekta izpildes nodrošināšana un tās ietekme uz institūcijām</w:t>
            </w:r>
          </w:p>
        </w:tc>
      </w:tr>
      <w:tr w:rsidR="003B1A79" w:rsidRPr="00300104" w14:paraId="0C1FE5E8" w14:textId="77777777" w:rsidTr="003B1A79">
        <w:tc>
          <w:tcPr>
            <w:tcW w:w="361" w:type="pct"/>
            <w:hideMark/>
          </w:tcPr>
          <w:p w14:paraId="1C16E129" w14:textId="77777777" w:rsidR="003B1A79" w:rsidRPr="00DE6A31" w:rsidRDefault="003B1A79" w:rsidP="003B1A79">
            <w:pPr>
              <w:spacing w:before="100" w:beforeAutospacing="1" w:after="100" w:afterAutospacing="1" w:line="360" w:lineRule="auto"/>
              <w:ind w:firstLine="300"/>
              <w:jc w:val="center"/>
              <w:rPr>
                <w:sz w:val="28"/>
                <w:szCs w:val="28"/>
              </w:rPr>
            </w:pPr>
            <w:r w:rsidRPr="00DE6A31">
              <w:rPr>
                <w:sz w:val="28"/>
                <w:szCs w:val="28"/>
              </w:rPr>
              <w:lastRenderedPageBreak/>
              <w:t>1.</w:t>
            </w:r>
          </w:p>
        </w:tc>
        <w:tc>
          <w:tcPr>
            <w:tcW w:w="1669" w:type="pct"/>
            <w:hideMark/>
          </w:tcPr>
          <w:p w14:paraId="34C8B5F7" w14:textId="77777777" w:rsidR="003B1A79" w:rsidRPr="00DE6A31" w:rsidRDefault="003B1A79" w:rsidP="003B1A79">
            <w:pPr>
              <w:rPr>
                <w:sz w:val="28"/>
                <w:szCs w:val="28"/>
              </w:rPr>
            </w:pPr>
            <w:r w:rsidRPr="00DE6A31">
              <w:rPr>
                <w:sz w:val="28"/>
                <w:szCs w:val="28"/>
              </w:rPr>
              <w:t>Projekta izpildē iesaistītās institūcijas</w:t>
            </w:r>
          </w:p>
        </w:tc>
        <w:tc>
          <w:tcPr>
            <w:tcW w:w="2969" w:type="pct"/>
            <w:hideMark/>
          </w:tcPr>
          <w:p w14:paraId="12F996EE" w14:textId="77777777" w:rsidR="003B1A79" w:rsidRPr="00DE6A31" w:rsidRDefault="003B1A79" w:rsidP="00A35E8B">
            <w:pPr>
              <w:rPr>
                <w:sz w:val="28"/>
                <w:szCs w:val="28"/>
              </w:rPr>
            </w:pPr>
            <w:r w:rsidRPr="00DE6A31">
              <w:rPr>
                <w:sz w:val="28"/>
                <w:szCs w:val="28"/>
              </w:rPr>
              <w:t xml:space="preserve">Projekta izpildi nodrošinās </w:t>
            </w:r>
            <w:r w:rsidR="00A35E8B" w:rsidRPr="00DE6A31">
              <w:rPr>
                <w:sz w:val="28"/>
                <w:szCs w:val="28"/>
              </w:rPr>
              <w:t>VID</w:t>
            </w:r>
            <w:r w:rsidRPr="00DE6A31">
              <w:rPr>
                <w:sz w:val="28"/>
                <w:szCs w:val="28"/>
              </w:rPr>
              <w:t>.</w:t>
            </w:r>
          </w:p>
        </w:tc>
      </w:tr>
      <w:tr w:rsidR="003B1A79" w:rsidRPr="00300104" w14:paraId="3F6451C9" w14:textId="77777777" w:rsidTr="003B1A79">
        <w:tc>
          <w:tcPr>
            <w:tcW w:w="361" w:type="pct"/>
            <w:hideMark/>
          </w:tcPr>
          <w:p w14:paraId="3EC3A6A9" w14:textId="77777777" w:rsidR="003B1A79" w:rsidRPr="00DE6A31" w:rsidRDefault="003B1A79" w:rsidP="003B1A79">
            <w:pPr>
              <w:spacing w:before="100" w:beforeAutospacing="1" w:after="100" w:afterAutospacing="1" w:line="360" w:lineRule="auto"/>
              <w:ind w:firstLine="300"/>
              <w:jc w:val="center"/>
              <w:rPr>
                <w:sz w:val="28"/>
                <w:szCs w:val="28"/>
              </w:rPr>
            </w:pPr>
            <w:r w:rsidRPr="00DE6A31">
              <w:rPr>
                <w:sz w:val="28"/>
                <w:szCs w:val="28"/>
              </w:rPr>
              <w:t>2.</w:t>
            </w:r>
          </w:p>
        </w:tc>
        <w:tc>
          <w:tcPr>
            <w:tcW w:w="1669" w:type="pct"/>
            <w:hideMark/>
          </w:tcPr>
          <w:p w14:paraId="72DD6FC4" w14:textId="77777777" w:rsidR="003B1A79" w:rsidRPr="00DE6A31" w:rsidRDefault="003B1A79" w:rsidP="003B1A79">
            <w:pPr>
              <w:rPr>
                <w:sz w:val="28"/>
                <w:szCs w:val="28"/>
              </w:rPr>
            </w:pPr>
            <w:r w:rsidRPr="00DE6A31">
              <w:rPr>
                <w:sz w:val="28"/>
                <w:szCs w:val="28"/>
              </w:rPr>
              <w:t>Projekta izpildes ietekme uz pārvaldes funkcijām un institucionālo struktūru.</w:t>
            </w:r>
            <w:r w:rsidRPr="00DE6A31">
              <w:rPr>
                <w:sz w:val="28"/>
                <w:szCs w:val="28"/>
              </w:rPr>
              <w:br/>
              <w:t>Jaunu institūciju izveide, esošu institūciju likvidācija vai reorganizācija, to ietekme uz institūcijas cilvēkresursiem</w:t>
            </w:r>
          </w:p>
        </w:tc>
        <w:tc>
          <w:tcPr>
            <w:tcW w:w="2969" w:type="pct"/>
            <w:hideMark/>
          </w:tcPr>
          <w:p w14:paraId="3415B242" w14:textId="77777777" w:rsidR="003B1A79" w:rsidRPr="00DE6A31" w:rsidRDefault="003B1A79" w:rsidP="00986583">
            <w:pPr>
              <w:jc w:val="both"/>
              <w:rPr>
                <w:sz w:val="28"/>
                <w:szCs w:val="28"/>
              </w:rPr>
            </w:pPr>
            <w:r w:rsidRPr="00DE6A31">
              <w:rPr>
                <w:sz w:val="28"/>
                <w:szCs w:val="28"/>
              </w:rPr>
              <w:t>Normatīvā akta izpilde tiks nodrošināta līdzšinējo funkciju ietvaros. Jaunas institūcijas netiks izveidotas, netiks veikta esošu institūciju likvidācija vai reorganizācija.</w:t>
            </w:r>
          </w:p>
        </w:tc>
      </w:tr>
      <w:tr w:rsidR="003B1A79" w:rsidRPr="00300104" w14:paraId="24FAD0D8" w14:textId="77777777" w:rsidTr="003B1A79">
        <w:tc>
          <w:tcPr>
            <w:tcW w:w="361" w:type="pct"/>
            <w:hideMark/>
          </w:tcPr>
          <w:p w14:paraId="06A274A0" w14:textId="77777777" w:rsidR="003B1A79" w:rsidRPr="00DE6A31" w:rsidRDefault="003B1A79" w:rsidP="003B1A79">
            <w:pPr>
              <w:spacing w:before="100" w:beforeAutospacing="1" w:after="100" w:afterAutospacing="1" w:line="360" w:lineRule="auto"/>
              <w:ind w:firstLine="300"/>
              <w:jc w:val="center"/>
              <w:rPr>
                <w:sz w:val="28"/>
                <w:szCs w:val="28"/>
              </w:rPr>
            </w:pPr>
            <w:r w:rsidRPr="00DE6A31">
              <w:rPr>
                <w:sz w:val="28"/>
                <w:szCs w:val="28"/>
              </w:rPr>
              <w:t>3.</w:t>
            </w:r>
          </w:p>
        </w:tc>
        <w:tc>
          <w:tcPr>
            <w:tcW w:w="1669" w:type="pct"/>
            <w:hideMark/>
          </w:tcPr>
          <w:p w14:paraId="2160C11E" w14:textId="77777777" w:rsidR="003B1A79" w:rsidRPr="00DE6A31" w:rsidRDefault="003B1A79" w:rsidP="003B1A79">
            <w:pPr>
              <w:rPr>
                <w:sz w:val="28"/>
                <w:szCs w:val="28"/>
              </w:rPr>
            </w:pPr>
            <w:r w:rsidRPr="00DE6A31">
              <w:rPr>
                <w:sz w:val="28"/>
                <w:szCs w:val="28"/>
              </w:rPr>
              <w:t>Cita informācija</w:t>
            </w:r>
          </w:p>
        </w:tc>
        <w:tc>
          <w:tcPr>
            <w:tcW w:w="2969" w:type="pct"/>
            <w:hideMark/>
          </w:tcPr>
          <w:p w14:paraId="17DD6F12" w14:textId="77777777" w:rsidR="003B1A79" w:rsidRPr="00DE6A31" w:rsidRDefault="003B1A79" w:rsidP="003B1A79">
            <w:pPr>
              <w:rPr>
                <w:sz w:val="28"/>
                <w:szCs w:val="28"/>
              </w:rPr>
            </w:pPr>
            <w:r w:rsidRPr="00DE6A31">
              <w:rPr>
                <w:sz w:val="28"/>
                <w:szCs w:val="28"/>
              </w:rPr>
              <w:t>Nav</w:t>
            </w:r>
          </w:p>
        </w:tc>
      </w:tr>
    </w:tbl>
    <w:p w14:paraId="452AB700" w14:textId="77777777" w:rsidR="00214094" w:rsidRPr="00300104" w:rsidRDefault="00214094" w:rsidP="00D53978">
      <w:pPr>
        <w:pStyle w:val="naisf"/>
        <w:tabs>
          <w:tab w:val="left" w:pos="5760"/>
        </w:tabs>
        <w:spacing w:before="0" w:after="0"/>
        <w:ind w:firstLine="0"/>
        <w:rPr>
          <w:sz w:val="28"/>
          <w:szCs w:val="28"/>
        </w:rPr>
      </w:pPr>
    </w:p>
    <w:p w14:paraId="12BB4E40" w14:textId="77777777" w:rsidR="008D5DC0" w:rsidRPr="00300104" w:rsidRDefault="008D5DC0" w:rsidP="00D53978">
      <w:pPr>
        <w:pStyle w:val="naisf"/>
        <w:spacing w:before="0" w:after="0"/>
        <w:ind w:firstLine="0"/>
        <w:rPr>
          <w:sz w:val="28"/>
          <w:szCs w:val="28"/>
        </w:rPr>
      </w:pPr>
    </w:p>
    <w:p w14:paraId="6E980D1C" w14:textId="77777777" w:rsidR="00BB0BF6" w:rsidRDefault="00BB0BF6" w:rsidP="00BB0BF6">
      <w:pPr>
        <w:rPr>
          <w:sz w:val="28"/>
          <w:szCs w:val="28"/>
        </w:rPr>
      </w:pPr>
      <w:r>
        <w:rPr>
          <w:sz w:val="28"/>
          <w:szCs w:val="28"/>
        </w:rPr>
        <w:t>Finanšu ministre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D.Reizniece-Ozola</w:t>
      </w:r>
    </w:p>
    <w:p w14:paraId="2B68CD48" w14:textId="5A3BCFB9" w:rsidR="00BB0BF6" w:rsidRDefault="00BB0BF6" w:rsidP="00BB0BF6">
      <w:pPr>
        <w:rPr>
          <w:sz w:val="28"/>
          <w:szCs w:val="28"/>
        </w:rPr>
      </w:pPr>
      <w:bookmarkStart w:id="0" w:name="_GoBack"/>
      <w:bookmarkEnd w:id="0"/>
      <w:r>
        <w:rPr>
          <w:sz w:val="28"/>
          <w:szCs w:val="28"/>
        </w:rPr>
        <w:t xml:space="preserve"> </w:t>
      </w:r>
    </w:p>
    <w:p w14:paraId="6D1749F4" w14:textId="77777777" w:rsidR="00041B28" w:rsidRPr="00300104" w:rsidRDefault="006A17AE" w:rsidP="00D53978">
      <w:r w:rsidRPr="00300104">
        <w:t xml:space="preserve">Štendenberga 67120243 </w:t>
      </w:r>
    </w:p>
    <w:p w14:paraId="317D0AC1" w14:textId="77777777" w:rsidR="00685ABC" w:rsidRPr="00300104" w:rsidRDefault="00CC09F4" w:rsidP="00D53978">
      <w:pPr>
        <w:rPr>
          <w:sz w:val="28"/>
          <w:szCs w:val="28"/>
        </w:rPr>
      </w:pPr>
      <w:hyperlink r:id="rId13" w:history="1">
        <w:r w:rsidR="0010093A" w:rsidRPr="00300104">
          <w:rPr>
            <w:rStyle w:val="Hyperlink"/>
            <w:color w:val="0070C0"/>
          </w:rPr>
          <w:t>sanita.stendenberga@vid.gov.lv</w:t>
        </w:r>
      </w:hyperlink>
    </w:p>
    <w:sectPr w:rsidR="00685ABC" w:rsidRPr="00300104" w:rsidSect="003B1A79">
      <w:headerReference w:type="even" r:id="rId14"/>
      <w:headerReference w:type="default" r:id="rId15"/>
      <w:footerReference w:type="default" r:id="rId16"/>
      <w:footerReference w:type="first" r:id="rId17"/>
      <w:pgSz w:w="11906" w:h="16838" w:code="9"/>
      <w:pgMar w:top="1134" w:right="849" w:bottom="1134" w:left="1418"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5EB875" w14:textId="77777777" w:rsidR="00CC09F4" w:rsidRDefault="00CC09F4">
      <w:r>
        <w:separator/>
      </w:r>
    </w:p>
  </w:endnote>
  <w:endnote w:type="continuationSeparator" w:id="0">
    <w:p w14:paraId="7C5EA2D8" w14:textId="77777777" w:rsidR="00CC09F4" w:rsidRDefault="00CC0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9DDEE" w14:textId="6E9D1C4C" w:rsidR="00736856" w:rsidRPr="00041B28" w:rsidRDefault="00736856" w:rsidP="00041B28">
    <w:pPr>
      <w:pStyle w:val="NormalWeb"/>
      <w:spacing w:before="0" w:beforeAutospacing="0" w:after="0" w:afterAutospacing="0"/>
      <w:jc w:val="both"/>
      <w:rPr>
        <w:b/>
        <w:sz w:val="18"/>
        <w:szCs w:val="18"/>
      </w:rPr>
    </w:pPr>
    <w:r>
      <w:rPr>
        <w:sz w:val="18"/>
        <w:szCs w:val="18"/>
      </w:rPr>
      <w:t>FM_Anot_</w:t>
    </w:r>
    <w:r w:rsidR="002D34BA">
      <w:rPr>
        <w:sz w:val="18"/>
        <w:szCs w:val="18"/>
      </w:rPr>
      <w:t>28</w:t>
    </w:r>
    <w:r>
      <w:rPr>
        <w:sz w:val="18"/>
        <w:szCs w:val="18"/>
      </w:rPr>
      <w:t>0</w:t>
    </w:r>
    <w:r w:rsidR="00CB64B5">
      <w:rPr>
        <w:sz w:val="18"/>
        <w:szCs w:val="18"/>
      </w:rPr>
      <w:t>5</w:t>
    </w:r>
    <w:r>
      <w:rPr>
        <w:sz w:val="18"/>
        <w:szCs w:val="18"/>
      </w:rPr>
      <w:t>2018</w:t>
    </w:r>
    <w:r w:rsidR="00344BAE">
      <w:rPr>
        <w:sz w:val="18"/>
        <w:szCs w:val="18"/>
      </w:rPr>
      <w:t>_</w:t>
    </w:r>
    <w:r>
      <w:rPr>
        <w:sz w:val="18"/>
        <w:szCs w:val="18"/>
      </w:rPr>
      <w:t>VID_cenradis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BB993" w14:textId="6187D9EC" w:rsidR="00736856" w:rsidRPr="00765F6E" w:rsidRDefault="00736856" w:rsidP="00D01D51">
    <w:pPr>
      <w:pStyle w:val="NormalWeb"/>
      <w:spacing w:before="0" w:beforeAutospacing="0" w:after="0" w:afterAutospacing="0"/>
      <w:jc w:val="both"/>
      <w:rPr>
        <w:b/>
        <w:sz w:val="18"/>
        <w:szCs w:val="18"/>
      </w:rPr>
    </w:pPr>
    <w:r>
      <w:rPr>
        <w:sz w:val="18"/>
        <w:szCs w:val="18"/>
      </w:rPr>
      <w:t>FM_Anot_</w:t>
    </w:r>
    <w:r w:rsidR="00F65A51">
      <w:rPr>
        <w:sz w:val="18"/>
        <w:szCs w:val="18"/>
      </w:rPr>
      <w:t>2</w:t>
    </w:r>
    <w:r w:rsidR="002D34BA">
      <w:rPr>
        <w:sz w:val="18"/>
        <w:szCs w:val="18"/>
      </w:rPr>
      <w:t>8</w:t>
    </w:r>
    <w:r>
      <w:rPr>
        <w:sz w:val="18"/>
        <w:szCs w:val="18"/>
      </w:rPr>
      <w:t>0</w:t>
    </w:r>
    <w:r w:rsidR="00CB64B5">
      <w:rPr>
        <w:sz w:val="18"/>
        <w:szCs w:val="18"/>
      </w:rPr>
      <w:t>5</w:t>
    </w:r>
    <w:r>
      <w:rPr>
        <w:sz w:val="18"/>
        <w:szCs w:val="18"/>
      </w:rPr>
      <w:t>2018</w:t>
    </w:r>
    <w:r w:rsidR="00CE1E75">
      <w:rPr>
        <w:sz w:val="18"/>
        <w:szCs w:val="18"/>
      </w:rPr>
      <w:t>_</w:t>
    </w:r>
    <w:r>
      <w:rPr>
        <w:sz w:val="18"/>
        <w:szCs w:val="18"/>
      </w:rPr>
      <w:t>VID_cenradis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5AAC3F" w14:textId="77777777" w:rsidR="00CC09F4" w:rsidRDefault="00CC09F4">
      <w:r>
        <w:separator/>
      </w:r>
    </w:p>
  </w:footnote>
  <w:footnote w:type="continuationSeparator" w:id="0">
    <w:p w14:paraId="0DD5FF85" w14:textId="77777777" w:rsidR="00CC09F4" w:rsidRDefault="00CC09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2419E" w14:textId="77777777" w:rsidR="00736856" w:rsidRDefault="00736856"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4C4368" w14:textId="77777777" w:rsidR="00736856" w:rsidRDefault="007368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FFC28" w14:textId="4468A20A" w:rsidR="00736856" w:rsidRDefault="00736856"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B0BF6">
      <w:rPr>
        <w:rStyle w:val="PageNumber"/>
        <w:noProof/>
      </w:rPr>
      <w:t>12</w:t>
    </w:r>
    <w:r>
      <w:rPr>
        <w:rStyle w:val="PageNumber"/>
      </w:rPr>
      <w:fldChar w:fldCharType="end"/>
    </w:r>
  </w:p>
  <w:p w14:paraId="65895708" w14:textId="77777777" w:rsidR="00736856" w:rsidRDefault="007368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123E"/>
    <w:multiLevelType w:val="hybridMultilevel"/>
    <w:tmpl w:val="F4B2051A"/>
    <w:lvl w:ilvl="0" w:tplc="E5C42FA6">
      <w:start w:val="1"/>
      <w:numFmt w:val="bullet"/>
      <w:lvlText w:val="▌"/>
      <w:lvlJc w:val="left"/>
      <w:pPr>
        <w:tabs>
          <w:tab w:val="num" w:pos="720"/>
        </w:tabs>
        <w:ind w:left="720" w:hanging="360"/>
      </w:pPr>
      <w:rPr>
        <w:rFonts w:ascii="Times New Roman" w:hAnsi="Times New Roman" w:hint="default"/>
      </w:rPr>
    </w:lvl>
    <w:lvl w:ilvl="1" w:tplc="6EAC214A" w:tentative="1">
      <w:start w:val="1"/>
      <w:numFmt w:val="bullet"/>
      <w:lvlText w:val="▌"/>
      <w:lvlJc w:val="left"/>
      <w:pPr>
        <w:tabs>
          <w:tab w:val="num" w:pos="1440"/>
        </w:tabs>
        <w:ind w:left="1440" w:hanging="360"/>
      </w:pPr>
      <w:rPr>
        <w:rFonts w:ascii="Times New Roman" w:hAnsi="Times New Roman" w:hint="default"/>
      </w:rPr>
    </w:lvl>
    <w:lvl w:ilvl="2" w:tplc="8E164E3E" w:tentative="1">
      <w:start w:val="1"/>
      <w:numFmt w:val="bullet"/>
      <w:lvlText w:val="▌"/>
      <w:lvlJc w:val="left"/>
      <w:pPr>
        <w:tabs>
          <w:tab w:val="num" w:pos="2160"/>
        </w:tabs>
        <w:ind w:left="2160" w:hanging="360"/>
      </w:pPr>
      <w:rPr>
        <w:rFonts w:ascii="Times New Roman" w:hAnsi="Times New Roman" w:hint="default"/>
      </w:rPr>
    </w:lvl>
    <w:lvl w:ilvl="3" w:tplc="07FE1E60" w:tentative="1">
      <w:start w:val="1"/>
      <w:numFmt w:val="bullet"/>
      <w:lvlText w:val="▌"/>
      <w:lvlJc w:val="left"/>
      <w:pPr>
        <w:tabs>
          <w:tab w:val="num" w:pos="2880"/>
        </w:tabs>
        <w:ind w:left="2880" w:hanging="360"/>
      </w:pPr>
      <w:rPr>
        <w:rFonts w:ascii="Times New Roman" w:hAnsi="Times New Roman" w:hint="default"/>
      </w:rPr>
    </w:lvl>
    <w:lvl w:ilvl="4" w:tplc="BD98ECD8" w:tentative="1">
      <w:start w:val="1"/>
      <w:numFmt w:val="bullet"/>
      <w:lvlText w:val="▌"/>
      <w:lvlJc w:val="left"/>
      <w:pPr>
        <w:tabs>
          <w:tab w:val="num" w:pos="3600"/>
        </w:tabs>
        <w:ind w:left="3600" w:hanging="360"/>
      </w:pPr>
      <w:rPr>
        <w:rFonts w:ascii="Times New Roman" w:hAnsi="Times New Roman" w:hint="default"/>
      </w:rPr>
    </w:lvl>
    <w:lvl w:ilvl="5" w:tplc="BDCCE20E" w:tentative="1">
      <w:start w:val="1"/>
      <w:numFmt w:val="bullet"/>
      <w:lvlText w:val="▌"/>
      <w:lvlJc w:val="left"/>
      <w:pPr>
        <w:tabs>
          <w:tab w:val="num" w:pos="4320"/>
        </w:tabs>
        <w:ind w:left="4320" w:hanging="360"/>
      </w:pPr>
      <w:rPr>
        <w:rFonts w:ascii="Times New Roman" w:hAnsi="Times New Roman" w:hint="default"/>
      </w:rPr>
    </w:lvl>
    <w:lvl w:ilvl="6" w:tplc="B0D8E280" w:tentative="1">
      <w:start w:val="1"/>
      <w:numFmt w:val="bullet"/>
      <w:lvlText w:val="▌"/>
      <w:lvlJc w:val="left"/>
      <w:pPr>
        <w:tabs>
          <w:tab w:val="num" w:pos="5040"/>
        </w:tabs>
        <w:ind w:left="5040" w:hanging="360"/>
      </w:pPr>
      <w:rPr>
        <w:rFonts w:ascii="Times New Roman" w:hAnsi="Times New Roman" w:hint="default"/>
      </w:rPr>
    </w:lvl>
    <w:lvl w:ilvl="7" w:tplc="0868F6B4" w:tentative="1">
      <w:start w:val="1"/>
      <w:numFmt w:val="bullet"/>
      <w:lvlText w:val="▌"/>
      <w:lvlJc w:val="left"/>
      <w:pPr>
        <w:tabs>
          <w:tab w:val="num" w:pos="5760"/>
        </w:tabs>
        <w:ind w:left="5760" w:hanging="360"/>
      </w:pPr>
      <w:rPr>
        <w:rFonts w:ascii="Times New Roman" w:hAnsi="Times New Roman" w:hint="default"/>
      </w:rPr>
    </w:lvl>
    <w:lvl w:ilvl="8" w:tplc="1F8C91D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91C0C4F"/>
    <w:multiLevelType w:val="hybridMultilevel"/>
    <w:tmpl w:val="A6D837A8"/>
    <w:lvl w:ilvl="0" w:tplc="AE768F0E">
      <w:start w:val="1"/>
      <w:numFmt w:val="bullet"/>
      <w:lvlText w:val="▌"/>
      <w:lvlJc w:val="left"/>
      <w:pPr>
        <w:tabs>
          <w:tab w:val="num" w:pos="720"/>
        </w:tabs>
        <w:ind w:left="720" w:hanging="360"/>
      </w:pPr>
      <w:rPr>
        <w:rFonts w:ascii="Times New Roman" w:hAnsi="Times New Roman" w:hint="default"/>
      </w:rPr>
    </w:lvl>
    <w:lvl w:ilvl="1" w:tplc="92FC3BB6" w:tentative="1">
      <w:start w:val="1"/>
      <w:numFmt w:val="bullet"/>
      <w:lvlText w:val="▌"/>
      <w:lvlJc w:val="left"/>
      <w:pPr>
        <w:tabs>
          <w:tab w:val="num" w:pos="1440"/>
        </w:tabs>
        <w:ind w:left="1440" w:hanging="360"/>
      </w:pPr>
      <w:rPr>
        <w:rFonts w:ascii="Times New Roman" w:hAnsi="Times New Roman" w:hint="default"/>
      </w:rPr>
    </w:lvl>
    <w:lvl w:ilvl="2" w:tplc="49D032CE" w:tentative="1">
      <w:start w:val="1"/>
      <w:numFmt w:val="bullet"/>
      <w:lvlText w:val="▌"/>
      <w:lvlJc w:val="left"/>
      <w:pPr>
        <w:tabs>
          <w:tab w:val="num" w:pos="2160"/>
        </w:tabs>
        <w:ind w:left="2160" w:hanging="360"/>
      </w:pPr>
      <w:rPr>
        <w:rFonts w:ascii="Times New Roman" w:hAnsi="Times New Roman" w:hint="default"/>
      </w:rPr>
    </w:lvl>
    <w:lvl w:ilvl="3" w:tplc="5F70E7EA" w:tentative="1">
      <w:start w:val="1"/>
      <w:numFmt w:val="bullet"/>
      <w:lvlText w:val="▌"/>
      <w:lvlJc w:val="left"/>
      <w:pPr>
        <w:tabs>
          <w:tab w:val="num" w:pos="2880"/>
        </w:tabs>
        <w:ind w:left="2880" w:hanging="360"/>
      </w:pPr>
      <w:rPr>
        <w:rFonts w:ascii="Times New Roman" w:hAnsi="Times New Roman" w:hint="default"/>
      </w:rPr>
    </w:lvl>
    <w:lvl w:ilvl="4" w:tplc="BC3003C6" w:tentative="1">
      <w:start w:val="1"/>
      <w:numFmt w:val="bullet"/>
      <w:lvlText w:val="▌"/>
      <w:lvlJc w:val="left"/>
      <w:pPr>
        <w:tabs>
          <w:tab w:val="num" w:pos="3600"/>
        </w:tabs>
        <w:ind w:left="3600" w:hanging="360"/>
      </w:pPr>
      <w:rPr>
        <w:rFonts w:ascii="Times New Roman" w:hAnsi="Times New Roman" w:hint="default"/>
      </w:rPr>
    </w:lvl>
    <w:lvl w:ilvl="5" w:tplc="4146781A" w:tentative="1">
      <w:start w:val="1"/>
      <w:numFmt w:val="bullet"/>
      <w:lvlText w:val="▌"/>
      <w:lvlJc w:val="left"/>
      <w:pPr>
        <w:tabs>
          <w:tab w:val="num" w:pos="4320"/>
        </w:tabs>
        <w:ind w:left="4320" w:hanging="360"/>
      </w:pPr>
      <w:rPr>
        <w:rFonts w:ascii="Times New Roman" w:hAnsi="Times New Roman" w:hint="default"/>
      </w:rPr>
    </w:lvl>
    <w:lvl w:ilvl="6" w:tplc="DF30F4FA" w:tentative="1">
      <w:start w:val="1"/>
      <w:numFmt w:val="bullet"/>
      <w:lvlText w:val="▌"/>
      <w:lvlJc w:val="left"/>
      <w:pPr>
        <w:tabs>
          <w:tab w:val="num" w:pos="5040"/>
        </w:tabs>
        <w:ind w:left="5040" w:hanging="360"/>
      </w:pPr>
      <w:rPr>
        <w:rFonts w:ascii="Times New Roman" w:hAnsi="Times New Roman" w:hint="default"/>
      </w:rPr>
    </w:lvl>
    <w:lvl w:ilvl="7" w:tplc="CACC9286" w:tentative="1">
      <w:start w:val="1"/>
      <w:numFmt w:val="bullet"/>
      <w:lvlText w:val="▌"/>
      <w:lvlJc w:val="left"/>
      <w:pPr>
        <w:tabs>
          <w:tab w:val="num" w:pos="5760"/>
        </w:tabs>
        <w:ind w:left="5760" w:hanging="360"/>
      </w:pPr>
      <w:rPr>
        <w:rFonts w:ascii="Times New Roman" w:hAnsi="Times New Roman" w:hint="default"/>
      </w:rPr>
    </w:lvl>
    <w:lvl w:ilvl="8" w:tplc="8D849E6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B9B34B7"/>
    <w:multiLevelType w:val="hybridMultilevel"/>
    <w:tmpl w:val="49188FE0"/>
    <w:lvl w:ilvl="0" w:tplc="67AE0F9A">
      <w:start w:val="1"/>
      <w:numFmt w:val="decimal"/>
      <w:lvlText w:val="%1."/>
      <w:lvlJc w:val="left"/>
      <w:pPr>
        <w:tabs>
          <w:tab w:val="num" w:pos="720"/>
        </w:tabs>
        <w:ind w:left="720" w:hanging="360"/>
      </w:pPr>
      <w:rPr>
        <w:rFonts w:hint="default"/>
      </w:rPr>
    </w:lvl>
    <w:lvl w:ilvl="1" w:tplc="E35CF2D8" w:tentative="1">
      <w:start w:val="1"/>
      <w:numFmt w:val="lowerLetter"/>
      <w:lvlText w:val="%2."/>
      <w:lvlJc w:val="left"/>
      <w:pPr>
        <w:tabs>
          <w:tab w:val="num" w:pos="1440"/>
        </w:tabs>
        <w:ind w:left="1440" w:hanging="360"/>
      </w:pPr>
    </w:lvl>
    <w:lvl w:ilvl="2" w:tplc="0784BA6E" w:tentative="1">
      <w:start w:val="1"/>
      <w:numFmt w:val="lowerRoman"/>
      <w:lvlText w:val="%3."/>
      <w:lvlJc w:val="right"/>
      <w:pPr>
        <w:tabs>
          <w:tab w:val="num" w:pos="2160"/>
        </w:tabs>
        <w:ind w:left="2160" w:hanging="180"/>
      </w:pPr>
    </w:lvl>
    <w:lvl w:ilvl="3" w:tplc="B978C150" w:tentative="1">
      <w:start w:val="1"/>
      <w:numFmt w:val="decimal"/>
      <w:lvlText w:val="%4."/>
      <w:lvlJc w:val="left"/>
      <w:pPr>
        <w:tabs>
          <w:tab w:val="num" w:pos="2880"/>
        </w:tabs>
        <w:ind w:left="2880" w:hanging="360"/>
      </w:pPr>
    </w:lvl>
    <w:lvl w:ilvl="4" w:tplc="BEC2C5E2" w:tentative="1">
      <w:start w:val="1"/>
      <w:numFmt w:val="lowerLetter"/>
      <w:lvlText w:val="%5."/>
      <w:lvlJc w:val="left"/>
      <w:pPr>
        <w:tabs>
          <w:tab w:val="num" w:pos="3600"/>
        </w:tabs>
        <w:ind w:left="3600" w:hanging="360"/>
      </w:pPr>
    </w:lvl>
    <w:lvl w:ilvl="5" w:tplc="210C0B28" w:tentative="1">
      <w:start w:val="1"/>
      <w:numFmt w:val="lowerRoman"/>
      <w:lvlText w:val="%6."/>
      <w:lvlJc w:val="right"/>
      <w:pPr>
        <w:tabs>
          <w:tab w:val="num" w:pos="4320"/>
        </w:tabs>
        <w:ind w:left="4320" w:hanging="180"/>
      </w:pPr>
    </w:lvl>
    <w:lvl w:ilvl="6" w:tplc="59C2D286" w:tentative="1">
      <w:start w:val="1"/>
      <w:numFmt w:val="decimal"/>
      <w:lvlText w:val="%7."/>
      <w:lvlJc w:val="left"/>
      <w:pPr>
        <w:tabs>
          <w:tab w:val="num" w:pos="5040"/>
        </w:tabs>
        <w:ind w:left="5040" w:hanging="360"/>
      </w:pPr>
    </w:lvl>
    <w:lvl w:ilvl="7" w:tplc="DCDC870A" w:tentative="1">
      <w:start w:val="1"/>
      <w:numFmt w:val="lowerLetter"/>
      <w:lvlText w:val="%8."/>
      <w:lvlJc w:val="left"/>
      <w:pPr>
        <w:tabs>
          <w:tab w:val="num" w:pos="5760"/>
        </w:tabs>
        <w:ind w:left="5760" w:hanging="360"/>
      </w:pPr>
    </w:lvl>
    <w:lvl w:ilvl="8" w:tplc="20D6F450" w:tentative="1">
      <w:start w:val="1"/>
      <w:numFmt w:val="lowerRoman"/>
      <w:lvlText w:val="%9."/>
      <w:lvlJc w:val="right"/>
      <w:pPr>
        <w:tabs>
          <w:tab w:val="num" w:pos="6480"/>
        </w:tabs>
        <w:ind w:left="6480" w:hanging="180"/>
      </w:pPr>
    </w:lvl>
  </w:abstractNum>
  <w:abstractNum w:abstractNumId="3" w15:restartNumberingAfterBreak="0">
    <w:nsid w:val="1F4F440C"/>
    <w:multiLevelType w:val="hybridMultilevel"/>
    <w:tmpl w:val="91CCED8A"/>
    <w:lvl w:ilvl="0" w:tplc="978E8B8C">
      <w:start w:val="1"/>
      <w:numFmt w:val="bullet"/>
      <w:lvlText w:val="▌"/>
      <w:lvlJc w:val="left"/>
      <w:pPr>
        <w:tabs>
          <w:tab w:val="num" w:pos="720"/>
        </w:tabs>
        <w:ind w:left="720" w:hanging="360"/>
      </w:pPr>
      <w:rPr>
        <w:rFonts w:ascii="Times New Roman" w:hAnsi="Times New Roman" w:hint="default"/>
      </w:rPr>
    </w:lvl>
    <w:lvl w:ilvl="1" w:tplc="EED641B4" w:tentative="1">
      <w:start w:val="1"/>
      <w:numFmt w:val="bullet"/>
      <w:lvlText w:val="▌"/>
      <w:lvlJc w:val="left"/>
      <w:pPr>
        <w:tabs>
          <w:tab w:val="num" w:pos="1440"/>
        </w:tabs>
        <w:ind w:left="1440" w:hanging="360"/>
      </w:pPr>
      <w:rPr>
        <w:rFonts w:ascii="Times New Roman" w:hAnsi="Times New Roman" w:hint="default"/>
      </w:rPr>
    </w:lvl>
    <w:lvl w:ilvl="2" w:tplc="296A314E" w:tentative="1">
      <w:start w:val="1"/>
      <w:numFmt w:val="bullet"/>
      <w:lvlText w:val="▌"/>
      <w:lvlJc w:val="left"/>
      <w:pPr>
        <w:tabs>
          <w:tab w:val="num" w:pos="2160"/>
        </w:tabs>
        <w:ind w:left="2160" w:hanging="360"/>
      </w:pPr>
      <w:rPr>
        <w:rFonts w:ascii="Times New Roman" w:hAnsi="Times New Roman" w:hint="default"/>
      </w:rPr>
    </w:lvl>
    <w:lvl w:ilvl="3" w:tplc="D6D8C7F6" w:tentative="1">
      <w:start w:val="1"/>
      <w:numFmt w:val="bullet"/>
      <w:lvlText w:val="▌"/>
      <w:lvlJc w:val="left"/>
      <w:pPr>
        <w:tabs>
          <w:tab w:val="num" w:pos="2880"/>
        </w:tabs>
        <w:ind w:left="2880" w:hanging="360"/>
      </w:pPr>
      <w:rPr>
        <w:rFonts w:ascii="Times New Roman" w:hAnsi="Times New Roman" w:hint="default"/>
      </w:rPr>
    </w:lvl>
    <w:lvl w:ilvl="4" w:tplc="D26641EE" w:tentative="1">
      <w:start w:val="1"/>
      <w:numFmt w:val="bullet"/>
      <w:lvlText w:val="▌"/>
      <w:lvlJc w:val="left"/>
      <w:pPr>
        <w:tabs>
          <w:tab w:val="num" w:pos="3600"/>
        </w:tabs>
        <w:ind w:left="3600" w:hanging="360"/>
      </w:pPr>
      <w:rPr>
        <w:rFonts w:ascii="Times New Roman" w:hAnsi="Times New Roman" w:hint="default"/>
      </w:rPr>
    </w:lvl>
    <w:lvl w:ilvl="5" w:tplc="9886CD2A" w:tentative="1">
      <w:start w:val="1"/>
      <w:numFmt w:val="bullet"/>
      <w:lvlText w:val="▌"/>
      <w:lvlJc w:val="left"/>
      <w:pPr>
        <w:tabs>
          <w:tab w:val="num" w:pos="4320"/>
        </w:tabs>
        <w:ind w:left="4320" w:hanging="360"/>
      </w:pPr>
      <w:rPr>
        <w:rFonts w:ascii="Times New Roman" w:hAnsi="Times New Roman" w:hint="default"/>
      </w:rPr>
    </w:lvl>
    <w:lvl w:ilvl="6" w:tplc="82E2AB6E" w:tentative="1">
      <w:start w:val="1"/>
      <w:numFmt w:val="bullet"/>
      <w:lvlText w:val="▌"/>
      <w:lvlJc w:val="left"/>
      <w:pPr>
        <w:tabs>
          <w:tab w:val="num" w:pos="5040"/>
        </w:tabs>
        <w:ind w:left="5040" w:hanging="360"/>
      </w:pPr>
      <w:rPr>
        <w:rFonts w:ascii="Times New Roman" w:hAnsi="Times New Roman" w:hint="default"/>
      </w:rPr>
    </w:lvl>
    <w:lvl w:ilvl="7" w:tplc="0A689F6A" w:tentative="1">
      <w:start w:val="1"/>
      <w:numFmt w:val="bullet"/>
      <w:lvlText w:val="▌"/>
      <w:lvlJc w:val="left"/>
      <w:pPr>
        <w:tabs>
          <w:tab w:val="num" w:pos="5760"/>
        </w:tabs>
        <w:ind w:left="5760" w:hanging="360"/>
      </w:pPr>
      <w:rPr>
        <w:rFonts w:ascii="Times New Roman" w:hAnsi="Times New Roman" w:hint="default"/>
      </w:rPr>
    </w:lvl>
    <w:lvl w:ilvl="8" w:tplc="4A4EFD2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9571E33"/>
    <w:multiLevelType w:val="hybridMultilevel"/>
    <w:tmpl w:val="D3865A0E"/>
    <w:lvl w:ilvl="0" w:tplc="8A0A0B84">
      <w:start w:val="1"/>
      <w:numFmt w:val="bullet"/>
      <w:lvlText w:val=""/>
      <w:lvlJc w:val="left"/>
      <w:pPr>
        <w:ind w:left="1200" w:hanging="360"/>
      </w:pPr>
      <w:rPr>
        <w:rFonts w:ascii="Symbol" w:hAnsi="Symbol" w:hint="default"/>
      </w:rPr>
    </w:lvl>
    <w:lvl w:ilvl="1" w:tplc="3362B8EE" w:tentative="1">
      <w:start w:val="1"/>
      <w:numFmt w:val="bullet"/>
      <w:lvlText w:val="o"/>
      <w:lvlJc w:val="left"/>
      <w:pPr>
        <w:ind w:left="1920" w:hanging="360"/>
      </w:pPr>
      <w:rPr>
        <w:rFonts w:ascii="Courier New" w:hAnsi="Courier New" w:cs="Courier New" w:hint="default"/>
      </w:rPr>
    </w:lvl>
    <w:lvl w:ilvl="2" w:tplc="27ECFDD8" w:tentative="1">
      <w:start w:val="1"/>
      <w:numFmt w:val="bullet"/>
      <w:lvlText w:val=""/>
      <w:lvlJc w:val="left"/>
      <w:pPr>
        <w:ind w:left="2640" w:hanging="360"/>
      </w:pPr>
      <w:rPr>
        <w:rFonts w:ascii="Wingdings" w:hAnsi="Wingdings" w:hint="default"/>
      </w:rPr>
    </w:lvl>
    <w:lvl w:ilvl="3" w:tplc="02887588" w:tentative="1">
      <w:start w:val="1"/>
      <w:numFmt w:val="bullet"/>
      <w:lvlText w:val=""/>
      <w:lvlJc w:val="left"/>
      <w:pPr>
        <w:ind w:left="3360" w:hanging="360"/>
      </w:pPr>
      <w:rPr>
        <w:rFonts w:ascii="Symbol" w:hAnsi="Symbol" w:hint="default"/>
      </w:rPr>
    </w:lvl>
    <w:lvl w:ilvl="4" w:tplc="4F443218" w:tentative="1">
      <w:start w:val="1"/>
      <w:numFmt w:val="bullet"/>
      <w:lvlText w:val="o"/>
      <w:lvlJc w:val="left"/>
      <w:pPr>
        <w:ind w:left="4080" w:hanging="360"/>
      </w:pPr>
      <w:rPr>
        <w:rFonts w:ascii="Courier New" w:hAnsi="Courier New" w:cs="Courier New" w:hint="default"/>
      </w:rPr>
    </w:lvl>
    <w:lvl w:ilvl="5" w:tplc="3136358E" w:tentative="1">
      <w:start w:val="1"/>
      <w:numFmt w:val="bullet"/>
      <w:lvlText w:val=""/>
      <w:lvlJc w:val="left"/>
      <w:pPr>
        <w:ind w:left="4800" w:hanging="360"/>
      </w:pPr>
      <w:rPr>
        <w:rFonts w:ascii="Wingdings" w:hAnsi="Wingdings" w:hint="default"/>
      </w:rPr>
    </w:lvl>
    <w:lvl w:ilvl="6" w:tplc="0D503324" w:tentative="1">
      <w:start w:val="1"/>
      <w:numFmt w:val="bullet"/>
      <w:lvlText w:val=""/>
      <w:lvlJc w:val="left"/>
      <w:pPr>
        <w:ind w:left="5520" w:hanging="360"/>
      </w:pPr>
      <w:rPr>
        <w:rFonts w:ascii="Symbol" w:hAnsi="Symbol" w:hint="default"/>
      </w:rPr>
    </w:lvl>
    <w:lvl w:ilvl="7" w:tplc="50286DC2" w:tentative="1">
      <w:start w:val="1"/>
      <w:numFmt w:val="bullet"/>
      <w:lvlText w:val="o"/>
      <w:lvlJc w:val="left"/>
      <w:pPr>
        <w:ind w:left="6240" w:hanging="360"/>
      </w:pPr>
      <w:rPr>
        <w:rFonts w:ascii="Courier New" w:hAnsi="Courier New" w:cs="Courier New" w:hint="default"/>
      </w:rPr>
    </w:lvl>
    <w:lvl w:ilvl="8" w:tplc="2ADCA5B8" w:tentative="1">
      <w:start w:val="1"/>
      <w:numFmt w:val="bullet"/>
      <w:lvlText w:val=""/>
      <w:lvlJc w:val="left"/>
      <w:pPr>
        <w:ind w:left="6960" w:hanging="360"/>
      </w:pPr>
      <w:rPr>
        <w:rFonts w:ascii="Wingdings" w:hAnsi="Wingdings" w:hint="default"/>
      </w:rPr>
    </w:lvl>
  </w:abstractNum>
  <w:abstractNum w:abstractNumId="5" w15:restartNumberingAfterBreak="0">
    <w:nsid w:val="2CC821CA"/>
    <w:multiLevelType w:val="hybridMultilevel"/>
    <w:tmpl w:val="08CE17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15:restartNumberingAfterBreak="0">
    <w:nsid w:val="30B95F6E"/>
    <w:multiLevelType w:val="hybridMultilevel"/>
    <w:tmpl w:val="AAA04280"/>
    <w:lvl w:ilvl="0" w:tplc="EACAD464">
      <w:start w:val="1"/>
      <w:numFmt w:val="bullet"/>
      <w:lvlText w:val=""/>
      <w:lvlJc w:val="left"/>
      <w:pPr>
        <w:ind w:left="92" w:hanging="360"/>
      </w:pPr>
      <w:rPr>
        <w:rFonts w:ascii="Symbol" w:hAnsi="Symbol" w:hint="default"/>
      </w:rPr>
    </w:lvl>
    <w:lvl w:ilvl="1" w:tplc="04260003" w:tentative="1">
      <w:start w:val="1"/>
      <w:numFmt w:val="bullet"/>
      <w:lvlText w:val="o"/>
      <w:lvlJc w:val="left"/>
      <w:pPr>
        <w:ind w:left="812" w:hanging="360"/>
      </w:pPr>
      <w:rPr>
        <w:rFonts w:ascii="Courier New" w:hAnsi="Courier New" w:cs="Courier New" w:hint="default"/>
      </w:rPr>
    </w:lvl>
    <w:lvl w:ilvl="2" w:tplc="04260005" w:tentative="1">
      <w:start w:val="1"/>
      <w:numFmt w:val="bullet"/>
      <w:lvlText w:val=""/>
      <w:lvlJc w:val="left"/>
      <w:pPr>
        <w:ind w:left="1532" w:hanging="360"/>
      </w:pPr>
      <w:rPr>
        <w:rFonts w:ascii="Wingdings" w:hAnsi="Wingdings" w:hint="default"/>
      </w:rPr>
    </w:lvl>
    <w:lvl w:ilvl="3" w:tplc="04260001" w:tentative="1">
      <w:start w:val="1"/>
      <w:numFmt w:val="bullet"/>
      <w:lvlText w:val=""/>
      <w:lvlJc w:val="left"/>
      <w:pPr>
        <w:ind w:left="2252" w:hanging="360"/>
      </w:pPr>
      <w:rPr>
        <w:rFonts w:ascii="Symbol" w:hAnsi="Symbol" w:hint="default"/>
      </w:rPr>
    </w:lvl>
    <w:lvl w:ilvl="4" w:tplc="04260003" w:tentative="1">
      <w:start w:val="1"/>
      <w:numFmt w:val="bullet"/>
      <w:lvlText w:val="o"/>
      <w:lvlJc w:val="left"/>
      <w:pPr>
        <w:ind w:left="2972" w:hanging="360"/>
      </w:pPr>
      <w:rPr>
        <w:rFonts w:ascii="Courier New" w:hAnsi="Courier New" w:cs="Courier New" w:hint="default"/>
      </w:rPr>
    </w:lvl>
    <w:lvl w:ilvl="5" w:tplc="04260005" w:tentative="1">
      <w:start w:val="1"/>
      <w:numFmt w:val="bullet"/>
      <w:lvlText w:val=""/>
      <w:lvlJc w:val="left"/>
      <w:pPr>
        <w:ind w:left="3692" w:hanging="360"/>
      </w:pPr>
      <w:rPr>
        <w:rFonts w:ascii="Wingdings" w:hAnsi="Wingdings" w:hint="default"/>
      </w:rPr>
    </w:lvl>
    <w:lvl w:ilvl="6" w:tplc="04260001" w:tentative="1">
      <w:start w:val="1"/>
      <w:numFmt w:val="bullet"/>
      <w:lvlText w:val=""/>
      <w:lvlJc w:val="left"/>
      <w:pPr>
        <w:ind w:left="4412" w:hanging="360"/>
      </w:pPr>
      <w:rPr>
        <w:rFonts w:ascii="Symbol" w:hAnsi="Symbol" w:hint="default"/>
      </w:rPr>
    </w:lvl>
    <w:lvl w:ilvl="7" w:tplc="04260003" w:tentative="1">
      <w:start w:val="1"/>
      <w:numFmt w:val="bullet"/>
      <w:lvlText w:val="o"/>
      <w:lvlJc w:val="left"/>
      <w:pPr>
        <w:ind w:left="5132" w:hanging="360"/>
      </w:pPr>
      <w:rPr>
        <w:rFonts w:ascii="Courier New" w:hAnsi="Courier New" w:cs="Courier New" w:hint="default"/>
      </w:rPr>
    </w:lvl>
    <w:lvl w:ilvl="8" w:tplc="04260005" w:tentative="1">
      <w:start w:val="1"/>
      <w:numFmt w:val="bullet"/>
      <w:lvlText w:val=""/>
      <w:lvlJc w:val="left"/>
      <w:pPr>
        <w:ind w:left="5852" w:hanging="360"/>
      </w:pPr>
      <w:rPr>
        <w:rFonts w:ascii="Wingdings" w:hAnsi="Wingdings" w:hint="default"/>
      </w:rPr>
    </w:lvl>
  </w:abstractNum>
  <w:abstractNum w:abstractNumId="8" w15:restartNumberingAfterBreak="0">
    <w:nsid w:val="3E980D35"/>
    <w:multiLevelType w:val="hybridMultilevel"/>
    <w:tmpl w:val="ABEC075A"/>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9" w15:restartNumberingAfterBreak="0">
    <w:nsid w:val="43513493"/>
    <w:multiLevelType w:val="hybridMultilevel"/>
    <w:tmpl w:val="0660EC44"/>
    <w:lvl w:ilvl="0" w:tplc="AA3642E2">
      <w:start w:val="1"/>
      <w:numFmt w:val="decimal"/>
      <w:lvlText w:val="%1."/>
      <w:lvlJc w:val="left"/>
      <w:pPr>
        <w:ind w:left="600" w:hanging="360"/>
      </w:pPr>
      <w:rPr>
        <w:rFonts w:hint="default"/>
      </w:rPr>
    </w:lvl>
    <w:lvl w:ilvl="1" w:tplc="346C6304" w:tentative="1">
      <w:start w:val="1"/>
      <w:numFmt w:val="lowerLetter"/>
      <w:lvlText w:val="%2."/>
      <w:lvlJc w:val="left"/>
      <w:pPr>
        <w:ind w:left="1320" w:hanging="360"/>
      </w:pPr>
    </w:lvl>
    <w:lvl w:ilvl="2" w:tplc="FD7AF99C" w:tentative="1">
      <w:start w:val="1"/>
      <w:numFmt w:val="lowerRoman"/>
      <w:lvlText w:val="%3."/>
      <w:lvlJc w:val="right"/>
      <w:pPr>
        <w:ind w:left="2040" w:hanging="180"/>
      </w:pPr>
    </w:lvl>
    <w:lvl w:ilvl="3" w:tplc="84C4BE68" w:tentative="1">
      <w:start w:val="1"/>
      <w:numFmt w:val="decimal"/>
      <w:lvlText w:val="%4."/>
      <w:lvlJc w:val="left"/>
      <w:pPr>
        <w:ind w:left="2760" w:hanging="360"/>
      </w:pPr>
    </w:lvl>
    <w:lvl w:ilvl="4" w:tplc="3F840BBE" w:tentative="1">
      <w:start w:val="1"/>
      <w:numFmt w:val="lowerLetter"/>
      <w:lvlText w:val="%5."/>
      <w:lvlJc w:val="left"/>
      <w:pPr>
        <w:ind w:left="3480" w:hanging="360"/>
      </w:pPr>
    </w:lvl>
    <w:lvl w:ilvl="5" w:tplc="CBAE4A40" w:tentative="1">
      <w:start w:val="1"/>
      <w:numFmt w:val="lowerRoman"/>
      <w:lvlText w:val="%6."/>
      <w:lvlJc w:val="right"/>
      <w:pPr>
        <w:ind w:left="4200" w:hanging="180"/>
      </w:pPr>
    </w:lvl>
    <w:lvl w:ilvl="6" w:tplc="00FE8990" w:tentative="1">
      <w:start w:val="1"/>
      <w:numFmt w:val="decimal"/>
      <w:lvlText w:val="%7."/>
      <w:lvlJc w:val="left"/>
      <w:pPr>
        <w:ind w:left="4920" w:hanging="360"/>
      </w:pPr>
    </w:lvl>
    <w:lvl w:ilvl="7" w:tplc="BB8C847A" w:tentative="1">
      <w:start w:val="1"/>
      <w:numFmt w:val="lowerLetter"/>
      <w:lvlText w:val="%8."/>
      <w:lvlJc w:val="left"/>
      <w:pPr>
        <w:ind w:left="5640" w:hanging="360"/>
      </w:pPr>
    </w:lvl>
    <w:lvl w:ilvl="8" w:tplc="C8A4B626" w:tentative="1">
      <w:start w:val="1"/>
      <w:numFmt w:val="lowerRoman"/>
      <w:lvlText w:val="%9."/>
      <w:lvlJc w:val="right"/>
      <w:pPr>
        <w:ind w:left="6360" w:hanging="180"/>
      </w:pPr>
    </w:lvl>
  </w:abstractNum>
  <w:abstractNum w:abstractNumId="10" w15:restartNumberingAfterBreak="0">
    <w:nsid w:val="48744A95"/>
    <w:multiLevelType w:val="hybridMultilevel"/>
    <w:tmpl w:val="FA345D46"/>
    <w:lvl w:ilvl="0" w:tplc="639820EE">
      <w:start w:val="1"/>
      <w:numFmt w:val="decimal"/>
      <w:lvlText w:val="%1."/>
      <w:lvlJc w:val="left"/>
      <w:pPr>
        <w:tabs>
          <w:tab w:val="num" w:pos="720"/>
        </w:tabs>
        <w:ind w:left="720" w:hanging="360"/>
      </w:pPr>
      <w:rPr>
        <w:rFonts w:hint="default"/>
        <w:u w:val="none"/>
      </w:rPr>
    </w:lvl>
    <w:lvl w:ilvl="1" w:tplc="99A830E8" w:tentative="1">
      <w:start w:val="1"/>
      <w:numFmt w:val="lowerLetter"/>
      <w:lvlText w:val="%2."/>
      <w:lvlJc w:val="left"/>
      <w:pPr>
        <w:tabs>
          <w:tab w:val="num" w:pos="1440"/>
        </w:tabs>
        <w:ind w:left="1440" w:hanging="360"/>
      </w:pPr>
    </w:lvl>
    <w:lvl w:ilvl="2" w:tplc="9F368322" w:tentative="1">
      <w:start w:val="1"/>
      <w:numFmt w:val="lowerRoman"/>
      <w:lvlText w:val="%3."/>
      <w:lvlJc w:val="right"/>
      <w:pPr>
        <w:tabs>
          <w:tab w:val="num" w:pos="2160"/>
        </w:tabs>
        <w:ind w:left="2160" w:hanging="180"/>
      </w:pPr>
    </w:lvl>
    <w:lvl w:ilvl="3" w:tplc="27542228" w:tentative="1">
      <w:start w:val="1"/>
      <w:numFmt w:val="decimal"/>
      <w:lvlText w:val="%4."/>
      <w:lvlJc w:val="left"/>
      <w:pPr>
        <w:tabs>
          <w:tab w:val="num" w:pos="2880"/>
        </w:tabs>
        <w:ind w:left="2880" w:hanging="360"/>
      </w:pPr>
    </w:lvl>
    <w:lvl w:ilvl="4" w:tplc="CD060B68" w:tentative="1">
      <w:start w:val="1"/>
      <w:numFmt w:val="lowerLetter"/>
      <w:lvlText w:val="%5."/>
      <w:lvlJc w:val="left"/>
      <w:pPr>
        <w:tabs>
          <w:tab w:val="num" w:pos="3600"/>
        </w:tabs>
        <w:ind w:left="3600" w:hanging="360"/>
      </w:pPr>
    </w:lvl>
    <w:lvl w:ilvl="5" w:tplc="FD4613D4" w:tentative="1">
      <w:start w:val="1"/>
      <w:numFmt w:val="lowerRoman"/>
      <w:lvlText w:val="%6."/>
      <w:lvlJc w:val="right"/>
      <w:pPr>
        <w:tabs>
          <w:tab w:val="num" w:pos="4320"/>
        </w:tabs>
        <w:ind w:left="4320" w:hanging="180"/>
      </w:pPr>
    </w:lvl>
    <w:lvl w:ilvl="6" w:tplc="09322BEA" w:tentative="1">
      <w:start w:val="1"/>
      <w:numFmt w:val="decimal"/>
      <w:lvlText w:val="%7."/>
      <w:lvlJc w:val="left"/>
      <w:pPr>
        <w:tabs>
          <w:tab w:val="num" w:pos="5040"/>
        </w:tabs>
        <w:ind w:left="5040" w:hanging="360"/>
      </w:pPr>
    </w:lvl>
    <w:lvl w:ilvl="7" w:tplc="364442B6" w:tentative="1">
      <w:start w:val="1"/>
      <w:numFmt w:val="lowerLetter"/>
      <w:lvlText w:val="%8."/>
      <w:lvlJc w:val="left"/>
      <w:pPr>
        <w:tabs>
          <w:tab w:val="num" w:pos="5760"/>
        </w:tabs>
        <w:ind w:left="5760" w:hanging="360"/>
      </w:pPr>
    </w:lvl>
    <w:lvl w:ilvl="8" w:tplc="D6BEBC1A" w:tentative="1">
      <w:start w:val="1"/>
      <w:numFmt w:val="lowerRoman"/>
      <w:lvlText w:val="%9."/>
      <w:lvlJc w:val="right"/>
      <w:pPr>
        <w:tabs>
          <w:tab w:val="num" w:pos="6480"/>
        </w:tabs>
        <w:ind w:left="6480" w:hanging="180"/>
      </w:pPr>
    </w:lvl>
  </w:abstractNum>
  <w:abstractNum w:abstractNumId="11" w15:restartNumberingAfterBreak="0">
    <w:nsid w:val="48D72F2E"/>
    <w:multiLevelType w:val="hybridMultilevel"/>
    <w:tmpl w:val="7B04B352"/>
    <w:lvl w:ilvl="0" w:tplc="9970F360">
      <w:start w:val="1"/>
      <w:numFmt w:val="decimal"/>
      <w:lvlText w:val="%1."/>
      <w:lvlJc w:val="left"/>
      <w:pPr>
        <w:ind w:left="720" w:hanging="360"/>
      </w:pPr>
      <w:rPr>
        <w:rFonts w:hint="default"/>
      </w:rPr>
    </w:lvl>
    <w:lvl w:ilvl="1" w:tplc="568EE364" w:tentative="1">
      <w:start w:val="1"/>
      <w:numFmt w:val="lowerLetter"/>
      <w:lvlText w:val="%2."/>
      <w:lvlJc w:val="left"/>
      <w:pPr>
        <w:ind w:left="1440" w:hanging="360"/>
      </w:pPr>
    </w:lvl>
    <w:lvl w:ilvl="2" w:tplc="348419BC" w:tentative="1">
      <w:start w:val="1"/>
      <w:numFmt w:val="lowerRoman"/>
      <w:lvlText w:val="%3."/>
      <w:lvlJc w:val="right"/>
      <w:pPr>
        <w:ind w:left="2160" w:hanging="180"/>
      </w:pPr>
    </w:lvl>
    <w:lvl w:ilvl="3" w:tplc="B7E201C8" w:tentative="1">
      <w:start w:val="1"/>
      <w:numFmt w:val="decimal"/>
      <w:lvlText w:val="%4."/>
      <w:lvlJc w:val="left"/>
      <w:pPr>
        <w:ind w:left="2880" w:hanging="360"/>
      </w:pPr>
    </w:lvl>
    <w:lvl w:ilvl="4" w:tplc="C8BEA72E" w:tentative="1">
      <w:start w:val="1"/>
      <w:numFmt w:val="lowerLetter"/>
      <w:lvlText w:val="%5."/>
      <w:lvlJc w:val="left"/>
      <w:pPr>
        <w:ind w:left="3600" w:hanging="360"/>
      </w:pPr>
    </w:lvl>
    <w:lvl w:ilvl="5" w:tplc="3E1055F8" w:tentative="1">
      <w:start w:val="1"/>
      <w:numFmt w:val="lowerRoman"/>
      <w:lvlText w:val="%6."/>
      <w:lvlJc w:val="right"/>
      <w:pPr>
        <w:ind w:left="4320" w:hanging="180"/>
      </w:pPr>
    </w:lvl>
    <w:lvl w:ilvl="6" w:tplc="61903D56" w:tentative="1">
      <w:start w:val="1"/>
      <w:numFmt w:val="decimal"/>
      <w:lvlText w:val="%7."/>
      <w:lvlJc w:val="left"/>
      <w:pPr>
        <w:ind w:left="5040" w:hanging="360"/>
      </w:pPr>
    </w:lvl>
    <w:lvl w:ilvl="7" w:tplc="83A4BCAC" w:tentative="1">
      <w:start w:val="1"/>
      <w:numFmt w:val="lowerLetter"/>
      <w:lvlText w:val="%8."/>
      <w:lvlJc w:val="left"/>
      <w:pPr>
        <w:ind w:left="5760" w:hanging="360"/>
      </w:pPr>
    </w:lvl>
    <w:lvl w:ilvl="8" w:tplc="C90A413E" w:tentative="1">
      <w:start w:val="1"/>
      <w:numFmt w:val="lowerRoman"/>
      <w:lvlText w:val="%9."/>
      <w:lvlJc w:val="right"/>
      <w:pPr>
        <w:ind w:left="6480" w:hanging="180"/>
      </w:pPr>
    </w:lvl>
  </w:abstractNum>
  <w:abstractNum w:abstractNumId="12" w15:restartNumberingAfterBreak="0">
    <w:nsid w:val="4A124FFD"/>
    <w:multiLevelType w:val="hybridMultilevel"/>
    <w:tmpl w:val="6B562544"/>
    <w:lvl w:ilvl="0" w:tplc="B97415C8">
      <w:start w:val="1"/>
      <w:numFmt w:val="decimal"/>
      <w:lvlText w:val="%1."/>
      <w:lvlJc w:val="left"/>
      <w:pPr>
        <w:tabs>
          <w:tab w:val="num" w:pos="720"/>
        </w:tabs>
        <w:ind w:left="720" w:hanging="360"/>
      </w:pPr>
      <w:rPr>
        <w:rFonts w:hint="default"/>
      </w:rPr>
    </w:lvl>
    <w:lvl w:ilvl="1" w:tplc="1A9C50B0" w:tentative="1">
      <w:start w:val="1"/>
      <w:numFmt w:val="lowerLetter"/>
      <w:lvlText w:val="%2."/>
      <w:lvlJc w:val="left"/>
      <w:pPr>
        <w:tabs>
          <w:tab w:val="num" w:pos="1440"/>
        </w:tabs>
        <w:ind w:left="1440" w:hanging="360"/>
      </w:pPr>
    </w:lvl>
    <w:lvl w:ilvl="2" w:tplc="04B4BC26" w:tentative="1">
      <w:start w:val="1"/>
      <w:numFmt w:val="lowerRoman"/>
      <w:lvlText w:val="%3."/>
      <w:lvlJc w:val="right"/>
      <w:pPr>
        <w:tabs>
          <w:tab w:val="num" w:pos="2160"/>
        </w:tabs>
        <w:ind w:left="2160" w:hanging="180"/>
      </w:pPr>
    </w:lvl>
    <w:lvl w:ilvl="3" w:tplc="7AB4DA04" w:tentative="1">
      <w:start w:val="1"/>
      <w:numFmt w:val="decimal"/>
      <w:lvlText w:val="%4."/>
      <w:lvlJc w:val="left"/>
      <w:pPr>
        <w:tabs>
          <w:tab w:val="num" w:pos="2880"/>
        </w:tabs>
        <w:ind w:left="2880" w:hanging="360"/>
      </w:pPr>
    </w:lvl>
    <w:lvl w:ilvl="4" w:tplc="60D08BD8" w:tentative="1">
      <w:start w:val="1"/>
      <w:numFmt w:val="lowerLetter"/>
      <w:lvlText w:val="%5."/>
      <w:lvlJc w:val="left"/>
      <w:pPr>
        <w:tabs>
          <w:tab w:val="num" w:pos="3600"/>
        </w:tabs>
        <w:ind w:left="3600" w:hanging="360"/>
      </w:pPr>
    </w:lvl>
    <w:lvl w:ilvl="5" w:tplc="74182212" w:tentative="1">
      <w:start w:val="1"/>
      <w:numFmt w:val="lowerRoman"/>
      <w:lvlText w:val="%6."/>
      <w:lvlJc w:val="right"/>
      <w:pPr>
        <w:tabs>
          <w:tab w:val="num" w:pos="4320"/>
        </w:tabs>
        <w:ind w:left="4320" w:hanging="180"/>
      </w:pPr>
    </w:lvl>
    <w:lvl w:ilvl="6" w:tplc="8F90221E" w:tentative="1">
      <w:start w:val="1"/>
      <w:numFmt w:val="decimal"/>
      <w:lvlText w:val="%7."/>
      <w:lvlJc w:val="left"/>
      <w:pPr>
        <w:tabs>
          <w:tab w:val="num" w:pos="5040"/>
        </w:tabs>
        <w:ind w:left="5040" w:hanging="360"/>
      </w:pPr>
    </w:lvl>
    <w:lvl w:ilvl="7" w:tplc="61487198" w:tentative="1">
      <w:start w:val="1"/>
      <w:numFmt w:val="lowerLetter"/>
      <w:lvlText w:val="%8."/>
      <w:lvlJc w:val="left"/>
      <w:pPr>
        <w:tabs>
          <w:tab w:val="num" w:pos="5760"/>
        </w:tabs>
        <w:ind w:left="5760" w:hanging="360"/>
      </w:pPr>
    </w:lvl>
    <w:lvl w:ilvl="8" w:tplc="4DAAC7F2" w:tentative="1">
      <w:start w:val="1"/>
      <w:numFmt w:val="lowerRoman"/>
      <w:lvlText w:val="%9."/>
      <w:lvlJc w:val="right"/>
      <w:pPr>
        <w:tabs>
          <w:tab w:val="num" w:pos="6480"/>
        </w:tabs>
        <w:ind w:left="6480" w:hanging="180"/>
      </w:pPr>
    </w:lvl>
  </w:abstractNum>
  <w:abstractNum w:abstractNumId="13" w15:restartNumberingAfterBreak="0">
    <w:nsid w:val="4A137551"/>
    <w:multiLevelType w:val="hybridMultilevel"/>
    <w:tmpl w:val="845087C0"/>
    <w:lvl w:ilvl="0" w:tplc="9E98DEF4">
      <w:start w:val="1"/>
      <w:numFmt w:val="decimal"/>
      <w:lvlText w:val="%1)"/>
      <w:lvlJc w:val="left"/>
      <w:pPr>
        <w:ind w:left="720" w:hanging="360"/>
      </w:pPr>
      <w:rPr>
        <w:rFonts w:hint="default"/>
      </w:rPr>
    </w:lvl>
    <w:lvl w:ilvl="1" w:tplc="B37ADD50" w:tentative="1">
      <w:start w:val="1"/>
      <w:numFmt w:val="lowerLetter"/>
      <w:lvlText w:val="%2."/>
      <w:lvlJc w:val="left"/>
      <w:pPr>
        <w:ind w:left="1440" w:hanging="360"/>
      </w:pPr>
    </w:lvl>
    <w:lvl w:ilvl="2" w:tplc="D08415B0" w:tentative="1">
      <w:start w:val="1"/>
      <w:numFmt w:val="lowerRoman"/>
      <w:lvlText w:val="%3."/>
      <w:lvlJc w:val="right"/>
      <w:pPr>
        <w:ind w:left="2160" w:hanging="180"/>
      </w:pPr>
    </w:lvl>
    <w:lvl w:ilvl="3" w:tplc="3FEEE2DE" w:tentative="1">
      <w:start w:val="1"/>
      <w:numFmt w:val="decimal"/>
      <w:lvlText w:val="%4."/>
      <w:lvlJc w:val="left"/>
      <w:pPr>
        <w:ind w:left="2880" w:hanging="360"/>
      </w:pPr>
    </w:lvl>
    <w:lvl w:ilvl="4" w:tplc="FC60BBFC" w:tentative="1">
      <w:start w:val="1"/>
      <w:numFmt w:val="lowerLetter"/>
      <w:lvlText w:val="%5."/>
      <w:lvlJc w:val="left"/>
      <w:pPr>
        <w:ind w:left="3600" w:hanging="360"/>
      </w:pPr>
    </w:lvl>
    <w:lvl w:ilvl="5" w:tplc="34841362" w:tentative="1">
      <w:start w:val="1"/>
      <w:numFmt w:val="lowerRoman"/>
      <w:lvlText w:val="%6."/>
      <w:lvlJc w:val="right"/>
      <w:pPr>
        <w:ind w:left="4320" w:hanging="180"/>
      </w:pPr>
    </w:lvl>
    <w:lvl w:ilvl="6" w:tplc="E884C6C2" w:tentative="1">
      <w:start w:val="1"/>
      <w:numFmt w:val="decimal"/>
      <w:lvlText w:val="%7."/>
      <w:lvlJc w:val="left"/>
      <w:pPr>
        <w:ind w:left="5040" w:hanging="360"/>
      </w:pPr>
    </w:lvl>
    <w:lvl w:ilvl="7" w:tplc="7D7A4EB0" w:tentative="1">
      <w:start w:val="1"/>
      <w:numFmt w:val="lowerLetter"/>
      <w:lvlText w:val="%8."/>
      <w:lvlJc w:val="left"/>
      <w:pPr>
        <w:ind w:left="5760" w:hanging="360"/>
      </w:pPr>
    </w:lvl>
    <w:lvl w:ilvl="8" w:tplc="095ED424" w:tentative="1">
      <w:start w:val="1"/>
      <w:numFmt w:val="lowerRoman"/>
      <w:lvlText w:val="%9."/>
      <w:lvlJc w:val="right"/>
      <w:pPr>
        <w:ind w:left="6480" w:hanging="180"/>
      </w:pPr>
    </w:lvl>
  </w:abstractNum>
  <w:abstractNum w:abstractNumId="14" w15:restartNumberingAfterBreak="0">
    <w:nsid w:val="546D2BC9"/>
    <w:multiLevelType w:val="hybridMultilevel"/>
    <w:tmpl w:val="D75C78A0"/>
    <w:lvl w:ilvl="0" w:tplc="D7E62A3C">
      <w:start w:val="1"/>
      <w:numFmt w:val="bullet"/>
      <w:lvlText w:val="▌"/>
      <w:lvlJc w:val="left"/>
      <w:pPr>
        <w:tabs>
          <w:tab w:val="num" w:pos="720"/>
        </w:tabs>
        <w:ind w:left="720" w:hanging="360"/>
      </w:pPr>
      <w:rPr>
        <w:rFonts w:ascii="Times New Roman" w:hAnsi="Times New Roman" w:hint="default"/>
      </w:rPr>
    </w:lvl>
    <w:lvl w:ilvl="1" w:tplc="A88A32A2" w:tentative="1">
      <w:start w:val="1"/>
      <w:numFmt w:val="bullet"/>
      <w:lvlText w:val="▌"/>
      <w:lvlJc w:val="left"/>
      <w:pPr>
        <w:tabs>
          <w:tab w:val="num" w:pos="1440"/>
        </w:tabs>
        <w:ind w:left="1440" w:hanging="360"/>
      </w:pPr>
      <w:rPr>
        <w:rFonts w:ascii="Times New Roman" w:hAnsi="Times New Roman" w:hint="default"/>
      </w:rPr>
    </w:lvl>
    <w:lvl w:ilvl="2" w:tplc="FD729BF2" w:tentative="1">
      <w:start w:val="1"/>
      <w:numFmt w:val="bullet"/>
      <w:lvlText w:val="▌"/>
      <w:lvlJc w:val="left"/>
      <w:pPr>
        <w:tabs>
          <w:tab w:val="num" w:pos="2160"/>
        </w:tabs>
        <w:ind w:left="2160" w:hanging="360"/>
      </w:pPr>
      <w:rPr>
        <w:rFonts w:ascii="Times New Roman" w:hAnsi="Times New Roman" w:hint="default"/>
      </w:rPr>
    </w:lvl>
    <w:lvl w:ilvl="3" w:tplc="3F4E0C8E" w:tentative="1">
      <w:start w:val="1"/>
      <w:numFmt w:val="bullet"/>
      <w:lvlText w:val="▌"/>
      <w:lvlJc w:val="left"/>
      <w:pPr>
        <w:tabs>
          <w:tab w:val="num" w:pos="2880"/>
        </w:tabs>
        <w:ind w:left="2880" w:hanging="360"/>
      </w:pPr>
      <w:rPr>
        <w:rFonts w:ascii="Times New Roman" w:hAnsi="Times New Roman" w:hint="default"/>
      </w:rPr>
    </w:lvl>
    <w:lvl w:ilvl="4" w:tplc="F14ECE04" w:tentative="1">
      <w:start w:val="1"/>
      <w:numFmt w:val="bullet"/>
      <w:lvlText w:val="▌"/>
      <w:lvlJc w:val="left"/>
      <w:pPr>
        <w:tabs>
          <w:tab w:val="num" w:pos="3600"/>
        </w:tabs>
        <w:ind w:left="3600" w:hanging="360"/>
      </w:pPr>
      <w:rPr>
        <w:rFonts w:ascii="Times New Roman" w:hAnsi="Times New Roman" w:hint="default"/>
      </w:rPr>
    </w:lvl>
    <w:lvl w:ilvl="5" w:tplc="FD1CB730" w:tentative="1">
      <w:start w:val="1"/>
      <w:numFmt w:val="bullet"/>
      <w:lvlText w:val="▌"/>
      <w:lvlJc w:val="left"/>
      <w:pPr>
        <w:tabs>
          <w:tab w:val="num" w:pos="4320"/>
        </w:tabs>
        <w:ind w:left="4320" w:hanging="360"/>
      </w:pPr>
      <w:rPr>
        <w:rFonts w:ascii="Times New Roman" w:hAnsi="Times New Roman" w:hint="default"/>
      </w:rPr>
    </w:lvl>
    <w:lvl w:ilvl="6" w:tplc="3636250C" w:tentative="1">
      <w:start w:val="1"/>
      <w:numFmt w:val="bullet"/>
      <w:lvlText w:val="▌"/>
      <w:lvlJc w:val="left"/>
      <w:pPr>
        <w:tabs>
          <w:tab w:val="num" w:pos="5040"/>
        </w:tabs>
        <w:ind w:left="5040" w:hanging="360"/>
      </w:pPr>
      <w:rPr>
        <w:rFonts w:ascii="Times New Roman" w:hAnsi="Times New Roman" w:hint="default"/>
      </w:rPr>
    </w:lvl>
    <w:lvl w:ilvl="7" w:tplc="932C688C" w:tentative="1">
      <w:start w:val="1"/>
      <w:numFmt w:val="bullet"/>
      <w:lvlText w:val="▌"/>
      <w:lvlJc w:val="left"/>
      <w:pPr>
        <w:tabs>
          <w:tab w:val="num" w:pos="5760"/>
        </w:tabs>
        <w:ind w:left="5760" w:hanging="360"/>
      </w:pPr>
      <w:rPr>
        <w:rFonts w:ascii="Times New Roman" w:hAnsi="Times New Roman" w:hint="default"/>
      </w:rPr>
    </w:lvl>
    <w:lvl w:ilvl="8" w:tplc="3D40354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53D3E1B"/>
    <w:multiLevelType w:val="hybridMultilevel"/>
    <w:tmpl w:val="927C3864"/>
    <w:lvl w:ilvl="0" w:tplc="9EB4010E">
      <w:start w:val="1"/>
      <w:numFmt w:val="decimal"/>
      <w:lvlText w:val="%1."/>
      <w:lvlJc w:val="left"/>
      <w:pPr>
        <w:ind w:left="720" w:hanging="360"/>
      </w:pPr>
    </w:lvl>
    <w:lvl w:ilvl="1" w:tplc="C4CA306E" w:tentative="1">
      <w:start w:val="1"/>
      <w:numFmt w:val="lowerLetter"/>
      <w:lvlText w:val="%2."/>
      <w:lvlJc w:val="left"/>
      <w:pPr>
        <w:ind w:left="1440" w:hanging="360"/>
      </w:pPr>
    </w:lvl>
    <w:lvl w:ilvl="2" w:tplc="5FA813BA" w:tentative="1">
      <w:start w:val="1"/>
      <w:numFmt w:val="lowerRoman"/>
      <w:lvlText w:val="%3."/>
      <w:lvlJc w:val="right"/>
      <w:pPr>
        <w:ind w:left="2160" w:hanging="180"/>
      </w:pPr>
    </w:lvl>
    <w:lvl w:ilvl="3" w:tplc="33884292" w:tentative="1">
      <w:start w:val="1"/>
      <w:numFmt w:val="decimal"/>
      <w:lvlText w:val="%4."/>
      <w:lvlJc w:val="left"/>
      <w:pPr>
        <w:ind w:left="2880" w:hanging="360"/>
      </w:pPr>
    </w:lvl>
    <w:lvl w:ilvl="4" w:tplc="368A9B54" w:tentative="1">
      <w:start w:val="1"/>
      <w:numFmt w:val="lowerLetter"/>
      <w:lvlText w:val="%5."/>
      <w:lvlJc w:val="left"/>
      <w:pPr>
        <w:ind w:left="3600" w:hanging="360"/>
      </w:pPr>
    </w:lvl>
    <w:lvl w:ilvl="5" w:tplc="6EC05916" w:tentative="1">
      <w:start w:val="1"/>
      <w:numFmt w:val="lowerRoman"/>
      <w:lvlText w:val="%6."/>
      <w:lvlJc w:val="right"/>
      <w:pPr>
        <w:ind w:left="4320" w:hanging="180"/>
      </w:pPr>
    </w:lvl>
    <w:lvl w:ilvl="6" w:tplc="2B6E83F6" w:tentative="1">
      <w:start w:val="1"/>
      <w:numFmt w:val="decimal"/>
      <w:lvlText w:val="%7."/>
      <w:lvlJc w:val="left"/>
      <w:pPr>
        <w:ind w:left="5040" w:hanging="360"/>
      </w:pPr>
    </w:lvl>
    <w:lvl w:ilvl="7" w:tplc="08529926" w:tentative="1">
      <w:start w:val="1"/>
      <w:numFmt w:val="lowerLetter"/>
      <w:lvlText w:val="%8."/>
      <w:lvlJc w:val="left"/>
      <w:pPr>
        <w:ind w:left="5760" w:hanging="360"/>
      </w:pPr>
    </w:lvl>
    <w:lvl w:ilvl="8" w:tplc="B6489E7E" w:tentative="1">
      <w:start w:val="1"/>
      <w:numFmt w:val="lowerRoman"/>
      <w:lvlText w:val="%9."/>
      <w:lvlJc w:val="right"/>
      <w:pPr>
        <w:ind w:left="6480" w:hanging="180"/>
      </w:pPr>
    </w:lvl>
  </w:abstractNum>
  <w:abstractNum w:abstractNumId="16" w15:restartNumberingAfterBreak="0">
    <w:nsid w:val="581C7582"/>
    <w:multiLevelType w:val="hybridMultilevel"/>
    <w:tmpl w:val="7ABE272A"/>
    <w:lvl w:ilvl="0" w:tplc="2DF8DC8E">
      <w:start w:val="1"/>
      <w:numFmt w:val="bullet"/>
      <w:lvlText w:val=""/>
      <w:lvlJc w:val="left"/>
      <w:pPr>
        <w:tabs>
          <w:tab w:val="num" w:pos="720"/>
        </w:tabs>
        <w:ind w:left="720" w:hanging="360"/>
      </w:pPr>
      <w:rPr>
        <w:rFonts w:ascii="Wingdings" w:hAnsi="Wingdings" w:hint="default"/>
      </w:rPr>
    </w:lvl>
    <w:lvl w:ilvl="1" w:tplc="D0524F1E" w:tentative="1">
      <w:start w:val="1"/>
      <w:numFmt w:val="bullet"/>
      <w:lvlText w:val="o"/>
      <w:lvlJc w:val="left"/>
      <w:pPr>
        <w:tabs>
          <w:tab w:val="num" w:pos="1440"/>
        </w:tabs>
        <w:ind w:left="1440" w:hanging="360"/>
      </w:pPr>
      <w:rPr>
        <w:rFonts w:ascii="Courier New" w:hAnsi="Courier New" w:cs="Courier New" w:hint="default"/>
      </w:rPr>
    </w:lvl>
    <w:lvl w:ilvl="2" w:tplc="CAFCA126" w:tentative="1">
      <w:start w:val="1"/>
      <w:numFmt w:val="bullet"/>
      <w:lvlText w:val=""/>
      <w:lvlJc w:val="left"/>
      <w:pPr>
        <w:tabs>
          <w:tab w:val="num" w:pos="2160"/>
        </w:tabs>
        <w:ind w:left="2160" w:hanging="360"/>
      </w:pPr>
      <w:rPr>
        <w:rFonts w:ascii="Wingdings" w:hAnsi="Wingdings" w:hint="default"/>
      </w:rPr>
    </w:lvl>
    <w:lvl w:ilvl="3" w:tplc="C9AECC3C" w:tentative="1">
      <w:start w:val="1"/>
      <w:numFmt w:val="bullet"/>
      <w:lvlText w:val=""/>
      <w:lvlJc w:val="left"/>
      <w:pPr>
        <w:tabs>
          <w:tab w:val="num" w:pos="2880"/>
        </w:tabs>
        <w:ind w:left="2880" w:hanging="360"/>
      </w:pPr>
      <w:rPr>
        <w:rFonts w:ascii="Symbol" w:hAnsi="Symbol" w:hint="default"/>
      </w:rPr>
    </w:lvl>
    <w:lvl w:ilvl="4" w:tplc="C628649C" w:tentative="1">
      <w:start w:val="1"/>
      <w:numFmt w:val="bullet"/>
      <w:lvlText w:val="o"/>
      <w:lvlJc w:val="left"/>
      <w:pPr>
        <w:tabs>
          <w:tab w:val="num" w:pos="3600"/>
        </w:tabs>
        <w:ind w:left="3600" w:hanging="360"/>
      </w:pPr>
      <w:rPr>
        <w:rFonts w:ascii="Courier New" w:hAnsi="Courier New" w:cs="Courier New" w:hint="default"/>
      </w:rPr>
    </w:lvl>
    <w:lvl w:ilvl="5" w:tplc="2CF29064" w:tentative="1">
      <w:start w:val="1"/>
      <w:numFmt w:val="bullet"/>
      <w:lvlText w:val=""/>
      <w:lvlJc w:val="left"/>
      <w:pPr>
        <w:tabs>
          <w:tab w:val="num" w:pos="4320"/>
        </w:tabs>
        <w:ind w:left="4320" w:hanging="360"/>
      </w:pPr>
      <w:rPr>
        <w:rFonts w:ascii="Wingdings" w:hAnsi="Wingdings" w:hint="default"/>
      </w:rPr>
    </w:lvl>
    <w:lvl w:ilvl="6" w:tplc="B936EFAC" w:tentative="1">
      <w:start w:val="1"/>
      <w:numFmt w:val="bullet"/>
      <w:lvlText w:val=""/>
      <w:lvlJc w:val="left"/>
      <w:pPr>
        <w:tabs>
          <w:tab w:val="num" w:pos="5040"/>
        </w:tabs>
        <w:ind w:left="5040" w:hanging="360"/>
      </w:pPr>
      <w:rPr>
        <w:rFonts w:ascii="Symbol" w:hAnsi="Symbol" w:hint="default"/>
      </w:rPr>
    </w:lvl>
    <w:lvl w:ilvl="7" w:tplc="249015B2" w:tentative="1">
      <w:start w:val="1"/>
      <w:numFmt w:val="bullet"/>
      <w:lvlText w:val="o"/>
      <w:lvlJc w:val="left"/>
      <w:pPr>
        <w:tabs>
          <w:tab w:val="num" w:pos="5760"/>
        </w:tabs>
        <w:ind w:left="5760" w:hanging="360"/>
      </w:pPr>
      <w:rPr>
        <w:rFonts w:ascii="Courier New" w:hAnsi="Courier New" w:cs="Courier New" w:hint="default"/>
      </w:rPr>
    </w:lvl>
    <w:lvl w:ilvl="8" w:tplc="8AEAA72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C61899"/>
    <w:multiLevelType w:val="hybridMultilevel"/>
    <w:tmpl w:val="C4628448"/>
    <w:lvl w:ilvl="0" w:tplc="AEBC01BE">
      <w:start w:val="1"/>
      <w:numFmt w:val="bullet"/>
      <w:lvlText w:val=""/>
      <w:lvlJc w:val="left"/>
      <w:pPr>
        <w:tabs>
          <w:tab w:val="num" w:pos="786"/>
        </w:tabs>
        <w:ind w:left="786" w:hanging="360"/>
      </w:pPr>
      <w:rPr>
        <w:rFonts w:ascii="Wingdings" w:hAnsi="Wingdings" w:hint="default"/>
      </w:rPr>
    </w:lvl>
    <w:lvl w:ilvl="1" w:tplc="5530671A" w:tentative="1">
      <w:start w:val="1"/>
      <w:numFmt w:val="bullet"/>
      <w:lvlText w:val="o"/>
      <w:lvlJc w:val="left"/>
      <w:pPr>
        <w:tabs>
          <w:tab w:val="num" w:pos="1506"/>
        </w:tabs>
        <w:ind w:left="1506" w:hanging="360"/>
      </w:pPr>
      <w:rPr>
        <w:rFonts w:ascii="Courier New" w:hAnsi="Courier New" w:cs="Courier New" w:hint="default"/>
      </w:rPr>
    </w:lvl>
    <w:lvl w:ilvl="2" w:tplc="C34E3FA4" w:tentative="1">
      <w:start w:val="1"/>
      <w:numFmt w:val="bullet"/>
      <w:lvlText w:val=""/>
      <w:lvlJc w:val="left"/>
      <w:pPr>
        <w:tabs>
          <w:tab w:val="num" w:pos="2226"/>
        </w:tabs>
        <w:ind w:left="2226" w:hanging="360"/>
      </w:pPr>
      <w:rPr>
        <w:rFonts w:ascii="Wingdings" w:hAnsi="Wingdings" w:hint="default"/>
      </w:rPr>
    </w:lvl>
    <w:lvl w:ilvl="3" w:tplc="FDAA18A6" w:tentative="1">
      <w:start w:val="1"/>
      <w:numFmt w:val="bullet"/>
      <w:lvlText w:val=""/>
      <w:lvlJc w:val="left"/>
      <w:pPr>
        <w:tabs>
          <w:tab w:val="num" w:pos="2946"/>
        </w:tabs>
        <w:ind w:left="2946" w:hanging="360"/>
      </w:pPr>
      <w:rPr>
        <w:rFonts w:ascii="Symbol" w:hAnsi="Symbol" w:hint="default"/>
      </w:rPr>
    </w:lvl>
    <w:lvl w:ilvl="4" w:tplc="DD6ACE8C" w:tentative="1">
      <w:start w:val="1"/>
      <w:numFmt w:val="bullet"/>
      <w:lvlText w:val="o"/>
      <w:lvlJc w:val="left"/>
      <w:pPr>
        <w:tabs>
          <w:tab w:val="num" w:pos="3666"/>
        </w:tabs>
        <w:ind w:left="3666" w:hanging="360"/>
      </w:pPr>
      <w:rPr>
        <w:rFonts w:ascii="Courier New" w:hAnsi="Courier New" w:cs="Courier New" w:hint="default"/>
      </w:rPr>
    </w:lvl>
    <w:lvl w:ilvl="5" w:tplc="68CA6A7C" w:tentative="1">
      <w:start w:val="1"/>
      <w:numFmt w:val="bullet"/>
      <w:lvlText w:val=""/>
      <w:lvlJc w:val="left"/>
      <w:pPr>
        <w:tabs>
          <w:tab w:val="num" w:pos="4386"/>
        </w:tabs>
        <w:ind w:left="4386" w:hanging="360"/>
      </w:pPr>
      <w:rPr>
        <w:rFonts w:ascii="Wingdings" w:hAnsi="Wingdings" w:hint="default"/>
      </w:rPr>
    </w:lvl>
    <w:lvl w:ilvl="6" w:tplc="B29223EC" w:tentative="1">
      <w:start w:val="1"/>
      <w:numFmt w:val="bullet"/>
      <w:lvlText w:val=""/>
      <w:lvlJc w:val="left"/>
      <w:pPr>
        <w:tabs>
          <w:tab w:val="num" w:pos="5106"/>
        </w:tabs>
        <w:ind w:left="5106" w:hanging="360"/>
      </w:pPr>
      <w:rPr>
        <w:rFonts w:ascii="Symbol" w:hAnsi="Symbol" w:hint="default"/>
      </w:rPr>
    </w:lvl>
    <w:lvl w:ilvl="7" w:tplc="85DEFF88" w:tentative="1">
      <w:start w:val="1"/>
      <w:numFmt w:val="bullet"/>
      <w:lvlText w:val="o"/>
      <w:lvlJc w:val="left"/>
      <w:pPr>
        <w:tabs>
          <w:tab w:val="num" w:pos="5826"/>
        </w:tabs>
        <w:ind w:left="5826" w:hanging="360"/>
      </w:pPr>
      <w:rPr>
        <w:rFonts w:ascii="Courier New" w:hAnsi="Courier New" w:cs="Courier New" w:hint="default"/>
      </w:rPr>
    </w:lvl>
    <w:lvl w:ilvl="8" w:tplc="C6B0DF20" w:tentative="1">
      <w:start w:val="1"/>
      <w:numFmt w:val="bullet"/>
      <w:lvlText w:val=""/>
      <w:lvlJc w:val="left"/>
      <w:pPr>
        <w:tabs>
          <w:tab w:val="num" w:pos="6546"/>
        </w:tabs>
        <w:ind w:left="6546" w:hanging="360"/>
      </w:pPr>
      <w:rPr>
        <w:rFonts w:ascii="Wingdings" w:hAnsi="Wingdings" w:hint="default"/>
      </w:rPr>
    </w:lvl>
  </w:abstractNum>
  <w:abstractNum w:abstractNumId="18"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632A1A20"/>
    <w:multiLevelType w:val="hybridMultilevel"/>
    <w:tmpl w:val="CF5202E0"/>
    <w:lvl w:ilvl="0" w:tplc="FE86EC42">
      <w:start w:val="1"/>
      <w:numFmt w:val="bullet"/>
      <w:lvlText w:val="▌"/>
      <w:lvlJc w:val="left"/>
      <w:pPr>
        <w:tabs>
          <w:tab w:val="num" w:pos="720"/>
        </w:tabs>
        <w:ind w:left="720" w:hanging="360"/>
      </w:pPr>
      <w:rPr>
        <w:rFonts w:ascii="Times New Roman" w:hAnsi="Times New Roman" w:hint="default"/>
      </w:rPr>
    </w:lvl>
    <w:lvl w:ilvl="1" w:tplc="3B6C2CE0" w:tentative="1">
      <w:start w:val="1"/>
      <w:numFmt w:val="bullet"/>
      <w:lvlText w:val="▌"/>
      <w:lvlJc w:val="left"/>
      <w:pPr>
        <w:tabs>
          <w:tab w:val="num" w:pos="1440"/>
        </w:tabs>
        <w:ind w:left="1440" w:hanging="360"/>
      </w:pPr>
      <w:rPr>
        <w:rFonts w:ascii="Times New Roman" w:hAnsi="Times New Roman" w:hint="default"/>
      </w:rPr>
    </w:lvl>
    <w:lvl w:ilvl="2" w:tplc="10F86330" w:tentative="1">
      <w:start w:val="1"/>
      <w:numFmt w:val="bullet"/>
      <w:lvlText w:val="▌"/>
      <w:lvlJc w:val="left"/>
      <w:pPr>
        <w:tabs>
          <w:tab w:val="num" w:pos="2160"/>
        </w:tabs>
        <w:ind w:left="2160" w:hanging="360"/>
      </w:pPr>
      <w:rPr>
        <w:rFonts w:ascii="Times New Roman" w:hAnsi="Times New Roman" w:hint="default"/>
      </w:rPr>
    </w:lvl>
    <w:lvl w:ilvl="3" w:tplc="808A8CA0" w:tentative="1">
      <w:start w:val="1"/>
      <w:numFmt w:val="bullet"/>
      <w:lvlText w:val="▌"/>
      <w:lvlJc w:val="left"/>
      <w:pPr>
        <w:tabs>
          <w:tab w:val="num" w:pos="2880"/>
        </w:tabs>
        <w:ind w:left="2880" w:hanging="360"/>
      </w:pPr>
      <w:rPr>
        <w:rFonts w:ascii="Times New Roman" w:hAnsi="Times New Roman" w:hint="default"/>
      </w:rPr>
    </w:lvl>
    <w:lvl w:ilvl="4" w:tplc="5C9888B4" w:tentative="1">
      <w:start w:val="1"/>
      <w:numFmt w:val="bullet"/>
      <w:lvlText w:val="▌"/>
      <w:lvlJc w:val="left"/>
      <w:pPr>
        <w:tabs>
          <w:tab w:val="num" w:pos="3600"/>
        </w:tabs>
        <w:ind w:left="3600" w:hanging="360"/>
      </w:pPr>
      <w:rPr>
        <w:rFonts w:ascii="Times New Roman" w:hAnsi="Times New Roman" w:hint="default"/>
      </w:rPr>
    </w:lvl>
    <w:lvl w:ilvl="5" w:tplc="F4ECCC7E" w:tentative="1">
      <w:start w:val="1"/>
      <w:numFmt w:val="bullet"/>
      <w:lvlText w:val="▌"/>
      <w:lvlJc w:val="left"/>
      <w:pPr>
        <w:tabs>
          <w:tab w:val="num" w:pos="4320"/>
        </w:tabs>
        <w:ind w:left="4320" w:hanging="360"/>
      </w:pPr>
      <w:rPr>
        <w:rFonts w:ascii="Times New Roman" w:hAnsi="Times New Roman" w:hint="default"/>
      </w:rPr>
    </w:lvl>
    <w:lvl w:ilvl="6" w:tplc="A4502E56" w:tentative="1">
      <w:start w:val="1"/>
      <w:numFmt w:val="bullet"/>
      <w:lvlText w:val="▌"/>
      <w:lvlJc w:val="left"/>
      <w:pPr>
        <w:tabs>
          <w:tab w:val="num" w:pos="5040"/>
        </w:tabs>
        <w:ind w:left="5040" w:hanging="360"/>
      </w:pPr>
      <w:rPr>
        <w:rFonts w:ascii="Times New Roman" w:hAnsi="Times New Roman" w:hint="default"/>
      </w:rPr>
    </w:lvl>
    <w:lvl w:ilvl="7" w:tplc="0A360FE6" w:tentative="1">
      <w:start w:val="1"/>
      <w:numFmt w:val="bullet"/>
      <w:lvlText w:val="▌"/>
      <w:lvlJc w:val="left"/>
      <w:pPr>
        <w:tabs>
          <w:tab w:val="num" w:pos="5760"/>
        </w:tabs>
        <w:ind w:left="5760" w:hanging="360"/>
      </w:pPr>
      <w:rPr>
        <w:rFonts w:ascii="Times New Roman" w:hAnsi="Times New Roman" w:hint="default"/>
      </w:rPr>
    </w:lvl>
    <w:lvl w:ilvl="8" w:tplc="34ECD09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7B54CD8"/>
    <w:multiLevelType w:val="hybridMultilevel"/>
    <w:tmpl w:val="5B7ABA5E"/>
    <w:lvl w:ilvl="0" w:tplc="5420A3A0">
      <w:start w:val="1"/>
      <w:numFmt w:val="decimal"/>
      <w:lvlText w:val="%1."/>
      <w:lvlJc w:val="left"/>
      <w:pPr>
        <w:ind w:left="1069" w:hanging="360"/>
      </w:pPr>
      <w:rPr>
        <w:b w:val="0"/>
      </w:rPr>
    </w:lvl>
    <w:lvl w:ilvl="1" w:tplc="B354219E">
      <w:start w:val="1"/>
      <w:numFmt w:val="lowerLetter"/>
      <w:lvlText w:val="%2."/>
      <w:lvlJc w:val="left"/>
      <w:pPr>
        <w:ind w:left="1800" w:hanging="360"/>
      </w:pPr>
    </w:lvl>
    <w:lvl w:ilvl="2" w:tplc="3208C80E">
      <w:start w:val="1"/>
      <w:numFmt w:val="lowerRoman"/>
      <w:lvlText w:val="%3."/>
      <w:lvlJc w:val="right"/>
      <w:pPr>
        <w:ind w:left="2520" w:hanging="180"/>
      </w:pPr>
    </w:lvl>
    <w:lvl w:ilvl="3" w:tplc="3520794A">
      <w:start w:val="1"/>
      <w:numFmt w:val="decimal"/>
      <w:lvlText w:val="%4."/>
      <w:lvlJc w:val="left"/>
      <w:pPr>
        <w:ind w:left="3240" w:hanging="360"/>
      </w:pPr>
    </w:lvl>
    <w:lvl w:ilvl="4" w:tplc="A736310E">
      <w:start w:val="1"/>
      <w:numFmt w:val="lowerLetter"/>
      <w:lvlText w:val="%5."/>
      <w:lvlJc w:val="left"/>
      <w:pPr>
        <w:ind w:left="3960" w:hanging="360"/>
      </w:pPr>
    </w:lvl>
    <w:lvl w:ilvl="5" w:tplc="68D66EB0">
      <w:start w:val="1"/>
      <w:numFmt w:val="lowerRoman"/>
      <w:lvlText w:val="%6."/>
      <w:lvlJc w:val="right"/>
      <w:pPr>
        <w:ind w:left="4680" w:hanging="180"/>
      </w:pPr>
    </w:lvl>
    <w:lvl w:ilvl="6" w:tplc="CE542BD2">
      <w:start w:val="1"/>
      <w:numFmt w:val="decimal"/>
      <w:lvlText w:val="%7."/>
      <w:lvlJc w:val="left"/>
      <w:pPr>
        <w:ind w:left="5400" w:hanging="360"/>
      </w:pPr>
    </w:lvl>
    <w:lvl w:ilvl="7" w:tplc="66CADEC4">
      <w:start w:val="1"/>
      <w:numFmt w:val="lowerLetter"/>
      <w:lvlText w:val="%8."/>
      <w:lvlJc w:val="left"/>
      <w:pPr>
        <w:ind w:left="6120" w:hanging="360"/>
      </w:pPr>
    </w:lvl>
    <w:lvl w:ilvl="8" w:tplc="905827FC">
      <w:start w:val="1"/>
      <w:numFmt w:val="lowerRoman"/>
      <w:lvlText w:val="%9."/>
      <w:lvlJc w:val="right"/>
      <w:pPr>
        <w:ind w:left="6840" w:hanging="180"/>
      </w:pPr>
    </w:lvl>
  </w:abstractNum>
  <w:abstractNum w:abstractNumId="21" w15:restartNumberingAfterBreak="0">
    <w:nsid w:val="6AF0409C"/>
    <w:multiLevelType w:val="hybridMultilevel"/>
    <w:tmpl w:val="AE545C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3"/>
  </w:num>
  <w:num w:numId="4">
    <w:abstractNumId w:val="1"/>
  </w:num>
  <w:num w:numId="5">
    <w:abstractNumId w:val="0"/>
  </w:num>
  <w:num w:numId="6">
    <w:abstractNumId w:val="14"/>
  </w:num>
  <w:num w:numId="7">
    <w:abstractNumId w:val="19"/>
  </w:num>
  <w:num w:numId="8">
    <w:abstractNumId w:val="10"/>
  </w:num>
  <w:num w:numId="9">
    <w:abstractNumId w:val="2"/>
  </w:num>
  <w:num w:numId="10">
    <w:abstractNumId w:val="11"/>
  </w:num>
  <w:num w:numId="11">
    <w:abstractNumId w:val="12"/>
  </w:num>
  <w:num w:numId="12">
    <w:abstractNumId w:val="16"/>
  </w:num>
  <w:num w:numId="13">
    <w:abstractNumId w:val="17"/>
  </w:num>
  <w:num w:numId="14">
    <w:abstractNumId w:val="13"/>
  </w:num>
  <w:num w:numId="15">
    <w:abstractNumId w:val="9"/>
  </w:num>
  <w:num w:numId="16">
    <w:abstractNumId w:val="4"/>
  </w:num>
  <w:num w:numId="17">
    <w:abstractNumId w:val="15"/>
  </w:num>
  <w:num w:numId="18">
    <w:abstractNumId w:val="8"/>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7"/>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BB3"/>
    <w:rsid w:val="00000352"/>
    <w:rsid w:val="00003D8A"/>
    <w:rsid w:val="00013586"/>
    <w:rsid w:val="00014239"/>
    <w:rsid w:val="00035853"/>
    <w:rsid w:val="00035BB2"/>
    <w:rsid w:val="00041B28"/>
    <w:rsid w:val="00045AE8"/>
    <w:rsid w:val="00046C2B"/>
    <w:rsid w:val="000628BD"/>
    <w:rsid w:val="00071955"/>
    <w:rsid w:val="00092EC7"/>
    <w:rsid w:val="00093F3B"/>
    <w:rsid w:val="000A1AF9"/>
    <w:rsid w:val="000B739D"/>
    <w:rsid w:val="000C2A7E"/>
    <w:rsid w:val="000C3D91"/>
    <w:rsid w:val="000C5072"/>
    <w:rsid w:val="000D13A6"/>
    <w:rsid w:val="000D1B23"/>
    <w:rsid w:val="000D1B68"/>
    <w:rsid w:val="000F10F7"/>
    <w:rsid w:val="000F1C5B"/>
    <w:rsid w:val="0010093A"/>
    <w:rsid w:val="001019BF"/>
    <w:rsid w:val="00102E31"/>
    <w:rsid w:val="00113D19"/>
    <w:rsid w:val="00125D6B"/>
    <w:rsid w:val="00140836"/>
    <w:rsid w:val="00142B04"/>
    <w:rsid w:val="0015060C"/>
    <w:rsid w:val="0015287F"/>
    <w:rsid w:val="00157E4B"/>
    <w:rsid w:val="00161D45"/>
    <w:rsid w:val="00173ECD"/>
    <w:rsid w:val="00180526"/>
    <w:rsid w:val="00184ED6"/>
    <w:rsid w:val="0018786F"/>
    <w:rsid w:val="00191848"/>
    <w:rsid w:val="001963F8"/>
    <w:rsid w:val="00197D93"/>
    <w:rsid w:val="001A05C0"/>
    <w:rsid w:val="001A0F1A"/>
    <w:rsid w:val="001B58F0"/>
    <w:rsid w:val="001D49D3"/>
    <w:rsid w:val="001E0F23"/>
    <w:rsid w:val="001E25B4"/>
    <w:rsid w:val="001E350F"/>
    <w:rsid w:val="001E38FD"/>
    <w:rsid w:val="001E54F4"/>
    <w:rsid w:val="00210B89"/>
    <w:rsid w:val="00214094"/>
    <w:rsid w:val="002272F8"/>
    <w:rsid w:val="0023194E"/>
    <w:rsid w:val="002326BC"/>
    <w:rsid w:val="00241502"/>
    <w:rsid w:val="00241900"/>
    <w:rsid w:val="00244B98"/>
    <w:rsid w:val="00254E59"/>
    <w:rsid w:val="00260B15"/>
    <w:rsid w:val="002624C0"/>
    <w:rsid w:val="0026689C"/>
    <w:rsid w:val="00281988"/>
    <w:rsid w:val="0028294B"/>
    <w:rsid w:val="002911D1"/>
    <w:rsid w:val="00293794"/>
    <w:rsid w:val="002A19C2"/>
    <w:rsid w:val="002A400B"/>
    <w:rsid w:val="002B0D83"/>
    <w:rsid w:val="002B3079"/>
    <w:rsid w:val="002B7364"/>
    <w:rsid w:val="002C5DE5"/>
    <w:rsid w:val="002D34BA"/>
    <w:rsid w:val="002D38F3"/>
    <w:rsid w:val="002E183E"/>
    <w:rsid w:val="002E59A4"/>
    <w:rsid w:val="002F6930"/>
    <w:rsid w:val="00300104"/>
    <w:rsid w:val="003040AB"/>
    <w:rsid w:val="003117B3"/>
    <w:rsid w:val="003204F8"/>
    <w:rsid w:val="00340C2B"/>
    <w:rsid w:val="00344BAE"/>
    <w:rsid w:val="003549D5"/>
    <w:rsid w:val="00361B0D"/>
    <w:rsid w:val="00362B32"/>
    <w:rsid w:val="0036468E"/>
    <w:rsid w:val="00364B0E"/>
    <w:rsid w:val="00372F11"/>
    <w:rsid w:val="003734F2"/>
    <w:rsid w:val="003828A4"/>
    <w:rsid w:val="00397592"/>
    <w:rsid w:val="003A05DD"/>
    <w:rsid w:val="003B1A79"/>
    <w:rsid w:val="003B30AA"/>
    <w:rsid w:val="003B4425"/>
    <w:rsid w:val="003C449B"/>
    <w:rsid w:val="003C6A68"/>
    <w:rsid w:val="003D5A55"/>
    <w:rsid w:val="003E3E27"/>
    <w:rsid w:val="003F2CA1"/>
    <w:rsid w:val="003F6F05"/>
    <w:rsid w:val="00402FE1"/>
    <w:rsid w:val="00404A62"/>
    <w:rsid w:val="004151FB"/>
    <w:rsid w:val="00415787"/>
    <w:rsid w:val="00415910"/>
    <w:rsid w:val="00432184"/>
    <w:rsid w:val="0044126E"/>
    <w:rsid w:val="00442075"/>
    <w:rsid w:val="00457C39"/>
    <w:rsid w:val="00463FE5"/>
    <w:rsid w:val="00465775"/>
    <w:rsid w:val="00467F2D"/>
    <w:rsid w:val="00472147"/>
    <w:rsid w:val="00491B25"/>
    <w:rsid w:val="004A6CDF"/>
    <w:rsid w:val="004B3534"/>
    <w:rsid w:val="004B5A79"/>
    <w:rsid w:val="004B6D67"/>
    <w:rsid w:val="004C45C9"/>
    <w:rsid w:val="004D4D27"/>
    <w:rsid w:val="004D6F2E"/>
    <w:rsid w:val="004E1B64"/>
    <w:rsid w:val="004E5CB9"/>
    <w:rsid w:val="004F30BF"/>
    <w:rsid w:val="004F3E37"/>
    <w:rsid w:val="00504231"/>
    <w:rsid w:val="00527C57"/>
    <w:rsid w:val="00535A90"/>
    <w:rsid w:val="0053753C"/>
    <w:rsid w:val="005447DE"/>
    <w:rsid w:val="00553FCC"/>
    <w:rsid w:val="00554EFC"/>
    <w:rsid w:val="005628AE"/>
    <w:rsid w:val="0056487A"/>
    <w:rsid w:val="00582D16"/>
    <w:rsid w:val="0059784A"/>
    <w:rsid w:val="005A30B6"/>
    <w:rsid w:val="005A7FB5"/>
    <w:rsid w:val="005B4B09"/>
    <w:rsid w:val="005C17D1"/>
    <w:rsid w:val="005F1B0A"/>
    <w:rsid w:val="005F385D"/>
    <w:rsid w:val="005F40F9"/>
    <w:rsid w:val="005F45D2"/>
    <w:rsid w:val="005F6482"/>
    <w:rsid w:val="006038A6"/>
    <w:rsid w:val="00616816"/>
    <w:rsid w:val="006251AD"/>
    <w:rsid w:val="0062535A"/>
    <w:rsid w:val="00630451"/>
    <w:rsid w:val="00636950"/>
    <w:rsid w:val="00656093"/>
    <w:rsid w:val="006568BA"/>
    <w:rsid w:val="006618D7"/>
    <w:rsid w:val="006645C6"/>
    <w:rsid w:val="00664846"/>
    <w:rsid w:val="00667D6D"/>
    <w:rsid w:val="00675649"/>
    <w:rsid w:val="00683849"/>
    <w:rsid w:val="0068544F"/>
    <w:rsid w:val="00685ABC"/>
    <w:rsid w:val="006915B6"/>
    <w:rsid w:val="00693503"/>
    <w:rsid w:val="006A17AE"/>
    <w:rsid w:val="006A43C3"/>
    <w:rsid w:val="006B1986"/>
    <w:rsid w:val="006B3C18"/>
    <w:rsid w:val="006C2878"/>
    <w:rsid w:val="006C483E"/>
    <w:rsid w:val="006C52A5"/>
    <w:rsid w:val="006C5993"/>
    <w:rsid w:val="006D5CC9"/>
    <w:rsid w:val="006D690D"/>
    <w:rsid w:val="006E6EEF"/>
    <w:rsid w:val="006F6E07"/>
    <w:rsid w:val="006F7A5C"/>
    <w:rsid w:val="00702453"/>
    <w:rsid w:val="007029DA"/>
    <w:rsid w:val="007115E0"/>
    <w:rsid w:val="00711DC1"/>
    <w:rsid w:val="00727EC5"/>
    <w:rsid w:val="007305BC"/>
    <w:rsid w:val="00736856"/>
    <w:rsid w:val="00743509"/>
    <w:rsid w:val="007457CB"/>
    <w:rsid w:val="00746217"/>
    <w:rsid w:val="00755CD5"/>
    <w:rsid w:val="00765F6E"/>
    <w:rsid w:val="00770F22"/>
    <w:rsid w:val="0077482E"/>
    <w:rsid w:val="00790713"/>
    <w:rsid w:val="007A041C"/>
    <w:rsid w:val="007A3877"/>
    <w:rsid w:val="007B11A7"/>
    <w:rsid w:val="007B6C31"/>
    <w:rsid w:val="007C0511"/>
    <w:rsid w:val="007C36B8"/>
    <w:rsid w:val="007C4CD6"/>
    <w:rsid w:val="007C7502"/>
    <w:rsid w:val="007E21F1"/>
    <w:rsid w:val="007E378F"/>
    <w:rsid w:val="007E4445"/>
    <w:rsid w:val="007E4912"/>
    <w:rsid w:val="007F03D0"/>
    <w:rsid w:val="0081243C"/>
    <w:rsid w:val="0081412F"/>
    <w:rsid w:val="00816574"/>
    <w:rsid w:val="00821F25"/>
    <w:rsid w:val="00834743"/>
    <w:rsid w:val="00841AFB"/>
    <w:rsid w:val="00843E1F"/>
    <w:rsid w:val="0086117C"/>
    <w:rsid w:val="00863F1E"/>
    <w:rsid w:val="00870675"/>
    <w:rsid w:val="00871021"/>
    <w:rsid w:val="00871AC9"/>
    <w:rsid w:val="00884EDA"/>
    <w:rsid w:val="0088611D"/>
    <w:rsid w:val="00886B71"/>
    <w:rsid w:val="00893E3E"/>
    <w:rsid w:val="0089511E"/>
    <w:rsid w:val="008A3982"/>
    <w:rsid w:val="008B3692"/>
    <w:rsid w:val="008C5649"/>
    <w:rsid w:val="008D12CF"/>
    <w:rsid w:val="008D5DC0"/>
    <w:rsid w:val="008E4481"/>
    <w:rsid w:val="008E6C6F"/>
    <w:rsid w:val="008F234E"/>
    <w:rsid w:val="008F2AA3"/>
    <w:rsid w:val="009012AF"/>
    <w:rsid w:val="00911664"/>
    <w:rsid w:val="0091393C"/>
    <w:rsid w:val="00931172"/>
    <w:rsid w:val="00931996"/>
    <w:rsid w:val="009358B2"/>
    <w:rsid w:val="009467B0"/>
    <w:rsid w:val="00951C35"/>
    <w:rsid w:val="009550F1"/>
    <w:rsid w:val="0096558B"/>
    <w:rsid w:val="00980E18"/>
    <w:rsid w:val="00986583"/>
    <w:rsid w:val="00996A66"/>
    <w:rsid w:val="009A4A90"/>
    <w:rsid w:val="009B4123"/>
    <w:rsid w:val="009B6A00"/>
    <w:rsid w:val="009C1787"/>
    <w:rsid w:val="009D2D5E"/>
    <w:rsid w:val="009D62FD"/>
    <w:rsid w:val="009D7F3C"/>
    <w:rsid w:val="009E2364"/>
    <w:rsid w:val="009E6424"/>
    <w:rsid w:val="009E72E3"/>
    <w:rsid w:val="009E7D03"/>
    <w:rsid w:val="009F00ED"/>
    <w:rsid w:val="009F097D"/>
    <w:rsid w:val="009F1171"/>
    <w:rsid w:val="009F37F8"/>
    <w:rsid w:val="009F7567"/>
    <w:rsid w:val="00A1368E"/>
    <w:rsid w:val="00A15565"/>
    <w:rsid w:val="00A17D8E"/>
    <w:rsid w:val="00A21699"/>
    <w:rsid w:val="00A27354"/>
    <w:rsid w:val="00A27F5A"/>
    <w:rsid w:val="00A35E8B"/>
    <w:rsid w:val="00A4350A"/>
    <w:rsid w:val="00A47301"/>
    <w:rsid w:val="00A61896"/>
    <w:rsid w:val="00A632DE"/>
    <w:rsid w:val="00A72730"/>
    <w:rsid w:val="00A77EA3"/>
    <w:rsid w:val="00A87440"/>
    <w:rsid w:val="00AA457D"/>
    <w:rsid w:val="00AA656D"/>
    <w:rsid w:val="00AA6BD6"/>
    <w:rsid w:val="00AB0A1B"/>
    <w:rsid w:val="00AB0CC2"/>
    <w:rsid w:val="00AC0B08"/>
    <w:rsid w:val="00AC475E"/>
    <w:rsid w:val="00AD0B28"/>
    <w:rsid w:val="00AD56EF"/>
    <w:rsid w:val="00AF0F73"/>
    <w:rsid w:val="00AF1EED"/>
    <w:rsid w:val="00AF7C43"/>
    <w:rsid w:val="00B228C6"/>
    <w:rsid w:val="00B26BB3"/>
    <w:rsid w:val="00B31CB0"/>
    <w:rsid w:val="00B423F7"/>
    <w:rsid w:val="00B52573"/>
    <w:rsid w:val="00B5733B"/>
    <w:rsid w:val="00B64253"/>
    <w:rsid w:val="00B656F5"/>
    <w:rsid w:val="00B82DF2"/>
    <w:rsid w:val="00B830D5"/>
    <w:rsid w:val="00B90CCC"/>
    <w:rsid w:val="00B9368D"/>
    <w:rsid w:val="00BA26FC"/>
    <w:rsid w:val="00BA4079"/>
    <w:rsid w:val="00BB0BF6"/>
    <w:rsid w:val="00BB22B8"/>
    <w:rsid w:val="00BC0F65"/>
    <w:rsid w:val="00BC0FBF"/>
    <w:rsid w:val="00BC3050"/>
    <w:rsid w:val="00BC312A"/>
    <w:rsid w:val="00BD0445"/>
    <w:rsid w:val="00BD3626"/>
    <w:rsid w:val="00BE047F"/>
    <w:rsid w:val="00BE088B"/>
    <w:rsid w:val="00BE0F3E"/>
    <w:rsid w:val="00BE3AE5"/>
    <w:rsid w:val="00BE59FE"/>
    <w:rsid w:val="00BE7E91"/>
    <w:rsid w:val="00C03379"/>
    <w:rsid w:val="00C13919"/>
    <w:rsid w:val="00C15700"/>
    <w:rsid w:val="00C15BCB"/>
    <w:rsid w:val="00C219D6"/>
    <w:rsid w:val="00C26E47"/>
    <w:rsid w:val="00C277C0"/>
    <w:rsid w:val="00C43175"/>
    <w:rsid w:val="00C44B35"/>
    <w:rsid w:val="00C67741"/>
    <w:rsid w:val="00C90391"/>
    <w:rsid w:val="00C9265A"/>
    <w:rsid w:val="00CB3958"/>
    <w:rsid w:val="00CB64B5"/>
    <w:rsid w:val="00CC09F4"/>
    <w:rsid w:val="00CC4E4F"/>
    <w:rsid w:val="00CD155C"/>
    <w:rsid w:val="00CE1E75"/>
    <w:rsid w:val="00CF08E0"/>
    <w:rsid w:val="00D000B9"/>
    <w:rsid w:val="00D01D51"/>
    <w:rsid w:val="00D11F71"/>
    <w:rsid w:val="00D35DFD"/>
    <w:rsid w:val="00D371A4"/>
    <w:rsid w:val="00D44A59"/>
    <w:rsid w:val="00D50376"/>
    <w:rsid w:val="00D52AE1"/>
    <w:rsid w:val="00D53978"/>
    <w:rsid w:val="00D55700"/>
    <w:rsid w:val="00D63C66"/>
    <w:rsid w:val="00D7666D"/>
    <w:rsid w:val="00DA03F9"/>
    <w:rsid w:val="00DA6292"/>
    <w:rsid w:val="00DA7A00"/>
    <w:rsid w:val="00DB042B"/>
    <w:rsid w:val="00DB427D"/>
    <w:rsid w:val="00DB5B7C"/>
    <w:rsid w:val="00DD02D2"/>
    <w:rsid w:val="00DD073A"/>
    <w:rsid w:val="00DD253B"/>
    <w:rsid w:val="00DD2BA8"/>
    <w:rsid w:val="00DE5AA2"/>
    <w:rsid w:val="00DE6A31"/>
    <w:rsid w:val="00DF15CA"/>
    <w:rsid w:val="00DF3308"/>
    <w:rsid w:val="00DF5335"/>
    <w:rsid w:val="00DF6E15"/>
    <w:rsid w:val="00E01793"/>
    <w:rsid w:val="00E04566"/>
    <w:rsid w:val="00E07EA6"/>
    <w:rsid w:val="00E101DF"/>
    <w:rsid w:val="00E1440A"/>
    <w:rsid w:val="00E1504F"/>
    <w:rsid w:val="00E22A3E"/>
    <w:rsid w:val="00E31188"/>
    <w:rsid w:val="00E33034"/>
    <w:rsid w:val="00E40D06"/>
    <w:rsid w:val="00E542AB"/>
    <w:rsid w:val="00E55491"/>
    <w:rsid w:val="00E62490"/>
    <w:rsid w:val="00E72977"/>
    <w:rsid w:val="00E8787D"/>
    <w:rsid w:val="00E90D06"/>
    <w:rsid w:val="00E940BE"/>
    <w:rsid w:val="00E950FC"/>
    <w:rsid w:val="00EC57DB"/>
    <w:rsid w:val="00EC5A55"/>
    <w:rsid w:val="00EC753C"/>
    <w:rsid w:val="00ED5EBC"/>
    <w:rsid w:val="00EE1C43"/>
    <w:rsid w:val="00EE5BE6"/>
    <w:rsid w:val="00EF64DB"/>
    <w:rsid w:val="00EF6FB8"/>
    <w:rsid w:val="00F011C4"/>
    <w:rsid w:val="00F05A20"/>
    <w:rsid w:val="00F150CD"/>
    <w:rsid w:val="00F16FF4"/>
    <w:rsid w:val="00F251D9"/>
    <w:rsid w:val="00F27D97"/>
    <w:rsid w:val="00F319C2"/>
    <w:rsid w:val="00F32AB7"/>
    <w:rsid w:val="00F436D4"/>
    <w:rsid w:val="00F47CFF"/>
    <w:rsid w:val="00F534E3"/>
    <w:rsid w:val="00F553BD"/>
    <w:rsid w:val="00F65A51"/>
    <w:rsid w:val="00F66F3A"/>
    <w:rsid w:val="00F92A06"/>
    <w:rsid w:val="00FA1845"/>
    <w:rsid w:val="00FA4900"/>
    <w:rsid w:val="00FB3F83"/>
    <w:rsid w:val="00FB44FC"/>
    <w:rsid w:val="00FC7904"/>
    <w:rsid w:val="00FD1EEA"/>
    <w:rsid w:val="00FD33DE"/>
    <w:rsid w:val="00FE295A"/>
    <w:rsid w:val="00FE401B"/>
    <w:rsid w:val="00FE7C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92444F"/>
  <w15:docId w15:val="{790E2EA0-E8AB-4FC3-9EF2-B73FC151E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D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uiPriority w:val="39"/>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BodyText">
    <w:name w:val="Body Text"/>
    <w:basedOn w:val="Normal"/>
    <w:link w:val="BodyTextChar"/>
    <w:rsid w:val="008D5DC0"/>
    <w:pPr>
      <w:jc w:val="both"/>
    </w:pPr>
    <w:rPr>
      <w:sz w:val="28"/>
      <w:lang w:eastAsia="en-US"/>
    </w:rPr>
  </w:style>
  <w:style w:type="character" w:customStyle="1" w:styleId="BodyTextChar">
    <w:name w:val="Body Text Char"/>
    <w:link w:val="BodyText"/>
    <w:rsid w:val="008D5DC0"/>
    <w:rPr>
      <w:sz w:val="28"/>
      <w:szCs w:val="24"/>
      <w:lang w:eastAsia="en-US"/>
    </w:rPr>
  </w:style>
  <w:style w:type="paragraph" w:styleId="NormalWeb">
    <w:name w:val="Normal (Web)"/>
    <w:basedOn w:val="Normal"/>
    <w:uiPriority w:val="99"/>
    <w:rsid w:val="008D5DC0"/>
    <w:pPr>
      <w:spacing w:before="100" w:beforeAutospacing="1" w:after="100" w:afterAutospacing="1"/>
    </w:pPr>
    <w:rPr>
      <w:lang w:eastAsia="en-US"/>
    </w:rPr>
  </w:style>
  <w:style w:type="paragraph" w:styleId="Revision">
    <w:name w:val="Revision"/>
    <w:hidden/>
    <w:uiPriority w:val="99"/>
    <w:semiHidden/>
    <w:rsid w:val="009C05CF"/>
    <w:rPr>
      <w:sz w:val="24"/>
      <w:szCs w:val="24"/>
    </w:rPr>
  </w:style>
  <w:style w:type="paragraph" w:styleId="ListParagraph">
    <w:name w:val="List Paragraph"/>
    <w:basedOn w:val="Normal"/>
    <w:uiPriority w:val="34"/>
    <w:qFormat/>
    <w:rsid w:val="004613C6"/>
    <w:pPr>
      <w:ind w:left="720"/>
      <w:contextualSpacing/>
    </w:pPr>
  </w:style>
  <w:style w:type="paragraph" w:customStyle="1" w:styleId="Normal1">
    <w:name w:val="Normal1"/>
    <w:basedOn w:val="Normal"/>
    <w:rsid w:val="00AC0B08"/>
    <w:pPr>
      <w:spacing w:before="120"/>
      <w:jc w:val="both"/>
    </w:pPr>
    <w:rPr>
      <w:sz w:val="18"/>
      <w:szCs w:val="18"/>
      <w:lang w:val="en-US" w:eastAsia="en-US"/>
    </w:rPr>
  </w:style>
  <w:style w:type="character" w:styleId="FollowedHyperlink">
    <w:name w:val="FollowedHyperlink"/>
    <w:basedOn w:val="DefaultParagraphFont"/>
    <w:semiHidden/>
    <w:unhideWhenUsed/>
    <w:rsid w:val="00AB0C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996004">
      <w:bodyDiv w:val="1"/>
      <w:marLeft w:val="0"/>
      <w:marRight w:val="0"/>
      <w:marTop w:val="0"/>
      <w:marBottom w:val="0"/>
      <w:divBdr>
        <w:top w:val="none" w:sz="0" w:space="0" w:color="auto"/>
        <w:left w:val="none" w:sz="0" w:space="0" w:color="auto"/>
        <w:bottom w:val="none" w:sz="0" w:space="0" w:color="auto"/>
        <w:right w:val="none" w:sz="0" w:space="0" w:color="auto"/>
      </w:divBdr>
    </w:div>
    <w:div w:id="1131359977">
      <w:bodyDiv w:val="1"/>
      <w:marLeft w:val="0"/>
      <w:marRight w:val="0"/>
      <w:marTop w:val="0"/>
      <w:marBottom w:val="0"/>
      <w:divBdr>
        <w:top w:val="none" w:sz="0" w:space="0" w:color="auto"/>
        <w:left w:val="none" w:sz="0" w:space="0" w:color="auto"/>
        <w:bottom w:val="none" w:sz="0" w:space="0" w:color="auto"/>
        <w:right w:val="none" w:sz="0" w:space="0" w:color="auto"/>
      </w:divBdr>
    </w:div>
    <w:div w:id="1509564871">
      <w:bodyDiv w:val="1"/>
      <w:marLeft w:val="0"/>
      <w:marRight w:val="0"/>
      <w:marTop w:val="0"/>
      <w:marBottom w:val="0"/>
      <w:divBdr>
        <w:top w:val="none" w:sz="0" w:space="0" w:color="auto"/>
        <w:left w:val="none" w:sz="0" w:space="0" w:color="auto"/>
        <w:bottom w:val="none" w:sz="0" w:space="0" w:color="auto"/>
        <w:right w:val="none" w:sz="0" w:space="0" w:color="auto"/>
      </w:divBdr>
    </w:div>
    <w:div w:id="157589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nita.Stendenberga@vid.gov.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fm.gov.lv/lv/sabiedribas_lidzdaliba/tiesibu_aktu_projekti/muitas_politik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63545-valsts-parvaldes-iekartas-likum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552C48976B619C498B789A3AB076037C" ma:contentTypeVersion="2" ma:contentTypeDescription="Izveidot jaunu dokumentu." ma:contentTypeScope="" ma:versionID="7b7164278237d5ae301cdb7d5eff3b4a">
  <xsd:schema xmlns:xsd="http://www.w3.org/2001/XMLSchema" xmlns:xs="http://www.w3.org/2001/XMLSchema" xmlns:p="http://schemas.microsoft.com/office/2006/metadata/properties" targetNamespace="http://schemas.microsoft.com/office/2006/metadata/properties" ma:root="true" ma:fieldsID="11724a61c00f74199a8bde9019bf745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5F9BE-2AAC-4867-B6A5-AAE8FC4023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F6FB21-A9FB-4158-A82A-C341FC93A562}">
  <ds:schemaRefs>
    <ds:schemaRef ds:uri="http://schemas.microsoft.com/sharepoint/v3/contenttype/forms"/>
  </ds:schemaRefs>
</ds:datastoreItem>
</file>

<file path=customXml/itemProps3.xml><?xml version="1.0" encoding="utf-8"?>
<ds:datastoreItem xmlns:ds="http://schemas.openxmlformats.org/officeDocument/2006/customXml" ds:itemID="{AF043275-7538-44A8-832B-C74BA2CD51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DBEA99E-726C-41A6-9926-1D713A7F0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13</Pages>
  <Words>13649</Words>
  <Characters>7780</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MK noteikumu projekta “Valsts ieņēmumu dienesta maksas pakalpojumu cenrādis” sākotnējās ietekmes novērtējuma ziņojums (anotācija)</vt:lpstr>
    </vt:vector>
  </TitlesOfParts>
  <Company>Valsts ieņēmumu dienests</Company>
  <LinksUpToDate>false</LinksUpToDate>
  <CharactersWithSpaces>21387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“Valsts ieņēmumu dienesta maksas pakalpojumu cenrādis” sākotnējās ietekmes novērtējuma ziņojums (anotācija)</dc:title>
  <dc:subject>Noteikumu projekta anotācija</dc:subject>
  <dc:creator>Sanita Štendenberga</dc:creator>
  <cp:keywords/>
  <dc:description>67120243, Sanita.Stendenberga@vid.gov.lv</dc:description>
  <cp:lastModifiedBy>Sanita Štendenberga</cp:lastModifiedBy>
  <cp:revision>9</cp:revision>
  <cp:lastPrinted>2018-05-28T10:32:00Z</cp:lastPrinted>
  <dcterms:created xsi:type="dcterms:W3CDTF">2018-05-10T11:10:00Z</dcterms:created>
  <dcterms:modified xsi:type="dcterms:W3CDTF">2018-05-31T12:55:00Z</dcterms:modified>
  <cp:category>MK noteikumu projekts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0x010100552C48976B619C498B789A3AB076037C</vt:lpwstr>
  </property>
</Properties>
</file>