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F9641" w14:textId="77777777" w:rsidR="00E16B03" w:rsidRPr="00E04928" w:rsidRDefault="00846B55" w:rsidP="00EC7445">
      <w:pPr>
        <w:ind w:firstLine="720"/>
        <w:jc w:val="right"/>
        <w:rPr>
          <w:i/>
          <w:sz w:val="28"/>
          <w:szCs w:val="28"/>
          <w:lang w:val="lv-LV"/>
        </w:rPr>
      </w:pPr>
      <w:r w:rsidRPr="00E04928">
        <w:rPr>
          <w:i/>
          <w:sz w:val="28"/>
          <w:szCs w:val="28"/>
          <w:lang w:val="lv-LV"/>
        </w:rPr>
        <w:t>Projekts</w:t>
      </w:r>
    </w:p>
    <w:p w14:paraId="5DA40351" w14:textId="77777777" w:rsidR="00846B55" w:rsidRPr="00E04928" w:rsidRDefault="00846B55" w:rsidP="00EC7445">
      <w:pPr>
        <w:tabs>
          <w:tab w:val="left" w:pos="6663"/>
        </w:tabs>
        <w:jc w:val="center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LATVIJAS REPUBLIKAS MINISTRU KABINETS</w:t>
      </w:r>
    </w:p>
    <w:p w14:paraId="7820341B" w14:textId="77777777" w:rsidR="00846B55" w:rsidRPr="00E04928" w:rsidRDefault="00846B55" w:rsidP="00EC7445">
      <w:pPr>
        <w:tabs>
          <w:tab w:val="left" w:pos="6663"/>
        </w:tabs>
        <w:ind w:firstLine="720"/>
        <w:jc w:val="both"/>
        <w:rPr>
          <w:sz w:val="28"/>
          <w:szCs w:val="28"/>
          <w:lang w:val="lv-LV"/>
        </w:rPr>
      </w:pPr>
    </w:p>
    <w:p w14:paraId="067BEF6A" w14:textId="141A04FA" w:rsidR="00846B55" w:rsidRPr="00E04928" w:rsidRDefault="00846B55" w:rsidP="00EC7445">
      <w:pPr>
        <w:tabs>
          <w:tab w:val="left" w:pos="7088"/>
          <w:tab w:val="right" w:pos="9354"/>
        </w:tabs>
        <w:jc w:val="both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201</w:t>
      </w:r>
      <w:r w:rsidR="0036473F" w:rsidRPr="00E04928">
        <w:rPr>
          <w:sz w:val="28"/>
          <w:szCs w:val="28"/>
          <w:lang w:val="lv-LV"/>
        </w:rPr>
        <w:t>8</w:t>
      </w:r>
      <w:r w:rsidRPr="00E04928">
        <w:rPr>
          <w:sz w:val="28"/>
          <w:szCs w:val="28"/>
          <w:lang w:val="lv-LV"/>
        </w:rPr>
        <w:t xml:space="preserve">. gada </w:t>
      </w:r>
      <w:r w:rsidRPr="00E04928">
        <w:rPr>
          <w:sz w:val="28"/>
          <w:szCs w:val="28"/>
          <w:lang w:val="lv-LV"/>
        </w:rPr>
        <w:tab/>
        <w:t>Noteikumi Nr. </w:t>
      </w:r>
    </w:p>
    <w:p w14:paraId="5B9C75DF" w14:textId="77777777" w:rsidR="00846B55" w:rsidRPr="00E04928" w:rsidRDefault="00846B55" w:rsidP="00EC7445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Rīgā</w:t>
      </w:r>
      <w:r w:rsidRPr="00E04928">
        <w:rPr>
          <w:sz w:val="28"/>
          <w:szCs w:val="28"/>
          <w:lang w:val="lv-LV"/>
        </w:rPr>
        <w:tab/>
        <w:t>(prot. Nr.       §)</w:t>
      </w:r>
    </w:p>
    <w:p w14:paraId="1C62C6FA" w14:textId="77777777" w:rsidR="00846B55" w:rsidRPr="00E04928" w:rsidRDefault="00846B55" w:rsidP="00EC7445">
      <w:pPr>
        <w:ind w:firstLine="720"/>
        <w:jc w:val="right"/>
        <w:rPr>
          <w:sz w:val="28"/>
          <w:szCs w:val="28"/>
          <w:lang w:val="lv-LV"/>
        </w:rPr>
      </w:pPr>
    </w:p>
    <w:p w14:paraId="14782BEE" w14:textId="77777777" w:rsidR="00E16B03" w:rsidRPr="00E04928" w:rsidRDefault="00E02657" w:rsidP="00EC7445">
      <w:pPr>
        <w:pStyle w:val="Header"/>
        <w:jc w:val="center"/>
        <w:rPr>
          <w:b/>
          <w:sz w:val="28"/>
          <w:szCs w:val="28"/>
          <w:lang w:val="lv-LV"/>
        </w:rPr>
      </w:pPr>
      <w:r w:rsidRPr="00E04928">
        <w:rPr>
          <w:b/>
          <w:sz w:val="28"/>
          <w:szCs w:val="28"/>
          <w:lang w:val="lv-LV"/>
        </w:rPr>
        <w:t>Valsts nodevu uzskaites noteikumi</w:t>
      </w:r>
    </w:p>
    <w:p w14:paraId="613A0B65" w14:textId="77777777" w:rsidR="00447AD5" w:rsidRPr="00E04928" w:rsidRDefault="00447AD5" w:rsidP="00EC7445">
      <w:pPr>
        <w:pStyle w:val="Header"/>
        <w:ind w:firstLine="720"/>
        <w:jc w:val="center"/>
        <w:rPr>
          <w:b/>
          <w:sz w:val="28"/>
          <w:szCs w:val="28"/>
          <w:lang w:val="lv-LV"/>
        </w:rPr>
      </w:pPr>
    </w:p>
    <w:p w14:paraId="0AD41BE7" w14:textId="77777777" w:rsidR="00E16B03" w:rsidRPr="00E04928" w:rsidRDefault="00FF0499" w:rsidP="00EC7445">
      <w:pPr>
        <w:pStyle w:val="Header"/>
        <w:ind w:firstLine="720"/>
        <w:jc w:val="right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Izdoti saskaņā ar</w:t>
      </w:r>
    </w:p>
    <w:p w14:paraId="063F2A37" w14:textId="77777777" w:rsidR="00E16B03" w:rsidRPr="00E04928" w:rsidRDefault="00E16B03" w:rsidP="00EC7445">
      <w:pPr>
        <w:pStyle w:val="Header"/>
        <w:ind w:firstLine="720"/>
        <w:jc w:val="right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likuma “Par nodokļiem un nodevām”</w:t>
      </w:r>
    </w:p>
    <w:p w14:paraId="4043236C" w14:textId="77777777" w:rsidR="00E16B03" w:rsidRPr="00E04928" w:rsidRDefault="00E16B03" w:rsidP="00EC7445">
      <w:pPr>
        <w:pStyle w:val="H4"/>
        <w:spacing w:after="0"/>
        <w:ind w:firstLine="720"/>
        <w:jc w:val="right"/>
        <w:outlineLvl w:val="9"/>
        <w:rPr>
          <w:b w:val="0"/>
          <w:szCs w:val="28"/>
          <w:lang w:eastAsia="en-US"/>
        </w:rPr>
      </w:pPr>
      <w:r w:rsidRPr="00E04928">
        <w:rPr>
          <w:b w:val="0"/>
          <w:szCs w:val="28"/>
          <w:lang w:eastAsia="en-US"/>
        </w:rPr>
        <w:t>18. panta 1.</w:t>
      </w:r>
      <w:r w:rsidRPr="00E04928">
        <w:rPr>
          <w:b w:val="0"/>
          <w:szCs w:val="28"/>
          <w:vertAlign w:val="superscript"/>
          <w:lang w:eastAsia="en-US"/>
        </w:rPr>
        <w:t>1</w:t>
      </w:r>
      <w:r w:rsidRPr="00E04928">
        <w:rPr>
          <w:b w:val="0"/>
          <w:szCs w:val="28"/>
          <w:lang w:eastAsia="en-US"/>
        </w:rPr>
        <w:t> daļu</w:t>
      </w:r>
    </w:p>
    <w:p w14:paraId="6AB2BCD9" w14:textId="77777777" w:rsidR="0082449E" w:rsidRPr="00E04928" w:rsidRDefault="0082449E" w:rsidP="00EC7445">
      <w:pPr>
        <w:pStyle w:val="H4"/>
        <w:spacing w:after="0"/>
        <w:ind w:firstLine="720"/>
        <w:jc w:val="right"/>
        <w:outlineLvl w:val="9"/>
        <w:rPr>
          <w:b w:val="0"/>
          <w:szCs w:val="28"/>
          <w:lang w:eastAsia="en-US"/>
        </w:rPr>
      </w:pPr>
    </w:p>
    <w:p w14:paraId="6603D022" w14:textId="77777777" w:rsidR="00E16B03" w:rsidRPr="00E04928" w:rsidRDefault="00E16B03" w:rsidP="00EC7445">
      <w:pPr>
        <w:pStyle w:val="Header"/>
        <w:ind w:firstLine="720"/>
        <w:rPr>
          <w:sz w:val="28"/>
          <w:szCs w:val="28"/>
          <w:lang w:val="lv-LV"/>
        </w:rPr>
      </w:pPr>
      <w:bookmarkStart w:id="0" w:name="n-147594"/>
      <w:bookmarkStart w:id="1" w:name="n1"/>
      <w:bookmarkEnd w:id="0"/>
      <w:bookmarkEnd w:id="1"/>
      <w:r w:rsidRPr="00E04928">
        <w:rPr>
          <w:sz w:val="28"/>
          <w:szCs w:val="28"/>
          <w:lang w:val="lv-LV"/>
        </w:rPr>
        <w:t xml:space="preserve">1.  Noteikumi nosaka </w:t>
      </w:r>
      <w:r w:rsidR="00E15B43" w:rsidRPr="00E04928">
        <w:rPr>
          <w:sz w:val="28"/>
          <w:szCs w:val="28"/>
          <w:lang w:val="lv-LV"/>
        </w:rPr>
        <w:t>kārtīb</w:t>
      </w:r>
      <w:r w:rsidR="00FF0499" w:rsidRPr="00E04928">
        <w:rPr>
          <w:sz w:val="28"/>
          <w:szCs w:val="28"/>
          <w:lang w:val="lv-LV"/>
        </w:rPr>
        <w:t>u un apjomu, kādā valsts nodevas</w:t>
      </w:r>
      <w:r w:rsidR="00E15B43" w:rsidRPr="00E04928">
        <w:rPr>
          <w:sz w:val="28"/>
          <w:szCs w:val="28"/>
          <w:lang w:val="lv-LV"/>
        </w:rPr>
        <w:t xml:space="preserve"> administrācija veic </w:t>
      </w:r>
      <w:r w:rsidR="00B83918" w:rsidRPr="00E04928">
        <w:rPr>
          <w:sz w:val="28"/>
          <w:szCs w:val="28"/>
          <w:lang w:val="lv-LV"/>
        </w:rPr>
        <w:t xml:space="preserve">valsts budžetā ieskaitāmo </w:t>
      </w:r>
      <w:r w:rsidRPr="00E04928">
        <w:rPr>
          <w:sz w:val="28"/>
          <w:szCs w:val="28"/>
          <w:lang w:val="lv-LV"/>
        </w:rPr>
        <w:t xml:space="preserve">valsts nodevu </w:t>
      </w:r>
      <w:r w:rsidR="00E15B43" w:rsidRPr="00E04928">
        <w:rPr>
          <w:sz w:val="28"/>
          <w:szCs w:val="28"/>
          <w:lang w:val="lv-LV"/>
        </w:rPr>
        <w:t>uzskaiti</w:t>
      </w:r>
      <w:r w:rsidRPr="00E04928">
        <w:rPr>
          <w:sz w:val="28"/>
          <w:szCs w:val="28"/>
          <w:lang w:val="lv-LV"/>
        </w:rPr>
        <w:t>.</w:t>
      </w:r>
    </w:p>
    <w:p w14:paraId="3B54997E" w14:textId="77777777" w:rsidR="00E16B03" w:rsidRPr="00E04928" w:rsidRDefault="00E16B03" w:rsidP="00EC7445">
      <w:pPr>
        <w:pStyle w:val="Header"/>
        <w:ind w:firstLine="720"/>
        <w:rPr>
          <w:sz w:val="28"/>
          <w:szCs w:val="28"/>
          <w:lang w:val="lv-LV"/>
        </w:rPr>
      </w:pPr>
    </w:p>
    <w:p w14:paraId="37915B41" w14:textId="77777777" w:rsidR="009A2057" w:rsidRPr="00E04928" w:rsidRDefault="00F93702" w:rsidP="00EC7445">
      <w:pPr>
        <w:pStyle w:val="Header"/>
        <w:ind w:firstLine="720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2</w:t>
      </w:r>
      <w:r w:rsidR="00781C03" w:rsidRPr="00E04928">
        <w:rPr>
          <w:sz w:val="28"/>
          <w:szCs w:val="28"/>
          <w:lang w:val="lv-LV"/>
        </w:rPr>
        <w:t>.</w:t>
      </w:r>
      <w:r w:rsidR="00E16B03" w:rsidRPr="00E04928">
        <w:rPr>
          <w:sz w:val="28"/>
          <w:szCs w:val="28"/>
          <w:lang w:val="lv-LV"/>
        </w:rPr>
        <w:t>  Šie noteikumi neattiecas uz</w:t>
      </w:r>
      <w:r w:rsidR="009A2057" w:rsidRPr="00E04928">
        <w:rPr>
          <w:sz w:val="28"/>
          <w:szCs w:val="28"/>
          <w:lang w:val="lv-LV"/>
        </w:rPr>
        <w:t>:</w:t>
      </w:r>
    </w:p>
    <w:p w14:paraId="5E669657" w14:textId="77777777" w:rsidR="009A2057" w:rsidRPr="00E04928" w:rsidRDefault="00F93702" w:rsidP="00D42ABB">
      <w:pPr>
        <w:pStyle w:val="Header"/>
        <w:tabs>
          <w:tab w:val="left" w:pos="567"/>
        </w:tabs>
        <w:ind w:firstLine="709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2</w:t>
      </w:r>
      <w:r w:rsidR="009A2057" w:rsidRPr="00E04928">
        <w:rPr>
          <w:sz w:val="28"/>
          <w:szCs w:val="28"/>
          <w:lang w:val="lv-LV"/>
        </w:rPr>
        <w:t>.1.</w:t>
      </w:r>
      <w:r w:rsidR="00FF0499" w:rsidRPr="00E04928">
        <w:rPr>
          <w:sz w:val="28"/>
          <w:szCs w:val="28"/>
          <w:lang w:val="lv-LV"/>
        </w:rPr>
        <w:t> </w:t>
      </w:r>
      <w:r w:rsidR="00AE7995" w:rsidRPr="00E04928">
        <w:rPr>
          <w:sz w:val="28"/>
          <w:szCs w:val="28"/>
          <w:lang w:val="lv-LV"/>
        </w:rPr>
        <w:t>pašvaldību budžetos iem</w:t>
      </w:r>
      <w:r w:rsidR="00FF0499" w:rsidRPr="00E04928">
        <w:rPr>
          <w:sz w:val="28"/>
          <w:szCs w:val="28"/>
          <w:lang w:val="lv-LV"/>
        </w:rPr>
        <w:t>aksājamo valsts nodevu uzskaiti;</w:t>
      </w:r>
    </w:p>
    <w:p w14:paraId="20A27D9F" w14:textId="77777777" w:rsidR="00E16B03" w:rsidRPr="00E04928" w:rsidRDefault="00FF0499" w:rsidP="00AE2508">
      <w:pPr>
        <w:pStyle w:val="Header"/>
        <w:tabs>
          <w:tab w:val="left" w:pos="567"/>
        </w:tabs>
        <w:ind w:firstLine="720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ab/>
      </w:r>
      <w:r w:rsidR="00E02657" w:rsidRPr="00E04928">
        <w:rPr>
          <w:sz w:val="28"/>
          <w:szCs w:val="28"/>
          <w:lang w:val="lv-LV"/>
        </w:rPr>
        <w:t>2.</w:t>
      </w:r>
      <w:r w:rsidR="00CB5F32" w:rsidRPr="00E04928">
        <w:rPr>
          <w:sz w:val="28"/>
          <w:szCs w:val="28"/>
          <w:lang w:val="lv-LV"/>
        </w:rPr>
        <w:t>2</w:t>
      </w:r>
      <w:r w:rsidR="00E02657" w:rsidRPr="00E04928">
        <w:rPr>
          <w:sz w:val="28"/>
          <w:szCs w:val="28"/>
          <w:lang w:val="lv-LV"/>
        </w:rPr>
        <w:t>. Sabiedrisko pakalpojumu regulēšanas komisijas administrēto valsts nodevas par sabiedrisko pakalpojumu regulē</w:t>
      </w:r>
      <w:r w:rsidR="00CB5F32" w:rsidRPr="00E04928">
        <w:rPr>
          <w:sz w:val="28"/>
          <w:szCs w:val="28"/>
          <w:lang w:val="lv-LV"/>
        </w:rPr>
        <w:t>šanu uzskaiti;</w:t>
      </w:r>
    </w:p>
    <w:p w14:paraId="14B9F376" w14:textId="7E82FFDC" w:rsidR="00CB5F32" w:rsidRPr="00E04928" w:rsidRDefault="00CB5F32" w:rsidP="00AE2508">
      <w:pPr>
        <w:pStyle w:val="Header"/>
        <w:tabs>
          <w:tab w:val="left" w:pos="567"/>
        </w:tabs>
        <w:ind w:firstLine="720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2.3. Valsts ieņēmumu dien</w:t>
      </w:r>
      <w:r w:rsidR="00AC027F" w:rsidRPr="00E04928">
        <w:rPr>
          <w:sz w:val="28"/>
          <w:szCs w:val="28"/>
          <w:lang w:val="lv-LV"/>
        </w:rPr>
        <w:t>esta administrētās</w:t>
      </w:r>
      <w:r w:rsidR="00063F42" w:rsidRPr="00E04928">
        <w:rPr>
          <w:sz w:val="28"/>
          <w:szCs w:val="28"/>
          <w:lang w:val="lv-LV"/>
        </w:rPr>
        <w:t xml:space="preserve"> </w:t>
      </w:r>
      <w:r w:rsidR="00063F42" w:rsidRPr="00E04928">
        <w:rPr>
          <w:sz w:val="28"/>
          <w:szCs w:val="28"/>
        </w:rPr>
        <w:t>uzņēmējdarbības riska valsts nodevas</w:t>
      </w:r>
      <w:r w:rsidR="00063F42" w:rsidRPr="00E04928">
        <w:rPr>
          <w:sz w:val="28"/>
          <w:szCs w:val="28"/>
          <w:lang w:val="lv-LV"/>
        </w:rPr>
        <w:t xml:space="preserve"> un </w:t>
      </w:r>
      <w:r w:rsidR="00180473">
        <w:rPr>
          <w:sz w:val="28"/>
          <w:szCs w:val="28"/>
          <w:lang w:val="lv-LV"/>
        </w:rPr>
        <w:t xml:space="preserve">ikgadējās valsts nodevas par </w:t>
      </w:r>
      <w:r w:rsidR="00180473">
        <w:rPr>
          <w:sz w:val="28"/>
          <w:szCs w:val="28"/>
        </w:rPr>
        <w:t>numerācijas lietošanas tiesīb</w:t>
      </w:r>
      <w:r w:rsidR="00180473">
        <w:rPr>
          <w:sz w:val="28"/>
          <w:szCs w:val="28"/>
          <w:lang w:val="lv-LV"/>
        </w:rPr>
        <w:t>ām</w:t>
      </w:r>
      <w:r w:rsidR="00063F42" w:rsidRPr="00E04928">
        <w:rPr>
          <w:sz w:val="28"/>
          <w:szCs w:val="28"/>
        </w:rPr>
        <w:t xml:space="preserve"> </w:t>
      </w:r>
      <w:r w:rsidRPr="00E04928">
        <w:rPr>
          <w:sz w:val="28"/>
          <w:szCs w:val="28"/>
          <w:lang w:val="lv-LV"/>
        </w:rPr>
        <w:t>uzskaiti.</w:t>
      </w:r>
    </w:p>
    <w:p w14:paraId="3CBDC046" w14:textId="77777777" w:rsidR="00AE2508" w:rsidRPr="00E04928" w:rsidRDefault="00AE2508" w:rsidP="00AE2508">
      <w:pPr>
        <w:pStyle w:val="Header"/>
        <w:tabs>
          <w:tab w:val="left" w:pos="567"/>
        </w:tabs>
        <w:ind w:firstLine="720"/>
        <w:rPr>
          <w:sz w:val="28"/>
          <w:szCs w:val="28"/>
          <w:lang w:val="lv-LV"/>
        </w:rPr>
      </w:pPr>
    </w:p>
    <w:p w14:paraId="5685FF11" w14:textId="77777777" w:rsidR="00F93702" w:rsidRPr="00E04928" w:rsidRDefault="00F93702" w:rsidP="00F93702">
      <w:pPr>
        <w:pStyle w:val="Header"/>
        <w:ind w:firstLine="720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3.  Valsts nodevas administrācija veic valsts nodevu uzskaiti par visām tās administrētajām valsts nodevām</w:t>
      </w:r>
      <w:r w:rsidR="00EF3FDC" w:rsidRPr="00E04928">
        <w:rPr>
          <w:sz w:val="28"/>
          <w:szCs w:val="28"/>
          <w:lang w:val="lv-LV"/>
        </w:rPr>
        <w:t>, nodrošinot šajos noteikumos noteikto prasību izpildi</w:t>
      </w:r>
      <w:r w:rsidRPr="00E04928">
        <w:rPr>
          <w:sz w:val="28"/>
          <w:szCs w:val="28"/>
          <w:lang w:val="lv-LV"/>
        </w:rPr>
        <w:t>.</w:t>
      </w:r>
    </w:p>
    <w:p w14:paraId="6D970D82" w14:textId="77777777" w:rsidR="00F93702" w:rsidRPr="00E04928" w:rsidRDefault="00F93702" w:rsidP="00EC7445">
      <w:pPr>
        <w:ind w:firstLine="720"/>
        <w:jc w:val="both"/>
        <w:rPr>
          <w:sz w:val="28"/>
          <w:szCs w:val="28"/>
          <w:lang w:val="lv-LV"/>
        </w:rPr>
      </w:pPr>
    </w:p>
    <w:p w14:paraId="56EE285D" w14:textId="751BC820" w:rsidR="00E16B03" w:rsidRPr="00E04928" w:rsidRDefault="0082449E" w:rsidP="00EC7445">
      <w:pPr>
        <w:ind w:firstLine="720"/>
        <w:jc w:val="both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4.  V</w:t>
      </w:r>
      <w:r w:rsidR="00E16B03" w:rsidRPr="00E04928">
        <w:rPr>
          <w:sz w:val="28"/>
          <w:szCs w:val="28"/>
          <w:lang w:val="lv-LV"/>
        </w:rPr>
        <w:t xml:space="preserve">alsts nodevas administrācija </w:t>
      </w:r>
      <w:r w:rsidR="00FB207F" w:rsidRPr="00E04928">
        <w:rPr>
          <w:sz w:val="28"/>
          <w:szCs w:val="28"/>
          <w:lang w:val="lv-LV"/>
        </w:rPr>
        <w:t xml:space="preserve">patstāvīgi </w:t>
      </w:r>
      <w:r w:rsidR="00E16B03" w:rsidRPr="00E04928">
        <w:rPr>
          <w:sz w:val="28"/>
          <w:szCs w:val="28"/>
          <w:lang w:val="lv-LV"/>
        </w:rPr>
        <w:t xml:space="preserve">var izvēlēties </w:t>
      </w:r>
      <w:r w:rsidR="00CB5F32" w:rsidRPr="00E04928">
        <w:rPr>
          <w:sz w:val="28"/>
          <w:szCs w:val="28"/>
          <w:lang w:val="lv-LV"/>
        </w:rPr>
        <w:t>valsts nodevu uzskaites tehnisko risinājumu</w:t>
      </w:r>
      <w:r w:rsidR="00173F8C" w:rsidRPr="00E04928">
        <w:rPr>
          <w:sz w:val="28"/>
          <w:szCs w:val="28"/>
          <w:lang w:val="lv-LV"/>
        </w:rPr>
        <w:t xml:space="preserve"> (</w:t>
      </w:r>
      <w:r w:rsidR="009528C7" w:rsidRPr="00E04928">
        <w:rPr>
          <w:sz w:val="28"/>
          <w:szCs w:val="28"/>
          <w:lang w:val="lv-LV"/>
        </w:rPr>
        <w:t xml:space="preserve">tajā skaitā </w:t>
      </w:r>
      <w:r w:rsidR="00173F8C" w:rsidRPr="00E04928">
        <w:rPr>
          <w:sz w:val="28"/>
          <w:szCs w:val="28"/>
          <w:lang w:val="lv-LV"/>
        </w:rPr>
        <w:t>informācijas sistēmu)</w:t>
      </w:r>
      <w:r w:rsidR="00CB5F32" w:rsidRPr="00E04928">
        <w:rPr>
          <w:sz w:val="28"/>
          <w:szCs w:val="28"/>
          <w:lang w:val="lv-LV"/>
        </w:rPr>
        <w:t xml:space="preserve">, </w:t>
      </w:r>
      <w:r w:rsidR="009528C7" w:rsidRPr="00E04928">
        <w:rPr>
          <w:sz w:val="28"/>
          <w:szCs w:val="28"/>
          <w:lang w:val="lv-LV"/>
        </w:rPr>
        <w:t xml:space="preserve">lai </w:t>
      </w:r>
      <w:r w:rsidR="00CB5F32" w:rsidRPr="00E04928">
        <w:rPr>
          <w:sz w:val="28"/>
          <w:szCs w:val="28"/>
          <w:lang w:val="lv-LV"/>
        </w:rPr>
        <w:t>nodrošin</w:t>
      </w:r>
      <w:r w:rsidR="009528C7" w:rsidRPr="00E04928">
        <w:rPr>
          <w:sz w:val="28"/>
          <w:szCs w:val="28"/>
          <w:lang w:val="lv-LV"/>
        </w:rPr>
        <w:t>ā</w:t>
      </w:r>
      <w:r w:rsidR="00CB5F32" w:rsidRPr="00E04928">
        <w:rPr>
          <w:sz w:val="28"/>
          <w:szCs w:val="28"/>
          <w:lang w:val="lv-LV"/>
        </w:rPr>
        <w:t>t</w:t>
      </w:r>
      <w:r w:rsidR="009528C7" w:rsidRPr="00E04928">
        <w:rPr>
          <w:sz w:val="28"/>
          <w:szCs w:val="28"/>
          <w:lang w:val="lv-LV"/>
        </w:rPr>
        <w:t>u</w:t>
      </w:r>
      <w:r w:rsidR="00E16B03" w:rsidRPr="00E04928">
        <w:rPr>
          <w:sz w:val="28"/>
          <w:szCs w:val="28"/>
          <w:lang w:val="lv-LV"/>
        </w:rPr>
        <w:t xml:space="preserve"> šo note</w:t>
      </w:r>
      <w:r w:rsidR="00CB5F32" w:rsidRPr="00E04928">
        <w:rPr>
          <w:sz w:val="28"/>
          <w:szCs w:val="28"/>
          <w:lang w:val="lv-LV"/>
        </w:rPr>
        <w:t>ikum</w:t>
      </w:r>
      <w:r w:rsidR="009528C7" w:rsidRPr="00E04928">
        <w:rPr>
          <w:sz w:val="28"/>
          <w:szCs w:val="28"/>
          <w:lang w:val="lv-LV"/>
        </w:rPr>
        <w:t>u 7. punktā</w:t>
      </w:r>
      <w:r w:rsidR="00CB5F32" w:rsidRPr="00E04928">
        <w:rPr>
          <w:sz w:val="28"/>
          <w:szCs w:val="28"/>
          <w:lang w:val="lv-LV"/>
        </w:rPr>
        <w:t xml:space="preserve"> </w:t>
      </w:r>
      <w:r w:rsidR="009528C7" w:rsidRPr="00E04928">
        <w:rPr>
          <w:sz w:val="28"/>
          <w:szCs w:val="28"/>
          <w:lang w:val="lv-LV"/>
        </w:rPr>
        <w:t>minētās informācijas uzskaiti</w:t>
      </w:r>
      <w:r w:rsidR="00CB5F32" w:rsidRPr="00E04928">
        <w:rPr>
          <w:sz w:val="28"/>
          <w:szCs w:val="28"/>
          <w:lang w:val="lv-LV"/>
        </w:rPr>
        <w:t>.</w:t>
      </w:r>
    </w:p>
    <w:p w14:paraId="098F669C" w14:textId="77777777" w:rsidR="00CB5F32" w:rsidRPr="00E04928" w:rsidRDefault="00CB5F32" w:rsidP="00EC7445">
      <w:pPr>
        <w:ind w:firstLine="720"/>
        <w:jc w:val="both"/>
        <w:rPr>
          <w:sz w:val="28"/>
          <w:szCs w:val="28"/>
          <w:lang w:val="lv-LV"/>
        </w:rPr>
      </w:pPr>
    </w:p>
    <w:p w14:paraId="5D601496" w14:textId="6D436748" w:rsidR="00A55AA4" w:rsidRPr="00E04928" w:rsidRDefault="00CB5F32" w:rsidP="00EC7445">
      <w:pPr>
        <w:ind w:firstLine="720"/>
        <w:jc w:val="both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5</w:t>
      </w:r>
      <w:r w:rsidR="00FF0499" w:rsidRPr="00E04928">
        <w:rPr>
          <w:sz w:val="28"/>
          <w:szCs w:val="28"/>
          <w:lang w:val="lv-LV"/>
        </w:rPr>
        <w:t>.  </w:t>
      </w:r>
      <w:r w:rsidR="007C2AF5" w:rsidRPr="00E04928">
        <w:rPr>
          <w:sz w:val="28"/>
          <w:szCs w:val="28"/>
          <w:lang w:val="lv-LV"/>
        </w:rPr>
        <w:t xml:space="preserve">Valsts </w:t>
      </w:r>
      <w:r w:rsidR="00EC7445" w:rsidRPr="00E04928">
        <w:rPr>
          <w:sz w:val="28"/>
          <w:szCs w:val="28"/>
          <w:lang w:val="lv-LV"/>
        </w:rPr>
        <w:t>nodevu uzskaite</w:t>
      </w:r>
      <w:r w:rsidR="00F93702" w:rsidRPr="00E04928">
        <w:rPr>
          <w:sz w:val="28"/>
          <w:szCs w:val="28"/>
          <w:lang w:val="lv-LV"/>
        </w:rPr>
        <w:t>s periods ir kalendāra gads</w:t>
      </w:r>
      <w:r w:rsidR="00A55AA4" w:rsidRPr="00E04928">
        <w:rPr>
          <w:sz w:val="28"/>
          <w:szCs w:val="28"/>
          <w:lang w:val="lv-LV"/>
        </w:rPr>
        <w:t>.</w:t>
      </w:r>
    </w:p>
    <w:p w14:paraId="4A0294E2" w14:textId="77777777" w:rsidR="00A55AA4" w:rsidRPr="00E04928" w:rsidRDefault="00A55AA4" w:rsidP="00EC7445">
      <w:pPr>
        <w:ind w:firstLine="720"/>
        <w:jc w:val="both"/>
        <w:rPr>
          <w:sz w:val="28"/>
          <w:szCs w:val="28"/>
          <w:lang w:val="lv-LV"/>
        </w:rPr>
      </w:pPr>
    </w:p>
    <w:p w14:paraId="60168C80" w14:textId="4B376C9D" w:rsidR="00A55AA4" w:rsidRPr="00E04928" w:rsidRDefault="00CB5F32" w:rsidP="00EC7445">
      <w:pPr>
        <w:ind w:firstLine="720"/>
        <w:jc w:val="both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6</w:t>
      </w:r>
      <w:r w:rsidR="00A55AA4" w:rsidRPr="00E04928">
        <w:rPr>
          <w:sz w:val="28"/>
          <w:szCs w:val="28"/>
          <w:lang w:val="lv-LV"/>
        </w:rPr>
        <w:t>.  </w:t>
      </w:r>
      <w:r w:rsidR="00BC36DC" w:rsidRPr="00E04928">
        <w:rPr>
          <w:sz w:val="28"/>
          <w:szCs w:val="28"/>
          <w:lang w:val="lv-LV"/>
        </w:rPr>
        <w:t xml:space="preserve">Lai noteiktu konkrētās valsts nodevas uzskaites </w:t>
      </w:r>
      <w:r w:rsidR="006C22CF" w:rsidRPr="00E04928">
        <w:rPr>
          <w:sz w:val="28"/>
          <w:szCs w:val="28"/>
          <w:lang w:val="lv-LV"/>
        </w:rPr>
        <w:t>brīdi</w:t>
      </w:r>
      <w:r w:rsidR="00BC36DC" w:rsidRPr="00E04928">
        <w:rPr>
          <w:sz w:val="28"/>
          <w:szCs w:val="28"/>
          <w:lang w:val="lv-LV"/>
        </w:rPr>
        <w:t xml:space="preserve">, ņem vērā </w:t>
      </w:r>
      <w:r w:rsidR="00DC4068" w:rsidRPr="00E04928">
        <w:rPr>
          <w:sz w:val="28"/>
          <w:szCs w:val="28"/>
          <w:lang w:val="lv-LV"/>
        </w:rPr>
        <w:t xml:space="preserve">dienu, kad tā </w:t>
      </w:r>
      <w:r w:rsidR="006D0C48" w:rsidRPr="00E04928">
        <w:rPr>
          <w:iCs/>
          <w:sz w:val="28"/>
          <w:szCs w:val="28"/>
          <w:lang w:val="lv-LV"/>
        </w:rPr>
        <w:t>atzīst</w:t>
      </w:r>
      <w:r w:rsidR="00EF3FDC" w:rsidRPr="00E04928">
        <w:rPr>
          <w:iCs/>
          <w:sz w:val="28"/>
          <w:szCs w:val="28"/>
          <w:lang w:val="lv-LV"/>
        </w:rPr>
        <w:t>ama</w:t>
      </w:r>
      <w:r w:rsidR="006D0C48" w:rsidRPr="00E04928">
        <w:rPr>
          <w:iCs/>
          <w:sz w:val="28"/>
          <w:szCs w:val="28"/>
          <w:lang w:val="lv-LV"/>
        </w:rPr>
        <w:t xml:space="preserve"> par saņemtu valsts budžetā atbilstoši normatīvajā aktā par kārtību, kā veicami maksājumi valsts budžetā un tie atzīstami par saņemtiem, un prasībām tiešsaistes maksājumu pakalpojumu izmantoša</w:t>
      </w:r>
      <w:r w:rsidR="00A942E3" w:rsidRPr="00E04928">
        <w:rPr>
          <w:iCs/>
          <w:sz w:val="28"/>
          <w:szCs w:val="28"/>
          <w:lang w:val="lv-LV"/>
        </w:rPr>
        <w:t>nai norēķinos ar valsts budžetu</w:t>
      </w:r>
      <w:r w:rsidR="00E02657" w:rsidRPr="00E04928">
        <w:rPr>
          <w:sz w:val="28"/>
          <w:szCs w:val="28"/>
          <w:lang w:val="lv-LV"/>
        </w:rPr>
        <w:t>.</w:t>
      </w:r>
    </w:p>
    <w:p w14:paraId="5C18E1A4" w14:textId="77777777" w:rsidR="004F60CF" w:rsidRPr="00E04928" w:rsidRDefault="004F60CF" w:rsidP="00EC7445">
      <w:pPr>
        <w:ind w:firstLine="720"/>
        <w:jc w:val="both"/>
        <w:rPr>
          <w:sz w:val="28"/>
          <w:szCs w:val="28"/>
          <w:lang w:val="lv-LV"/>
        </w:rPr>
      </w:pPr>
    </w:p>
    <w:p w14:paraId="419533EF" w14:textId="20DC190D" w:rsidR="006F49BC" w:rsidRPr="00E04928" w:rsidRDefault="00CB5F32" w:rsidP="00EC7445">
      <w:pPr>
        <w:ind w:firstLine="720"/>
        <w:jc w:val="both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7</w:t>
      </w:r>
      <w:r w:rsidR="0082449E" w:rsidRPr="00E04928">
        <w:rPr>
          <w:sz w:val="28"/>
          <w:szCs w:val="28"/>
          <w:lang w:val="lv-LV"/>
        </w:rPr>
        <w:t>.  Valsts nodevas administrācija</w:t>
      </w:r>
      <w:r w:rsidR="006F49BC" w:rsidRPr="00E04928">
        <w:rPr>
          <w:sz w:val="28"/>
          <w:szCs w:val="28"/>
          <w:lang w:val="lv-LV"/>
        </w:rPr>
        <w:t xml:space="preserve"> </w:t>
      </w:r>
      <w:r w:rsidR="00AC7502" w:rsidRPr="00E04928">
        <w:rPr>
          <w:sz w:val="28"/>
          <w:szCs w:val="28"/>
          <w:lang w:val="lv-LV"/>
        </w:rPr>
        <w:t>par</w:t>
      </w:r>
      <w:r w:rsidR="00A55B9A" w:rsidRPr="00E04928">
        <w:rPr>
          <w:sz w:val="28"/>
          <w:szCs w:val="28"/>
          <w:lang w:val="lv-LV"/>
        </w:rPr>
        <w:t xml:space="preserve"> </w:t>
      </w:r>
      <w:r w:rsidR="00551B3A" w:rsidRPr="00E04928">
        <w:rPr>
          <w:sz w:val="28"/>
          <w:szCs w:val="28"/>
          <w:lang w:val="lv-LV"/>
        </w:rPr>
        <w:t>katru tās administrēto</w:t>
      </w:r>
      <w:r w:rsidR="00A55B9A" w:rsidRPr="00E04928">
        <w:rPr>
          <w:sz w:val="28"/>
          <w:szCs w:val="28"/>
          <w:lang w:val="lv-LV"/>
        </w:rPr>
        <w:t xml:space="preserve"> valsts nodev</w:t>
      </w:r>
      <w:r w:rsidR="00551B3A" w:rsidRPr="00E04928">
        <w:rPr>
          <w:sz w:val="28"/>
          <w:szCs w:val="28"/>
          <w:lang w:val="lv-LV"/>
        </w:rPr>
        <w:t xml:space="preserve">u, kas </w:t>
      </w:r>
      <w:r w:rsidR="001B2E32" w:rsidRPr="00E04928">
        <w:rPr>
          <w:sz w:val="28"/>
          <w:szCs w:val="28"/>
          <w:lang w:val="lv-LV"/>
        </w:rPr>
        <w:t xml:space="preserve">iemaksājama vai </w:t>
      </w:r>
      <w:r w:rsidR="00551B3A" w:rsidRPr="00E04928">
        <w:rPr>
          <w:sz w:val="28"/>
          <w:szCs w:val="28"/>
          <w:lang w:val="lv-LV"/>
        </w:rPr>
        <w:t xml:space="preserve">iemaksāta valsts budžetā, </w:t>
      </w:r>
      <w:r w:rsidR="00FF0499" w:rsidRPr="00E04928">
        <w:rPr>
          <w:sz w:val="28"/>
          <w:szCs w:val="28"/>
          <w:lang w:val="lv-LV"/>
        </w:rPr>
        <w:t>nodrošina vismaz šādas informācijas uzskait</w:t>
      </w:r>
      <w:r w:rsidR="00EF3FDC" w:rsidRPr="00E04928">
        <w:rPr>
          <w:sz w:val="28"/>
          <w:szCs w:val="28"/>
          <w:lang w:val="lv-LV"/>
        </w:rPr>
        <w:t>i</w:t>
      </w:r>
      <w:r w:rsidR="00E539AD" w:rsidRPr="00E04928">
        <w:rPr>
          <w:sz w:val="28"/>
          <w:szCs w:val="28"/>
          <w:lang w:val="lv-LV"/>
        </w:rPr>
        <w:t>:</w:t>
      </w:r>
    </w:p>
    <w:p w14:paraId="13F62C1F" w14:textId="4F50F462" w:rsidR="00011CA5" w:rsidRPr="00E04928" w:rsidRDefault="00CB5F32" w:rsidP="00EC7445">
      <w:pPr>
        <w:ind w:firstLine="720"/>
        <w:jc w:val="both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7</w:t>
      </w:r>
      <w:r w:rsidR="006F49BC" w:rsidRPr="00E04928">
        <w:rPr>
          <w:sz w:val="28"/>
          <w:szCs w:val="28"/>
          <w:lang w:val="lv-LV"/>
        </w:rPr>
        <w:t>.1. </w:t>
      </w:r>
      <w:r w:rsidR="004948F0" w:rsidRPr="00E04928">
        <w:rPr>
          <w:sz w:val="28"/>
          <w:szCs w:val="28"/>
          <w:lang w:val="lv-LV"/>
        </w:rPr>
        <w:t>iesniegtais</w:t>
      </w:r>
      <w:r w:rsidR="00AE36D9" w:rsidRPr="00E04928">
        <w:rPr>
          <w:sz w:val="28"/>
          <w:szCs w:val="28"/>
          <w:lang w:val="lv-LV"/>
        </w:rPr>
        <w:t xml:space="preserve"> pieprasījum</w:t>
      </w:r>
      <w:r w:rsidR="004948F0" w:rsidRPr="00E04928">
        <w:rPr>
          <w:sz w:val="28"/>
          <w:szCs w:val="28"/>
          <w:lang w:val="lv-LV"/>
        </w:rPr>
        <w:t>s</w:t>
      </w:r>
      <w:r w:rsidR="00AE36D9" w:rsidRPr="00E04928">
        <w:rPr>
          <w:sz w:val="28"/>
          <w:szCs w:val="28"/>
          <w:lang w:val="lv-LV"/>
        </w:rPr>
        <w:t xml:space="preserve"> (pieteikums, iesniegums)</w:t>
      </w:r>
      <w:r w:rsidR="004948F0" w:rsidRPr="00E04928">
        <w:rPr>
          <w:sz w:val="28"/>
          <w:szCs w:val="28"/>
          <w:lang w:val="lv-LV"/>
        </w:rPr>
        <w:t xml:space="preserve"> pakalpojuma vai nodrošinājuma</w:t>
      </w:r>
      <w:r w:rsidR="00CB3F9B" w:rsidRPr="00E04928">
        <w:rPr>
          <w:sz w:val="28"/>
          <w:szCs w:val="28"/>
          <w:lang w:val="lv-LV"/>
        </w:rPr>
        <w:t xml:space="preserve"> saņemšanai</w:t>
      </w:r>
      <w:r w:rsidR="00FF0499" w:rsidRPr="00E04928">
        <w:rPr>
          <w:sz w:val="28"/>
          <w:szCs w:val="28"/>
          <w:lang w:val="lv-LV"/>
        </w:rPr>
        <w:t>, par kuru maksājama valsts nodeva, kas ieskaitāma valsts budžetā,</w:t>
      </w:r>
      <w:r w:rsidR="004948F0" w:rsidRPr="00E04928">
        <w:rPr>
          <w:sz w:val="28"/>
          <w:szCs w:val="28"/>
          <w:lang w:val="lv-LV"/>
        </w:rPr>
        <w:t xml:space="preserve"> norādot</w:t>
      </w:r>
      <w:r w:rsidR="00AE36D9" w:rsidRPr="00E04928">
        <w:rPr>
          <w:sz w:val="28"/>
          <w:szCs w:val="28"/>
          <w:lang w:val="lv-LV"/>
        </w:rPr>
        <w:t xml:space="preserve"> </w:t>
      </w:r>
      <w:r w:rsidR="00781C03" w:rsidRPr="00E04928">
        <w:rPr>
          <w:sz w:val="28"/>
          <w:szCs w:val="28"/>
          <w:lang w:val="lv-LV"/>
        </w:rPr>
        <w:t xml:space="preserve">pieprasījuma </w:t>
      </w:r>
      <w:r w:rsidR="004948F0" w:rsidRPr="00E04928">
        <w:rPr>
          <w:sz w:val="28"/>
          <w:szCs w:val="28"/>
          <w:lang w:val="lv-LV"/>
        </w:rPr>
        <w:t>reģistrācijas datumu</w:t>
      </w:r>
      <w:r w:rsidR="00B9029C" w:rsidRPr="00E04928">
        <w:rPr>
          <w:sz w:val="28"/>
          <w:szCs w:val="28"/>
          <w:lang w:val="lv-LV"/>
        </w:rPr>
        <w:t xml:space="preserve"> un pieprasītā </w:t>
      </w:r>
      <w:r w:rsidR="00B9029C" w:rsidRPr="00E04928">
        <w:rPr>
          <w:sz w:val="28"/>
          <w:szCs w:val="28"/>
          <w:lang w:val="lv-LV"/>
        </w:rPr>
        <w:lastRenderedPageBreak/>
        <w:t>pakal</w:t>
      </w:r>
      <w:r w:rsidR="00CB3F9B" w:rsidRPr="00E04928">
        <w:rPr>
          <w:sz w:val="28"/>
          <w:szCs w:val="28"/>
          <w:lang w:val="lv-LV"/>
        </w:rPr>
        <w:t>pojuma vai nodrošinājuma veidu</w:t>
      </w:r>
      <w:r w:rsidR="001B2E32" w:rsidRPr="00E04928">
        <w:rPr>
          <w:sz w:val="28"/>
          <w:szCs w:val="28"/>
          <w:lang w:val="lv-LV"/>
        </w:rPr>
        <w:t xml:space="preserve"> (valsts nodevas objektu)</w:t>
      </w:r>
      <w:r w:rsidR="00085228" w:rsidRPr="00E04928">
        <w:rPr>
          <w:sz w:val="28"/>
          <w:szCs w:val="28"/>
          <w:lang w:val="lv-LV"/>
        </w:rPr>
        <w:t>. Ja nodrošinājumu vai pakalpojumu sniedz bez pieprasījuma iesniegšanas</w:t>
      </w:r>
      <w:r w:rsidR="00E02657" w:rsidRPr="00E04928">
        <w:rPr>
          <w:sz w:val="28"/>
          <w:szCs w:val="28"/>
          <w:lang w:val="lv-LV"/>
        </w:rPr>
        <w:t xml:space="preserve">, tad </w:t>
      </w:r>
      <w:r w:rsidR="009B15A0" w:rsidRPr="00E04928">
        <w:rPr>
          <w:sz w:val="28"/>
          <w:szCs w:val="28"/>
          <w:lang w:val="lv-LV"/>
        </w:rPr>
        <w:t>kā</w:t>
      </w:r>
      <w:r w:rsidR="00E02657" w:rsidRPr="00E04928">
        <w:rPr>
          <w:sz w:val="28"/>
          <w:szCs w:val="28"/>
          <w:lang w:val="lv-LV"/>
        </w:rPr>
        <w:t xml:space="preserve"> pieprasījuma reģistrācijas datum</w:t>
      </w:r>
      <w:r w:rsidR="009B15A0" w:rsidRPr="00E04928">
        <w:rPr>
          <w:sz w:val="28"/>
          <w:szCs w:val="28"/>
          <w:lang w:val="lv-LV"/>
        </w:rPr>
        <w:t>u</w:t>
      </w:r>
      <w:r w:rsidR="00E02657" w:rsidRPr="00E04928">
        <w:rPr>
          <w:sz w:val="28"/>
          <w:szCs w:val="28"/>
          <w:lang w:val="lv-LV"/>
        </w:rPr>
        <w:t xml:space="preserve"> </w:t>
      </w:r>
      <w:r w:rsidR="009B15A0" w:rsidRPr="00E04928">
        <w:rPr>
          <w:sz w:val="28"/>
          <w:szCs w:val="28"/>
          <w:lang w:val="lv-LV"/>
        </w:rPr>
        <w:t xml:space="preserve">norāda </w:t>
      </w:r>
      <w:r w:rsidR="00E02657" w:rsidRPr="00E04928">
        <w:rPr>
          <w:sz w:val="28"/>
          <w:szCs w:val="28"/>
          <w:lang w:val="lv-LV"/>
        </w:rPr>
        <w:t>pakalpojuma vai nodrošinājuma sniegšanas datum</w:t>
      </w:r>
      <w:r w:rsidR="009B15A0" w:rsidRPr="00E04928">
        <w:rPr>
          <w:sz w:val="28"/>
          <w:szCs w:val="28"/>
          <w:lang w:val="lv-LV"/>
        </w:rPr>
        <w:t>u</w:t>
      </w:r>
      <w:r w:rsidR="00135BDE" w:rsidRPr="00E04928">
        <w:rPr>
          <w:sz w:val="28"/>
          <w:szCs w:val="28"/>
          <w:lang w:val="lv-LV"/>
        </w:rPr>
        <w:t>. Attiecībā uz ikgadējām valsts nodevām</w:t>
      </w:r>
      <w:r w:rsidR="005A598C" w:rsidRPr="00E04928">
        <w:rPr>
          <w:sz w:val="28"/>
          <w:szCs w:val="28"/>
          <w:lang w:val="lv-LV"/>
        </w:rPr>
        <w:t xml:space="preserve"> par iesniegto pieprasījumu ir uzskatāms dokuments, kas pamato valsts nodevas aprēķinu, bet ja šāda dokumenta nav </w:t>
      </w:r>
      <w:r w:rsidR="007E6800" w:rsidRPr="00E04928">
        <w:rPr>
          <w:sz w:val="28"/>
          <w:szCs w:val="28"/>
          <w:lang w:val="lv-LV"/>
        </w:rPr>
        <w:t xml:space="preserve">– </w:t>
      </w:r>
      <w:r w:rsidR="005A598C" w:rsidRPr="00E04928">
        <w:rPr>
          <w:sz w:val="28"/>
          <w:szCs w:val="28"/>
          <w:lang w:val="lv-LV"/>
        </w:rPr>
        <w:t>tad</w:t>
      </w:r>
      <w:r w:rsidR="00135BDE" w:rsidRPr="00E04928">
        <w:rPr>
          <w:sz w:val="28"/>
          <w:szCs w:val="28"/>
          <w:lang w:val="lv-LV"/>
        </w:rPr>
        <w:t xml:space="preserve"> pieprasījuma reģistrācijas datum</w:t>
      </w:r>
      <w:r w:rsidR="005A598C" w:rsidRPr="00E04928">
        <w:rPr>
          <w:sz w:val="28"/>
          <w:szCs w:val="28"/>
          <w:lang w:val="lv-LV"/>
        </w:rPr>
        <w:t>s</w:t>
      </w:r>
      <w:r w:rsidR="00135BDE" w:rsidRPr="00E04928">
        <w:rPr>
          <w:sz w:val="28"/>
          <w:szCs w:val="28"/>
          <w:lang w:val="lv-LV"/>
        </w:rPr>
        <w:t xml:space="preserve"> </w:t>
      </w:r>
      <w:r w:rsidR="005A598C" w:rsidRPr="00E04928">
        <w:rPr>
          <w:sz w:val="28"/>
          <w:szCs w:val="28"/>
          <w:lang w:val="lv-LV"/>
        </w:rPr>
        <w:t>ir</w:t>
      </w:r>
      <w:r w:rsidR="00135BDE" w:rsidRPr="00E04928">
        <w:rPr>
          <w:sz w:val="28"/>
          <w:szCs w:val="28"/>
          <w:lang w:val="lv-LV"/>
        </w:rPr>
        <w:t xml:space="preserve"> </w:t>
      </w:r>
      <w:r w:rsidR="005A598C" w:rsidRPr="00E04928">
        <w:rPr>
          <w:sz w:val="28"/>
          <w:szCs w:val="28"/>
          <w:lang w:val="lv-LV"/>
        </w:rPr>
        <w:t>diena</w:t>
      </w:r>
      <w:r w:rsidR="00135BDE" w:rsidRPr="00E04928">
        <w:rPr>
          <w:sz w:val="28"/>
          <w:szCs w:val="28"/>
          <w:lang w:val="lv-LV"/>
        </w:rPr>
        <w:t xml:space="preserve">, kad </w:t>
      </w:r>
      <w:r w:rsidR="005A598C" w:rsidRPr="00E04928">
        <w:rPr>
          <w:sz w:val="28"/>
          <w:szCs w:val="28"/>
          <w:lang w:val="lv-LV"/>
        </w:rPr>
        <w:t>ikgadējā valsts nodeva</w:t>
      </w:r>
      <w:r w:rsidR="005625B0" w:rsidRPr="00E04928">
        <w:rPr>
          <w:sz w:val="28"/>
          <w:szCs w:val="28"/>
          <w:lang w:val="lv-LV"/>
        </w:rPr>
        <w:t xml:space="preserve"> ir atzīstama par</w:t>
      </w:r>
      <w:r w:rsidR="00135BDE" w:rsidRPr="00E04928">
        <w:rPr>
          <w:sz w:val="28"/>
          <w:szCs w:val="28"/>
          <w:lang w:val="lv-LV"/>
        </w:rPr>
        <w:t xml:space="preserve"> </w:t>
      </w:r>
      <w:r w:rsidR="005A598C" w:rsidRPr="00E04928">
        <w:rPr>
          <w:sz w:val="28"/>
          <w:szCs w:val="28"/>
          <w:lang w:val="lv-LV"/>
        </w:rPr>
        <w:t>saņemt</w:t>
      </w:r>
      <w:r w:rsidR="005625B0" w:rsidRPr="00E04928">
        <w:rPr>
          <w:sz w:val="28"/>
          <w:szCs w:val="28"/>
          <w:lang w:val="lv-LV"/>
        </w:rPr>
        <w:t>u</w:t>
      </w:r>
      <w:r w:rsidR="00135BDE" w:rsidRPr="00E04928">
        <w:rPr>
          <w:sz w:val="28"/>
          <w:szCs w:val="28"/>
          <w:lang w:val="lv-LV"/>
        </w:rPr>
        <w:t xml:space="preserve"> valsts budžetā</w:t>
      </w:r>
      <w:r w:rsidR="001B2E32" w:rsidRPr="00E04928">
        <w:rPr>
          <w:sz w:val="28"/>
          <w:szCs w:val="28"/>
          <w:lang w:val="lv-LV"/>
        </w:rPr>
        <w:t>;</w:t>
      </w:r>
    </w:p>
    <w:p w14:paraId="660761FF" w14:textId="0269F224" w:rsidR="00CB3F9B" w:rsidRPr="00E04928" w:rsidRDefault="00CB5F32" w:rsidP="00EC7445">
      <w:pPr>
        <w:ind w:firstLine="720"/>
        <w:jc w:val="both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7</w:t>
      </w:r>
      <w:r w:rsidR="006F49BC" w:rsidRPr="00E04928">
        <w:rPr>
          <w:sz w:val="28"/>
          <w:szCs w:val="28"/>
          <w:lang w:val="lv-LV"/>
        </w:rPr>
        <w:t>.2. </w:t>
      </w:r>
      <w:r w:rsidR="004948F0" w:rsidRPr="00E04928">
        <w:rPr>
          <w:sz w:val="28"/>
          <w:szCs w:val="28"/>
          <w:lang w:val="lv-LV"/>
        </w:rPr>
        <w:t>samaksai aprēķinātā</w:t>
      </w:r>
      <w:r w:rsidR="00A55B9A" w:rsidRPr="00E04928">
        <w:rPr>
          <w:sz w:val="28"/>
          <w:szCs w:val="28"/>
          <w:lang w:val="lv-LV"/>
        </w:rPr>
        <w:t xml:space="preserve"> </w:t>
      </w:r>
      <w:r w:rsidR="006F49BC" w:rsidRPr="00E04928">
        <w:rPr>
          <w:sz w:val="28"/>
          <w:szCs w:val="28"/>
          <w:lang w:val="lv-LV"/>
        </w:rPr>
        <w:t>valsts nodeva</w:t>
      </w:r>
      <w:r w:rsidR="004948F0" w:rsidRPr="00E04928">
        <w:rPr>
          <w:sz w:val="28"/>
          <w:szCs w:val="28"/>
          <w:lang w:val="lv-LV"/>
        </w:rPr>
        <w:t xml:space="preserve">s summa. Ja </w:t>
      </w:r>
      <w:r w:rsidR="00A55B9A" w:rsidRPr="00E04928">
        <w:rPr>
          <w:sz w:val="28"/>
          <w:szCs w:val="28"/>
          <w:lang w:val="lv-LV"/>
        </w:rPr>
        <w:t xml:space="preserve">valsts nodevas summai ir piemērots </w:t>
      </w:r>
      <w:r w:rsidR="00011CA5" w:rsidRPr="00E04928">
        <w:rPr>
          <w:sz w:val="28"/>
          <w:szCs w:val="28"/>
          <w:lang w:val="lv-LV"/>
        </w:rPr>
        <w:t>viens vai vairāki atvieglojumi</w:t>
      </w:r>
      <w:r w:rsidR="00A55B9A" w:rsidRPr="00E04928">
        <w:rPr>
          <w:sz w:val="28"/>
          <w:szCs w:val="28"/>
          <w:lang w:val="lv-LV"/>
        </w:rPr>
        <w:t xml:space="preserve"> vai atbrīvojum</w:t>
      </w:r>
      <w:r w:rsidR="00011CA5" w:rsidRPr="00E04928">
        <w:rPr>
          <w:sz w:val="28"/>
          <w:szCs w:val="28"/>
          <w:lang w:val="lv-LV"/>
        </w:rPr>
        <w:t>i</w:t>
      </w:r>
      <w:r w:rsidR="00A55B9A" w:rsidRPr="00E04928">
        <w:rPr>
          <w:sz w:val="28"/>
          <w:szCs w:val="28"/>
          <w:lang w:val="lv-LV"/>
        </w:rPr>
        <w:t xml:space="preserve">, </w:t>
      </w:r>
      <w:r w:rsidR="00011CA5" w:rsidRPr="00E04928">
        <w:rPr>
          <w:sz w:val="28"/>
          <w:szCs w:val="28"/>
          <w:lang w:val="lv-LV"/>
        </w:rPr>
        <w:t>tie</w:t>
      </w:r>
      <w:r w:rsidR="00A55B9A" w:rsidRPr="00E04928">
        <w:rPr>
          <w:sz w:val="28"/>
          <w:szCs w:val="28"/>
          <w:lang w:val="lv-LV"/>
        </w:rPr>
        <w:t xml:space="preserve"> tiek atsevišķi</w:t>
      </w:r>
      <w:r w:rsidR="004948F0" w:rsidRPr="00E04928">
        <w:rPr>
          <w:sz w:val="28"/>
          <w:szCs w:val="28"/>
          <w:lang w:val="lv-LV"/>
        </w:rPr>
        <w:t xml:space="preserve"> </w:t>
      </w:r>
      <w:r w:rsidR="00011CA5" w:rsidRPr="00E04928">
        <w:rPr>
          <w:sz w:val="28"/>
          <w:szCs w:val="28"/>
          <w:lang w:val="lv-LV"/>
        </w:rPr>
        <w:t>uzskaitīti</w:t>
      </w:r>
      <w:r w:rsidR="00F371BD">
        <w:rPr>
          <w:sz w:val="28"/>
          <w:szCs w:val="28"/>
          <w:lang w:val="lv-LV"/>
        </w:rPr>
        <w:t>, norādot to piemērošanas pamatojumu</w:t>
      </w:r>
      <w:r w:rsidR="000A7DB1" w:rsidRPr="00E04928">
        <w:rPr>
          <w:sz w:val="28"/>
          <w:szCs w:val="28"/>
          <w:lang w:val="lv-LV"/>
        </w:rPr>
        <w:t>;</w:t>
      </w:r>
    </w:p>
    <w:p w14:paraId="44477171" w14:textId="2C7923B4" w:rsidR="000A7DB1" w:rsidRPr="00E04928" w:rsidRDefault="00CB5F32" w:rsidP="00EC7445">
      <w:pPr>
        <w:ind w:firstLine="720"/>
        <w:jc w:val="both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7</w:t>
      </w:r>
      <w:r w:rsidR="00CB3F9B" w:rsidRPr="00E04928">
        <w:rPr>
          <w:sz w:val="28"/>
          <w:szCs w:val="28"/>
          <w:lang w:val="lv-LV"/>
        </w:rPr>
        <w:t>.3. </w:t>
      </w:r>
      <w:r w:rsidR="004948F0" w:rsidRPr="00E04928">
        <w:rPr>
          <w:sz w:val="28"/>
          <w:szCs w:val="28"/>
          <w:lang w:val="lv-LV"/>
        </w:rPr>
        <w:t xml:space="preserve">samaksātā </w:t>
      </w:r>
      <w:r w:rsidR="006F49BC" w:rsidRPr="00E04928">
        <w:rPr>
          <w:sz w:val="28"/>
          <w:szCs w:val="28"/>
          <w:lang w:val="lv-LV"/>
        </w:rPr>
        <w:t>valsts nodevas summa</w:t>
      </w:r>
      <w:r w:rsidR="004948F0" w:rsidRPr="00E04928">
        <w:rPr>
          <w:sz w:val="28"/>
          <w:szCs w:val="28"/>
          <w:lang w:val="lv-LV"/>
        </w:rPr>
        <w:t xml:space="preserve">, </w:t>
      </w:r>
      <w:r w:rsidR="002B14A7" w:rsidRPr="00E04928">
        <w:rPr>
          <w:sz w:val="28"/>
          <w:szCs w:val="28"/>
          <w:lang w:val="lv-LV"/>
        </w:rPr>
        <w:t>norādot informāciju, kas minēto faktu apliecina</w:t>
      </w:r>
      <w:r w:rsidR="00FB207F" w:rsidRPr="00E04928">
        <w:rPr>
          <w:sz w:val="28"/>
          <w:szCs w:val="28"/>
          <w:lang w:val="lv-LV"/>
        </w:rPr>
        <w:t>,</w:t>
      </w:r>
      <w:r w:rsidR="0009545F" w:rsidRPr="00E04928">
        <w:rPr>
          <w:sz w:val="28"/>
          <w:szCs w:val="28"/>
          <w:lang w:val="lv-LV"/>
        </w:rPr>
        <w:t xml:space="preserve"> un samaksas datumu</w:t>
      </w:r>
      <w:r w:rsidR="00EC7445" w:rsidRPr="00E04928">
        <w:rPr>
          <w:sz w:val="28"/>
          <w:szCs w:val="28"/>
          <w:lang w:val="lv-LV"/>
        </w:rPr>
        <w:t>. Ja samaksātā valsts nodevas summa pārsniedz samaksai aprēķināto valsts nodevas summu</w:t>
      </w:r>
      <w:r w:rsidR="002438C6" w:rsidRPr="00E04928">
        <w:rPr>
          <w:sz w:val="28"/>
          <w:szCs w:val="28"/>
          <w:lang w:val="lv-LV"/>
        </w:rPr>
        <w:t xml:space="preserve"> </w:t>
      </w:r>
      <w:r w:rsidR="009E6B4C" w:rsidRPr="00E04928">
        <w:rPr>
          <w:sz w:val="28"/>
          <w:szCs w:val="28"/>
          <w:lang w:val="lv-LV"/>
        </w:rPr>
        <w:t xml:space="preserve">vai </w:t>
      </w:r>
      <w:r w:rsidR="009C782F" w:rsidRPr="00E04928">
        <w:rPr>
          <w:sz w:val="28"/>
          <w:szCs w:val="28"/>
          <w:lang w:val="lv-LV"/>
        </w:rPr>
        <w:t>pieņemts lēmums par samaksātās</w:t>
      </w:r>
      <w:r w:rsidR="009E6B4C" w:rsidRPr="00E04928">
        <w:rPr>
          <w:sz w:val="28"/>
          <w:szCs w:val="28"/>
          <w:lang w:val="lv-LV"/>
        </w:rPr>
        <w:t xml:space="preserve"> valsts nodeva</w:t>
      </w:r>
      <w:r w:rsidR="009C782F" w:rsidRPr="00E04928">
        <w:rPr>
          <w:sz w:val="28"/>
          <w:szCs w:val="28"/>
          <w:lang w:val="lv-LV"/>
        </w:rPr>
        <w:t>s atmaksu</w:t>
      </w:r>
      <w:r w:rsidR="009E6B4C" w:rsidRPr="00E04928">
        <w:rPr>
          <w:sz w:val="28"/>
          <w:szCs w:val="28"/>
          <w:lang w:val="lv-LV"/>
        </w:rPr>
        <w:t xml:space="preserve"> pakalpojuma vai nodrošinājuma atteikuma gadījumā, </w:t>
      </w:r>
      <w:r w:rsidR="00D775A8" w:rsidRPr="00E04928">
        <w:rPr>
          <w:sz w:val="28"/>
          <w:szCs w:val="28"/>
          <w:lang w:val="lv-LV"/>
        </w:rPr>
        <w:t xml:space="preserve">vai pieņemts attiecīgs tiesas nolēmums par valsts nodevas atmaksu, </w:t>
      </w:r>
      <w:r w:rsidR="00EC7445" w:rsidRPr="00E04928">
        <w:rPr>
          <w:sz w:val="28"/>
          <w:szCs w:val="28"/>
          <w:lang w:val="lv-LV"/>
        </w:rPr>
        <w:t>atsevišķi uzskaita pārmaksātās</w:t>
      </w:r>
      <w:r w:rsidR="00686F72" w:rsidRPr="00E04928">
        <w:rPr>
          <w:sz w:val="28"/>
          <w:szCs w:val="28"/>
          <w:lang w:val="lv-LV"/>
        </w:rPr>
        <w:t xml:space="preserve"> vai</w:t>
      </w:r>
      <w:r w:rsidR="009E6B4C" w:rsidRPr="00E04928">
        <w:rPr>
          <w:sz w:val="28"/>
          <w:szCs w:val="28"/>
          <w:lang w:val="lv-LV"/>
        </w:rPr>
        <w:t xml:space="preserve"> </w:t>
      </w:r>
      <w:r w:rsidR="00EC7445" w:rsidRPr="00E04928">
        <w:rPr>
          <w:sz w:val="28"/>
          <w:szCs w:val="28"/>
          <w:lang w:val="lv-LV"/>
        </w:rPr>
        <w:t xml:space="preserve">nepareizi </w:t>
      </w:r>
      <w:r w:rsidR="006C22CF" w:rsidRPr="00E04928">
        <w:rPr>
          <w:sz w:val="28"/>
          <w:szCs w:val="28"/>
          <w:lang w:val="lv-LV"/>
        </w:rPr>
        <w:t>piedzītās</w:t>
      </w:r>
      <w:r w:rsidR="00260253" w:rsidRPr="00E04928">
        <w:rPr>
          <w:sz w:val="28"/>
          <w:szCs w:val="28"/>
          <w:lang w:val="lv-LV"/>
        </w:rPr>
        <w:t>,</w:t>
      </w:r>
      <w:r w:rsidR="006C22CF" w:rsidRPr="00E04928">
        <w:rPr>
          <w:sz w:val="28"/>
          <w:szCs w:val="28"/>
          <w:lang w:val="lv-LV"/>
        </w:rPr>
        <w:t xml:space="preserve"> </w:t>
      </w:r>
      <w:r w:rsidR="00686F72" w:rsidRPr="00E04928">
        <w:rPr>
          <w:sz w:val="28"/>
          <w:szCs w:val="28"/>
          <w:lang w:val="lv-LV"/>
        </w:rPr>
        <w:t>vai atmaksājamās valsts nodevas</w:t>
      </w:r>
      <w:r w:rsidR="009E6B4C" w:rsidRPr="00E04928">
        <w:rPr>
          <w:sz w:val="28"/>
          <w:szCs w:val="28"/>
          <w:lang w:val="lv-LV"/>
        </w:rPr>
        <w:t xml:space="preserve"> </w:t>
      </w:r>
      <w:r w:rsidR="006C22CF" w:rsidRPr="00E04928">
        <w:rPr>
          <w:sz w:val="28"/>
          <w:szCs w:val="28"/>
          <w:lang w:val="lv-LV"/>
        </w:rPr>
        <w:t>summas apmēru;</w:t>
      </w:r>
    </w:p>
    <w:p w14:paraId="03D7D4EB" w14:textId="56388944" w:rsidR="00417F9A" w:rsidRPr="00E04928" w:rsidRDefault="00CB5F32" w:rsidP="00EC7445">
      <w:pPr>
        <w:ind w:firstLine="720"/>
        <w:jc w:val="both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7</w:t>
      </w:r>
      <w:r w:rsidR="004948F0" w:rsidRPr="00E04928">
        <w:rPr>
          <w:sz w:val="28"/>
          <w:szCs w:val="28"/>
          <w:lang w:val="lv-LV"/>
        </w:rPr>
        <w:t>.4. </w:t>
      </w:r>
      <w:r w:rsidR="00551B3A" w:rsidRPr="00E04928">
        <w:rPr>
          <w:sz w:val="28"/>
          <w:szCs w:val="28"/>
          <w:lang w:val="lv-LV"/>
        </w:rPr>
        <w:t>sniegtā pakalpojuma</w:t>
      </w:r>
      <w:r w:rsidR="004948F0" w:rsidRPr="00E04928">
        <w:rPr>
          <w:sz w:val="28"/>
          <w:szCs w:val="28"/>
          <w:lang w:val="lv-LV"/>
        </w:rPr>
        <w:t xml:space="preserve"> vai </w:t>
      </w:r>
      <w:r w:rsidR="00551B3A" w:rsidRPr="00E04928">
        <w:rPr>
          <w:sz w:val="28"/>
          <w:szCs w:val="28"/>
          <w:lang w:val="lv-LV"/>
        </w:rPr>
        <w:t>nodrošinājuma reģistrēšanas fakts;</w:t>
      </w:r>
    </w:p>
    <w:p w14:paraId="0A0FFF2F" w14:textId="43EA12E8" w:rsidR="00417F9A" w:rsidRPr="00E04928" w:rsidRDefault="00CB5F32" w:rsidP="00EC7445">
      <w:pPr>
        <w:ind w:firstLine="720"/>
        <w:jc w:val="both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7</w:t>
      </w:r>
      <w:r w:rsidR="00417F9A" w:rsidRPr="00E04928">
        <w:rPr>
          <w:sz w:val="28"/>
          <w:szCs w:val="28"/>
          <w:lang w:val="lv-LV"/>
        </w:rPr>
        <w:t>.5. j</w:t>
      </w:r>
      <w:r w:rsidR="000A7DB1" w:rsidRPr="00E04928">
        <w:rPr>
          <w:sz w:val="28"/>
          <w:szCs w:val="28"/>
          <w:lang w:val="lv-LV"/>
        </w:rPr>
        <w:t>a pakalpojums vai nodrošinājums netiek sniegts</w:t>
      </w:r>
      <w:r w:rsidR="00417F9A" w:rsidRPr="00E04928">
        <w:rPr>
          <w:sz w:val="28"/>
          <w:szCs w:val="28"/>
          <w:lang w:val="lv-LV"/>
        </w:rPr>
        <w:t>, pakalpojuma vai nodrošinājuma atteikuma reģistrēšana</w:t>
      </w:r>
      <w:r w:rsidR="00551B3A" w:rsidRPr="00E04928">
        <w:rPr>
          <w:sz w:val="28"/>
          <w:szCs w:val="28"/>
          <w:lang w:val="lv-LV"/>
        </w:rPr>
        <w:t>s fakts</w:t>
      </w:r>
      <w:r w:rsidR="00CB3F9B" w:rsidRPr="00E04928">
        <w:rPr>
          <w:sz w:val="28"/>
          <w:szCs w:val="28"/>
          <w:lang w:val="lv-LV"/>
        </w:rPr>
        <w:t>;</w:t>
      </w:r>
    </w:p>
    <w:p w14:paraId="22BD7050" w14:textId="5D82AB12" w:rsidR="00F440FB" w:rsidRPr="00E04928" w:rsidRDefault="00CB5F32" w:rsidP="00EC7445">
      <w:pPr>
        <w:ind w:firstLine="720"/>
        <w:jc w:val="both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7</w:t>
      </w:r>
      <w:r w:rsidR="002B14A7" w:rsidRPr="00E04928">
        <w:rPr>
          <w:sz w:val="28"/>
          <w:szCs w:val="28"/>
          <w:lang w:val="lv-LV"/>
        </w:rPr>
        <w:t>.</w:t>
      </w:r>
      <w:r w:rsidR="00417F9A" w:rsidRPr="00E04928">
        <w:rPr>
          <w:sz w:val="28"/>
          <w:szCs w:val="28"/>
          <w:lang w:val="lv-LV"/>
        </w:rPr>
        <w:t>6</w:t>
      </w:r>
      <w:r w:rsidR="002B14A7" w:rsidRPr="00E04928">
        <w:rPr>
          <w:sz w:val="28"/>
          <w:szCs w:val="28"/>
          <w:lang w:val="lv-LV"/>
        </w:rPr>
        <w:t>. </w:t>
      </w:r>
      <w:r w:rsidR="00CB3F9B" w:rsidRPr="00E04928">
        <w:rPr>
          <w:sz w:val="28"/>
          <w:szCs w:val="28"/>
          <w:lang w:val="lv-LV"/>
        </w:rPr>
        <w:t>informācij</w:t>
      </w:r>
      <w:r w:rsidR="00FB207F" w:rsidRPr="00E04928">
        <w:rPr>
          <w:sz w:val="28"/>
          <w:szCs w:val="28"/>
          <w:lang w:val="lv-LV"/>
        </w:rPr>
        <w:t>a</w:t>
      </w:r>
      <w:r w:rsidR="00CB3F9B" w:rsidRPr="00E04928">
        <w:rPr>
          <w:sz w:val="28"/>
          <w:szCs w:val="28"/>
          <w:lang w:val="lv-LV"/>
        </w:rPr>
        <w:t xml:space="preserve"> par sniegto atzinumu par pārmaksātās valsts nodevas atmaksu</w:t>
      </w:r>
      <w:r w:rsidR="00C03BCF" w:rsidRPr="00E04928">
        <w:rPr>
          <w:sz w:val="28"/>
          <w:szCs w:val="28"/>
          <w:lang w:val="lv-LV"/>
        </w:rPr>
        <w:t xml:space="preserve"> </w:t>
      </w:r>
      <w:r w:rsidR="00166FC8" w:rsidRPr="00E04928">
        <w:rPr>
          <w:sz w:val="28"/>
          <w:szCs w:val="28"/>
          <w:lang w:val="lv-LV"/>
        </w:rPr>
        <w:t>(ja tāds ir sniegts)</w:t>
      </w:r>
      <w:r w:rsidR="00CB3F9B" w:rsidRPr="00E04928">
        <w:rPr>
          <w:sz w:val="28"/>
          <w:szCs w:val="28"/>
          <w:lang w:val="lv-LV"/>
        </w:rPr>
        <w:t>, norādot sniegšanas datumu</w:t>
      </w:r>
      <w:r w:rsidR="007E3115" w:rsidRPr="00E04928">
        <w:rPr>
          <w:sz w:val="28"/>
          <w:szCs w:val="28"/>
          <w:lang w:val="lv-LV"/>
        </w:rPr>
        <w:t>, vai pakalpojuma vai nodrošinājuma atteikuma gadījumā, ja pieņemts lēmums par valsts nodevas atmaksu – informācij</w:t>
      </w:r>
      <w:r w:rsidR="006F5538" w:rsidRPr="00E04928">
        <w:rPr>
          <w:sz w:val="28"/>
          <w:szCs w:val="28"/>
          <w:lang w:val="lv-LV"/>
        </w:rPr>
        <w:t>a</w:t>
      </w:r>
      <w:r w:rsidR="007E3115" w:rsidRPr="00E04928">
        <w:rPr>
          <w:sz w:val="28"/>
          <w:szCs w:val="28"/>
          <w:lang w:val="lv-LV"/>
        </w:rPr>
        <w:t xml:space="preserve"> par lēmumu, norādot </w:t>
      </w:r>
      <w:r w:rsidR="006F5538" w:rsidRPr="00E04928">
        <w:rPr>
          <w:sz w:val="28"/>
          <w:szCs w:val="28"/>
          <w:lang w:val="lv-LV"/>
        </w:rPr>
        <w:t xml:space="preserve">tā </w:t>
      </w:r>
      <w:r w:rsidR="007E3115" w:rsidRPr="00E04928">
        <w:rPr>
          <w:sz w:val="28"/>
          <w:szCs w:val="28"/>
          <w:lang w:val="lv-LV"/>
        </w:rPr>
        <w:t>pieņemšanas datumu</w:t>
      </w:r>
      <w:r w:rsidR="00D775A8" w:rsidRPr="00E04928">
        <w:rPr>
          <w:sz w:val="28"/>
          <w:szCs w:val="28"/>
          <w:lang w:val="lv-LV"/>
        </w:rPr>
        <w:t>, vai</w:t>
      </w:r>
      <w:r w:rsidR="006F5538" w:rsidRPr="00E04928">
        <w:rPr>
          <w:sz w:val="28"/>
          <w:szCs w:val="28"/>
          <w:lang w:val="lv-LV"/>
        </w:rPr>
        <w:t xml:space="preserve"> ja valsts nodeva atmaksājama, pamatojoties uz tiesas nolēmumu – informācija par tiesas nolēmumu, norādot tā pieņemšanas datumu</w:t>
      </w:r>
      <w:r w:rsidR="00F440FB" w:rsidRPr="00E04928">
        <w:rPr>
          <w:sz w:val="28"/>
          <w:szCs w:val="28"/>
          <w:lang w:val="lv-LV"/>
        </w:rPr>
        <w:t>;</w:t>
      </w:r>
    </w:p>
    <w:p w14:paraId="588A766B" w14:textId="4ABF8937" w:rsidR="00095252" w:rsidRPr="00E04928" w:rsidRDefault="00F440FB" w:rsidP="00EC7445">
      <w:pPr>
        <w:ind w:firstLine="720"/>
        <w:jc w:val="both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7.7. valsts nodevas summa</w:t>
      </w:r>
      <w:r w:rsidR="0023461D" w:rsidRPr="00E04928">
        <w:rPr>
          <w:sz w:val="28"/>
          <w:szCs w:val="28"/>
          <w:lang w:val="lv-LV"/>
        </w:rPr>
        <w:t xml:space="preserve">, </w:t>
      </w:r>
      <w:r w:rsidR="00713FF2" w:rsidRPr="00E04928">
        <w:rPr>
          <w:sz w:val="28"/>
          <w:szCs w:val="28"/>
          <w:lang w:val="lv-LV"/>
        </w:rPr>
        <w:t>kuru Valsts ieņēmumu dienests</w:t>
      </w:r>
      <w:r w:rsidR="0023461D" w:rsidRPr="00E04928">
        <w:rPr>
          <w:sz w:val="28"/>
          <w:szCs w:val="28"/>
          <w:lang w:val="lv-LV"/>
        </w:rPr>
        <w:t xml:space="preserve"> </w:t>
      </w:r>
      <w:r w:rsidR="00713FF2" w:rsidRPr="00E04928">
        <w:rPr>
          <w:sz w:val="28"/>
          <w:szCs w:val="28"/>
          <w:lang w:val="lv-LV"/>
        </w:rPr>
        <w:t xml:space="preserve">ir </w:t>
      </w:r>
      <w:r w:rsidR="0023461D" w:rsidRPr="00E04928">
        <w:rPr>
          <w:sz w:val="28"/>
          <w:szCs w:val="28"/>
          <w:lang w:val="lv-LV"/>
        </w:rPr>
        <w:t>atmaks</w:t>
      </w:r>
      <w:r w:rsidR="00713FF2" w:rsidRPr="00E04928">
        <w:rPr>
          <w:sz w:val="28"/>
          <w:szCs w:val="28"/>
          <w:lang w:val="lv-LV"/>
        </w:rPr>
        <w:t>ājis</w:t>
      </w:r>
      <w:r w:rsidR="00E53C7D" w:rsidRPr="00E04928">
        <w:rPr>
          <w:sz w:val="28"/>
          <w:szCs w:val="28"/>
          <w:lang w:val="lv-LV"/>
        </w:rPr>
        <w:t xml:space="preserve">, pamatojoties uz atzinumu par pārmaksātās valsts nodevas atmaksu </w:t>
      </w:r>
      <w:r w:rsidR="00713FF2" w:rsidRPr="00E04928">
        <w:rPr>
          <w:sz w:val="28"/>
          <w:szCs w:val="28"/>
          <w:lang w:val="lv-LV"/>
        </w:rPr>
        <w:t>vai lēmumu par samaksātās valsts nodevas atmaksu pakalpojuma vai nodrošinājuma atteikuma gadījumā</w:t>
      </w:r>
      <w:r w:rsidR="006F5538" w:rsidRPr="00E04928">
        <w:rPr>
          <w:sz w:val="28"/>
          <w:szCs w:val="28"/>
          <w:lang w:val="lv-LV"/>
        </w:rPr>
        <w:t>, vai tiesas nolēmumu par valsts nodevas atmaksu</w:t>
      </w:r>
      <w:r w:rsidR="00EC7445" w:rsidRPr="00E04928">
        <w:rPr>
          <w:sz w:val="28"/>
          <w:szCs w:val="28"/>
          <w:lang w:val="lv-LV"/>
        </w:rPr>
        <w:t>.</w:t>
      </w:r>
    </w:p>
    <w:p w14:paraId="52EDBA0A" w14:textId="77777777" w:rsidR="004948F0" w:rsidRPr="00E04928" w:rsidRDefault="004948F0" w:rsidP="00EC7445">
      <w:pPr>
        <w:ind w:firstLine="720"/>
        <w:jc w:val="both"/>
        <w:rPr>
          <w:sz w:val="28"/>
          <w:szCs w:val="28"/>
          <w:lang w:val="lv-LV"/>
        </w:rPr>
      </w:pPr>
    </w:p>
    <w:p w14:paraId="47D5D07C" w14:textId="76C870BB" w:rsidR="00DC7EDC" w:rsidRPr="00E04928" w:rsidRDefault="00D42ABB" w:rsidP="000E1FA2">
      <w:pPr>
        <w:ind w:firstLine="720"/>
        <w:jc w:val="both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8</w:t>
      </w:r>
      <w:r w:rsidR="000A7DB1" w:rsidRPr="00E04928">
        <w:rPr>
          <w:sz w:val="28"/>
          <w:szCs w:val="28"/>
          <w:lang w:val="lv-LV"/>
        </w:rPr>
        <w:t>.  </w:t>
      </w:r>
      <w:r w:rsidR="00DC7EDC" w:rsidRPr="00E04928">
        <w:rPr>
          <w:sz w:val="28"/>
          <w:szCs w:val="28"/>
          <w:lang w:val="lv-LV"/>
        </w:rPr>
        <w:t xml:space="preserve">Ja atbilstoši faktiskajai situācijai vai normatīvajam aktam par konkrēto valsts nodevu nav </w:t>
      </w:r>
      <w:r w:rsidR="006802D4" w:rsidRPr="00E04928">
        <w:rPr>
          <w:sz w:val="28"/>
          <w:szCs w:val="28"/>
          <w:lang w:val="lv-LV"/>
        </w:rPr>
        <w:t>kāda</w:t>
      </w:r>
      <w:r w:rsidR="00DC7EDC" w:rsidRPr="00E04928">
        <w:rPr>
          <w:sz w:val="28"/>
          <w:szCs w:val="28"/>
          <w:lang w:val="lv-LV"/>
        </w:rPr>
        <w:t xml:space="preserve"> no</w:t>
      </w:r>
      <w:r w:rsidR="00DC7EDC" w:rsidRPr="00E04928">
        <w:rPr>
          <w:iCs/>
          <w:sz w:val="28"/>
          <w:szCs w:val="28"/>
          <w:lang w:val="lv-LV"/>
        </w:rPr>
        <w:t xml:space="preserve"> šo noteikumu</w:t>
      </w:r>
      <w:r w:rsidR="00DC7EDC" w:rsidRPr="00E04928">
        <w:rPr>
          <w:sz w:val="28"/>
          <w:szCs w:val="28"/>
          <w:lang w:val="lv-LV"/>
        </w:rPr>
        <w:t xml:space="preserve"> 7. punktā minētajām </w:t>
      </w:r>
      <w:r w:rsidR="000E1FA2" w:rsidRPr="00E04928">
        <w:rPr>
          <w:sz w:val="28"/>
          <w:szCs w:val="28"/>
          <w:lang w:val="lv-LV"/>
        </w:rPr>
        <w:t>z</w:t>
      </w:r>
      <w:r w:rsidR="00DC7EDC" w:rsidRPr="00E04928">
        <w:rPr>
          <w:sz w:val="28"/>
          <w:szCs w:val="28"/>
          <w:lang w:val="lv-LV"/>
        </w:rPr>
        <w:t xml:space="preserve">iņām, tad attiecīgi tā netiek uzskaitīta un atspoguļota </w:t>
      </w:r>
      <w:r w:rsidR="00DC7EDC" w:rsidRPr="00E04928">
        <w:rPr>
          <w:iCs/>
          <w:sz w:val="28"/>
          <w:szCs w:val="28"/>
          <w:lang w:val="lv-LV"/>
        </w:rPr>
        <w:t>šo noteikumu</w:t>
      </w:r>
      <w:r w:rsidR="00DC7EDC" w:rsidRPr="00E04928">
        <w:rPr>
          <w:sz w:val="28"/>
          <w:szCs w:val="28"/>
          <w:lang w:val="lv-LV"/>
        </w:rPr>
        <w:t xml:space="preserve"> 10. punktā minētajā </w:t>
      </w:r>
      <w:r w:rsidR="00DC7EDC" w:rsidRPr="00E04928">
        <w:rPr>
          <w:iCs/>
          <w:sz w:val="28"/>
          <w:szCs w:val="28"/>
          <w:lang w:val="lv-LV"/>
        </w:rPr>
        <w:t>pārskatā</w:t>
      </w:r>
      <w:r w:rsidR="00DC7EDC" w:rsidRPr="00E04928">
        <w:rPr>
          <w:sz w:val="28"/>
          <w:szCs w:val="28"/>
          <w:lang w:val="lv-LV"/>
        </w:rPr>
        <w:t>.</w:t>
      </w:r>
    </w:p>
    <w:p w14:paraId="47FD98AB" w14:textId="77777777" w:rsidR="003806DF" w:rsidRPr="00E04928" w:rsidRDefault="003806DF" w:rsidP="00EC7445">
      <w:pPr>
        <w:ind w:firstLine="720"/>
        <w:jc w:val="both"/>
        <w:rPr>
          <w:sz w:val="28"/>
          <w:szCs w:val="28"/>
          <w:lang w:val="lv-LV"/>
        </w:rPr>
      </w:pPr>
    </w:p>
    <w:p w14:paraId="78F09701" w14:textId="0789FAE0" w:rsidR="00445304" w:rsidRPr="00E04928" w:rsidRDefault="00E539AD" w:rsidP="00EC7445">
      <w:pPr>
        <w:ind w:firstLine="720"/>
        <w:jc w:val="both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9.  </w:t>
      </w:r>
      <w:r w:rsidR="00063F42" w:rsidRPr="00E04928">
        <w:rPr>
          <w:sz w:val="28"/>
          <w:szCs w:val="28"/>
          <w:lang w:val="lv-LV"/>
        </w:rPr>
        <w:t>Ja</w:t>
      </w:r>
      <w:r w:rsidR="00A714AC" w:rsidRPr="00E04928">
        <w:rPr>
          <w:sz w:val="28"/>
          <w:szCs w:val="28"/>
          <w:lang w:val="lv-LV"/>
        </w:rPr>
        <w:t xml:space="preserve"> Valsts ieņēmumu dienests</w:t>
      </w:r>
      <w:r w:rsidR="00D25E6A" w:rsidRPr="00E04928">
        <w:rPr>
          <w:sz w:val="28"/>
          <w:szCs w:val="28"/>
          <w:lang w:val="lv-LV"/>
        </w:rPr>
        <w:t xml:space="preserve"> nav atmaksājis </w:t>
      </w:r>
      <w:r w:rsidR="003806DF" w:rsidRPr="00E04928">
        <w:rPr>
          <w:sz w:val="28"/>
          <w:szCs w:val="28"/>
          <w:lang w:val="lv-LV"/>
        </w:rPr>
        <w:t>nodevas maksātājam valsts nodevas administrā</w:t>
      </w:r>
      <w:r w:rsidR="00D25E6A" w:rsidRPr="00E04928">
        <w:rPr>
          <w:sz w:val="28"/>
          <w:szCs w:val="28"/>
          <w:lang w:val="lv-LV"/>
        </w:rPr>
        <w:t>cijas sniegtajā atzinumā par pārmaksātās valsts nodevas atmaksu</w:t>
      </w:r>
      <w:r w:rsidR="003806DF" w:rsidRPr="00E04928">
        <w:rPr>
          <w:sz w:val="28"/>
          <w:szCs w:val="28"/>
          <w:lang w:val="lv-LV"/>
        </w:rPr>
        <w:t xml:space="preserve"> norādīto pārmaksāto valsts nodevas summu, vai to ir atmaksājis mazākā apmērā</w:t>
      </w:r>
      <w:r w:rsidR="00D25E6A" w:rsidRPr="00E04928">
        <w:rPr>
          <w:sz w:val="28"/>
          <w:szCs w:val="28"/>
          <w:lang w:val="lv-LV"/>
        </w:rPr>
        <w:t xml:space="preserve">, </w:t>
      </w:r>
      <w:r w:rsidR="003806DF" w:rsidRPr="00E04928">
        <w:rPr>
          <w:sz w:val="28"/>
          <w:szCs w:val="28"/>
          <w:lang w:val="lv-LV"/>
        </w:rPr>
        <w:t xml:space="preserve">Valsts ieņēmumu dienests </w:t>
      </w:r>
      <w:r w:rsidR="00AC027F" w:rsidRPr="00E04928">
        <w:rPr>
          <w:sz w:val="28"/>
          <w:szCs w:val="28"/>
          <w:lang w:val="lv-LV"/>
        </w:rPr>
        <w:t>piecu dienu laikā pēc nodevas</w:t>
      </w:r>
      <w:r w:rsidR="00A714AC" w:rsidRPr="00E04928">
        <w:rPr>
          <w:sz w:val="28"/>
          <w:szCs w:val="28"/>
          <w:lang w:val="lv-LV"/>
        </w:rPr>
        <w:t xml:space="preserve"> maksātāja lūguma par valsts nodevas atmaksu izvērtēšanas nosūta valsts nod</w:t>
      </w:r>
      <w:r w:rsidR="003806DF" w:rsidRPr="00E04928">
        <w:rPr>
          <w:sz w:val="28"/>
          <w:szCs w:val="28"/>
          <w:lang w:val="lv-LV"/>
        </w:rPr>
        <w:t>evas administrācijai,</w:t>
      </w:r>
      <w:r w:rsidR="00A714AC" w:rsidRPr="00E04928">
        <w:rPr>
          <w:sz w:val="28"/>
          <w:szCs w:val="28"/>
          <w:lang w:val="lv-LV"/>
        </w:rPr>
        <w:t xml:space="preserve"> </w:t>
      </w:r>
      <w:r w:rsidR="003806DF" w:rsidRPr="00E04928">
        <w:rPr>
          <w:sz w:val="28"/>
          <w:szCs w:val="28"/>
          <w:lang w:val="lv-LV"/>
        </w:rPr>
        <w:t>kura sniegusi atzinumu par pārma</w:t>
      </w:r>
      <w:r w:rsidR="00AA6F94" w:rsidRPr="00E04928">
        <w:rPr>
          <w:sz w:val="28"/>
          <w:szCs w:val="28"/>
          <w:lang w:val="lv-LV"/>
        </w:rPr>
        <w:t xml:space="preserve">ksātās valsts nodevas atmaksu, </w:t>
      </w:r>
      <w:r w:rsidR="00A714AC" w:rsidRPr="00E04928">
        <w:rPr>
          <w:sz w:val="28"/>
          <w:szCs w:val="28"/>
          <w:lang w:val="lv-LV"/>
        </w:rPr>
        <w:t>informāciju par nodevu maksātājam atmaksāto valsts nodevas summu</w:t>
      </w:r>
      <w:r w:rsidR="003806DF" w:rsidRPr="00E04928">
        <w:rPr>
          <w:sz w:val="28"/>
          <w:szCs w:val="28"/>
          <w:lang w:val="lv-LV"/>
        </w:rPr>
        <w:t xml:space="preserve"> vai tā</w:t>
      </w:r>
      <w:r w:rsidR="005216E5">
        <w:rPr>
          <w:sz w:val="28"/>
          <w:szCs w:val="28"/>
          <w:lang w:val="lv-LV"/>
        </w:rPr>
        <w:t>s</w:t>
      </w:r>
      <w:r w:rsidR="003806DF" w:rsidRPr="00E04928">
        <w:rPr>
          <w:sz w:val="28"/>
          <w:szCs w:val="28"/>
          <w:lang w:val="lv-LV"/>
        </w:rPr>
        <w:t xml:space="preserve"> neatmaksāšanu</w:t>
      </w:r>
      <w:r w:rsidR="00A714AC" w:rsidRPr="00E04928">
        <w:rPr>
          <w:sz w:val="28"/>
          <w:szCs w:val="28"/>
          <w:lang w:val="lv-LV"/>
        </w:rPr>
        <w:t>.</w:t>
      </w:r>
    </w:p>
    <w:p w14:paraId="0507034E" w14:textId="51FD70CE" w:rsidR="00890577" w:rsidRPr="00E04928" w:rsidRDefault="00E539AD" w:rsidP="00EC7445">
      <w:pPr>
        <w:ind w:firstLine="720"/>
        <w:jc w:val="both"/>
        <w:rPr>
          <w:iCs/>
          <w:sz w:val="28"/>
          <w:szCs w:val="28"/>
          <w:lang w:val="lv-LV"/>
        </w:rPr>
      </w:pPr>
      <w:r w:rsidRPr="00E04928">
        <w:rPr>
          <w:iCs/>
          <w:sz w:val="28"/>
          <w:szCs w:val="28"/>
          <w:lang w:val="lv-LV"/>
        </w:rPr>
        <w:lastRenderedPageBreak/>
        <w:t>10</w:t>
      </w:r>
      <w:r w:rsidR="00674407" w:rsidRPr="00E04928">
        <w:rPr>
          <w:iCs/>
          <w:sz w:val="28"/>
          <w:szCs w:val="28"/>
          <w:lang w:val="lv-LV"/>
        </w:rPr>
        <w:t>.  </w:t>
      </w:r>
      <w:r w:rsidR="009B15A0" w:rsidRPr="00E04928">
        <w:rPr>
          <w:iCs/>
          <w:sz w:val="28"/>
          <w:szCs w:val="28"/>
          <w:lang w:val="lv-LV"/>
        </w:rPr>
        <w:t xml:space="preserve">Valsts nodevas administrācija sagatavo </w:t>
      </w:r>
      <w:r w:rsidR="00460019" w:rsidRPr="00E04928">
        <w:rPr>
          <w:iCs/>
          <w:sz w:val="28"/>
          <w:szCs w:val="28"/>
          <w:lang w:val="lv-LV"/>
        </w:rPr>
        <w:t xml:space="preserve">valsts nodevu uzskaites pārskatu (turpmāk – </w:t>
      </w:r>
      <w:r w:rsidR="009B15A0" w:rsidRPr="00E04928">
        <w:rPr>
          <w:iCs/>
          <w:sz w:val="28"/>
          <w:szCs w:val="28"/>
          <w:lang w:val="lv-LV"/>
        </w:rPr>
        <w:t>pārskat</w:t>
      </w:r>
      <w:r w:rsidR="00460019" w:rsidRPr="00E04928">
        <w:rPr>
          <w:iCs/>
          <w:sz w:val="28"/>
          <w:szCs w:val="28"/>
          <w:lang w:val="lv-LV"/>
        </w:rPr>
        <w:t>s)</w:t>
      </w:r>
      <w:r w:rsidR="009B15A0" w:rsidRPr="00E04928">
        <w:rPr>
          <w:iCs/>
          <w:sz w:val="28"/>
          <w:szCs w:val="28"/>
          <w:lang w:val="lv-LV"/>
        </w:rPr>
        <w:t xml:space="preserve"> </w:t>
      </w:r>
      <w:r w:rsidR="000F7BE4" w:rsidRPr="00E04928">
        <w:rPr>
          <w:iCs/>
          <w:sz w:val="28"/>
          <w:szCs w:val="28"/>
          <w:lang w:val="lv-LV"/>
        </w:rPr>
        <w:t xml:space="preserve">attiecīgajā kalendāra gadā </w:t>
      </w:r>
      <w:r w:rsidR="009B15A0" w:rsidRPr="00E04928">
        <w:rPr>
          <w:iCs/>
          <w:sz w:val="28"/>
          <w:szCs w:val="28"/>
          <w:lang w:val="lv-LV"/>
        </w:rPr>
        <w:t xml:space="preserve">saskaņā ar šo noteikumu pielikumu, </w:t>
      </w:r>
      <w:r w:rsidR="00960D23" w:rsidRPr="00E04928">
        <w:rPr>
          <w:iCs/>
          <w:sz w:val="28"/>
          <w:szCs w:val="28"/>
          <w:lang w:val="lv-LV"/>
        </w:rPr>
        <w:t xml:space="preserve">izmantojot un </w:t>
      </w:r>
      <w:r w:rsidR="009B15A0" w:rsidRPr="00E04928">
        <w:rPr>
          <w:iCs/>
          <w:sz w:val="28"/>
          <w:szCs w:val="28"/>
          <w:lang w:val="lv-LV"/>
        </w:rPr>
        <w:t xml:space="preserve">apkopojot pārskatā šo noteikumu </w:t>
      </w:r>
      <w:r w:rsidR="00890577" w:rsidRPr="00E04928">
        <w:rPr>
          <w:iCs/>
          <w:sz w:val="28"/>
          <w:szCs w:val="28"/>
          <w:lang w:val="lv-LV"/>
        </w:rPr>
        <w:t>7</w:t>
      </w:r>
      <w:r w:rsidR="009B15A0" w:rsidRPr="00E04928">
        <w:rPr>
          <w:iCs/>
          <w:sz w:val="28"/>
          <w:szCs w:val="28"/>
          <w:lang w:val="lv-LV"/>
        </w:rPr>
        <w:t>.</w:t>
      </w:r>
      <w:r w:rsidR="001B5A57" w:rsidRPr="00E04928">
        <w:rPr>
          <w:iCs/>
          <w:sz w:val="28"/>
          <w:szCs w:val="28"/>
          <w:lang w:val="lv-LV"/>
        </w:rPr>
        <w:t> </w:t>
      </w:r>
      <w:r w:rsidR="009B15A0" w:rsidRPr="00E04928">
        <w:rPr>
          <w:iCs/>
          <w:sz w:val="28"/>
          <w:szCs w:val="28"/>
          <w:lang w:val="lv-LV"/>
        </w:rPr>
        <w:t xml:space="preserve">punktā </w:t>
      </w:r>
      <w:r w:rsidR="007752EB" w:rsidRPr="00E04928">
        <w:rPr>
          <w:iCs/>
          <w:sz w:val="28"/>
          <w:szCs w:val="28"/>
          <w:lang w:val="lv-LV"/>
        </w:rPr>
        <w:t xml:space="preserve">uzskaitīto </w:t>
      </w:r>
      <w:r w:rsidR="009B15A0" w:rsidRPr="00E04928">
        <w:rPr>
          <w:iCs/>
          <w:sz w:val="28"/>
          <w:szCs w:val="28"/>
          <w:lang w:val="lv-LV"/>
        </w:rPr>
        <w:t>informāciju.</w:t>
      </w:r>
    </w:p>
    <w:p w14:paraId="79166980" w14:textId="77777777" w:rsidR="00890577" w:rsidRPr="00E04928" w:rsidRDefault="00890577" w:rsidP="00EC7445">
      <w:pPr>
        <w:ind w:firstLine="720"/>
        <w:jc w:val="both"/>
        <w:rPr>
          <w:iCs/>
          <w:sz w:val="28"/>
          <w:szCs w:val="28"/>
          <w:lang w:val="lv-LV"/>
        </w:rPr>
      </w:pPr>
    </w:p>
    <w:p w14:paraId="6BDA4D1B" w14:textId="73BB0E01" w:rsidR="00890577" w:rsidRPr="00E04928" w:rsidRDefault="00E539AD" w:rsidP="00EC7445">
      <w:pPr>
        <w:ind w:firstLine="720"/>
        <w:jc w:val="both"/>
        <w:rPr>
          <w:iCs/>
          <w:sz w:val="28"/>
          <w:szCs w:val="28"/>
          <w:lang w:val="lv-LV"/>
        </w:rPr>
      </w:pPr>
      <w:r w:rsidRPr="00E04928">
        <w:rPr>
          <w:iCs/>
          <w:sz w:val="28"/>
          <w:szCs w:val="28"/>
          <w:lang w:val="lv-LV"/>
        </w:rPr>
        <w:t>11</w:t>
      </w:r>
      <w:r w:rsidR="00890577" w:rsidRPr="00E04928">
        <w:rPr>
          <w:iCs/>
          <w:sz w:val="28"/>
          <w:szCs w:val="28"/>
          <w:lang w:val="lv-LV"/>
        </w:rPr>
        <w:t>.  Valsts nodevas</w:t>
      </w:r>
      <w:r w:rsidR="009B15A0" w:rsidRPr="00E04928">
        <w:rPr>
          <w:iCs/>
          <w:sz w:val="28"/>
          <w:szCs w:val="28"/>
          <w:lang w:val="lv-LV"/>
        </w:rPr>
        <w:t xml:space="preserve"> administrācija pārskata sagatavošanai, parakstīšanai un iesniegšanai lieto </w:t>
      </w:r>
      <w:r w:rsidR="00890577" w:rsidRPr="00E04928">
        <w:rPr>
          <w:iCs/>
          <w:sz w:val="28"/>
          <w:szCs w:val="28"/>
          <w:lang w:val="lv-LV"/>
        </w:rPr>
        <w:t>informācijas sistēmu “</w:t>
      </w:r>
      <w:r w:rsidR="00890577" w:rsidRPr="00E04928">
        <w:rPr>
          <w:sz w:val="28"/>
          <w:szCs w:val="28"/>
          <w:lang w:val="lv-LV"/>
        </w:rPr>
        <w:t xml:space="preserve">Ministriju, centrālo valsts iestāžu un pašvaldību budžeta pārskatu informācijas sistēma” </w:t>
      </w:r>
      <w:r w:rsidR="009B15A0" w:rsidRPr="00E04928">
        <w:rPr>
          <w:iCs/>
          <w:sz w:val="28"/>
          <w:szCs w:val="28"/>
          <w:lang w:val="lv-LV"/>
        </w:rPr>
        <w:t>(turpmāk</w:t>
      </w:r>
      <w:r w:rsidR="00890577" w:rsidRPr="00E04928">
        <w:rPr>
          <w:iCs/>
          <w:sz w:val="28"/>
          <w:szCs w:val="28"/>
          <w:lang w:val="lv-LV"/>
        </w:rPr>
        <w:t xml:space="preserve"> </w:t>
      </w:r>
      <w:r w:rsidR="007557D7" w:rsidRPr="00E04928">
        <w:rPr>
          <w:sz w:val="28"/>
          <w:szCs w:val="28"/>
          <w:lang w:val="lv-LV"/>
        </w:rPr>
        <w:t xml:space="preserve">– </w:t>
      </w:r>
      <w:proofErr w:type="spellStart"/>
      <w:r w:rsidR="009B15A0" w:rsidRPr="00E04928">
        <w:rPr>
          <w:iCs/>
          <w:sz w:val="28"/>
          <w:szCs w:val="28"/>
          <w:lang w:val="lv-LV"/>
        </w:rPr>
        <w:t>ePārskati</w:t>
      </w:r>
      <w:proofErr w:type="spellEnd"/>
      <w:r w:rsidR="009B15A0" w:rsidRPr="00E04928">
        <w:rPr>
          <w:iCs/>
          <w:sz w:val="28"/>
          <w:szCs w:val="28"/>
          <w:lang w:val="lv-LV"/>
        </w:rPr>
        <w:t>)</w:t>
      </w:r>
      <w:r w:rsidR="00890577" w:rsidRPr="00E04928">
        <w:rPr>
          <w:iCs/>
          <w:sz w:val="28"/>
          <w:szCs w:val="28"/>
          <w:lang w:val="lv-LV"/>
        </w:rPr>
        <w:t xml:space="preserve"> atbilstoši normatīvajiem aktiem par kārtību, kādā Valsts kase nodrošina elektronisko informācijas apmaiņu.</w:t>
      </w:r>
    </w:p>
    <w:p w14:paraId="30CCFD85" w14:textId="77777777" w:rsidR="00890577" w:rsidRPr="00E04928" w:rsidRDefault="00890577" w:rsidP="00EC7445">
      <w:pPr>
        <w:ind w:firstLine="720"/>
        <w:jc w:val="both"/>
        <w:rPr>
          <w:iCs/>
          <w:sz w:val="28"/>
          <w:szCs w:val="28"/>
          <w:lang w:val="lv-LV"/>
        </w:rPr>
      </w:pPr>
    </w:p>
    <w:p w14:paraId="4326A2C5" w14:textId="59C418C7" w:rsidR="00F2447A" w:rsidRPr="00E04928" w:rsidRDefault="00890577" w:rsidP="00EC7445">
      <w:pPr>
        <w:ind w:firstLine="720"/>
        <w:jc w:val="both"/>
        <w:rPr>
          <w:sz w:val="28"/>
          <w:szCs w:val="28"/>
          <w:lang w:val="lv-LV"/>
        </w:rPr>
      </w:pPr>
      <w:r w:rsidRPr="00E04928">
        <w:rPr>
          <w:iCs/>
          <w:sz w:val="28"/>
          <w:szCs w:val="28"/>
          <w:lang w:val="lv-LV"/>
        </w:rPr>
        <w:t>1</w:t>
      </w:r>
      <w:r w:rsidR="00E539AD" w:rsidRPr="00E04928">
        <w:rPr>
          <w:iCs/>
          <w:sz w:val="28"/>
          <w:szCs w:val="28"/>
          <w:lang w:val="lv-LV"/>
        </w:rPr>
        <w:t>2</w:t>
      </w:r>
      <w:r w:rsidRPr="00E04928">
        <w:rPr>
          <w:iCs/>
          <w:sz w:val="28"/>
          <w:szCs w:val="28"/>
          <w:lang w:val="lv-LV"/>
        </w:rPr>
        <w:t xml:space="preserve">. Valsts nodevas administrācija šo noteikumu </w:t>
      </w:r>
      <w:r w:rsidR="003806DF" w:rsidRPr="00E04928">
        <w:rPr>
          <w:iCs/>
          <w:sz w:val="28"/>
          <w:szCs w:val="28"/>
          <w:lang w:val="lv-LV"/>
        </w:rPr>
        <w:t>10</w:t>
      </w:r>
      <w:r w:rsidRPr="00E04928">
        <w:rPr>
          <w:iCs/>
          <w:sz w:val="28"/>
          <w:szCs w:val="28"/>
          <w:lang w:val="lv-LV"/>
        </w:rPr>
        <w:t>.</w:t>
      </w:r>
      <w:r w:rsidR="00BC6FB1" w:rsidRPr="00E04928">
        <w:rPr>
          <w:iCs/>
          <w:sz w:val="28"/>
          <w:szCs w:val="28"/>
          <w:lang w:val="lv-LV"/>
        </w:rPr>
        <w:t> </w:t>
      </w:r>
      <w:r w:rsidRPr="00E04928">
        <w:rPr>
          <w:iCs/>
          <w:sz w:val="28"/>
          <w:szCs w:val="28"/>
          <w:lang w:val="lv-LV"/>
        </w:rPr>
        <w:t xml:space="preserve">punktā minēto pārskatu </w:t>
      </w:r>
      <w:r w:rsidR="009B15A0" w:rsidRPr="00E04928">
        <w:rPr>
          <w:iCs/>
          <w:sz w:val="28"/>
          <w:szCs w:val="28"/>
          <w:lang w:val="lv-LV"/>
        </w:rPr>
        <w:t>iesniedz nozares ministrijai vai centrāla</w:t>
      </w:r>
      <w:r w:rsidR="00CE658B" w:rsidRPr="00E04928">
        <w:rPr>
          <w:iCs/>
          <w:sz w:val="28"/>
          <w:szCs w:val="28"/>
          <w:lang w:val="lv-LV"/>
        </w:rPr>
        <w:t>ja</w:t>
      </w:r>
      <w:r w:rsidR="009B15A0" w:rsidRPr="00E04928">
        <w:rPr>
          <w:iCs/>
          <w:sz w:val="28"/>
          <w:szCs w:val="28"/>
          <w:lang w:val="lv-LV"/>
        </w:rPr>
        <w:t xml:space="preserve">i valsts iestādei </w:t>
      </w:r>
      <w:r w:rsidR="00173F8C" w:rsidRPr="00E04928">
        <w:rPr>
          <w:iCs/>
          <w:sz w:val="28"/>
          <w:szCs w:val="28"/>
          <w:lang w:val="lv-LV"/>
        </w:rPr>
        <w:t xml:space="preserve">ne vēlāk kā līdz </w:t>
      </w:r>
      <w:r w:rsidR="009B15A0" w:rsidRPr="00E04928">
        <w:rPr>
          <w:iCs/>
          <w:sz w:val="28"/>
          <w:szCs w:val="28"/>
          <w:lang w:val="lv-LV"/>
        </w:rPr>
        <w:t>pārsk</w:t>
      </w:r>
      <w:r w:rsidR="00173F8C" w:rsidRPr="00E04928">
        <w:rPr>
          <w:iCs/>
          <w:sz w:val="28"/>
          <w:szCs w:val="28"/>
          <w:lang w:val="lv-LV"/>
        </w:rPr>
        <w:t>ata gadam sekojošā gada 1.</w:t>
      </w:r>
      <w:r w:rsidR="001968CC" w:rsidRPr="00E04928">
        <w:rPr>
          <w:iCs/>
          <w:sz w:val="28"/>
          <w:szCs w:val="28"/>
          <w:lang w:val="lv-LV"/>
        </w:rPr>
        <w:t> </w:t>
      </w:r>
      <w:r w:rsidR="00173F8C" w:rsidRPr="00E04928">
        <w:rPr>
          <w:iCs/>
          <w:sz w:val="28"/>
          <w:szCs w:val="28"/>
          <w:lang w:val="lv-LV"/>
        </w:rPr>
        <w:t>martam</w:t>
      </w:r>
      <w:r w:rsidR="00F2447A" w:rsidRPr="00E04928">
        <w:rPr>
          <w:sz w:val="28"/>
          <w:szCs w:val="28"/>
          <w:lang w:val="lv-LV"/>
        </w:rPr>
        <w:t>.</w:t>
      </w:r>
    </w:p>
    <w:p w14:paraId="3C3F3609" w14:textId="77777777" w:rsidR="00890577" w:rsidRPr="00E04928" w:rsidRDefault="00890577" w:rsidP="00EC7445">
      <w:pPr>
        <w:ind w:firstLine="720"/>
        <w:jc w:val="both"/>
        <w:rPr>
          <w:sz w:val="28"/>
          <w:szCs w:val="28"/>
          <w:lang w:val="lv-LV"/>
        </w:rPr>
      </w:pPr>
    </w:p>
    <w:p w14:paraId="6008C245" w14:textId="2F940E93" w:rsidR="00207C35" w:rsidRPr="00E04928" w:rsidRDefault="00173F8C" w:rsidP="00EC7445">
      <w:pPr>
        <w:pStyle w:val="Header"/>
        <w:ind w:firstLine="720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1</w:t>
      </w:r>
      <w:r w:rsidR="00E539AD" w:rsidRPr="00E04928">
        <w:rPr>
          <w:sz w:val="28"/>
          <w:szCs w:val="28"/>
          <w:lang w:val="lv-LV"/>
        </w:rPr>
        <w:t>3</w:t>
      </w:r>
      <w:r w:rsidR="00BB3C56" w:rsidRPr="00E04928">
        <w:rPr>
          <w:sz w:val="28"/>
          <w:szCs w:val="28"/>
          <w:lang w:val="lv-LV"/>
        </w:rPr>
        <w:t>.  </w:t>
      </w:r>
      <w:r w:rsidR="00207C35" w:rsidRPr="00E04928">
        <w:rPr>
          <w:sz w:val="28"/>
          <w:szCs w:val="28"/>
          <w:lang w:val="lv-LV"/>
        </w:rPr>
        <w:t>M</w:t>
      </w:r>
      <w:r w:rsidR="00BB3C56" w:rsidRPr="00E04928">
        <w:rPr>
          <w:sz w:val="28"/>
          <w:szCs w:val="28"/>
          <w:lang w:val="lv-LV"/>
        </w:rPr>
        <w:t xml:space="preserve">inistrija vai centrālā valsts iestāde apkopo </w:t>
      </w:r>
      <w:r w:rsidR="00DA172D" w:rsidRPr="00E04928">
        <w:rPr>
          <w:sz w:val="28"/>
          <w:szCs w:val="28"/>
          <w:lang w:val="lv-LV"/>
        </w:rPr>
        <w:t xml:space="preserve">saskaņā ar </w:t>
      </w:r>
      <w:r w:rsidR="00A81C52" w:rsidRPr="00E04928">
        <w:rPr>
          <w:sz w:val="28"/>
          <w:szCs w:val="28"/>
          <w:lang w:val="lv-LV"/>
        </w:rPr>
        <w:t>šo</w:t>
      </w:r>
      <w:r w:rsidR="00BB3C56" w:rsidRPr="00E04928">
        <w:rPr>
          <w:sz w:val="28"/>
          <w:szCs w:val="28"/>
          <w:lang w:val="lv-LV"/>
        </w:rPr>
        <w:t xml:space="preserve"> noteikumu </w:t>
      </w:r>
      <w:r w:rsidR="003806DF" w:rsidRPr="00E04928">
        <w:rPr>
          <w:sz w:val="28"/>
          <w:szCs w:val="28"/>
          <w:lang w:val="lv-LV"/>
        </w:rPr>
        <w:t>10</w:t>
      </w:r>
      <w:r w:rsidR="00BB3C56" w:rsidRPr="00E04928">
        <w:rPr>
          <w:sz w:val="28"/>
          <w:szCs w:val="28"/>
          <w:lang w:val="lv-LV"/>
        </w:rPr>
        <w:t>.</w:t>
      </w:r>
      <w:r w:rsidR="00AF354D" w:rsidRPr="00E04928">
        <w:rPr>
          <w:sz w:val="28"/>
          <w:szCs w:val="28"/>
          <w:lang w:val="lv-LV"/>
        </w:rPr>
        <w:t> </w:t>
      </w:r>
      <w:r w:rsidR="00BB3C56" w:rsidRPr="00E04928">
        <w:rPr>
          <w:sz w:val="28"/>
          <w:szCs w:val="28"/>
          <w:lang w:val="lv-LV"/>
        </w:rPr>
        <w:t>punkt</w:t>
      </w:r>
      <w:r w:rsidR="00DA172D" w:rsidRPr="00E04928">
        <w:rPr>
          <w:sz w:val="28"/>
          <w:szCs w:val="28"/>
          <w:lang w:val="lv-LV"/>
        </w:rPr>
        <w:t xml:space="preserve">u </w:t>
      </w:r>
      <w:proofErr w:type="spellStart"/>
      <w:r w:rsidR="00DA172D" w:rsidRPr="00E04928">
        <w:rPr>
          <w:sz w:val="28"/>
          <w:szCs w:val="28"/>
          <w:lang w:val="lv-LV"/>
        </w:rPr>
        <w:t>ePārskatos</w:t>
      </w:r>
      <w:proofErr w:type="spellEnd"/>
      <w:r w:rsidR="00204A5D" w:rsidRPr="00E04928">
        <w:rPr>
          <w:sz w:val="28"/>
          <w:szCs w:val="28"/>
          <w:lang w:val="lv-LV"/>
        </w:rPr>
        <w:t xml:space="preserve"> </w:t>
      </w:r>
      <w:r w:rsidRPr="00E04928">
        <w:rPr>
          <w:sz w:val="28"/>
          <w:szCs w:val="28"/>
          <w:lang w:val="lv-LV"/>
        </w:rPr>
        <w:t>sniegtos</w:t>
      </w:r>
      <w:r w:rsidR="00207C35" w:rsidRPr="00E04928">
        <w:rPr>
          <w:sz w:val="28"/>
          <w:szCs w:val="28"/>
          <w:lang w:val="lv-LV"/>
        </w:rPr>
        <w:t xml:space="preserve"> nozares valsts nodevu administrāciju pārskatus</w:t>
      </w:r>
      <w:r w:rsidR="00DA172D" w:rsidRPr="00E04928">
        <w:rPr>
          <w:sz w:val="28"/>
          <w:szCs w:val="28"/>
          <w:lang w:val="lv-LV"/>
        </w:rPr>
        <w:t xml:space="preserve"> un iesniedz </w:t>
      </w:r>
      <w:r w:rsidRPr="00E04928">
        <w:rPr>
          <w:sz w:val="28"/>
          <w:szCs w:val="28"/>
          <w:lang w:val="lv-LV"/>
        </w:rPr>
        <w:t>nozares konsolidēto pārskatu</w:t>
      </w:r>
      <w:r w:rsidR="00DA172D" w:rsidRPr="00E04928">
        <w:rPr>
          <w:sz w:val="28"/>
          <w:szCs w:val="28"/>
          <w:lang w:val="lv-LV"/>
        </w:rPr>
        <w:t xml:space="preserve"> Valsts kasei </w:t>
      </w:r>
      <w:r w:rsidRPr="00E04928">
        <w:rPr>
          <w:sz w:val="28"/>
          <w:szCs w:val="28"/>
          <w:lang w:val="lv-LV"/>
        </w:rPr>
        <w:t>līdz pārskata gada sekojošā gada 15.</w:t>
      </w:r>
      <w:r w:rsidR="001968CC" w:rsidRPr="00E04928">
        <w:rPr>
          <w:sz w:val="28"/>
          <w:szCs w:val="28"/>
          <w:lang w:val="lv-LV"/>
        </w:rPr>
        <w:t> </w:t>
      </w:r>
      <w:r w:rsidRPr="00E04928">
        <w:rPr>
          <w:sz w:val="28"/>
          <w:szCs w:val="28"/>
          <w:lang w:val="lv-LV"/>
        </w:rPr>
        <w:t>martam</w:t>
      </w:r>
      <w:r w:rsidR="005B468D" w:rsidRPr="00E04928">
        <w:rPr>
          <w:sz w:val="28"/>
          <w:szCs w:val="28"/>
          <w:lang w:val="lv-LV"/>
        </w:rPr>
        <w:t>.</w:t>
      </w:r>
    </w:p>
    <w:p w14:paraId="4B11CA73" w14:textId="77777777" w:rsidR="00B8251B" w:rsidRPr="00E04928" w:rsidRDefault="00B8251B" w:rsidP="00EC7445">
      <w:pPr>
        <w:ind w:firstLine="720"/>
        <w:jc w:val="both"/>
        <w:rPr>
          <w:sz w:val="28"/>
          <w:szCs w:val="28"/>
          <w:lang w:val="lv-LV"/>
        </w:rPr>
      </w:pPr>
    </w:p>
    <w:p w14:paraId="5D01DB13" w14:textId="00A6E074" w:rsidR="001B5A57" w:rsidRPr="00E04928" w:rsidRDefault="00D42ABB" w:rsidP="0071343A">
      <w:pPr>
        <w:ind w:firstLine="720"/>
        <w:jc w:val="both"/>
        <w:rPr>
          <w:iCs/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1</w:t>
      </w:r>
      <w:r w:rsidR="00E539AD" w:rsidRPr="00E04928">
        <w:rPr>
          <w:sz w:val="28"/>
          <w:szCs w:val="28"/>
          <w:lang w:val="lv-LV"/>
        </w:rPr>
        <w:t>4</w:t>
      </w:r>
      <w:r w:rsidR="007F4F3E" w:rsidRPr="00E04928">
        <w:rPr>
          <w:sz w:val="28"/>
          <w:szCs w:val="28"/>
          <w:lang w:val="lv-LV"/>
        </w:rPr>
        <w:t>.</w:t>
      </w:r>
      <w:r w:rsidR="00556741" w:rsidRPr="00E04928">
        <w:rPr>
          <w:sz w:val="28"/>
          <w:szCs w:val="28"/>
          <w:lang w:val="lv-LV"/>
        </w:rPr>
        <w:t> </w:t>
      </w:r>
      <w:r w:rsidR="00D11D4B" w:rsidRPr="00E04928">
        <w:rPr>
          <w:sz w:val="28"/>
          <w:szCs w:val="28"/>
          <w:lang w:val="lv-LV"/>
        </w:rPr>
        <w:t> </w:t>
      </w:r>
      <w:r w:rsidR="001B5A57" w:rsidRPr="00E04928">
        <w:rPr>
          <w:iCs/>
          <w:sz w:val="28"/>
          <w:szCs w:val="28"/>
          <w:lang w:val="lv-LV"/>
        </w:rPr>
        <w:t>Valsts nodev</w:t>
      </w:r>
      <w:r w:rsidR="002438C6" w:rsidRPr="00E04928">
        <w:rPr>
          <w:iCs/>
          <w:sz w:val="28"/>
          <w:szCs w:val="28"/>
          <w:lang w:val="lv-LV"/>
        </w:rPr>
        <w:t>as</w:t>
      </w:r>
      <w:r w:rsidR="001B5A57" w:rsidRPr="00E04928">
        <w:rPr>
          <w:iCs/>
          <w:sz w:val="28"/>
          <w:szCs w:val="28"/>
          <w:lang w:val="lv-LV"/>
        </w:rPr>
        <w:t xml:space="preserve"> </w:t>
      </w:r>
      <w:r w:rsidR="002438C6" w:rsidRPr="00E04928">
        <w:rPr>
          <w:iCs/>
          <w:sz w:val="28"/>
          <w:szCs w:val="28"/>
          <w:lang w:val="lv-LV"/>
        </w:rPr>
        <w:t xml:space="preserve">2018. gadā </w:t>
      </w:r>
      <w:r w:rsidR="001B5A57" w:rsidRPr="00E04928">
        <w:rPr>
          <w:iCs/>
          <w:sz w:val="28"/>
          <w:szCs w:val="28"/>
          <w:lang w:val="lv-LV"/>
        </w:rPr>
        <w:t>uzskait</w:t>
      </w:r>
      <w:r w:rsidR="002438C6" w:rsidRPr="00E04928">
        <w:rPr>
          <w:iCs/>
          <w:sz w:val="28"/>
          <w:szCs w:val="28"/>
          <w:lang w:val="lv-LV"/>
        </w:rPr>
        <w:t>a par periodu no</w:t>
      </w:r>
      <w:r w:rsidR="001B5A57" w:rsidRPr="00E04928">
        <w:rPr>
          <w:iCs/>
          <w:sz w:val="28"/>
          <w:szCs w:val="28"/>
          <w:lang w:val="lv-LV"/>
        </w:rPr>
        <w:t xml:space="preserve"> </w:t>
      </w:r>
      <w:r w:rsidR="002438C6" w:rsidRPr="00E04928">
        <w:rPr>
          <w:sz w:val="28"/>
          <w:szCs w:val="28"/>
          <w:lang w:val="lv-LV"/>
        </w:rPr>
        <w:t>2018. gada 1. jūlija līdz 2018.</w:t>
      </w:r>
      <w:r w:rsidR="00460019" w:rsidRPr="00E04928">
        <w:rPr>
          <w:sz w:val="28"/>
          <w:szCs w:val="28"/>
          <w:lang w:val="lv-LV"/>
        </w:rPr>
        <w:t> </w:t>
      </w:r>
      <w:r w:rsidR="002438C6" w:rsidRPr="00E04928">
        <w:rPr>
          <w:sz w:val="28"/>
          <w:szCs w:val="28"/>
          <w:lang w:val="lv-LV"/>
        </w:rPr>
        <w:t>gada 31.</w:t>
      </w:r>
      <w:r w:rsidR="00460019" w:rsidRPr="00E04928">
        <w:rPr>
          <w:sz w:val="28"/>
          <w:szCs w:val="28"/>
          <w:lang w:val="lv-LV"/>
        </w:rPr>
        <w:t> </w:t>
      </w:r>
      <w:r w:rsidR="002438C6" w:rsidRPr="00E04928">
        <w:rPr>
          <w:sz w:val="28"/>
          <w:szCs w:val="28"/>
          <w:lang w:val="lv-LV"/>
        </w:rPr>
        <w:t>decembrim</w:t>
      </w:r>
      <w:r w:rsidR="001B5A57" w:rsidRPr="00E04928">
        <w:rPr>
          <w:iCs/>
          <w:sz w:val="28"/>
          <w:szCs w:val="28"/>
          <w:lang w:val="lv-LV"/>
        </w:rPr>
        <w:t>.</w:t>
      </w:r>
    </w:p>
    <w:p w14:paraId="36C52900" w14:textId="77777777" w:rsidR="008C7D93" w:rsidRPr="00DB5899" w:rsidRDefault="008C7D93" w:rsidP="0071343A">
      <w:pPr>
        <w:ind w:firstLine="720"/>
        <w:jc w:val="both"/>
        <w:rPr>
          <w:iCs/>
          <w:sz w:val="28"/>
          <w:szCs w:val="28"/>
          <w:lang w:val="lv-LV"/>
        </w:rPr>
      </w:pPr>
    </w:p>
    <w:p w14:paraId="6CBC0056" w14:textId="15BB06DA" w:rsidR="001B5A57" w:rsidRPr="00DB5899" w:rsidRDefault="00173F8C" w:rsidP="001B5A57">
      <w:pPr>
        <w:ind w:firstLine="720"/>
        <w:jc w:val="both"/>
        <w:rPr>
          <w:iCs/>
          <w:sz w:val="28"/>
          <w:szCs w:val="28"/>
          <w:lang w:val="lv-LV"/>
        </w:rPr>
      </w:pPr>
      <w:r w:rsidRPr="00DB5899">
        <w:rPr>
          <w:iCs/>
          <w:sz w:val="28"/>
          <w:szCs w:val="28"/>
          <w:lang w:val="lv-LV"/>
        </w:rPr>
        <w:t>1</w:t>
      </w:r>
      <w:r w:rsidR="00E539AD" w:rsidRPr="00DB5899">
        <w:rPr>
          <w:iCs/>
          <w:sz w:val="28"/>
          <w:szCs w:val="28"/>
          <w:lang w:val="lv-LV"/>
        </w:rPr>
        <w:t>5</w:t>
      </w:r>
      <w:r w:rsidR="008C7D93" w:rsidRPr="00DB5899">
        <w:rPr>
          <w:iCs/>
          <w:sz w:val="28"/>
          <w:szCs w:val="28"/>
          <w:lang w:val="lv-LV"/>
        </w:rPr>
        <w:t>.  </w:t>
      </w:r>
      <w:r w:rsidR="001B5A57" w:rsidRPr="00DB5899">
        <w:rPr>
          <w:iCs/>
          <w:sz w:val="28"/>
          <w:szCs w:val="28"/>
          <w:lang w:val="lv-LV"/>
        </w:rPr>
        <w:t>Šo noteikumu 2.3. apakšpunkts stājas spēkā 2021. gada 1. janvārī.</w:t>
      </w:r>
    </w:p>
    <w:p w14:paraId="60D439C7" w14:textId="77777777" w:rsidR="0084677F" w:rsidRPr="00DB5899" w:rsidRDefault="0084677F" w:rsidP="0071343A">
      <w:pPr>
        <w:ind w:firstLine="720"/>
        <w:jc w:val="both"/>
        <w:rPr>
          <w:iCs/>
          <w:sz w:val="28"/>
          <w:szCs w:val="28"/>
          <w:lang w:val="lv-LV"/>
        </w:rPr>
      </w:pPr>
    </w:p>
    <w:p w14:paraId="44C2B77F" w14:textId="3EB10B05" w:rsidR="00E16B03" w:rsidRPr="00DB5899" w:rsidRDefault="0084677F" w:rsidP="0071343A">
      <w:pPr>
        <w:ind w:firstLine="720"/>
        <w:jc w:val="both"/>
        <w:rPr>
          <w:iCs/>
          <w:sz w:val="28"/>
          <w:szCs w:val="28"/>
          <w:lang w:val="lv-LV"/>
        </w:rPr>
      </w:pPr>
      <w:r w:rsidRPr="00DB5899">
        <w:rPr>
          <w:sz w:val="28"/>
          <w:szCs w:val="28"/>
          <w:lang w:val="lv-LV"/>
        </w:rPr>
        <w:t>1</w:t>
      </w:r>
      <w:r w:rsidR="00E539AD" w:rsidRPr="00DB5899">
        <w:rPr>
          <w:sz w:val="28"/>
          <w:szCs w:val="28"/>
          <w:lang w:val="lv-LV"/>
        </w:rPr>
        <w:t>6</w:t>
      </w:r>
      <w:r w:rsidRPr="00DB5899">
        <w:rPr>
          <w:sz w:val="28"/>
          <w:szCs w:val="28"/>
          <w:lang w:val="lv-LV"/>
        </w:rPr>
        <w:t>.  </w:t>
      </w:r>
      <w:r w:rsidR="00E16B03" w:rsidRPr="00DB5899">
        <w:rPr>
          <w:sz w:val="28"/>
          <w:szCs w:val="28"/>
          <w:lang w:val="lv-LV"/>
        </w:rPr>
        <w:t>Noteikumi stājas spēkā 2018.</w:t>
      </w:r>
      <w:r w:rsidR="00D96B9C" w:rsidRPr="00DB5899">
        <w:rPr>
          <w:sz w:val="28"/>
          <w:szCs w:val="28"/>
          <w:lang w:val="lv-LV"/>
        </w:rPr>
        <w:t> </w:t>
      </w:r>
      <w:r w:rsidR="00E16B03" w:rsidRPr="00DB5899">
        <w:rPr>
          <w:sz w:val="28"/>
          <w:szCs w:val="28"/>
          <w:lang w:val="lv-LV"/>
        </w:rPr>
        <w:t>gada 1.</w:t>
      </w:r>
      <w:r w:rsidR="00D96B9C" w:rsidRPr="00DB5899">
        <w:rPr>
          <w:sz w:val="28"/>
          <w:szCs w:val="28"/>
          <w:lang w:val="lv-LV"/>
        </w:rPr>
        <w:t> </w:t>
      </w:r>
      <w:r w:rsidR="00373699" w:rsidRPr="00DB5899">
        <w:rPr>
          <w:sz w:val="28"/>
          <w:szCs w:val="28"/>
          <w:lang w:val="lv-LV"/>
        </w:rPr>
        <w:t>jūlijā</w:t>
      </w:r>
      <w:r w:rsidR="00E16B03" w:rsidRPr="00DB5899">
        <w:rPr>
          <w:sz w:val="28"/>
          <w:szCs w:val="28"/>
          <w:lang w:val="lv-LV"/>
        </w:rPr>
        <w:t>.</w:t>
      </w:r>
    </w:p>
    <w:p w14:paraId="7D065C73" w14:textId="77777777" w:rsidR="00E16B03" w:rsidRPr="00DB5899" w:rsidRDefault="00E16B03" w:rsidP="00EC7445">
      <w:pPr>
        <w:pStyle w:val="Header"/>
        <w:tabs>
          <w:tab w:val="clear" w:pos="4153"/>
          <w:tab w:val="center" w:pos="0"/>
        </w:tabs>
        <w:ind w:firstLine="720"/>
        <w:rPr>
          <w:rFonts w:eastAsia="Calibri"/>
          <w:sz w:val="28"/>
          <w:szCs w:val="28"/>
          <w:lang w:val="lv-LV"/>
        </w:rPr>
      </w:pPr>
    </w:p>
    <w:p w14:paraId="78159565" w14:textId="5F24926B" w:rsidR="00E16B03" w:rsidRPr="00DB5899" w:rsidRDefault="00E16B03" w:rsidP="00EC7445">
      <w:pPr>
        <w:pStyle w:val="Header"/>
        <w:tabs>
          <w:tab w:val="clear" w:pos="4153"/>
          <w:tab w:val="center" w:pos="0"/>
        </w:tabs>
        <w:ind w:firstLine="720"/>
        <w:rPr>
          <w:sz w:val="28"/>
          <w:szCs w:val="28"/>
          <w:lang w:val="lv-LV"/>
        </w:rPr>
      </w:pPr>
    </w:p>
    <w:p w14:paraId="1911F4BB" w14:textId="77777777" w:rsidR="009A0682" w:rsidRPr="00DB5899" w:rsidRDefault="009A0682" w:rsidP="00EC7445">
      <w:pPr>
        <w:pStyle w:val="Header"/>
        <w:tabs>
          <w:tab w:val="clear" w:pos="4153"/>
          <w:tab w:val="center" w:pos="0"/>
        </w:tabs>
        <w:ind w:firstLine="720"/>
        <w:rPr>
          <w:sz w:val="28"/>
          <w:szCs w:val="28"/>
          <w:lang w:val="lv-LV"/>
        </w:rPr>
      </w:pPr>
    </w:p>
    <w:p w14:paraId="0D4824B8" w14:textId="77777777" w:rsidR="00DB5899" w:rsidRPr="00DB5899" w:rsidRDefault="00DB5899" w:rsidP="00DB589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 w:rsidRPr="00DB5899">
        <w:rPr>
          <w:sz w:val="28"/>
          <w:szCs w:val="28"/>
          <w:lang w:val="lv-LV"/>
        </w:rPr>
        <w:t>Finanšu ministra vietā –</w:t>
      </w:r>
    </w:p>
    <w:p w14:paraId="6F113A00" w14:textId="56695458" w:rsidR="00FC4AC8" w:rsidRPr="00E04928" w:rsidRDefault="00DB5899" w:rsidP="00DB5899">
      <w:pPr>
        <w:tabs>
          <w:tab w:val="left" w:pos="0"/>
          <w:tab w:val="right" w:pos="9071"/>
        </w:tabs>
        <w:rPr>
          <w:sz w:val="28"/>
          <w:szCs w:val="28"/>
          <w:lang w:val="lv-LV"/>
        </w:rPr>
      </w:pPr>
      <w:r w:rsidRPr="00DB5899">
        <w:rPr>
          <w:sz w:val="28"/>
          <w:szCs w:val="28"/>
          <w:lang w:val="lv-LV"/>
        </w:rPr>
        <w:t xml:space="preserve">satiksmes ministrs </w:t>
      </w:r>
      <w:r w:rsidRPr="00DB5899">
        <w:rPr>
          <w:sz w:val="28"/>
          <w:szCs w:val="28"/>
          <w:lang w:val="lv-LV"/>
        </w:rPr>
        <w:tab/>
      </w:r>
      <w:proofErr w:type="spellStart"/>
      <w:r w:rsidRPr="00DB5899">
        <w:rPr>
          <w:sz w:val="28"/>
          <w:szCs w:val="28"/>
          <w:lang w:val="lv-LV"/>
        </w:rPr>
        <w:t>U.Augulis</w:t>
      </w:r>
      <w:proofErr w:type="spellEnd"/>
    </w:p>
    <w:sectPr w:rsidR="00FC4AC8" w:rsidRPr="00E04928" w:rsidSect="007E6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10224" w14:textId="77777777" w:rsidR="00C56911" w:rsidRDefault="00C56911" w:rsidP="003A654C">
      <w:r>
        <w:separator/>
      </w:r>
    </w:p>
  </w:endnote>
  <w:endnote w:type="continuationSeparator" w:id="0">
    <w:p w14:paraId="51359D9C" w14:textId="77777777" w:rsidR="00C56911" w:rsidRDefault="00C56911" w:rsidP="003A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E5E03" w14:textId="77777777" w:rsidR="00D47713" w:rsidRDefault="00D47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709D2" w14:textId="3EA10CD2" w:rsidR="00546426" w:rsidRPr="00CB2D55" w:rsidRDefault="003622AA" w:rsidP="00BC445E">
    <w:pPr>
      <w:pStyle w:val="Footer"/>
      <w:rPr>
        <w:sz w:val="20"/>
        <w:szCs w:val="20"/>
      </w:rPr>
    </w:pPr>
    <w:r w:rsidRPr="00CB2D55">
      <w:rPr>
        <w:sz w:val="20"/>
        <w:szCs w:val="20"/>
      </w:rPr>
      <w:fldChar w:fldCharType="begin"/>
    </w:r>
    <w:r w:rsidRPr="00CB2D55">
      <w:rPr>
        <w:sz w:val="20"/>
        <w:szCs w:val="20"/>
      </w:rPr>
      <w:instrText xml:space="preserve"> FILENAME   \* MERGEFORMAT </w:instrText>
    </w:r>
    <w:r w:rsidRPr="00CB2D55">
      <w:rPr>
        <w:sz w:val="20"/>
        <w:szCs w:val="20"/>
      </w:rPr>
      <w:fldChar w:fldCharType="separate"/>
    </w:r>
    <w:r w:rsidR="00F015CB">
      <w:rPr>
        <w:noProof/>
        <w:sz w:val="20"/>
        <w:szCs w:val="20"/>
      </w:rPr>
      <w:t>FMNot_270318_nodeva.docx</w:t>
    </w:r>
    <w:r w:rsidRPr="00CB2D55">
      <w:rPr>
        <w:noProof/>
        <w:sz w:val="20"/>
        <w:szCs w:val="20"/>
      </w:rPr>
      <w:fldChar w:fldCharType="end"/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70438" w14:textId="282417EF" w:rsidR="00546426" w:rsidRPr="00CB2D55" w:rsidRDefault="003622AA" w:rsidP="00256A3C">
    <w:pPr>
      <w:pStyle w:val="Footer"/>
      <w:rPr>
        <w:sz w:val="20"/>
        <w:szCs w:val="20"/>
      </w:rPr>
    </w:pPr>
    <w:r w:rsidRPr="00CB2D55">
      <w:rPr>
        <w:sz w:val="20"/>
        <w:szCs w:val="20"/>
      </w:rPr>
      <w:fldChar w:fldCharType="begin"/>
    </w:r>
    <w:r w:rsidRPr="00CB2D55">
      <w:rPr>
        <w:sz w:val="20"/>
        <w:szCs w:val="20"/>
      </w:rPr>
      <w:instrText xml:space="preserve"> FILENAME   \* MERGEFORMAT </w:instrText>
    </w:r>
    <w:r w:rsidRPr="00CB2D55">
      <w:rPr>
        <w:sz w:val="20"/>
        <w:szCs w:val="20"/>
      </w:rPr>
      <w:fldChar w:fldCharType="separate"/>
    </w:r>
    <w:r w:rsidR="00F015CB">
      <w:rPr>
        <w:noProof/>
        <w:sz w:val="20"/>
        <w:szCs w:val="20"/>
      </w:rPr>
      <w:t>FMNot_270318_nodeva.docx</w:t>
    </w:r>
    <w:r w:rsidRPr="00CB2D55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E2E3F" w14:textId="77777777" w:rsidR="00C56911" w:rsidRDefault="00C56911" w:rsidP="003A654C">
      <w:r>
        <w:separator/>
      </w:r>
    </w:p>
  </w:footnote>
  <w:footnote w:type="continuationSeparator" w:id="0">
    <w:p w14:paraId="2A5B36D2" w14:textId="77777777" w:rsidR="00C56911" w:rsidRDefault="00C56911" w:rsidP="003A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B332" w14:textId="77777777" w:rsidR="00D47713" w:rsidRDefault="00D47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4592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D5A315" w14:textId="6A34C8F9" w:rsidR="00A57C77" w:rsidRDefault="00A57C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5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DE0A1D" w14:textId="77777777" w:rsidR="00546426" w:rsidRDefault="00C569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EA9F6" w14:textId="77777777" w:rsidR="00D47713" w:rsidRDefault="00D47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726"/>
    <w:multiLevelType w:val="hybridMultilevel"/>
    <w:tmpl w:val="8C9CE7B2"/>
    <w:lvl w:ilvl="0" w:tplc="19985AC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50C7F"/>
    <w:multiLevelType w:val="hybridMultilevel"/>
    <w:tmpl w:val="1C704E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E4843"/>
    <w:multiLevelType w:val="hybridMultilevel"/>
    <w:tmpl w:val="8E3616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3"/>
    <w:rsid w:val="000052BD"/>
    <w:rsid w:val="00011CA5"/>
    <w:rsid w:val="00012C1B"/>
    <w:rsid w:val="00027F91"/>
    <w:rsid w:val="000308E4"/>
    <w:rsid w:val="00044514"/>
    <w:rsid w:val="00047D4F"/>
    <w:rsid w:val="0006067E"/>
    <w:rsid w:val="00063F42"/>
    <w:rsid w:val="000659CB"/>
    <w:rsid w:val="00066F4A"/>
    <w:rsid w:val="0007307A"/>
    <w:rsid w:val="00085228"/>
    <w:rsid w:val="00095252"/>
    <w:rsid w:val="0009545F"/>
    <w:rsid w:val="000A7DB1"/>
    <w:rsid w:val="000B47DA"/>
    <w:rsid w:val="000D064F"/>
    <w:rsid w:val="000D0974"/>
    <w:rsid w:val="000D452A"/>
    <w:rsid w:val="000E1537"/>
    <w:rsid w:val="000E1B78"/>
    <w:rsid w:val="000E1FA2"/>
    <w:rsid w:val="000F7BE4"/>
    <w:rsid w:val="0010435F"/>
    <w:rsid w:val="00105EA6"/>
    <w:rsid w:val="00111A8D"/>
    <w:rsid w:val="0012322F"/>
    <w:rsid w:val="00132177"/>
    <w:rsid w:val="00133038"/>
    <w:rsid w:val="00135BDE"/>
    <w:rsid w:val="001575E2"/>
    <w:rsid w:val="00166FC8"/>
    <w:rsid w:val="00173F8C"/>
    <w:rsid w:val="00180473"/>
    <w:rsid w:val="00190DD2"/>
    <w:rsid w:val="001968CC"/>
    <w:rsid w:val="001A0EFB"/>
    <w:rsid w:val="001B0DED"/>
    <w:rsid w:val="001B2E32"/>
    <w:rsid w:val="001B5A57"/>
    <w:rsid w:val="001C03A2"/>
    <w:rsid w:val="001D4A47"/>
    <w:rsid w:val="001D5ABE"/>
    <w:rsid w:val="001E314F"/>
    <w:rsid w:val="00204A5D"/>
    <w:rsid w:val="00207047"/>
    <w:rsid w:val="0020729B"/>
    <w:rsid w:val="00207C35"/>
    <w:rsid w:val="0023461D"/>
    <w:rsid w:val="002438C6"/>
    <w:rsid w:val="00243F3A"/>
    <w:rsid w:val="002545EA"/>
    <w:rsid w:val="00260253"/>
    <w:rsid w:val="00262350"/>
    <w:rsid w:val="002905A9"/>
    <w:rsid w:val="002930E3"/>
    <w:rsid w:val="00296B6D"/>
    <w:rsid w:val="002A46DA"/>
    <w:rsid w:val="002B14A7"/>
    <w:rsid w:val="002C4054"/>
    <w:rsid w:val="002D4C0F"/>
    <w:rsid w:val="002E4C71"/>
    <w:rsid w:val="002F54FB"/>
    <w:rsid w:val="003145C0"/>
    <w:rsid w:val="00326EB4"/>
    <w:rsid w:val="003342AE"/>
    <w:rsid w:val="003562C4"/>
    <w:rsid w:val="00360BEE"/>
    <w:rsid w:val="003622AA"/>
    <w:rsid w:val="0036473F"/>
    <w:rsid w:val="00373210"/>
    <w:rsid w:val="00373699"/>
    <w:rsid w:val="003806DF"/>
    <w:rsid w:val="003A654C"/>
    <w:rsid w:val="003C3ABF"/>
    <w:rsid w:val="003D031F"/>
    <w:rsid w:val="003D2826"/>
    <w:rsid w:val="003D4BDF"/>
    <w:rsid w:val="003E0E24"/>
    <w:rsid w:val="003E4E85"/>
    <w:rsid w:val="003E6C05"/>
    <w:rsid w:val="003F45AB"/>
    <w:rsid w:val="003F57F6"/>
    <w:rsid w:val="003F6FDE"/>
    <w:rsid w:val="00417F9A"/>
    <w:rsid w:val="00427649"/>
    <w:rsid w:val="00441C8E"/>
    <w:rsid w:val="00445304"/>
    <w:rsid w:val="00447AD5"/>
    <w:rsid w:val="004552F7"/>
    <w:rsid w:val="00460019"/>
    <w:rsid w:val="00480F63"/>
    <w:rsid w:val="00482942"/>
    <w:rsid w:val="0048761E"/>
    <w:rsid w:val="004948F0"/>
    <w:rsid w:val="004A01A9"/>
    <w:rsid w:val="004B0025"/>
    <w:rsid w:val="004D19EB"/>
    <w:rsid w:val="004F60CF"/>
    <w:rsid w:val="005216E5"/>
    <w:rsid w:val="005419AE"/>
    <w:rsid w:val="00551B3A"/>
    <w:rsid w:val="00556741"/>
    <w:rsid w:val="005625B0"/>
    <w:rsid w:val="00574A26"/>
    <w:rsid w:val="00582325"/>
    <w:rsid w:val="00594B3C"/>
    <w:rsid w:val="005A598C"/>
    <w:rsid w:val="005B468D"/>
    <w:rsid w:val="006202B2"/>
    <w:rsid w:val="006270BB"/>
    <w:rsid w:val="00640BED"/>
    <w:rsid w:val="006652DE"/>
    <w:rsid w:val="00667202"/>
    <w:rsid w:val="00674407"/>
    <w:rsid w:val="006751A4"/>
    <w:rsid w:val="00676A2B"/>
    <w:rsid w:val="006802D4"/>
    <w:rsid w:val="00686F72"/>
    <w:rsid w:val="00696D82"/>
    <w:rsid w:val="006975EC"/>
    <w:rsid w:val="006C22CF"/>
    <w:rsid w:val="006C7EDC"/>
    <w:rsid w:val="006D0C48"/>
    <w:rsid w:val="006D7243"/>
    <w:rsid w:val="006E0B71"/>
    <w:rsid w:val="006E6B60"/>
    <w:rsid w:val="006F0FE3"/>
    <w:rsid w:val="006F49BC"/>
    <w:rsid w:val="006F5538"/>
    <w:rsid w:val="0071343A"/>
    <w:rsid w:val="00713FF2"/>
    <w:rsid w:val="00716297"/>
    <w:rsid w:val="0074392B"/>
    <w:rsid w:val="007557D7"/>
    <w:rsid w:val="007752EB"/>
    <w:rsid w:val="00781C03"/>
    <w:rsid w:val="007A5F67"/>
    <w:rsid w:val="007C2AF5"/>
    <w:rsid w:val="007C6854"/>
    <w:rsid w:val="007E3115"/>
    <w:rsid w:val="007E35A3"/>
    <w:rsid w:val="007E6800"/>
    <w:rsid w:val="007F4F3E"/>
    <w:rsid w:val="007F7E27"/>
    <w:rsid w:val="00807170"/>
    <w:rsid w:val="00822B41"/>
    <w:rsid w:val="0082449E"/>
    <w:rsid w:val="00825740"/>
    <w:rsid w:val="008423EE"/>
    <w:rsid w:val="008451E7"/>
    <w:rsid w:val="00845776"/>
    <w:rsid w:val="0084677F"/>
    <w:rsid w:val="00846B55"/>
    <w:rsid w:val="00850A16"/>
    <w:rsid w:val="00860ED8"/>
    <w:rsid w:val="0087390A"/>
    <w:rsid w:val="008747A6"/>
    <w:rsid w:val="00875DD4"/>
    <w:rsid w:val="00890577"/>
    <w:rsid w:val="008A4C80"/>
    <w:rsid w:val="008B14E2"/>
    <w:rsid w:val="008B226E"/>
    <w:rsid w:val="008C7D93"/>
    <w:rsid w:val="008D380F"/>
    <w:rsid w:val="008E137D"/>
    <w:rsid w:val="008E326B"/>
    <w:rsid w:val="008E553A"/>
    <w:rsid w:val="00903BFA"/>
    <w:rsid w:val="00910561"/>
    <w:rsid w:val="009127D0"/>
    <w:rsid w:val="009528C7"/>
    <w:rsid w:val="00960D23"/>
    <w:rsid w:val="00963B62"/>
    <w:rsid w:val="009655B4"/>
    <w:rsid w:val="00997063"/>
    <w:rsid w:val="009A0682"/>
    <w:rsid w:val="009A2057"/>
    <w:rsid w:val="009B15A0"/>
    <w:rsid w:val="009B239E"/>
    <w:rsid w:val="009B75E9"/>
    <w:rsid w:val="009C782F"/>
    <w:rsid w:val="009D152F"/>
    <w:rsid w:val="009E6B4C"/>
    <w:rsid w:val="009F157C"/>
    <w:rsid w:val="009F17DC"/>
    <w:rsid w:val="00A05359"/>
    <w:rsid w:val="00A0562D"/>
    <w:rsid w:val="00A15323"/>
    <w:rsid w:val="00A174E6"/>
    <w:rsid w:val="00A37115"/>
    <w:rsid w:val="00A3728B"/>
    <w:rsid w:val="00A40DD9"/>
    <w:rsid w:val="00A46B3A"/>
    <w:rsid w:val="00A54BF8"/>
    <w:rsid w:val="00A55AA4"/>
    <w:rsid w:val="00A55B9A"/>
    <w:rsid w:val="00A57C77"/>
    <w:rsid w:val="00A714AC"/>
    <w:rsid w:val="00A81C52"/>
    <w:rsid w:val="00A855E2"/>
    <w:rsid w:val="00A93905"/>
    <w:rsid w:val="00A942E3"/>
    <w:rsid w:val="00AA0D4B"/>
    <w:rsid w:val="00AA3DBA"/>
    <w:rsid w:val="00AA4583"/>
    <w:rsid w:val="00AA6F94"/>
    <w:rsid w:val="00AB7B7E"/>
    <w:rsid w:val="00AC027F"/>
    <w:rsid w:val="00AC1A71"/>
    <w:rsid w:val="00AC7502"/>
    <w:rsid w:val="00AD2060"/>
    <w:rsid w:val="00AD2AD9"/>
    <w:rsid w:val="00AD6DD3"/>
    <w:rsid w:val="00AE2508"/>
    <w:rsid w:val="00AE2D28"/>
    <w:rsid w:val="00AE36D9"/>
    <w:rsid w:val="00AE4BA8"/>
    <w:rsid w:val="00AE5C99"/>
    <w:rsid w:val="00AE7995"/>
    <w:rsid w:val="00AF354D"/>
    <w:rsid w:val="00B139F1"/>
    <w:rsid w:val="00B17004"/>
    <w:rsid w:val="00B17B95"/>
    <w:rsid w:val="00B30C17"/>
    <w:rsid w:val="00B731A9"/>
    <w:rsid w:val="00B8182C"/>
    <w:rsid w:val="00B8251B"/>
    <w:rsid w:val="00B83495"/>
    <w:rsid w:val="00B83918"/>
    <w:rsid w:val="00B9029C"/>
    <w:rsid w:val="00BA2047"/>
    <w:rsid w:val="00BA2827"/>
    <w:rsid w:val="00BB3C56"/>
    <w:rsid w:val="00BC36DC"/>
    <w:rsid w:val="00BC5B58"/>
    <w:rsid w:val="00BC6FB1"/>
    <w:rsid w:val="00BD0D50"/>
    <w:rsid w:val="00BD0FE1"/>
    <w:rsid w:val="00BD22CA"/>
    <w:rsid w:val="00BD4504"/>
    <w:rsid w:val="00BE115A"/>
    <w:rsid w:val="00C036C3"/>
    <w:rsid w:val="00C03BCF"/>
    <w:rsid w:val="00C0683A"/>
    <w:rsid w:val="00C131AF"/>
    <w:rsid w:val="00C2154F"/>
    <w:rsid w:val="00C326C1"/>
    <w:rsid w:val="00C3711C"/>
    <w:rsid w:val="00C56911"/>
    <w:rsid w:val="00CA3A89"/>
    <w:rsid w:val="00CB1E5A"/>
    <w:rsid w:val="00CB2D55"/>
    <w:rsid w:val="00CB3F9B"/>
    <w:rsid w:val="00CB41E0"/>
    <w:rsid w:val="00CB538E"/>
    <w:rsid w:val="00CB5F32"/>
    <w:rsid w:val="00CC2257"/>
    <w:rsid w:val="00CE64DA"/>
    <w:rsid w:val="00CE658B"/>
    <w:rsid w:val="00CF6C17"/>
    <w:rsid w:val="00D11D4B"/>
    <w:rsid w:val="00D11F08"/>
    <w:rsid w:val="00D12BD5"/>
    <w:rsid w:val="00D1492D"/>
    <w:rsid w:val="00D158E7"/>
    <w:rsid w:val="00D15A82"/>
    <w:rsid w:val="00D2345E"/>
    <w:rsid w:val="00D25E6A"/>
    <w:rsid w:val="00D267BE"/>
    <w:rsid w:val="00D345DF"/>
    <w:rsid w:val="00D42ABB"/>
    <w:rsid w:val="00D4712D"/>
    <w:rsid w:val="00D47713"/>
    <w:rsid w:val="00D70DC8"/>
    <w:rsid w:val="00D764F4"/>
    <w:rsid w:val="00D775A8"/>
    <w:rsid w:val="00D96B9C"/>
    <w:rsid w:val="00DA172D"/>
    <w:rsid w:val="00DA22B0"/>
    <w:rsid w:val="00DA418E"/>
    <w:rsid w:val="00DB5899"/>
    <w:rsid w:val="00DB63C9"/>
    <w:rsid w:val="00DC0EE4"/>
    <w:rsid w:val="00DC4068"/>
    <w:rsid w:val="00DC7EDC"/>
    <w:rsid w:val="00E02657"/>
    <w:rsid w:val="00E04928"/>
    <w:rsid w:val="00E15B43"/>
    <w:rsid w:val="00E16B03"/>
    <w:rsid w:val="00E22788"/>
    <w:rsid w:val="00E27944"/>
    <w:rsid w:val="00E30CAA"/>
    <w:rsid w:val="00E320B9"/>
    <w:rsid w:val="00E5222E"/>
    <w:rsid w:val="00E539AD"/>
    <w:rsid w:val="00E53C7D"/>
    <w:rsid w:val="00E6015C"/>
    <w:rsid w:val="00E6439E"/>
    <w:rsid w:val="00E71F5F"/>
    <w:rsid w:val="00EA3A49"/>
    <w:rsid w:val="00EA53A4"/>
    <w:rsid w:val="00EA55AE"/>
    <w:rsid w:val="00EB4642"/>
    <w:rsid w:val="00EB614D"/>
    <w:rsid w:val="00EC5D93"/>
    <w:rsid w:val="00EC67ED"/>
    <w:rsid w:val="00EC7445"/>
    <w:rsid w:val="00ED1BC2"/>
    <w:rsid w:val="00ED710E"/>
    <w:rsid w:val="00EF3FDC"/>
    <w:rsid w:val="00EF4F6B"/>
    <w:rsid w:val="00F015CB"/>
    <w:rsid w:val="00F01A59"/>
    <w:rsid w:val="00F022C3"/>
    <w:rsid w:val="00F16A10"/>
    <w:rsid w:val="00F20125"/>
    <w:rsid w:val="00F2447A"/>
    <w:rsid w:val="00F24E12"/>
    <w:rsid w:val="00F371BD"/>
    <w:rsid w:val="00F440FB"/>
    <w:rsid w:val="00F446C6"/>
    <w:rsid w:val="00F463B9"/>
    <w:rsid w:val="00F54834"/>
    <w:rsid w:val="00F57A38"/>
    <w:rsid w:val="00F7559F"/>
    <w:rsid w:val="00F762B9"/>
    <w:rsid w:val="00F804F1"/>
    <w:rsid w:val="00F810DD"/>
    <w:rsid w:val="00F86AA5"/>
    <w:rsid w:val="00F93702"/>
    <w:rsid w:val="00FB207F"/>
    <w:rsid w:val="00FC3AFF"/>
    <w:rsid w:val="00FC4AC8"/>
    <w:rsid w:val="00FC5878"/>
    <w:rsid w:val="00FD3EE6"/>
    <w:rsid w:val="00FE1F3E"/>
    <w:rsid w:val="00FE66C3"/>
    <w:rsid w:val="00FF0499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E35F5A"/>
  <w15:chartTrackingRefBased/>
  <w15:docId w15:val="{9B3A595A-ABD3-4EAE-8422-2404B9AF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B0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H4"/>
    <w:rsid w:val="00E16B03"/>
    <w:pPr>
      <w:spacing w:after="1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lv-LV" w:eastAsia="zh-CN"/>
    </w:rPr>
  </w:style>
  <w:style w:type="paragraph" w:styleId="Header">
    <w:name w:val="header"/>
    <w:basedOn w:val="Normal"/>
    <w:link w:val="HeaderChar"/>
    <w:uiPriority w:val="99"/>
    <w:rsid w:val="00E16B03"/>
    <w:pPr>
      <w:tabs>
        <w:tab w:val="center" w:pos="4153"/>
        <w:tab w:val="right" w:pos="8306"/>
      </w:tabs>
      <w:jc w:val="both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E16B0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E16B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B0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A01A9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1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A6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text-align-justify">
    <w:name w:val="text-align-justify"/>
    <w:basedOn w:val="Normal"/>
    <w:rsid w:val="00AD2AD9"/>
    <w:pPr>
      <w:spacing w:after="150"/>
      <w:jc w:val="both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4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A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AD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D031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78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6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0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CE2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9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72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0211-4C79-4938-A958-FF585C77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3808</Words>
  <Characters>2172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"Valsts nodevu uzskaites noteikumi"</vt:lpstr>
    </vt:vector>
  </TitlesOfParts>
  <Company>Finanšu Ministrija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"Valsts nodevu uzskaites noteikumi"</dc:title>
  <dc:subject/>
  <dc:creator>Evita Šēfere</dc:creator>
  <cp:keywords/>
  <dc:description>67083942, evita.sefere@fm.gov.lv</dc:description>
  <cp:lastModifiedBy>Evita Šēfere</cp:lastModifiedBy>
  <cp:revision>17</cp:revision>
  <cp:lastPrinted>2017-11-09T08:28:00Z</cp:lastPrinted>
  <dcterms:created xsi:type="dcterms:W3CDTF">2018-03-15T12:22:00Z</dcterms:created>
  <dcterms:modified xsi:type="dcterms:W3CDTF">2018-03-27T05:42:00Z</dcterms:modified>
  <cp:category>Noteikumu projekts</cp:category>
</cp:coreProperties>
</file>