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B396" w14:textId="77777777" w:rsidR="00FC6CB7" w:rsidRPr="002D6FA0" w:rsidRDefault="00FC6CB7" w:rsidP="00A709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D6FA0">
        <w:rPr>
          <w:b/>
          <w:sz w:val="28"/>
          <w:szCs w:val="28"/>
        </w:rPr>
        <w:t>Ministru kabineta noteikumu projekta "Grozījumi Ministru kabineta 2015. gada 10. februāra noteikumos Nr. 77 "Eiropas Savienības struktūrfondu un Kohēzijas fonda projektu pārbaužu veikšanas kārtība 2014. - 2020. gada plānošanas periodā"" sākotnējās ietekmes novērtējuma ziņojums (anotācija)</w:t>
      </w:r>
    </w:p>
    <w:p w14:paraId="6CE04779" w14:textId="77777777" w:rsidR="00FC6CB7" w:rsidRPr="002D6FA0" w:rsidRDefault="00FC6CB7" w:rsidP="00FC6CB7">
      <w:pPr>
        <w:pStyle w:val="Title"/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outset" w:sz="5" w:space="0" w:color="414142"/>
          <w:left w:val="outset" w:sz="5" w:space="0" w:color="414142"/>
          <w:bottom w:val="outset" w:sz="5" w:space="0" w:color="414142"/>
          <w:right w:val="outset" w:sz="5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3624"/>
        <w:gridCol w:w="5435"/>
      </w:tblGrid>
      <w:tr w:rsidR="002D6FA0" w:rsidRPr="002D6FA0" w14:paraId="1BF166AA" w14:textId="77777777" w:rsidTr="005E0EF3">
        <w:tc>
          <w:tcPr>
            <w:tcW w:w="0" w:type="auto"/>
            <w:gridSpan w:val="2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vAlign w:val="center"/>
            <w:hideMark/>
          </w:tcPr>
          <w:p w14:paraId="7322DFD2" w14:textId="77777777" w:rsidR="003D3F0C" w:rsidRPr="002D6FA0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2D6FA0">
              <w:rPr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3D3F0C" w:rsidRPr="002D6FA0" w14:paraId="688C422F" w14:textId="77777777" w:rsidTr="005E0EF3">
        <w:tc>
          <w:tcPr>
            <w:tcW w:w="2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16FC467A" w14:textId="77777777" w:rsidR="003D3F0C" w:rsidRPr="002D6FA0" w:rsidRDefault="003D3F0C" w:rsidP="005E0EF3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67286B11" w14:textId="48C0F83B" w:rsidR="00A60631" w:rsidRPr="002D6FA0" w:rsidRDefault="00A60631" w:rsidP="00814BD2">
            <w:pPr>
              <w:ind w:right="115"/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Noteikumu projekts izstrādāts ar mērķi noteikt</w:t>
            </w:r>
            <w:proofErr w:type="gramStart"/>
            <w:r w:rsidRPr="002D6FA0">
              <w:rPr>
                <w:sz w:val="28"/>
                <w:szCs w:val="28"/>
              </w:rPr>
              <w:t xml:space="preserve">  </w:t>
            </w:r>
            <w:proofErr w:type="gramEnd"/>
            <w:r w:rsidRPr="002D6FA0">
              <w:rPr>
                <w:sz w:val="28"/>
                <w:szCs w:val="28"/>
              </w:rPr>
              <w:t>sadarbības iestādei tiesības veikt pārbaudi pirms līguma vai vienošanās noslēgšanas</w:t>
            </w:r>
            <w:r w:rsidR="00446C0A" w:rsidRPr="002D6FA0">
              <w:rPr>
                <w:sz w:val="28"/>
                <w:szCs w:val="28"/>
              </w:rPr>
              <w:t>,</w:t>
            </w:r>
            <w:r w:rsidRPr="002D6FA0">
              <w:rPr>
                <w:sz w:val="28"/>
                <w:szCs w:val="28"/>
              </w:rPr>
              <w:t xml:space="preserve"> projekta iesniedzēju par to iepriekš neinformējot. </w:t>
            </w:r>
            <w:r w:rsidR="00BA2F31" w:rsidRPr="002D6FA0">
              <w:rPr>
                <w:sz w:val="28"/>
                <w:szCs w:val="28"/>
              </w:rPr>
              <w:t>Tādejādi</w:t>
            </w:r>
            <w:r w:rsidR="00446C0A" w:rsidRPr="002D6FA0">
              <w:rPr>
                <w:sz w:val="28"/>
                <w:szCs w:val="28"/>
              </w:rPr>
              <w:t xml:space="preserve"> sadarbības iestāde varēs</w:t>
            </w:r>
            <w:r w:rsidR="00BA2F31" w:rsidRPr="002D6FA0">
              <w:rPr>
                <w:sz w:val="28"/>
                <w:szCs w:val="28"/>
              </w:rPr>
              <w:t xml:space="preserve"> efektīvāk</w:t>
            </w:r>
            <w:r w:rsidR="00446C0A" w:rsidRPr="002D6FA0">
              <w:rPr>
                <w:sz w:val="28"/>
                <w:szCs w:val="28"/>
              </w:rPr>
              <w:t xml:space="preserve"> konstatēt</w:t>
            </w:r>
            <w:r w:rsidR="00BA2F31" w:rsidRPr="002D6FA0">
              <w:rPr>
                <w:sz w:val="28"/>
                <w:szCs w:val="28"/>
              </w:rPr>
              <w:t xml:space="preserve"> dažādus pārkāpumu</w:t>
            </w:r>
            <w:r w:rsidR="00446C0A" w:rsidRPr="002D6FA0">
              <w:rPr>
                <w:sz w:val="28"/>
                <w:szCs w:val="28"/>
              </w:rPr>
              <w:t>s</w:t>
            </w:r>
            <w:r w:rsidR="00BA2F31" w:rsidRPr="002D6FA0">
              <w:rPr>
                <w:sz w:val="28"/>
                <w:szCs w:val="28"/>
              </w:rPr>
              <w:t xml:space="preserve"> plānoto projektu īstenošanā.</w:t>
            </w:r>
          </w:p>
          <w:p w14:paraId="14A06696" w14:textId="7AB345C7" w:rsidR="003D3F0C" w:rsidRPr="002D6FA0" w:rsidRDefault="00446C0A" w:rsidP="009136DF">
            <w:pPr>
              <w:ind w:right="115"/>
              <w:jc w:val="both"/>
              <w:rPr>
                <w:b/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</w:t>
            </w:r>
            <w:r w:rsidR="005820FB" w:rsidRPr="002D6FA0">
              <w:rPr>
                <w:sz w:val="28"/>
                <w:szCs w:val="28"/>
              </w:rPr>
              <w:t xml:space="preserve">apildināta </w:t>
            </w:r>
            <w:r w:rsidR="00A60631" w:rsidRPr="002D6FA0">
              <w:rPr>
                <w:sz w:val="28"/>
                <w:szCs w:val="28"/>
              </w:rPr>
              <w:t>noteikumu 2. pielikuma E sadaļ</w:t>
            </w:r>
            <w:r w:rsidR="005820FB" w:rsidRPr="002D6FA0">
              <w:rPr>
                <w:sz w:val="28"/>
                <w:szCs w:val="28"/>
              </w:rPr>
              <w:t>a</w:t>
            </w:r>
            <w:r w:rsidR="00A60631" w:rsidRPr="002D6FA0">
              <w:rPr>
                <w:sz w:val="28"/>
                <w:szCs w:val="28"/>
              </w:rPr>
              <w:t xml:space="preserve"> ar mērķi noteikt, ka minēto sadaļu neaizpilda to projektu ietvaros</w:t>
            </w:r>
            <w:r w:rsidR="005820FB" w:rsidRPr="002D6FA0">
              <w:rPr>
                <w:sz w:val="28"/>
                <w:szCs w:val="28"/>
              </w:rPr>
              <w:t>,</w:t>
            </w:r>
            <w:r w:rsidR="00A60631" w:rsidRPr="002D6FA0">
              <w:rPr>
                <w:sz w:val="28"/>
                <w:szCs w:val="28"/>
              </w:rPr>
              <w:t xml:space="preserve"> kur ir paredzēti publiskā tipa pasākumi</w:t>
            </w:r>
            <w:r w:rsidRPr="002D6FA0">
              <w:rPr>
                <w:sz w:val="28"/>
                <w:szCs w:val="28"/>
              </w:rPr>
              <w:t>.</w:t>
            </w:r>
            <w:r w:rsidR="005820FB" w:rsidRPr="002D6FA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 xml:space="preserve">Noteikumu projektā iekļauti arī </w:t>
            </w:r>
            <w:r w:rsidR="005820FB" w:rsidRPr="002D6FA0">
              <w:rPr>
                <w:sz w:val="28"/>
                <w:szCs w:val="28"/>
              </w:rPr>
              <w:t>citi tehniski precizējumi</w:t>
            </w:r>
            <w:r w:rsidR="00A60631" w:rsidRPr="002D6FA0">
              <w:rPr>
                <w:sz w:val="28"/>
                <w:szCs w:val="28"/>
              </w:rPr>
              <w:t xml:space="preserve">. Plānots, ka noteikumu projekts stāsies spēkā </w:t>
            </w:r>
            <w:r w:rsidR="00C531DD" w:rsidRPr="002D6FA0">
              <w:rPr>
                <w:sz w:val="28"/>
                <w:szCs w:val="28"/>
              </w:rPr>
              <w:t>2018. gada</w:t>
            </w:r>
            <w:r w:rsidR="00A60631" w:rsidRPr="002D6FA0">
              <w:rPr>
                <w:b/>
                <w:sz w:val="28"/>
                <w:szCs w:val="28"/>
              </w:rPr>
              <w:t xml:space="preserve"> </w:t>
            </w:r>
            <w:r w:rsidR="009136DF" w:rsidRPr="0049348A">
              <w:rPr>
                <w:sz w:val="28"/>
                <w:szCs w:val="28"/>
              </w:rPr>
              <w:t>18</w:t>
            </w:r>
            <w:r w:rsidR="00BC0C29" w:rsidRPr="0049348A">
              <w:rPr>
                <w:sz w:val="28"/>
                <w:szCs w:val="28"/>
              </w:rPr>
              <w:t>. </w:t>
            </w:r>
            <w:r w:rsidR="009136DF" w:rsidRPr="0049348A">
              <w:rPr>
                <w:sz w:val="28"/>
                <w:szCs w:val="28"/>
              </w:rPr>
              <w:t>maijā</w:t>
            </w:r>
            <w:r w:rsidR="00A60631" w:rsidRPr="002D6FA0">
              <w:rPr>
                <w:sz w:val="28"/>
                <w:szCs w:val="28"/>
              </w:rPr>
              <w:t>.</w:t>
            </w:r>
          </w:p>
        </w:tc>
      </w:tr>
    </w:tbl>
    <w:p w14:paraId="67D40008" w14:textId="77777777" w:rsidR="003D3F0C" w:rsidRPr="002D6FA0" w:rsidRDefault="003D3F0C" w:rsidP="00A70991">
      <w:pPr>
        <w:pStyle w:val="Title"/>
        <w:spacing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outset" w:sz="5" w:space="0" w:color="414142"/>
          <w:left w:val="outset" w:sz="5" w:space="0" w:color="414142"/>
          <w:bottom w:val="outset" w:sz="5" w:space="0" w:color="414142"/>
          <w:right w:val="outset" w:sz="5" w:space="0" w:color="414142"/>
        </w:tblBorders>
        <w:tblCellMar>
          <w:top w:w="26" w:type="dxa"/>
          <w:left w:w="26" w:type="dxa"/>
          <w:bottom w:w="26" w:type="dxa"/>
          <w:right w:w="26" w:type="dxa"/>
        </w:tblCellMar>
        <w:tblLook w:val="04A0" w:firstRow="1" w:lastRow="0" w:firstColumn="1" w:lastColumn="0" w:noHBand="0" w:noVBand="1"/>
      </w:tblPr>
      <w:tblGrid>
        <w:gridCol w:w="562"/>
        <w:gridCol w:w="3071"/>
        <w:gridCol w:w="5426"/>
      </w:tblGrid>
      <w:tr w:rsidR="002D6FA0" w:rsidRPr="002D6FA0" w14:paraId="0EEA2847" w14:textId="77777777" w:rsidTr="005E0EF3">
        <w:tc>
          <w:tcPr>
            <w:tcW w:w="0" w:type="auto"/>
            <w:gridSpan w:val="3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vAlign w:val="center"/>
            <w:hideMark/>
          </w:tcPr>
          <w:p w14:paraId="4B120F84" w14:textId="77777777" w:rsidR="003D3F0C" w:rsidRPr="002D6FA0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sz w:val="28"/>
                <w:szCs w:val="28"/>
              </w:rPr>
            </w:pPr>
            <w:r w:rsidRPr="002D6FA0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2D6FA0" w:rsidRPr="002D6FA0" w14:paraId="3E07B15E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817DFCB" w14:textId="77777777" w:rsidR="003D3F0C" w:rsidRPr="002D6FA0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1.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56F14AD5" w14:textId="77777777" w:rsidR="003D3F0C" w:rsidRPr="002D6FA0" w:rsidRDefault="003D3F0C" w:rsidP="005E0EF3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Pamatojums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01D0B04A" w14:textId="77777777" w:rsidR="003D3F0C" w:rsidRPr="002D6FA0" w:rsidRDefault="003D3F0C" w:rsidP="005E0EF3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Eiropas Savienības struktūrfondu un Kohēzijas fonda 2014.-2020.</w:t>
            </w:r>
            <w:r w:rsidR="004507F6" w:rsidRPr="002D6FA0">
              <w:rPr>
                <w:sz w:val="28"/>
                <w:szCs w:val="28"/>
              </w:rPr>
              <w:t> </w:t>
            </w:r>
            <w:r w:rsidRPr="002D6FA0">
              <w:rPr>
                <w:sz w:val="28"/>
                <w:szCs w:val="28"/>
              </w:rPr>
              <w:t>gada plānošanas perioda vadības likuma 20.</w:t>
            </w:r>
            <w:r w:rsidR="004507F6" w:rsidRPr="002D6FA0">
              <w:rPr>
                <w:sz w:val="28"/>
                <w:szCs w:val="28"/>
              </w:rPr>
              <w:t> </w:t>
            </w:r>
            <w:r w:rsidRPr="002D6FA0">
              <w:rPr>
                <w:sz w:val="28"/>
                <w:szCs w:val="28"/>
              </w:rPr>
              <w:t>panta 3., 4., 7. un 8. punkts.</w:t>
            </w:r>
          </w:p>
        </w:tc>
      </w:tr>
      <w:tr w:rsidR="002D6FA0" w:rsidRPr="002D6FA0" w14:paraId="34E76C04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82C3C9D" w14:textId="77777777" w:rsidR="003D3F0C" w:rsidRPr="002D6FA0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2.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641E3F3B" w14:textId="2FF92221" w:rsidR="00EC7716" w:rsidRPr="002D6FA0" w:rsidRDefault="003D3F0C" w:rsidP="00B9524C">
            <w:pPr>
              <w:ind w:right="213"/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0C07E29C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32EB6817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3A9F6B6E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5DA40DC1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06D75C37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11940B62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54581C32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1EDF7D1C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73003CDA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7C20665A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5C817079" w14:textId="77777777" w:rsidR="00EC7716" w:rsidRPr="002D6FA0" w:rsidRDefault="00EC7716" w:rsidP="00EC7716">
            <w:pPr>
              <w:rPr>
                <w:sz w:val="28"/>
                <w:szCs w:val="28"/>
              </w:rPr>
            </w:pPr>
          </w:p>
          <w:p w14:paraId="039F1ECA" w14:textId="020387E8" w:rsidR="003D3F0C" w:rsidRPr="002D6FA0" w:rsidRDefault="003D3F0C" w:rsidP="00EC7716">
            <w:pPr>
              <w:rPr>
                <w:sz w:val="28"/>
                <w:szCs w:val="28"/>
              </w:rPr>
            </w:pP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1AF86056" w14:textId="617145ED" w:rsidR="00BB2859" w:rsidRPr="002D6FA0" w:rsidRDefault="003D3F0C" w:rsidP="003D3F0C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Centrālā finanšu un līgumu aģentūra kā Eiropas Savienības struktūrfondu un Kohēzijas fonda (turpmāk – ES fondi) sadarbības iestāde (turpmāk – sadarbības iestāde) saskaņā ar Ministru kabineta 2015. gada 10. februāra noteikumu Nr. 77 "Eiropas Savienības struktūrfondu un Kohēzijas fonda projektu pārbaužu veikšanas kārtība 2014. - 2020. gada plānošanas periodā" (turpmāk – MK noteikumi Nr. 77) 30. punktu veic pārbaudi projekta īstenošanas vietā</w:t>
            </w:r>
            <w:r w:rsidR="00446C0A" w:rsidRPr="002D6FA0">
              <w:rPr>
                <w:sz w:val="28"/>
                <w:szCs w:val="28"/>
              </w:rPr>
              <w:t>,</w:t>
            </w:r>
            <w:r w:rsidRPr="002D6FA0">
              <w:rPr>
                <w:sz w:val="28"/>
                <w:szCs w:val="28"/>
              </w:rPr>
              <w:t xml:space="preserve"> pirms noslēgts līgums vai vienošanās par projekta īstenošanu (turpmāk – pirms līguma pārbaude</w:t>
            </w:r>
            <w:r w:rsidR="007B632A" w:rsidRPr="002D6FA0">
              <w:rPr>
                <w:sz w:val="28"/>
                <w:szCs w:val="28"/>
              </w:rPr>
              <w:t xml:space="preserve">). Sadarbības iestāde </w:t>
            </w:r>
            <w:r w:rsidR="00BB2859" w:rsidRPr="002D6FA0">
              <w:rPr>
                <w:sz w:val="28"/>
                <w:szCs w:val="28"/>
              </w:rPr>
              <w:t xml:space="preserve">projekta īstenošanas vietā </w:t>
            </w:r>
            <w:r w:rsidRPr="002D6FA0">
              <w:rPr>
                <w:sz w:val="28"/>
                <w:szCs w:val="28"/>
              </w:rPr>
              <w:t>pārliecinās, vai projekta iesniedzējs faktiski ir izpildījis visus projekta iesnieguma apstiprināšanai nepieciešamos nosacījumus</w:t>
            </w:r>
            <w:r w:rsidRPr="002D6FA0">
              <w:rPr>
                <w:b/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>(</w:t>
            </w:r>
            <w:r w:rsidR="007B632A" w:rsidRPr="002D6FA0">
              <w:rPr>
                <w:sz w:val="28"/>
                <w:szCs w:val="28"/>
              </w:rPr>
              <w:t xml:space="preserve">piem., vai vietā, kur plānots īstenot projektu, nav uzsāktas </w:t>
            </w:r>
            <w:r w:rsidR="007B632A" w:rsidRPr="002D6FA0">
              <w:rPr>
                <w:sz w:val="28"/>
                <w:szCs w:val="28"/>
              </w:rPr>
              <w:lastRenderedPageBreak/>
              <w:t xml:space="preserve">atbalstāmās darbības (t.sk. būvniecības, pārbūves vai atjaunošanas darbi), ražošanas ēkā ir uzstādītas ražošanas iekārtas, ražošanas ēkā tiek veikts nepārtraukts ražošanas process saskaņā ar projekta iesniegumā norādīto informāciju) </w:t>
            </w:r>
            <w:r w:rsidRPr="002D6FA0">
              <w:rPr>
                <w:sz w:val="28"/>
                <w:szCs w:val="28"/>
              </w:rPr>
              <w:t>un projekta iesniedzējs ir specifiskā atbalsta mērķa mērķauditorija (piem., ēka vēl nav siltināta, ražošanas procesu nodrošina energoresursus ne-ietaupošas iekārtas).</w:t>
            </w:r>
          </w:p>
          <w:p w14:paraId="21D2E7B1" w14:textId="2BBBDC86" w:rsidR="007B632A" w:rsidRPr="002D6FA0" w:rsidRDefault="00BB2859" w:rsidP="009E3CEB">
            <w:pPr>
              <w:ind w:right="115" w:firstLine="169"/>
              <w:jc w:val="both"/>
              <w:rPr>
                <w:sz w:val="28"/>
                <w:szCs w:val="28"/>
                <w:highlight w:val="yellow"/>
              </w:rPr>
            </w:pPr>
            <w:r w:rsidRPr="002D6FA0">
              <w:rPr>
                <w:sz w:val="28"/>
                <w:szCs w:val="28"/>
              </w:rPr>
              <w:t>Saskaņā ar MK noteikumu Nr. 77 30. punktu sadarbības iestāde, veicot minēto pārbaudi, finansējuma saņēmēju par pārbaudi informē trīs darbdienas iepriekš.</w:t>
            </w:r>
            <w:r w:rsidR="00A61313" w:rsidRPr="002D6FA0">
              <w:rPr>
                <w:sz w:val="28"/>
                <w:szCs w:val="28"/>
              </w:rPr>
              <w:t xml:space="preserve"> </w:t>
            </w:r>
            <w:r w:rsidR="00FC6C38" w:rsidRPr="002D6FA0">
              <w:rPr>
                <w:sz w:val="28"/>
                <w:szCs w:val="28"/>
              </w:rPr>
              <w:t xml:space="preserve">Šāds </w:t>
            </w:r>
            <w:r w:rsidR="00A61313" w:rsidRPr="002D6FA0">
              <w:rPr>
                <w:sz w:val="28"/>
                <w:szCs w:val="28"/>
              </w:rPr>
              <w:t xml:space="preserve">termiņš </w:t>
            </w:r>
            <w:r w:rsidR="00B77168" w:rsidRPr="002D6FA0">
              <w:rPr>
                <w:sz w:val="28"/>
                <w:szCs w:val="28"/>
              </w:rPr>
              <w:t>ir</w:t>
            </w:r>
            <w:r w:rsidR="00FC6C38" w:rsidRPr="002D6FA0">
              <w:rPr>
                <w:sz w:val="28"/>
                <w:szCs w:val="28"/>
              </w:rPr>
              <w:t xml:space="preserve"> noteikts</w:t>
            </w:r>
            <w:r w:rsidR="00B77168" w:rsidRPr="002D6FA0">
              <w:rPr>
                <w:sz w:val="28"/>
                <w:szCs w:val="28"/>
              </w:rPr>
              <w:t>, lai sadarbības iestāde</w:t>
            </w:r>
            <w:r w:rsidR="003A76CF" w:rsidRPr="002D6FA0">
              <w:rPr>
                <w:sz w:val="28"/>
                <w:szCs w:val="28"/>
              </w:rPr>
              <w:t>,</w:t>
            </w:r>
            <w:r w:rsidR="00B77168" w:rsidRPr="002D6FA0">
              <w:rPr>
                <w:sz w:val="28"/>
                <w:szCs w:val="28"/>
              </w:rPr>
              <w:t xml:space="preserve"> </w:t>
            </w:r>
            <w:proofErr w:type="gramStart"/>
            <w:r w:rsidR="00B77168" w:rsidRPr="002D6FA0">
              <w:rPr>
                <w:sz w:val="28"/>
                <w:szCs w:val="28"/>
              </w:rPr>
              <w:t>pirms noslēgts līgums</w:t>
            </w:r>
            <w:proofErr w:type="gramEnd"/>
            <w:r w:rsidR="00B77168" w:rsidRPr="002D6FA0">
              <w:rPr>
                <w:sz w:val="28"/>
                <w:szCs w:val="28"/>
              </w:rPr>
              <w:t xml:space="preserve"> vai vienošanās par projekta īstenošanu</w:t>
            </w:r>
            <w:r w:rsidR="00B77168" w:rsidRPr="002D6FA0">
              <w:rPr>
                <w:rStyle w:val="FootnoteReference"/>
                <w:sz w:val="28"/>
                <w:szCs w:val="28"/>
              </w:rPr>
              <w:footnoteReference w:id="1"/>
            </w:r>
            <w:r w:rsidR="003A76CF" w:rsidRPr="002D6FA0">
              <w:rPr>
                <w:sz w:val="28"/>
                <w:szCs w:val="28"/>
              </w:rPr>
              <w:t>,</w:t>
            </w:r>
            <w:r w:rsidR="00B77168" w:rsidRPr="002D6FA0">
              <w:rPr>
                <w:sz w:val="28"/>
                <w:szCs w:val="28"/>
              </w:rPr>
              <w:t xml:space="preserve"> varētu veikt plānoto pārbaudi, sagatavot atzinumu un </w:t>
            </w:r>
            <w:r w:rsidR="000E7C15" w:rsidRPr="002D6FA0">
              <w:rPr>
                <w:sz w:val="28"/>
                <w:szCs w:val="28"/>
              </w:rPr>
              <w:t>termiņā pieņemt lēmumu par projekta apstiprināšanu</w:t>
            </w:r>
            <w:r w:rsidR="008344C9" w:rsidRPr="002D6FA0">
              <w:rPr>
                <w:sz w:val="28"/>
                <w:szCs w:val="28"/>
              </w:rPr>
              <w:t xml:space="preserve"> vai noraidīšanu</w:t>
            </w:r>
            <w:r w:rsidR="00B77168" w:rsidRPr="002D6FA0">
              <w:rPr>
                <w:sz w:val="28"/>
                <w:szCs w:val="28"/>
              </w:rPr>
              <w:t>.</w:t>
            </w:r>
            <w:r w:rsidR="00FC6C38" w:rsidRPr="002D6FA0">
              <w:rPr>
                <w:sz w:val="28"/>
                <w:szCs w:val="28"/>
              </w:rPr>
              <w:t xml:space="preserve"> Tāpat arī minētais termiņš ļauj finansējuma saņēmējam veikt nepieciešamos priekšdarbus, lai sagatavotos minētajai pārbaudei un klātienē nodrošinātu nepieciešamo informāciju, materiālus.</w:t>
            </w:r>
          </w:p>
          <w:p w14:paraId="0EE6878C" w14:textId="0E71027B" w:rsidR="0011653E" w:rsidRPr="002D6FA0" w:rsidRDefault="00FC6C38" w:rsidP="003D3F0C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Praksē, v</w:t>
            </w:r>
            <w:r w:rsidR="00AD0C2E" w:rsidRPr="002D6FA0">
              <w:rPr>
                <w:sz w:val="28"/>
                <w:szCs w:val="28"/>
              </w:rPr>
              <w:t>eicot minētās pārbaudes, s</w:t>
            </w:r>
            <w:r w:rsidR="003D3F0C" w:rsidRPr="002D6FA0">
              <w:rPr>
                <w:sz w:val="28"/>
                <w:szCs w:val="28"/>
              </w:rPr>
              <w:t xml:space="preserve">adarbības iestāde ir </w:t>
            </w:r>
            <w:r w:rsidR="00AD0C2E" w:rsidRPr="002D6FA0">
              <w:rPr>
                <w:sz w:val="28"/>
                <w:szCs w:val="28"/>
              </w:rPr>
              <w:t>konstatējusi</w:t>
            </w:r>
            <w:r w:rsidR="003D3F0C" w:rsidRPr="002D6FA0">
              <w:rPr>
                <w:sz w:val="28"/>
                <w:szCs w:val="28"/>
              </w:rPr>
              <w:t xml:space="preserve">, ka </w:t>
            </w:r>
            <w:r w:rsidRPr="002D6FA0">
              <w:rPr>
                <w:sz w:val="28"/>
                <w:szCs w:val="28"/>
              </w:rPr>
              <w:t>atsevišķos gadījumos tomēr nākas saskarties ar negodprātīgiem potenciālajiem finansējuma saņēmējiem, vai arī tiek saņemti objektīvi signāli</w:t>
            </w:r>
            <w:r w:rsidR="007901AB" w:rsidRPr="002D6FA0">
              <w:rPr>
                <w:b/>
                <w:sz w:val="28"/>
                <w:szCs w:val="28"/>
              </w:rPr>
              <w:t xml:space="preserve"> </w:t>
            </w:r>
            <w:r w:rsidR="007901AB" w:rsidRPr="002D6FA0">
              <w:rPr>
                <w:sz w:val="28"/>
                <w:szCs w:val="28"/>
              </w:rPr>
              <w:t>(piemēram, saņemta informācija no trešajām personām vai masu medijiem,</w:t>
            </w:r>
            <w:proofErr w:type="gramStart"/>
            <w:r w:rsidR="007901AB" w:rsidRPr="002D6FA0">
              <w:rPr>
                <w:sz w:val="28"/>
                <w:szCs w:val="28"/>
              </w:rPr>
              <w:t xml:space="preserve">  </w:t>
            </w:r>
            <w:proofErr w:type="gramEnd"/>
            <w:r w:rsidR="007901AB" w:rsidRPr="002D6FA0">
              <w:rPr>
                <w:sz w:val="28"/>
                <w:szCs w:val="28"/>
              </w:rPr>
              <w:t>sadarbības iestāde konstatējusi problēmas projekta iesniedzēja, kurš ir finansējuma saņēmējs citā projektā, projekta īstenošanā</w:t>
            </w:r>
            <w:r w:rsidR="006922AE" w:rsidRPr="002D6FA0">
              <w:rPr>
                <w:sz w:val="28"/>
                <w:szCs w:val="28"/>
              </w:rPr>
              <w:t xml:space="preserve"> u.tml.</w:t>
            </w:r>
            <w:r w:rsidR="007901AB" w:rsidRPr="002D6FA0">
              <w:rPr>
                <w:sz w:val="28"/>
                <w:szCs w:val="28"/>
              </w:rPr>
              <w:t>)</w:t>
            </w:r>
            <w:r w:rsidRPr="002D6FA0">
              <w:rPr>
                <w:sz w:val="28"/>
                <w:szCs w:val="28"/>
              </w:rPr>
              <w:t>, ka potenciālais finansējuma saņēmējs neplāno veikt vai nodrošināt visus projektā minētos nosacījums reālajā dzīvē un, lai preventīvi nodrošinātos pret šādiem gadījumiem</w:t>
            </w:r>
            <w:r w:rsidR="007901AB" w:rsidRPr="002D6FA0">
              <w:rPr>
                <w:b/>
                <w:sz w:val="28"/>
                <w:szCs w:val="28"/>
              </w:rPr>
              <w:t>,</w:t>
            </w:r>
            <w:r w:rsidRPr="002D6FA0">
              <w:rPr>
                <w:sz w:val="28"/>
                <w:szCs w:val="28"/>
              </w:rPr>
              <w:t xml:space="preserve"> kā optimālākais risin</w:t>
            </w:r>
            <w:r w:rsidR="00C747AD" w:rsidRPr="002D6FA0">
              <w:rPr>
                <w:sz w:val="28"/>
                <w:szCs w:val="28"/>
              </w:rPr>
              <w:t xml:space="preserve">ājums būtu paredzēt tiesības sadarbības iestādei minētās pārbaudes veikt arī bez iepriekšējās </w:t>
            </w:r>
            <w:r w:rsidR="00C747AD" w:rsidRPr="002D6FA0">
              <w:rPr>
                <w:sz w:val="28"/>
                <w:szCs w:val="28"/>
              </w:rPr>
              <w:lastRenderedPageBreak/>
              <w:t xml:space="preserve">brīdināšanas. </w:t>
            </w:r>
            <w:r w:rsidR="00D469AA" w:rsidRPr="002D6FA0">
              <w:rPr>
                <w:sz w:val="28"/>
                <w:szCs w:val="28"/>
              </w:rPr>
              <w:t xml:space="preserve">Ja sadarbības iestādei </w:t>
            </w:r>
            <w:r w:rsidR="00621CAF" w:rsidRPr="002D6FA0">
              <w:rPr>
                <w:sz w:val="28"/>
                <w:szCs w:val="28"/>
              </w:rPr>
              <w:t>tiks paredzētas</w:t>
            </w:r>
            <w:r w:rsidR="00265450" w:rsidRPr="002D6FA0">
              <w:rPr>
                <w:sz w:val="28"/>
                <w:szCs w:val="28"/>
              </w:rPr>
              <w:t xml:space="preserve"> tiesības</w:t>
            </w:r>
            <w:r w:rsidR="00D469AA" w:rsidRPr="002D6FA0">
              <w:rPr>
                <w:sz w:val="28"/>
                <w:szCs w:val="28"/>
              </w:rPr>
              <w:t xml:space="preserve"> veikt </w:t>
            </w:r>
            <w:r w:rsidR="00EF2A2A" w:rsidRPr="002D6FA0">
              <w:rPr>
                <w:sz w:val="28"/>
                <w:szCs w:val="28"/>
              </w:rPr>
              <w:t>pirms</w:t>
            </w:r>
            <w:r w:rsidR="00196450">
              <w:rPr>
                <w:sz w:val="28"/>
                <w:szCs w:val="28"/>
              </w:rPr>
              <w:t xml:space="preserve"> </w:t>
            </w:r>
            <w:r w:rsidR="00EF2A2A" w:rsidRPr="002D6FA0">
              <w:rPr>
                <w:sz w:val="28"/>
                <w:szCs w:val="28"/>
              </w:rPr>
              <w:t xml:space="preserve">līguma </w:t>
            </w:r>
            <w:r w:rsidR="00D469AA" w:rsidRPr="002D6FA0">
              <w:rPr>
                <w:sz w:val="28"/>
                <w:szCs w:val="28"/>
              </w:rPr>
              <w:t xml:space="preserve">pārbaudi bez </w:t>
            </w:r>
            <w:r w:rsidR="00621CAF" w:rsidRPr="002D6FA0">
              <w:rPr>
                <w:sz w:val="28"/>
                <w:szCs w:val="28"/>
              </w:rPr>
              <w:t xml:space="preserve">iepriekšējas </w:t>
            </w:r>
            <w:r w:rsidR="00D469AA" w:rsidRPr="002D6FA0">
              <w:rPr>
                <w:sz w:val="28"/>
                <w:szCs w:val="28"/>
              </w:rPr>
              <w:t>brīdināšanas, sadarbības iestāde</w:t>
            </w:r>
            <w:r w:rsidR="00621CAF" w:rsidRPr="002D6FA0">
              <w:rPr>
                <w:sz w:val="28"/>
                <w:szCs w:val="28"/>
              </w:rPr>
              <w:t>i būtu papildus mehānisms kā</w:t>
            </w:r>
            <w:r w:rsidR="00D469AA" w:rsidRPr="002D6FA0">
              <w:rPr>
                <w:sz w:val="28"/>
                <w:szCs w:val="28"/>
              </w:rPr>
              <w:t xml:space="preserve"> </w:t>
            </w:r>
            <w:r w:rsidR="00265450" w:rsidRPr="002D6FA0">
              <w:rPr>
                <w:sz w:val="28"/>
                <w:szCs w:val="28"/>
              </w:rPr>
              <w:t xml:space="preserve">novērst krāpšanas risku, </w:t>
            </w:r>
            <w:r w:rsidR="00BD6943" w:rsidRPr="00074081">
              <w:rPr>
                <w:sz w:val="28"/>
                <w:szCs w:val="28"/>
              </w:rPr>
              <w:t>nepilnības vai nesakritības</w:t>
            </w:r>
            <w:r w:rsidR="00BD6943">
              <w:rPr>
                <w:sz w:val="28"/>
                <w:szCs w:val="28"/>
              </w:rPr>
              <w:t xml:space="preserve">, </w:t>
            </w:r>
            <w:r w:rsidR="00265450" w:rsidRPr="002D6FA0">
              <w:rPr>
                <w:sz w:val="28"/>
                <w:szCs w:val="28"/>
              </w:rPr>
              <w:t>pārliecinoties</w:t>
            </w:r>
            <w:r w:rsidR="00D469AA" w:rsidRPr="002D6FA0">
              <w:rPr>
                <w:sz w:val="28"/>
                <w:szCs w:val="28"/>
              </w:rPr>
              <w:t xml:space="preserve">, vai projekta </w:t>
            </w:r>
            <w:r w:rsidR="00265450" w:rsidRPr="002D6FA0">
              <w:rPr>
                <w:sz w:val="28"/>
                <w:szCs w:val="28"/>
              </w:rPr>
              <w:t>iesniegumā</w:t>
            </w:r>
            <w:r w:rsidR="00D469AA" w:rsidRPr="002D6FA0">
              <w:rPr>
                <w:sz w:val="28"/>
                <w:szCs w:val="28"/>
              </w:rPr>
              <w:t xml:space="preserve"> </w:t>
            </w:r>
            <w:r w:rsidR="0011653E" w:rsidRPr="002D6FA0">
              <w:rPr>
                <w:sz w:val="28"/>
                <w:szCs w:val="28"/>
              </w:rPr>
              <w:t>ir</w:t>
            </w:r>
            <w:r w:rsidR="00D469AA" w:rsidRPr="002D6FA0">
              <w:rPr>
                <w:sz w:val="28"/>
                <w:szCs w:val="28"/>
              </w:rPr>
              <w:t xml:space="preserve"> apzināti </w:t>
            </w:r>
            <w:r w:rsidR="00265450" w:rsidRPr="002D6FA0">
              <w:rPr>
                <w:sz w:val="28"/>
                <w:szCs w:val="28"/>
              </w:rPr>
              <w:t>sniegta</w:t>
            </w:r>
            <w:r w:rsidR="00D469AA" w:rsidRPr="002D6FA0">
              <w:rPr>
                <w:sz w:val="28"/>
                <w:szCs w:val="28"/>
              </w:rPr>
              <w:t xml:space="preserve"> nepaties</w:t>
            </w:r>
            <w:r w:rsidR="00265450" w:rsidRPr="002D6FA0">
              <w:rPr>
                <w:sz w:val="28"/>
                <w:szCs w:val="28"/>
              </w:rPr>
              <w:t>a</w:t>
            </w:r>
            <w:r w:rsidR="00D469AA" w:rsidRPr="002D6FA0">
              <w:rPr>
                <w:sz w:val="28"/>
                <w:szCs w:val="28"/>
              </w:rPr>
              <w:t xml:space="preserve"> informācij</w:t>
            </w:r>
            <w:r w:rsidR="00265450" w:rsidRPr="002D6FA0">
              <w:rPr>
                <w:sz w:val="28"/>
                <w:szCs w:val="28"/>
              </w:rPr>
              <w:t>a</w:t>
            </w:r>
            <w:r w:rsidR="00D469AA" w:rsidRPr="002D6FA0">
              <w:rPr>
                <w:sz w:val="28"/>
                <w:szCs w:val="28"/>
              </w:rPr>
              <w:t>, kas</w:t>
            </w:r>
            <w:r w:rsidR="0011653E" w:rsidRPr="002D6FA0">
              <w:rPr>
                <w:sz w:val="28"/>
                <w:szCs w:val="28"/>
              </w:rPr>
              <w:t xml:space="preserve"> neatbilst faktiskajai situācijai dabā un</w:t>
            </w:r>
            <w:r w:rsidR="00D469AA" w:rsidRPr="002D6FA0">
              <w:rPr>
                <w:sz w:val="28"/>
                <w:szCs w:val="28"/>
              </w:rPr>
              <w:t xml:space="preserve"> ir būtiska projekta iesnieguma novērtēšanai.</w:t>
            </w:r>
          </w:p>
          <w:p w14:paraId="4A53A512" w14:textId="12C72324" w:rsidR="00621CAF" w:rsidRPr="002D6FA0" w:rsidRDefault="00621CAF" w:rsidP="003D3F0C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 xml:space="preserve">Šādu pārbaužu veikšana tiktu organizēta atsevišķos gadījumos, pastāvot </w:t>
            </w:r>
            <w:r w:rsidR="00BD6943" w:rsidRPr="00074081">
              <w:rPr>
                <w:sz w:val="28"/>
                <w:szCs w:val="28"/>
              </w:rPr>
              <w:t>šādiem</w:t>
            </w:r>
            <w:r w:rsidRPr="002D6FA0">
              <w:rPr>
                <w:sz w:val="28"/>
                <w:szCs w:val="28"/>
              </w:rPr>
              <w:t xml:space="preserve"> riskiem.</w:t>
            </w:r>
          </w:p>
          <w:p w14:paraId="3E08ADDF" w14:textId="643A7D94" w:rsidR="008344C9" w:rsidRPr="0049348A" w:rsidRDefault="0011653E" w:rsidP="003D3F0C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Līdz šim pirms</w:t>
            </w:r>
            <w:r w:rsidR="0019645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 xml:space="preserve">līguma pārbaudes ir sniegušas būtisku </w:t>
            </w:r>
            <w:r w:rsidR="003315FC" w:rsidRPr="002D6FA0">
              <w:rPr>
                <w:sz w:val="28"/>
                <w:szCs w:val="28"/>
              </w:rPr>
              <w:t>ieguldījumu</w:t>
            </w:r>
            <w:r w:rsidRPr="002D6FA0">
              <w:rPr>
                <w:sz w:val="28"/>
                <w:szCs w:val="28"/>
              </w:rPr>
              <w:t xml:space="preserve"> projektu </w:t>
            </w:r>
            <w:r w:rsidR="003A76CF" w:rsidRPr="002D6FA0">
              <w:rPr>
                <w:sz w:val="28"/>
                <w:szCs w:val="28"/>
              </w:rPr>
              <w:t xml:space="preserve">iesniegumu </w:t>
            </w:r>
            <w:r w:rsidR="00C070A1" w:rsidRPr="002D6FA0">
              <w:rPr>
                <w:sz w:val="28"/>
                <w:szCs w:val="28"/>
              </w:rPr>
              <w:t>vērtēšanā</w:t>
            </w:r>
            <w:r w:rsidRPr="002D6FA0">
              <w:rPr>
                <w:sz w:val="28"/>
                <w:szCs w:val="28"/>
              </w:rPr>
              <w:t xml:space="preserve">. </w:t>
            </w:r>
            <w:r w:rsidRPr="00CE4A15">
              <w:rPr>
                <w:sz w:val="28"/>
                <w:szCs w:val="28"/>
              </w:rPr>
              <w:t>P</w:t>
            </w:r>
            <w:r w:rsidRPr="002D6FA0">
              <w:rPr>
                <w:sz w:val="28"/>
                <w:szCs w:val="28"/>
              </w:rPr>
              <w:t xml:space="preserve">iemēram, </w:t>
            </w:r>
            <w:r w:rsidR="00514693" w:rsidRPr="002D6FA0">
              <w:rPr>
                <w:sz w:val="28"/>
                <w:szCs w:val="28"/>
              </w:rPr>
              <w:t>pirms</w:t>
            </w:r>
            <w:r w:rsidR="00196450">
              <w:rPr>
                <w:sz w:val="28"/>
                <w:szCs w:val="28"/>
              </w:rPr>
              <w:t xml:space="preserve"> </w:t>
            </w:r>
            <w:r w:rsidR="00514693" w:rsidRPr="002D6FA0">
              <w:rPr>
                <w:sz w:val="28"/>
                <w:szCs w:val="28"/>
              </w:rPr>
              <w:t xml:space="preserve">līguma </w:t>
            </w:r>
            <w:r w:rsidRPr="002D6FA0">
              <w:rPr>
                <w:sz w:val="28"/>
                <w:szCs w:val="28"/>
              </w:rPr>
              <w:t xml:space="preserve">pārbaudē ir konstatēts, ka ēkā, kurā </w:t>
            </w:r>
            <w:r w:rsidR="00514693" w:rsidRPr="002D6FA0">
              <w:rPr>
                <w:sz w:val="28"/>
                <w:szCs w:val="28"/>
              </w:rPr>
              <w:t xml:space="preserve">saskaņā ar projekta iesniegumu ir </w:t>
            </w:r>
            <w:r w:rsidRPr="002D6FA0">
              <w:rPr>
                <w:sz w:val="28"/>
                <w:szCs w:val="28"/>
              </w:rPr>
              <w:t>jāatrodas iekārtām, faktiski iekārtas ir demontētas un ēkā tiek uzglabāta saražotā produkcija. Energoefektivitātes paaugstināšanas pasākum</w:t>
            </w:r>
            <w:r w:rsidR="00C070A1" w:rsidRPr="002D6FA0">
              <w:rPr>
                <w:sz w:val="28"/>
                <w:szCs w:val="28"/>
              </w:rPr>
              <w:t>u</w:t>
            </w:r>
            <w:r w:rsidRPr="002D6FA0">
              <w:rPr>
                <w:sz w:val="28"/>
                <w:szCs w:val="28"/>
              </w:rPr>
              <w:t xml:space="preserve"> projekta iesniegumā</w:t>
            </w:r>
            <w:r w:rsidR="00D469AA" w:rsidRPr="002D6FA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>ir uzskaitīta tikai daļa no uzņēmumā esošajām iekārtām vai tiek uzdoti nepatiesi iekārtu tehniskie rādītāji, lai projekta iesniegum</w:t>
            </w:r>
            <w:r w:rsidR="00C070A1" w:rsidRPr="002D6FA0">
              <w:rPr>
                <w:sz w:val="28"/>
                <w:szCs w:val="28"/>
              </w:rPr>
              <w:t>a vērtēšanas kritērijā</w:t>
            </w:r>
            <w:r w:rsidRPr="002D6FA0">
              <w:rPr>
                <w:sz w:val="28"/>
                <w:szCs w:val="28"/>
              </w:rPr>
              <w:t xml:space="preserve"> iegūtu lielāku punktu skaitu, kas tiks sasniegts projekta darbību īstenošanas rezultātā.</w:t>
            </w:r>
            <w:r w:rsidR="00D34254" w:rsidRPr="002D6FA0">
              <w:rPr>
                <w:sz w:val="28"/>
                <w:szCs w:val="28"/>
              </w:rPr>
              <w:t xml:space="preserve"> Pirms</w:t>
            </w:r>
            <w:r w:rsidR="00196450">
              <w:rPr>
                <w:sz w:val="28"/>
                <w:szCs w:val="28"/>
              </w:rPr>
              <w:t xml:space="preserve"> </w:t>
            </w:r>
            <w:r w:rsidR="00D34254" w:rsidRPr="002D6FA0">
              <w:rPr>
                <w:sz w:val="28"/>
                <w:szCs w:val="28"/>
              </w:rPr>
              <w:t>līguma pārbaude</w:t>
            </w:r>
            <w:r w:rsidR="00681E51" w:rsidRPr="002D6FA0">
              <w:rPr>
                <w:sz w:val="28"/>
                <w:szCs w:val="28"/>
              </w:rPr>
              <w:t>s</w:t>
            </w:r>
            <w:r w:rsidR="00D34254" w:rsidRPr="002D6FA0">
              <w:rPr>
                <w:sz w:val="28"/>
                <w:szCs w:val="28"/>
              </w:rPr>
              <w:t xml:space="preserve"> </w:t>
            </w:r>
            <w:r w:rsidR="00681E51" w:rsidRPr="002D6FA0">
              <w:rPr>
                <w:sz w:val="28"/>
                <w:szCs w:val="28"/>
              </w:rPr>
              <w:t>ietvaros</w:t>
            </w:r>
            <w:r w:rsidR="00D34254" w:rsidRPr="002D6FA0">
              <w:rPr>
                <w:sz w:val="28"/>
                <w:szCs w:val="28"/>
              </w:rPr>
              <w:t xml:space="preserve"> sadarbības iestādes darbiniekiem ir iespējams</w:t>
            </w:r>
            <w:r w:rsidR="00463BAB" w:rsidRPr="002D6FA0">
              <w:rPr>
                <w:sz w:val="28"/>
                <w:szCs w:val="28"/>
              </w:rPr>
              <w:t xml:space="preserve"> klātienē pārbaudīt projekta iesniegumā </w:t>
            </w:r>
            <w:r w:rsidR="00681E51" w:rsidRPr="002D6FA0">
              <w:rPr>
                <w:sz w:val="28"/>
                <w:szCs w:val="28"/>
              </w:rPr>
              <w:t xml:space="preserve">un tā pielikumos </w:t>
            </w:r>
            <w:r w:rsidR="00463BAB" w:rsidRPr="002D6FA0">
              <w:rPr>
                <w:sz w:val="28"/>
                <w:szCs w:val="28"/>
              </w:rPr>
              <w:t>norādīto informāciju, tai skaitā</w:t>
            </w:r>
            <w:r w:rsidR="00D34254" w:rsidRPr="002D6FA0">
              <w:rPr>
                <w:sz w:val="28"/>
                <w:szCs w:val="28"/>
              </w:rPr>
              <w:t xml:space="preserve"> iepazīties ar dokumentiem, kas ir saistīti ar iekārtu darbību.</w:t>
            </w:r>
            <w:r w:rsidR="00CE4A15">
              <w:t xml:space="preserve"> </w:t>
            </w:r>
            <w:r w:rsidR="00CE4A15" w:rsidRPr="0049348A">
              <w:rPr>
                <w:sz w:val="28"/>
                <w:szCs w:val="28"/>
              </w:rPr>
              <w:t xml:space="preserve">Ja pārbaudes laikā pārbaudes veicējs nevar iepazīties ar dokumentiem (piemēram, kas apliecina iekārtas iegādi), </w:t>
            </w:r>
            <w:proofErr w:type="gramStart"/>
            <w:r w:rsidR="00CE4A15" w:rsidRPr="0049348A">
              <w:rPr>
                <w:sz w:val="28"/>
                <w:szCs w:val="28"/>
              </w:rPr>
              <w:t>jo dokumenti neatrodas konkrētajā projekta īstenošanas vietā, ņemot vērā pārbaudes</w:t>
            </w:r>
            <w:proofErr w:type="gramEnd"/>
            <w:r w:rsidR="00CE4A15" w:rsidRPr="0049348A">
              <w:rPr>
                <w:sz w:val="28"/>
                <w:szCs w:val="28"/>
              </w:rPr>
              <w:t xml:space="preserve"> veicēja norādes, projekta iesniedzējs ir tiesīgs iesniegt attiecīgos dokumentus sadarbības iestādē.</w:t>
            </w:r>
          </w:p>
          <w:p w14:paraId="1D2A7FF7" w14:textId="4CC416B3" w:rsidR="003D3F0C" w:rsidRPr="002D6FA0" w:rsidRDefault="002940FC" w:rsidP="00913075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Pirms</w:t>
            </w:r>
            <w:r w:rsidR="0019645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>līguma pārbaudes sadarbības iestāde veic saskaņā ar pārbaužu veikšanas kārtību, kas noteikta sadarbības iestādes darbības procedūrā un iekšējos noteikumos, ievērojot</w:t>
            </w:r>
            <w:r w:rsidRPr="002D6FA0">
              <w:rPr>
                <w:b/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>Finanšu ministrijas kā ES fondu vadošās iestādes apstiprinātās “Vadlīnijas par Eiropas Savienības struktūrfondu un Kohēzijas fonda līdzfinansētā projekta pārbaudēm 2014.-</w:t>
            </w:r>
            <w:proofErr w:type="gramStart"/>
            <w:r w:rsidRPr="002D6FA0">
              <w:rPr>
                <w:sz w:val="28"/>
                <w:szCs w:val="28"/>
              </w:rPr>
              <w:t>2020.gada</w:t>
            </w:r>
            <w:proofErr w:type="gramEnd"/>
            <w:r w:rsidRPr="002D6FA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lastRenderedPageBreak/>
              <w:t xml:space="preserve">plānošanas periodā”. </w:t>
            </w:r>
            <w:r w:rsidR="00080777" w:rsidRPr="002D6FA0">
              <w:rPr>
                <w:sz w:val="28"/>
                <w:szCs w:val="28"/>
              </w:rPr>
              <w:t>Ievērojot minēto kārtību, sadarbības iestāde izvērtē nepieciešamību plānot pirms</w:t>
            </w:r>
            <w:r w:rsidR="00196450">
              <w:rPr>
                <w:sz w:val="28"/>
                <w:szCs w:val="28"/>
              </w:rPr>
              <w:t xml:space="preserve"> </w:t>
            </w:r>
            <w:r w:rsidR="00080777" w:rsidRPr="002D6FA0">
              <w:rPr>
                <w:sz w:val="28"/>
                <w:szCs w:val="28"/>
              </w:rPr>
              <w:t>līguma pārbaudi, ņemot vērā</w:t>
            </w:r>
            <w:r w:rsidR="00BB26C3" w:rsidRPr="002D6FA0">
              <w:rPr>
                <w:sz w:val="28"/>
                <w:szCs w:val="28"/>
              </w:rPr>
              <w:t>,</w:t>
            </w:r>
            <w:r w:rsidR="00080777" w:rsidRPr="002D6FA0">
              <w:rPr>
                <w:sz w:val="28"/>
                <w:szCs w:val="28"/>
              </w:rPr>
              <w:t xml:space="preserve"> vai attiecīgā projekta iesniedzējam vai tā sadarbības partnerim ir bijusi pieredze ES fondu projektu īstenošan</w:t>
            </w:r>
            <w:r w:rsidR="0034049B" w:rsidRPr="002D6FA0">
              <w:rPr>
                <w:sz w:val="28"/>
                <w:szCs w:val="28"/>
              </w:rPr>
              <w:t>ā;</w:t>
            </w:r>
            <w:r w:rsidR="00080777" w:rsidRPr="002D6FA0">
              <w:rPr>
                <w:sz w:val="28"/>
                <w:szCs w:val="28"/>
              </w:rPr>
              <w:t xml:space="preserve"> vai ņemot vērā iepriekšējo pieredzi</w:t>
            </w:r>
            <w:r w:rsidR="00BB26C3" w:rsidRPr="002D6FA0">
              <w:rPr>
                <w:sz w:val="28"/>
                <w:szCs w:val="28"/>
              </w:rPr>
              <w:t>,</w:t>
            </w:r>
            <w:r w:rsidR="00080777" w:rsidRPr="002D6FA0">
              <w:rPr>
                <w:sz w:val="28"/>
                <w:szCs w:val="28"/>
              </w:rPr>
              <w:t xml:space="preserve"> projekta iesniedzēja iepriekš īstenotā projekta uzraudzībā ir konstatēti būtiski pārkāpumi, trūkumi, neatbilstības ar finansi</w:t>
            </w:r>
            <w:r w:rsidR="0034049B" w:rsidRPr="002D6FA0">
              <w:rPr>
                <w:sz w:val="28"/>
                <w:szCs w:val="28"/>
              </w:rPr>
              <w:t>ālu ietekmi;</w:t>
            </w:r>
            <w:r w:rsidR="00080777" w:rsidRPr="002D6FA0">
              <w:rPr>
                <w:sz w:val="28"/>
                <w:szCs w:val="28"/>
              </w:rPr>
              <w:t xml:space="preserve"> vai pastāv dubultā finansējuma risks</w:t>
            </w:r>
            <w:r w:rsidR="0034049B" w:rsidRPr="002D6FA0">
              <w:rPr>
                <w:sz w:val="28"/>
                <w:szCs w:val="28"/>
              </w:rPr>
              <w:t>;</w:t>
            </w:r>
            <w:r w:rsidR="00080777" w:rsidRPr="002D6FA0">
              <w:rPr>
                <w:sz w:val="28"/>
                <w:szCs w:val="28"/>
              </w:rPr>
              <w:t xml:space="preserve"> saņemta informācija, kas var radīt aizdomas par neatbilstošām darbībām plānotāja projektā</w:t>
            </w:r>
            <w:r w:rsidR="0034049B" w:rsidRPr="002D6FA0">
              <w:rPr>
                <w:sz w:val="28"/>
                <w:szCs w:val="28"/>
              </w:rPr>
              <w:t>;</w:t>
            </w:r>
            <w:r w:rsidR="00080777" w:rsidRPr="002D6FA0">
              <w:rPr>
                <w:sz w:val="28"/>
                <w:szCs w:val="28"/>
              </w:rPr>
              <w:t xml:space="preserve"> pastāv aizdomas, ka darbības uzsāktas pirms termiņa, kas noteiktas attiecīgajos MK noteikumos par specifiskā atbalsta mērķa īstenošanu un citi apstākļi, kuru dēļ ir nepieciešama pirms līguma </w:t>
            </w:r>
            <w:r w:rsidR="0034049B" w:rsidRPr="002D6FA0">
              <w:rPr>
                <w:sz w:val="28"/>
                <w:szCs w:val="28"/>
              </w:rPr>
              <w:t>pārbaude</w:t>
            </w:r>
            <w:r w:rsidR="00080777" w:rsidRPr="002D6FA0">
              <w:rPr>
                <w:sz w:val="28"/>
                <w:szCs w:val="28"/>
              </w:rPr>
              <w:t>.</w:t>
            </w:r>
            <w:r w:rsidR="0034049B" w:rsidRPr="002D6FA0">
              <w:rPr>
                <w:sz w:val="28"/>
                <w:szCs w:val="28"/>
              </w:rPr>
              <w:t xml:space="preserve"> Ņemot vērā sadarbības iestādes secināto, ka atsevišķos gadījumos tomēr nākas saskarties ar negodprātīgiem potenciālajiem finansējuma saņēmējiem, </w:t>
            </w:r>
            <w:r w:rsidR="00913075" w:rsidRPr="002D6FA0">
              <w:rPr>
                <w:sz w:val="28"/>
                <w:szCs w:val="28"/>
              </w:rPr>
              <w:t xml:space="preserve">tad būtiski ir </w:t>
            </w:r>
            <w:r w:rsidR="003F003F" w:rsidRPr="002D6FA0">
              <w:rPr>
                <w:sz w:val="28"/>
                <w:szCs w:val="28"/>
              </w:rPr>
              <w:t xml:space="preserve">paredzēt iespējas </w:t>
            </w:r>
            <w:r w:rsidR="00913075" w:rsidRPr="002D6FA0">
              <w:rPr>
                <w:sz w:val="28"/>
                <w:szCs w:val="28"/>
              </w:rPr>
              <w:t>veikt pirms</w:t>
            </w:r>
            <w:r w:rsidR="00196450">
              <w:rPr>
                <w:sz w:val="28"/>
                <w:szCs w:val="28"/>
              </w:rPr>
              <w:t xml:space="preserve"> </w:t>
            </w:r>
            <w:r w:rsidR="00913075" w:rsidRPr="002D6FA0">
              <w:rPr>
                <w:sz w:val="28"/>
                <w:szCs w:val="28"/>
              </w:rPr>
              <w:t>līguma pārbaudi</w:t>
            </w:r>
            <w:r w:rsidR="002328A5" w:rsidRPr="002D6FA0">
              <w:rPr>
                <w:sz w:val="28"/>
                <w:szCs w:val="28"/>
              </w:rPr>
              <w:t xml:space="preserve"> bez brīdinājuma, ja</w:t>
            </w:r>
            <w:r w:rsidR="00913075" w:rsidRPr="002D6FA0">
              <w:rPr>
                <w:sz w:val="28"/>
                <w:szCs w:val="28"/>
              </w:rPr>
              <w:t>, ņemot vērā specifiskā atbalsta mērķa specifiku</w:t>
            </w:r>
            <w:r w:rsidR="002328A5" w:rsidRPr="002D6FA0">
              <w:rPr>
                <w:sz w:val="28"/>
                <w:szCs w:val="28"/>
              </w:rPr>
              <w:t xml:space="preserve"> projekta iesniedzējs var īsā laikā izmainīt faktisko situāciju projekta īstenošanas vietā</w:t>
            </w:r>
            <w:r w:rsidR="00265450" w:rsidRPr="002D6FA0">
              <w:rPr>
                <w:sz w:val="28"/>
                <w:szCs w:val="28"/>
              </w:rPr>
              <w:t xml:space="preserve"> vai sadarbības iestādei ir aizdomas, ka projekta iesniegumā norādītā situācija neatbilst faktiskajai realitātei projekta īstenošanas vietā</w:t>
            </w:r>
            <w:r w:rsidR="002328A5" w:rsidRPr="002D6FA0">
              <w:rPr>
                <w:sz w:val="28"/>
                <w:szCs w:val="28"/>
              </w:rPr>
              <w:t xml:space="preserve">. </w:t>
            </w:r>
            <w:r w:rsidR="003D3F0C" w:rsidRPr="002D6FA0">
              <w:rPr>
                <w:sz w:val="28"/>
                <w:szCs w:val="28"/>
              </w:rPr>
              <w:t>Tāpēc ir nepieciešams izdarīt grozījumus noteikumos un noteikt, ka sadarbības iestāde ir tiesīga par plānoto pārbaudi projekta iesniedzēju neinformēt.</w:t>
            </w:r>
          </w:p>
          <w:p w14:paraId="38EE5304" w14:textId="77777777" w:rsidR="003F003F" w:rsidRPr="002D6FA0" w:rsidRDefault="003F003F" w:rsidP="00913075">
            <w:pPr>
              <w:jc w:val="both"/>
              <w:rPr>
                <w:sz w:val="28"/>
                <w:szCs w:val="28"/>
              </w:rPr>
            </w:pPr>
          </w:p>
          <w:p w14:paraId="2B992DC6" w14:textId="5AFC57FF" w:rsidR="00074081" w:rsidRPr="0049348A" w:rsidRDefault="003D3F0C" w:rsidP="00074081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 xml:space="preserve">Ievērojot minēto, MK </w:t>
            </w:r>
            <w:r w:rsidR="00C2452F" w:rsidRPr="002D6FA0">
              <w:rPr>
                <w:sz w:val="28"/>
                <w:szCs w:val="28"/>
              </w:rPr>
              <w:t xml:space="preserve">noteikumu </w:t>
            </w:r>
            <w:r w:rsidRPr="002D6FA0">
              <w:rPr>
                <w:sz w:val="28"/>
                <w:szCs w:val="28"/>
              </w:rPr>
              <w:t>Nr. 77</w:t>
            </w:r>
            <w:r w:rsidR="00C2452F" w:rsidRPr="002D6FA0">
              <w:rPr>
                <w:sz w:val="28"/>
                <w:szCs w:val="28"/>
              </w:rPr>
              <w:t xml:space="preserve"> 30. punkts</w:t>
            </w:r>
            <w:r w:rsidRPr="002D6FA0">
              <w:rPr>
                <w:sz w:val="28"/>
                <w:szCs w:val="28"/>
              </w:rPr>
              <w:t xml:space="preserve"> papildināt</w:t>
            </w:r>
            <w:r w:rsidR="00C2452F" w:rsidRPr="002D6FA0">
              <w:rPr>
                <w:sz w:val="28"/>
                <w:szCs w:val="28"/>
              </w:rPr>
              <w:t>s</w:t>
            </w:r>
            <w:r w:rsidRPr="002D6FA0">
              <w:rPr>
                <w:sz w:val="28"/>
                <w:szCs w:val="28"/>
              </w:rPr>
              <w:t xml:space="preserve"> ar </w:t>
            </w:r>
            <w:r w:rsidR="00C2452F" w:rsidRPr="002D6FA0">
              <w:rPr>
                <w:sz w:val="28"/>
                <w:szCs w:val="28"/>
              </w:rPr>
              <w:t>nosacījumu</w:t>
            </w:r>
            <w:r w:rsidRPr="002D6FA0">
              <w:rPr>
                <w:sz w:val="28"/>
                <w:szCs w:val="28"/>
              </w:rPr>
              <w:t>, ka sadarbības iestādei ir tiesības lemt par pārbaudes veikšanu projekta īstenošanas vietā</w:t>
            </w:r>
            <w:r w:rsidR="001824A5" w:rsidRPr="002D6FA0">
              <w:rPr>
                <w:sz w:val="28"/>
                <w:szCs w:val="28"/>
              </w:rPr>
              <w:t>,</w:t>
            </w:r>
            <w:r w:rsidRPr="002D6FA0">
              <w:rPr>
                <w:sz w:val="28"/>
                <w:szCs w:val="28"/>
              </w:rPr>
              <w:t xml:space="preserve"> pirms noslēgts līgums vai vienošanā</w:t>
            </w:r>
            <w:r w:rsidR="004507F6" w:rsidRPr="002D6FA0">
              <w:rPr>
                <w:sz w:val="28"/>
                <w:szCs w:val="28"/>
              </w:rPr>
              <w:t>s</w:t>
            </w:r>
            <w:r w:rsidRPr="002D6FA0">
              <w:rPr>
                <w:sz w:val="28"/>
                <w:szCs w:val="28"/>
              </w:rPr>
              <w:t xml:space="preserve"> par projekta īstenošanu, par to neinformējot projekta iesniedzēju.</w:t>
            </w:r>
            <w:r w:rsidR="00074081">
              <w:rPr>
                <w:sz w:val="28"/>
                <w:szCs w:val="28"/>
              </w:rPr>
              <w:t xml:space="preserve"> </w:t>
            </w:r>
            <w:r w:rsidR="00074081" w:rsidRPr="0049348A">
              <w:rPr>
                <w:sz w:val="28"/>
                <w:szCs w:val="28"/>
              </w:rPr>
              <w:t>Papildus minētajā punktā ir noteikts, ka pārbaude nebrīdinot projekta iesniedzēju tiek veikta, ja</w:t>
            </w:r>
            <w:proofErr w:type="gramStart"/>
            <w:r w:rsidR="00074081" w:rsidRPr="0049348A">
              <w:rPr>
                <w:sz w:val="28"/>
                <w:szCs w:val="28"/>
              </w:rPr>
              <w:t xml:space="preserve">  </w:t>
            </w:r>
            <w:proofErr w:type="gramEnd"/>
            <w:r w:rsidR="00074081" w:rsidRPr="0049348A">
              <w:rPr>
                <w:sz w:val="28"/>
                <w:szCs w:val="28"/>
              </w:rPr>
              <w:t>sadarbības iestāde ir konstatējusi vienu no šādiem apstākļiem:</w:t>
            </w:r>
          </w:p>
          <w:p w14:paraId="2E7DDCF9" w14:textId="015DB7E4" w:rsidR="00074081" w:rsidRPr="0049348A" w:rsidRDefault="00074081" w:rsidP="00074081">
            <w:pPr>
              <w:jc w:val="both"/>
              <w:rPr>
                <w:sz w:val="28"/>
                <w:szCs w:val="28"/>
              </w:rPr>
            </w:pPr>
            <w:r w:rsidRPr="0049348A">
              <w:rPr>
                <w:sz w:val="28"/>
                <w:szCs w:val="28"/>
              </w:rPr>
              <w:lastRenderedPageBreak/>
              <w:t>1. pazīmes, ka projekta iesniegumā sniegtā informācija nav pilnīga</w:t>
            </w:r>
            <w:proofErr w:type="gramStart"/>
            <w:r w:rsidRPr="0049348A">
              <w:rPr>
                <w:sz w:val="28"/>
                <w:szCs w:val="28"/>
              </w:rPr>
              <w:t xml:space="preserve"> vai neatbilst publiski pieejamajai</w:t>
            </w:r>
            <w:proofErr w:type="gramEnd"/>
            <w:r w:rsidRPr="0049348A">
              <w:rPr>
                <w:sz w:val="28"/>
                <w:szCs w:val="28"/>
              </w:rPr>
              <w:t>;</w:t>
            </w:r>
          </w:p>
          <w:p w14:paraId="2D930058" w14:textId="337A5F90" w:rsidR="00074081" w:rsidRPr="0049348A" w:rsidRDefault="00074081" w:rsidP="00074081">
            <w:pPr>
              <w:jc w:val="both"/>
              <w:rPr>
                <w:sz w:val="28"/>
                <w:szCs w:val="28"/>
              </w:rPr>
            </w:pPr>
            <w:r w:rsidRPr="0049348A">
              <w:rPr>
                <w:sz w:val="28"/>
                <w:szCs w:val="28"/>
              </w:rPr>
              <w:t xml:space="preserve">2 saņemts negatīvs nozares eksperta, kurš piesaistīts projektu iesniegumu </w:t>
            </w:r>
            <w:r w:rsidR="006C2AD9" w:rsidRPr="0049348A">
              <w:rPr>
                <w:sz w:val="28"/>
                <w:szCs w:val="28"/>
              </w:rPr>
              <w:t>vērtēšanā</w:t>
            </w:r>
            <w:r w:rsidRPr="0049348A">
              <w:rPr>
                <w:sz w:val="28"/>
                <w:szCs w:val="28"/>
              </w:rPr>
              <w:t>, atzinums;</w:t>
            </w:r>
          </w:p>
          <w:p w14:paraId="7B80F92C" w14:textId="6BB7B53F" w:rsidR="00074081" w:rsidRPr="0049348A" w:rsidRDefault="00074081" w:rsidP="00074081">
            <w:pPr>
              <w:jc w:val="both"/>
              <w:rPr>
                <w:sz w:val="28"/>
                <w:szCs w:val="28"/>
              </w:rPr>
            </w:pPr>
            <w:r w:rsidRPr="0049348A">
              <w:rPr>
                <w:sz w:val="28"/>
                <w:szCs w:val="28"/>
              </w:rPr>
              <w:t>3. saņemta informācija no trešajām personām, kas ir pretrunā ar projekta iesniegumā norādīto;</w:t>
            </w:r>
          </w:p>
          <w:p w14:paraId="027BDDCF" w14:textId="5B801A2A" w:rsidR="003D3F0C" w:rsidRPr="0049348A" w:rsidRDefault="00074081" w:rsidP="00074081">
            <w:pPr>
              <w:jc w:val="both"/>
              <w:rPr>
                <w:sz w:val="28"/>
                <w:szCs w:val="28"/>
              </w:rPr>
            </w:pPr>
            <w:r w:rsidRPr="0049348A">
              <w:rPr>
                <w:sz w:val="28"/>
                <w:szCs w:val="28"/>
              </w:rPr>
              <w:t xml:space="preserve">4. citas pazīmes, kas norāda uz iespējamu krāpšanas </w:t>
            </w:r>
            <w:r w:rsidR="00CE4A15" w:rsidRPr="0049348A">
              <w:rPr>
                <w:sz w:val="28"/>
                <w:szCs w:val="28"/>
              </w:rPr>
              <w:t xml:space="preserve">risku </w:t>
            </w:r>
            <w:r w:rsidRPr="0049348A">
              <w:rPr>
                <w:sz w:val="28"/>
                <w:szCs w:val="28"/>
              </w:rPr>
              <w:t>Konvencijas par Eiropas Kopienu finanšu interešu aizsardzību 1. panta 1. punkta izpratnē.</w:t>
            </w:r>
          </w:p>
          <w:p w14:paraId="755F354B" w14:textId="77777777" w:rsidR="00074081" w:rsidRPr="002D6FA0" w:rsidRDefault="00074081" w:rsidP="00074081">
            <w:pPr>
              <w:jc w:val="both"/>
              <w:rPr>
                <w:sz w:val="28"/>
                <w:szCs w:val="28"/>
              </w:rPr>
            </w:pPr>
          </w:p>
          <w:p w14:paraId="6A63650E" w14:textId="6C52CBE3" w:rsidR="00CE4A15" w:rsidRPr="006867C8" w:rsidRDefault="003D3F0C" w:rsidP="00CE4A15">
            <w:pPr>
              <w:jc w:val="both"/>
              <w:rPr>
                <w:b/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Gadījumā, ja pirms</w:t>
            </w:r>
            <w:r w:rsidR="0019645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 xml:space="preserve">līguma pārbaudi nevar veikt objektīvu iemeslu dēļ (projekta iesniedzējs neatrodas pārbaudes vietā, </w:t>
            </w:r>
            <w:r w:rsidR="00CE4A15" w:rsidRPr="00CE4A15">
              <w:rPr>
                <w:sz w:val="28"/>
                <w:szCs w:val="28"/>
              </w:rPr>
              <w:t>objektam nevar piekļūt, jo nepieciešama īpaša atļauja, kuru nav iespējams saņemt uzreiz u.tml.</w:t>
            </w:r>
            <w:r w:rsidRPr="002D6FA0">
              <w:rPr>
                <w:sz w:val="28"/>
                <w:szCs w:val="28"/>
              </w:rPr>
              <w:t>), sadarbības iestādes atbildīgās struktūrvienības vadītājs, ņemot vērā pieejamos laika un personāla resursus, lemj, vai pārbaudi veikt atkārtoti.</w:t>
            </w:r>
            <w:r w:rsidR="00EF2A2A" w:rsidRPr="002D6FA0">
              <w:rPr>
                <w:sz w:val="28"/>
                <w:szCs w:val="28"/>
              </w:rPr>
              <w:t xml:space="preserve"> </w:t>
            </w:r>
            <w:r w:rsidR="00CC0D73" w:rsidRPr="002D6FA0">
              <w:rPr>
                <w:sz w:val="28"/>
                <w:szCs w:val="28"/>
              </w:rPr>
              <w:t>Ja sadarbības iestāde atkārtoti nevar veikt pirms līguma pārbaudi un nevar piekļūt projekta īstenošanas vietai arī pēc sazināšanās ar projekta iesniedzēju, sadarbības iestāde lū</w:t>
            </w:r>
            <w:r w:rsidR="009B067E" w:rsidRPr="002D6FA0">
              <w:rPr>
                <w:sz w:val="28"/>
                <w:szCs w:val="28"/>
              </w:rPr>
              <w:t>dz</w:t>
            </w:r>
            <w:r w:rsidR="00CC0D73" w:rsidRPr="002D6FA0">
              <w:rPr>
                <w:sz w:val="28"/>
                <w:szCs w:val="28"/>
              </w:rPr>
              <w:t xml:space="preserve"> </w:t>
            </w:r>
            <w:r w:rsidR="006E6AEC" w:rsidRPr="002D6FA0">
              <w:rPr>
                <w:sz w:val="28"/>
                <w:szCs w:val="28"/>
              </w:rPr>
              <w:t xml:space="preserve">projekta iesniedzējam </w:t>
            </w:r>
            <w:r w:rsidR="00CC0D73" w:rsidRPr="002D6FA0">
              <w:rPr>
                <w:sz w:val="28"/>
                <w:szCs w:val="28"/>
              </w:rPr>
              <w:t>skaidrot iemeslus, kādēļ projekta iesniedzējs nevar nodrošināt sadarbības iestādes</w:t>
            </w:r>
            <w:r w:rsidR="009B067E" w:rsidRPr="002D6FA0">
              <w:rPr>
                <w:sz w:val="28"/>
                <w:szCs w:val="28"/>
              </w:rPr>
              <w:t xml:space="preserve"> darbinieku</w:t>
            </w:r>
            <w:r w:rsidR="00CC0D73" w:rsidRPr="002D6FA0">
              <w:rPr>
                <w:sz w:val="28"/>
                <w:szCs w:val="28"/>
              </w:rPr>
              <w:t xml:space="preserve"> piekļuvi projekta īstenošanas vietai.</w:t>
            </w:r>
            <w:r w:rsidR="00074081">
              <w:rPr>
                <w:sz w:val="28"/>
                <w:szCs w:val="28"/>
              </w:rPr>
              <w:t xml:space="preserve"> </w:t>
            </w:r>
          </w:p>
          <w:p w14:paraId="64F8EEB7" w14:textId="631D80A5" w:rsidR="003D3F0C" w:rsidRPr="0049348A" w:rsidRDefault="00074081" w:rsidP="003D3F0C">
            <w:pPr>
              <w:jc w:val="both"/>
              <w:rPr>
                <w:sz w:val="28"/>
                <w:szCs w:val="28"/>
              </w:rPr>
            </w:pPr>
            <w:r w:rsidRPr="0049348A">
              <w:rPr>
                <w:sz w:val="28"/>
                <w:szCs w:val="28"/>
              </w:rPr>
              <w:t>Ņemot vērā</w:t>
            </w:r>
            <w:r w:rsidR="00E61DB4" w:rsidRPr="0049348A">
              <w:rPr>
                <w:sz w:val="28"/>
                <w:szCs w:val="28"/>
              </w:rPr>
              <w:t xml:space="preserve"> to</w:t>
            </w:r>
            <w:r w:rsidRPr="0049348A">
              <w:rPr>
                <w:sz w:val="28"/>
                <w:szCs w:val="28"/>
              </w:rPr>
              <w:t xml:space="preserve">, ka sadarbības iestādei nav skaidri nodefinētas tiesības veikt atkārtotu pirms līguma pārbaudi, tad noteikumu projekts ir papildināts ar punktu, nosakot, ka sadarbības iestāde </w:t>
            </w:r>
            <w:r w:rsidR="00CE4A15" w:rsidRPr="0049348A">
              <w:rPr>
                <w:sz w:val="28"/>
                <w:szCs w:val="28"/>
              </w:rPr>
              <w:t xml:space="preserve">varēs veikt </w:t>
            </w:r>
            <w:r w:rsidRPr="0049348A">
              <w:rPr>
                <w:sz w:val="28"/>
                <w:szCs w:val="28"/>
              </w:rPr>
              <w:t>MK</w:t>
            </w:r>
            <w:proofErr w:type="gramStart"/>
            <w:r w:rsidRPr="0049348A">
              <w:rPr>
                <w:sz w:val="28"/>
                <w:szCs w:val="28"/>
              </w:rPr>
              <w:t xml:space="preserve">  </w:t>
            </w:r>
            <w:proofErr w:type="gramEnd"/>
            <w:r w:rsidRPr="0049348A">
              <w:rPr>
                <w:sz w:val="28"/>
                <w:szCs w:val="28"/>
              </w:rPr>
              <w:t>noteikumu Nr.</w:t>
            </w:r>
            <w:r w:rsidR="00CE4A15" w:rsidRPr="0049348A">
              <w:rPr>
                <w:sz w:val="28"/>
                <w:szCs w:val="28"/>
              </w:rPr>
              <w:t> </w:t>
            </w:r>
            <w:r w:rsidRPr="0049348A">
              <w:rPr>
                <w:sz w:val="28"/>
                <w:szCs w:val="28"/>
              </w:rPr>
              <w:t>77 30. punktā minēto pārbaudi atkārtoti, ja objektīvu iemeslu dēļ nav iespējams piekļūt projekta īstenošanas vietai.</w:t>
            </w:r>
          </w:p>
          <w:p w14:paraId="58AB6E5D" w14:textId="139BA51D" w:rsidR="00501F38" w:rsidRPr="002D6FA0" w:rsidRDefault="00501F38" w:rsidP="003D3F0C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 xml:space="preserve">Ņemot vērā pārbaudēs secināto, lai ES fondu īstenošanā mazinātu iespējamos </w:t>
            </w:r>
            <w:r w:rsidR="008344C9" w:rsidRPr="002D6FA0">
              <w:rPr>
                <w:sz w:val="28"/>
                <w:szCs w:val="28"/>
              </w:rPr>
              <w:t xml:space="preserve">krāpšanas </w:t>
            </w:r>
            <w:r w:rsidRPr="002D6FA0">
              <w:rPr>
                <w:sz w:val="28"/>
                <w:szCs w:val="28"/>
              </w:rPr>
              <w:t>riskus, ir nepieciešams izdarīt grozījumus MK noteikumos Nr.77 nosakot, ka sadarbības iestāde ir tiesīga neinformēt projekta iesniedzēju par plānoto pārbaudi projekta īstenošanas vietā pirms ir noslēgts līgums vai</w:t>
            </w:r>
            <w:proofErr w:type="gramStart"/>
            <w:r w:rsidRPr="002D6FA0">
              <w:rPr>
                <w:sz w:val="28"/>
                <w:szCs w:val="28"/>
              </w:rPr>
              <w:t xml:space="preserve">  </w:t>
            </w:r>
            <w:proofErr w:type="gramEnd"/>
            <w:r w:rsidRPr="002D6FA0">
              <w:rPr>
                <w:sz w:val="28"/>
                <w:szCs w:val="28"/>
              </w:rPr>
              <w:t>vienošanās par projekta īstenošanu.</w:t>
            </w:r>
          </w:p>
          <w:p w14:paraId="3CEADC3E" w14:textId="395AEE76" w:rsidR="004507F6" w:rsidRPr="002D6FA0" w:rsidRDefault="004507F6" w:rsidP="003D3F0C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lastRenderedPageBreak/>
              <w:t xml:space="preserve">Tāpat </w:t>
            </w:r>
            <w:r w:rsidR="003D3F0C" w:rsidRPr="002D6FA0">
              <w:rPr>
                <w:sz w:val="28"/>
                <w:szCs w:val="28"/>
              </w:rPr>
              <w:t>MK noteikumos Nr. 77 nepieciešams</w:t>
            </w:r>
            <w:proofErr w:type="gramStart"/>
            <w:r w:rsidR="003D3F0C" w:rsidRPr="002D6FA0">
              <w:rPr>
                <w:sz w:val="28"/>
                <w:szCs w:val="28"/>
              </w:rPr>
              <w:t xml:space="preserve">  </w:t>
            </w:r>
            <w:proofErr w:type="gramEnd"/>
            <w:r w:rsidR="003D3F0C" w:rsidRPr="002D6FA0">
              <w:rPr>
                <w:sz w:val="28"/>
                <w:szCs w:val="28"/>
              </w:rPr>
              <w:t xml:space="preserve">tehniski precizēt </w:t>
            </w:r>
            <w:r w:rsidRPr="002D6FA0">
              <w:rPr>
                <w:sz w:val="28"/>
                <w:szCs w:val="28"/>
              </w:rPr>
              <w:t>30. punktu, aizstājot vārdus “finansējuma saņēmējs” ar vārdiem “projekta iesniedzējs”, ņemot vērā Eiropas Savienības struktūrfondu un Kohēzijas fonda 2014.-2020. gada plānošanas perioda vadības likuma 1. panta 4. punktā noteikto terminoloģiju.</w:t>
            </w:r>
            <w:r w:rsidR="002B22B0" w:rsidRPr="002D6FA0">
              <w:rPr>
                <w:sz w:val="28"/>
                <w:szCs w:val="28"/>
              </w:rPr>
              <w:t xml:space="preserve"> Kā arī minētajā punktā precizēts pārbaužu mērķis, to paplašinot, lai sadarbības iestāde</w:t>
            </w:r>
            <w:r w:rsidR="00E067DC" w:rsidRPr="002D6FA0">
              <w:rPr>
                <w:sz w:val="28"/>
                <w:szCs w:val="28"/>
              </w:rPr>
              <w:t>,</w:t>
            </w:r>
            <w:r w:rsidR="002B22B0" w:rsidRPr="002D6FA0">
              <w:rPr>
                <w:sz w:val="28"/>
                <w:szCs w:val="28"/>
              </w:rPr>
              <w:t xml:space="preserve"> veicot pirms</w:t>
            </w:r>
            <w:r w:rsidR="00196450">
              <w:rPr>
                <w:sz w:val="28"/>
                <w:szCs w:val="28"/>
              </w:rPr>
              <w:t xml:space="preserve"> </w:t>
            </w:r>
            <w:r w:rsidR="002B22B0" w:rsidRPr="002D6FA0">
              <w:rPr>
                <w:sz w:val="28"/>
                <w:szCs w:val="28"/>
              </w:rPr>
              <w:t>līguma pārbaudes</w:t>
            </w:r>
            <w:r w:rsidR="00E067DC" w:rsidRPr="002D6FA0">
              <w:rPr>
                <w:sz w:val="28"/>
                <w:szCs w:val="28"/>
              </w:rPr>
              <w:t>,</w:t>
            </w:r>
            <w:r w:rsidR="002B22B0" w:rsidRPr="002D6FA0">
              <w:rPr>
                <w:sz w:val="28"/>
                <w:szCs w:val="28"/>
              </w:rPr>
              <w:t xml:space="preserve"> varētu pārliecināties ne tikai par faktiskajiem </w:t>
            </w:r>
            <w:r w:rsidR="00E067DC" w:rsidRPr="002D6FA0">
              <w:rPr>
                <w:sz w:val="28"/>
                <w:szCs w:val="28"/>
              </w:rPr>
              <w:t>projekta īstenošanas apstākļiem</w:t>
            </w:r>
            <w:r w:rsidR="002B22B0" w:rsidRPr="002D6FA0">
              <w:rPr>
                <w:sz w:val="28"/>
                <w:szCs w:val="28"/>
              </w:rPr>
              <w:t xml:space="preserve">, bet </w:t>
            </w:r>
            <w:r w:rsidR="00E067DC" w:rsidRPr="002D6FA0">
              <w:rPr>
                <w:sz w:val="28"/>
                <w:szCs w:val="28"/>
              </w:rPr>
              <w:t>arī par projekta iesniedzēja projekta iesniegumā un tā pamatojošos dokumentos sniegtās informācijas patiesumu.</w:t>
            </w:r>
          </w:p>
          <w:p w14:paraId="4C028E08" w14:textId="77777777" w:rsidR="00E555CE" w:rsidRPr="002D6FA0" w:rsidRDefault="004507F6" w:rsidP="00E555CE">
            <w:pPr>
              <w:ind w:firstLine="169"/>
              <w:jc w:val="both"/>
              <w:rPr>
                <w:b/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Papildus MK noteikumos Nr. 77 nepieciešams</w:t>
            </w:r>
            <w:proofErr w:type="gramStart"/>
            <w:r w:rsidRPr="002D6FA0">
              <w:rPr>
                <w:sz w:val="28"/>
                <w:szCs w:val="28"/>
              </w:rPr>
              <w:t xml:space="preserve">  </w:t>
            </w:r>
            <w:proofErr w:type="gramEnd"/>
            <w:r w:rsidRPr="002D6FA0">
              <w:rPr>
                <w:sz w:val="28"/>
                <w:szCs w:val="28"/>
              </w:rPr>
              <w:t xml:space="preserve">tehniski precizēt </w:t>
            </w:r>
            <w:r w:rsidR="003D3F0C" w:rsidRPr="002D6FA0">
              <w:rPr>
                <w:sz w:val="28"/>
                <w:szCs w:val="28"/>
              </w:rPr>
              <w:t xml:space="preserve">2. pielikuma maksājuma pieprasījuma veidlapas E sadaļas 12. tabulas 0.9. kolonnas skaidrojošo piezīmi, </w:t>
            </w:r>
            <w:r w:rsidR="00AB7A5C" w:rsidRPr="002D6FA0">
              <w:rPr>
                <w:sz w:val="28"/>
                <w:szCs w:val="28"/>
              </w:rPr>
              <w:t>aizstājot vārdus "pilsēta vai pagasts" ar vārdiem un zīmi "republikas pilsēta/novads"</w:t>
            </w:r>
            <w:r w:rsidR="003D3F0C" w:rsidRPr="002D6FA0">
              <w:rPr>
                <w:sz w:val="28"/>
                <w:szCs w:val="28"/>
              </w:rPr>
              <w:t>, lai, aizpildot minēto lauku, varētu piemērot administratīvi teritoriālo vienību klasifikatoru.</w:t>
            </w:r>
          </w:p>
          <w:p w14:paraId="7E172715" w14:textId="71E794E6" w:rsidR="003D3F0C" w:rsidRPr="002D6FA0" w:rsidRDefault="004507F6" w:rsidP="004D63A7">
            <w:pPr>
              <w:ind w:firstLine="169"/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Eiropas Komisijas izvērtēšanas un uzraudzības vadlīnijās par datu uzkrāšanu</w:t>
            </w:r>
            <w:r w:rsidR="00ED56B6" w:rsidRPr="002D6FA0">
              <w:rPr>
                <w:rStyle w:val="FootnoteReference"/>
                <w:b/>
                <w:sz w:val="28"/>
                <w:szCs w:val="28"/>
              </w:rPr>
              <w:footnoteReference w:id="2"/>
            </w:r>
            <w:r w:rsidRPr="002D6FA0">
              <w:rPr>
                <w:b/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>4.1.3.punktā</w:t>
            </w:r>
            <w:r w:rsidRPr="002D6FA0">
              <w:rPr>
                <w:b/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>noteikt</w:t>
            </w:r>
            <w:r w:rsidR="008E56B5" w:rsidRPr="002D6FA0">
              <w:rPr>
                <w:sz w:val="28"/>
                <w:szCs w:val="28"/>
              </w:rPr>
              <w:t>s</w:t>
            </w:r>
            <w:r w:rsidRPr="002D6FA0">
              <w:rPr>
                <w:sz w:val="28"/>
                <w:szCs w:val="28"/>
              </w:rPr>
              <w:t>, ka</w:t>
            </w:r>
            <w:proofErr w:type="gramStart"/>
            <w:r w:rsidRPr="002D6FA0">
              <w:rPr>
                <w:sz w:val="28"/>
                <w:szCs w:val="28"/>
              </w:rPr>
              <w:t xml:space="preserve">  </w:t>
            </w:r>
            <w:proofErr w:type="gramEnd"/>
            <w:r w:rsidR="00ED56B6" w:rsidRPr="002D6FA0">
              <w:rPr>
                <w:sz w:val="28"/>
                <w:szCs w:val="28"/>
              </w:rPr>
              <w:t>personas</w:t>
            </w:r>
            <w:r w:rsidR="008E56B5" w:rsidRPr="002D6FA0">
              <w:rPr>
                <w:sz w:val="28"/>
                <w:szCs w:val="28"/>
              </w:rPr>
              <w:t>,</w:t>
            </w:r>
            <w:r w:rsidR="00ED56B6" w:rsidRPr="002D6FA0">
              <w:rPr>
                <w:sz w:val="28"/>
                <w:szCs w:val="28"/>
              </w:rPr>
              <w:t xml:space="preserve"> kas piedalās atvērtā tipa pasākumos nav uzskatāmas par dalībniekiem un viņu datus var neuzskaitīt. </w:t>
            </w:r>
            <w:r w:rsidR="00E555CE" w:rsidRPr="002D6FA0">
              <w:rPr>
                <w:sz w:val="28"/>
                <w:szCs w:val="28"/>
              </w:rPr>
              <w:t xml:space="preserve">Atvērtā tipa pasākumi </w:t>
            </w:r>
            <w:proofErr w:type="gramStart"/>
            <w:r w:rsidR="00E555CE" w:rsidRPr="002D6FA0">
              <w:rPr>
                <w:sz w:val="28"/>
                <w:szCs w:val="28"/>
              </w:rPr>
              <w:t>ir</w:t>
            </w:r>
            <w:r w:rsidR="00E555CE" w:rsidRPr="002D6FA0">
              <w:t xml:space="preserve"> </w:t>
            </w:r>
            <w:r w:rsidR="00E555CE" w:rsidRPr="002D6FA0">
              <w:rPr>
                <w:sz w:val="28"/>
                <w:szCs w:val="28"/>
              </w:rPr>
              <w:t>plānots</w:t>
            </w:r>
            <w:proofErr w:type="gramEnd"/>
            <w:r w:rsidR="00E555CE" w:rsidRPr="002D6FA0">
              <w:rPr>
                <w:sz w:val="28"/>
                <w:szCs w:val="28"/>
              </w:rPr>
              <w:t xml:space="preserve"> un organizēts sabiedrībai pieejams izklaides, atpūtas vai izglītojošs pasākums publiskā vietā vai dalība tajā. </w:t>
            </w:r>
            <w:r w:rsidR="004D63A7" w:rsidRPr="002D6FA0">
              <w:rPr>
                <w:sz w:val="28"/>
                <w:szCs w:val="28"/>
              </w:rPr>
              <w:t>A</w:t>
            </w:r>
            <w:r w:rsidR="00ED56B6" w:rsidRPr="002D6FA0">
              <w:rPr>
                <w:sz w:val="28"/>
                <w:szCs w:val="28"/>
              </w:rPr>
              <w:t>tsevišķos specifisk</w:t>
            </w:r>
            <w:r w:rsidR="00AB7A5C" w:rsidRPr="002D6FA0">
              <w:rPr>
                <w:sz w:val="28"/>
                <w:szCs w:val="28"/>
              </w:rPr>
              <w:t>ā</w:t>
            </w:r>
            <w:r w:rsidR="00ED56B6" w:rsidRPr="002D6FA0">
              <w:rPr>
                <w:sz w:val="28"/>
                <w:szCs w:val="28"/>
              </w:rPr>
              <w:t xml:space="preserve"> atbalsta mērķos un to pasākumos</w:t>
            </w:r>
            <w:r w:rsidR="008E56B5" w:rsidRPr="002D6FA0">
              <w:rPr>
                <w:sz w:val="28"/>
                <w:szCs w:val="28"/>
              </w:rPr>
              <w:t>, ir paredzēti šāda tipa pasākumi</w:t>
            </w:r>
            <w:r w:rsidR="00E555CE" w:rsidRPr="002D6FA0">
              <w:rPr>
                <w:sz w:val="28"/>
                <w:szCs w:val="28"/>
              </w:rPr>
              <w:t xml:space="preserve">, </w:t>
            </w:r>
            <w:proofErr w:type="gramStart"/>
            <w:r w:rsidR="00E555CE" w:rsidRPr="002D6FA0">
              <w:rPr>
                <w:sz w:val="28"/>
                <w:szCs w:val="28"/>
              </w:rPr>
              <w:t>kā piemēram</w:t>
            </w:r>
            <w:proofErr w:type="gramEnd"/>
            <w:r w:rsidR="00E555CE" w:rsidRPr="002D6FA0">
              <w:rPr>
                <w:sz w:val="28"/>
                <w:szCs w:val="28"/>
              </w:rPr>
              <w:t xml:space="preserve">, konferences, </w:t>
            </w:r>
            <w:r w:rsidR="005548F8" w:rsidRPr="00074081">
              <w:rPr>
                <w:sz w:val="28"/>
                <w:szCs w:val="28"/>
              </w:rPr>
              <w:t xml:space="preserve">sporta spēles, sporta pasākumu komplekss neierobežotam sabiedrības lokam, bez iespējas fiksēt brīdi, ar kuru tiek pārtraukta dalība pasākumā, </w:t>
            </w:r>
            <w:r w:rsidR="00A06CC7" w:rsidRPr="00074081">
              <w:rPr>
                <w:sz w:val="28"/>
                <w:szCs w:val="28"/>
              </w:rPr>
              <w:t>“</w:t>
            </w:r>
            <w:r w:rsidR="00E555CE" w:rsidRPr="00074081">
              <w:rPr>
                <w:sz w:val="28"/>
                <w:szCs w:val="28"/>
              </w:rPr>
              <w:t>Lampa</w:t>
            </w:r>
            <w:r w:rsidR="00A06CC7" w:rsidRPr="00074081">
              <w:rPr>
                <w:sz w:val="28"/>
                <w:szCs w:val="28"/>
              </w:rPr>
              <w:t>”</w:t>
            </w:r>
            <w:r w:rsidR="00E555CE" w:rsidRPr="00074081">
              <w:rPr>
                <w:sz w:val="28"/>
                <w:szCs w:val="28"/>
              </w:rPr>
              <w:t xml:space="preserve">, </w:t>
            </w:r>
            <w:r w:rsidR="00A06CC7" w:rsidRPr="00074081">
              <w:rPr>
                <w:sz w:val="28"/>
                <w:szCs w:val="28"/>
              </w:rPr>
              <w:t>“</w:t>
            </w:r>
            <w:proofErr w:type="spellStart"/>
            <w:r w:rsidR="00E555CE" w:rsidRPr="00074081">
              <w:rPr>
                <w:sz w:val="28"/>
                <w:szCs w:val="28"/>
              </w:rPr>
              <w:t>Positivus</w:t>
            </w:r>
            <w:proofErr w:type="spellEnd"/>
            <w:r w:rsidR="00A06CC7" w:rsidRPr="00074081">
              <w:rPr>
                <w:sz w:val="28"/>
                <w:szCs w:val="28"/>
              </w:rPr>
              <w:t>”</w:t>
            </w:r>
            <w:r w:rsidR="00E555CE" w:rsidRPr="00074081">
              <w:rPr>
                <w:sz w:val="28"/>
                <w:szCs w:val="28"/>
              </w:rPr>
              <w:t xml:space="preserve">, </w:t>
            </w:r>
            <w:r w:rsidR="00A06CC7" w:rsidRPr="00074081">
              <w:rPr>
                <w:sz w:val="28"/>
                <w:szCs w:val="28"/>
              </w:rPr>
              <w:t>“</w:t>
            </w:r>
            <w:proofErr w:type="spellStart"/>
            <w:r w:rsidR="00E555CE" w:rsidRPr="00074081">
              <w:rPr>
                <w:sz w:val="28"/>
                <w:szCs w:val="28"/>
              </w:rPr>
              <w:t>iNovuss</w:t>
            </w:r>
            <w:proofErr w:type="spellEnd"/>
            <w:r w:rsidR="00A06CC7" w:rsidRPr="00074081">
              <w:rPr>
                <w:sz w:val="28"/>
                <w:szCs w:val="28"/>
              </w:rPr>
              <w:t>”</w:t>
            </w:r>
            <w:r w:rsidR="005548F8" w:rsidRPr="00074081">
              <w:rPr>
                <w:sz w:val="28"/>
                <w:szCs w:val="28"/>
              </w:rPr>
              <w:t xml:space="preserve"> </w:t>
            </w:r>
            <w:proofErr w:type="spellStart"/>
            <w:r w:rsidR="00E555CE" w:rsidRPr="00074081">
              <w:rPr>
                <w:sz w:val="28"/>
                <w:szCs w:val="28"/>
              </w:rPr>
              <w:t>u.tml.</w:t>
            </w:r>
            <w:r w:rsidR="008E56B5" w:rsidRPr="00074081">
              <w:rPr>
                <w:sz w:val="28"/>
                <w:szCs w:val="28"/>
              </w:rPr>
              <w:t>.</w:t>
            </w:r>
            <w:r w:rsidR="004D63A7" w:rsidRPr="00074081">
              <w:rPr>
                <w:sz w:val="28"/>
                <w:szCs w:val="28"/>
              </w:rPr>
              <w:t>Tāpēc</w:t>
            </w:r>
            <w:proofErr w:type="spellEnd"/>
            <w:r w:rsidR="007D7D40" w:rsidRPr="00074081">
              <w:rPr>
                <w:sz w:val="28"/>
                <w:szCs w:val="28"/>
              </w:rPr>
              <w:t>,</w:t>
            </w:r>
            <w:r w:rsidR="007D7D40" w:rsidRPr="00074081">
              <w:t xml:space="preserve"> </w:t>
            </w:r>
            <w:r w:rsidR="007D7D40" w:rsidRPr="00074081">
              <w:rPr>
                <w:sz w:val="28"/>
                <w:szCs w:val="28"/>
              </w:rPr>
              <w:t xml:space="preserve">lai maksimāli mazinātu administratīvo slogu finansējuma saņēmējam, sadarbības partneriem, projektos iesaistītajiem dalībniekiem, kā arī </w:t>
            </w:r>
            <w:r w:rsidR="007D7D40" w:rsidRPr="00074081">
              <w:rPr>
                <w:sz w:val="28"/>
                <w:szCs w:val="28"/>
              </w:rPr>
              <w:lastRenderedPageBreak/>
              <w:t>sadarbības iestādei (minētais ir attiecināms uz darbībām, kur dalībnieku anketēšana būtu nesamērīga, ievērojot minētajās vadlīnijās noteikto),</w:t>
            </w:r>
            <w:r w:rsidR="007D7D40" w:rsidRPr="002D6FA0">
              <w:rPr>
                <w:sz w:val="28"/>
                <w:szCs w:val="28"/>
              </w:rPr>
              <w:t xml:space="preserve"> </w:t>
            </w:r>
            <w:r w:rsidR="008E56B5" w:rsidRPr="002D6FA0">
              <w:rPr>
                <w:sz w:val="28"/>
                <w:szCs w:val="28"/>
              </w:rPr>
              <w:t xml:space="preserve"> tiek precizēta maksājuma pieprasījuma veidlapa</w:t>
            </w:r>
            <w:r w:rsidR="00E555CE" w:rsidRPr="002D6FA0">
              <w:rPr>
                <w:sz w:val="28"/>
                <w:szCs w:val="28"/>
              </w:rPr>
              <w:t>, t.i., MK noteikumu Nr. 77 2. pielikuma minētā sadaļa tiek papildināta ar nosacījumu, ka atbilstoši atbildīgās iestādes norādījumiem E sadaļā neiekļauj to dalībnieku datus, kas piedalās publiskos atvērtā tipa pasākumos</w:t>
            </w:r>
            <w:r w:rsidR="008E56B5" w:rsidRPr="002D6FA0">
              <w:rPr>
                <w:sz w:val="28"/>
                <w:szCs w:val="28"/>
              </w:rPr>
              <w:t>.</w:t>
            </w:r>
          </w:p>
          <w:p w14:paraId="16F7A0FB" w14:textId="3D6F1413" w:rsidR="00E555CE" w:rsidRPr="002D6FA0" w:rsidRDefault="004D63A7" w:rsidP="00FC6B57">
            <w:pPr>
              <w:jc w:val="both"/>
              <w:rPr>
                <w:b/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Tas nozīmē, ka</w:t>
            </w:r>
            <w:r w:rsidR="00DE1F7A" w:rsidRPr="002D6FA0">
              <w:rPr>
                <w:sz w:val="28"/>
                <w:szCs w:val="28"/>
              </w:rPr>
              <w:t xml:space="preserve"> atbildīg</w:t>
            </w:r>
            <w:r w:rsidRPr="002D6FA0">
              <w:rPr>
                <w:sz w:val="28"/>
                <w:szCs w:val="28"/>
              </w:rPr>
              <w:t>aj</w:t>
            </w:r>
            <w:r w:rsidR="00DE1F7A" w:rsidRPr="002D6FA0">
              <w:rPr>
                <w:sz w:val="28"/>
                <w:szCs w:val="28"/>
              </w:rPr>
              <w:t>ā</w:t>
            </w:r>
            <w:r w:rsidRPr="002D6FA0">
              <w:rPr>
                <w:sz w:val="28"/>
                <w:szCs w:val="28"/>
              </w:rPr>
              <w:t>m</w:t>
            </w:r>
            <w:r w:rsidR="00DE1F7A" w:rsidRPr="002D6FA0">
              <w:rPr>
                <w:sz w:val="28"/>
                <w:szCs w:val="28"/>
              </w:rPr>
              <w:t xml:space="preserve"> iestād</w:t>
            </w:r>
            <w:r w:rsidRPr="002D6FA0">
              <w:rPr>
                <w:sz w:val="28"/>
                <w:szCs w:val="28"/>
              </w:rPr>
              <w:t xml:space="preserve">ēm, </w:t>
            </w:r>
            <w:r w:rsidR="00FC6B57" w:rsidRPr="002D6FA0">
              <w:rPr>
                <w:sz w:val="28"/>
                <w:szCs w:val="28"/>
              </w:rPr>
              <w:t xml:space="preserve">kam </w:t>
            </w:r>
            <w:r w:rsidRPr="002D6FA0">
              <w:rPr>
                <w:sz w:val="28"/>
                <w:szCs w:val="28"/>
              </w:rPr>
              <w:t>pārziņā ir specifiskā atbalsta mērķi, kuru ietvaros paredzēti dalībnieki,</w:t>
            </w:r>
            <w:r w:rsidR="00DE1F7A" w:rsidRPr="002D6FA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>ir pienākums sagatavot</w:t>
            </w:r>
            <w:r w:rsidR="00DE1F7A" w:rsidRPr="002D6FA0">
              <w:rPr>
                <w:sz w:val="28"/>
                <w:szCs w:val="28"/>
              </w:rPr>
              <w:t xml:space="preserve"> norādījumus par </w:t>
            </w:r>
            <w:r w:rsidR="00FC6B57" w:rsidRPr="002D6FA0">
              <w:rPr>
                <w:sz w:val="28"/>
                <w:szCs w:val="28"/>
              </w:rPr>
              <w:t xml:space="preserve">atvērtā tipa </w:t>
            </w:r>
            <w:r w:rsidR="00DE1F7A" w:rsidRPr="002D6FA0">
              <w:rPr>
                <w:sz w:val="28"/>
                <w:szCs w:val="28"/>
              </w:rPr>
              <w:t>pasākumiem.</w:t>
            </w:r>
          </w:p>
        </w:tc>
      </w:tr>
      <w:tr w:rsidR="002D6FA0" w:rsidRPr="002D6FA0" w14:paraId="16471ECC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2D279D16" w14:textId="77777777" w:rsidR="003D3F0C" w:rsidRPr="002D6FA0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63C22158" w14:textId="77777777" w:rsidR="003D3F0C" w:rsidRPr="002D6FA0" w:rsidRDefault="003D3F0C" w:rsidP="005E0EF3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29860A55" w14:textId="77777777" w:rsidR="003D3F0C" w:rsidRPr="002D6FA0" w:rsidRDefault="003D3F0C" w:rsidP="005E0EF3">
            <w:pPr>
              <w:jc w:val="both"/>
              <w:rPr>
                <w:i/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Finanšu ministrija un Centrālā finanšu un līgumu aģentūra</w:t>
            </w:r>
          </w:p>
        </w:tc>
      </w:tr>
      <w:tr w:rsidR="003D3F0C" w:rsidRPr="002D6FA0" w14:paraId="35E88F3F" w14:textId="77777777" w:rsidTr="003D3F0C">
        <w:tc>
          <w:tcPr>
            <w:tcW w:w="3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1752943" w14:textId="77777777" w:rsidR="003D3F0C" w:rsidRPr="002D6FA0" w:rsidRDefault="003D3F0C" w:rsidP="005E0EF3">
            <w:pPr>
              <w:spacing w:before="100" w:beforeAutospacing="1" w:after="100" w:afterAutospacing="1" w:line="360" w:lineRule="auto"/>
              <w:ind w:firstLine="300"/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4.</w:t>
            </w:r>
          </w:p>
        </w:tc>
        <w:tc>
          <w:tcPr>
            <w:tcW w:w="17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  <w:hideMark/>
          </w:tcPr>
          <w:p w14:paraId="46BCCF2C" w14:textId="77777777" w:rsidR="003D3F0C" w:rsidRPr="002D6FA0" w:rsidRDefault="003D3F0C" w:rsidP="005E0EF3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Cita informācija</w:t>
            </w:r>
          </w:p>
        </w:tc>
        <w:tc>
          <w:tcPr>
            <w:tcW w:w="3000" w:type="pct"/>
            <w:tcBorders>
              <w:top w:val="outset" w:sz="5" w:space="0" w:color="414142"/>
              <w:left w:val="outset" w:sz="5" w:space="0" w:color="414142"/>
              <w:bottom w:val="outset" w:sz="5" w:space="0" w:color="414142"/>
              <w:right w:val="outset" w:sz="5" w:space="0" w:color="414142"/>
            </w:tcBorders>
          </w:tcPr>
          <w:p w14:paraId="5464B109" w14:textId="77777777" w:rsidR="003D3F0C" w:rsidRPr="002D6FA0" w:rsidRDefault="003D3F0C" w:rsidP="005E0EF3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Nav</w:t>
            </w:r>
          </w:p>
        </w:tc>
      </w:tr>
    </w:tbl>
    <w:p w14:paraId="35CC29B9" w14:textId="77777777" w:rsidR="00303D52" w:rsidRPr="002D6FA0" w:rsidRDefault="00303D52" w:rsidP="00FC6CB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2D6FA0" w:rsidRPr="002D6FA0" w14:paraId="0918E51C" w14:textId="77777777" w:rsidTr="005E0EF3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4695CC5" w14:textId="77777777" w:rsidR="00FC6CB7" w:rsidRPr="002D6FA0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2D6FA0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2D6FA0" w:rsidRPr="002D6FA0" w14:paraId="50826693" w14:textId="77777777" w:rsidTr="005E0EF3">
        <w:trPr>
          <w:cantSplit/>
        </w:trPr>
        <w:tc>
          <w:tcPr>
            <w:tcW w:w="311" w:type="pct"/>
            <w:hideMark/>
          </w:tcPr>
          <w:p w14:paraId="1B1A1A3F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1.</w:t>
            </w:r>
          </w:p>
        </w:tc>
        <w:tc>
          <w:tcPr>
            <w:tcW w:w="1479" w:type="pct"/>
            <w:hideMark/>
          </w:tcPr>
          <w:p w14:paraId="536DA9C5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Sabiedrības mērķgrupas, kuras tiesiskais regulējums ietekmē</w:t>
            </w:r>
            <w:proofErr w:type="gramStart"/>
            <w:r w:rsidRPr="002D6FA0">
              <w:rPr>
                <w:sz w:val="28"/>
                <w:szCs w:val="28"/>
              </w:rPr>
              <w:t xml:space="preserve"> vai varētu ietekmēt</w:t>
            </w:r>
            <w:proofErr w:type="gramEnd"/>
          </w:p>
        </w:tc>
        <w:tc>
          <w:tcPr>
            <w:tcW w:w="3210" w:type="pct"/>
            <w:hideMark/>
          </w:tcPr>
          <w:p w14:paraId="3116BDF6" w14:textId="71236C63" w:rsidR="00FC6CB7" w:rsidRPr="002D6FA0" w:rsidRDefault="00BE7C55" w:rsidP="00770E9E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Sadarbības iestāde</w:t>
            </w:r>
            <w:r w:rsidR="00770E9E" w:rsidRPr="002D6FA0">
              <w:rPr>
                <w:sz w:val="28"/>
                <w:szCs w:val="28"/>
              </w:rPr>
              <w:t>,</w:t>
            </w:r>
            <w:r w:rsidRPr="002D6FA0">
              <w:rPr>
                <w:sz w:val="28"/>
                <w:szCs w:val="28"/>
              </w:rPr>
              <w:t xml:space="preserve"> projekta iesniedzējs</w:t>
            </w:r>
            <w:r w:rsidR="00770E9E" w:rsidRPr="002D6FA0">
              <w:rPr>
                <w:sz w:val="28"/>
                <w:szCs w:val="28"/>
              </w:rPr>
              <w:t xml:space="preserve"> un finansējuma saņēmējs.</w:t>
            </w:r>
          </w:p>
        </w:tc>
      </w:tr>
      <w:tr w:rsidR="002D6FA0" w:rsidRPr="002D6FA0" w14:paraId="1C01AF56" w14:textId="77777777" w:rsidTr="005E0EF3">
        <w:trPr>
          <w:cantSplit/>
        </w:trPr>
        <w:tc>
          <w:tcPr>
            <w:tcW w:w="311" w:type="pct"/>
            <w:hideMark/>
          </w:tcPr>
          <w:p w14:paraId="35A5F7EF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2.</w:t>
            </w:r>
          </w:p>
        </w:tc>
        <w:tc>
          <w:tcPr>
            <w:tcW w:w="1479" w:type="pct"/>
            <w:hideMark/>
          </w:tcPr>
          <w:p w14:paraId="3B256032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02B47472" w14:textId="77777777" w:rsidR="00FC6CB7" w:rsidRPr="002D6FA0" w:rsidRDefault="00AD6BD5" w:rsidP="00AD6BD5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MK noteikumu projekts pēc būtības nemaina sadarbības iestādes un projekta iesniedzēja tiesības un pienākumus, jo arī turpmāk sadarbības iestāde izlases veidā veiks pārbaudes projekta īstenošanas vietās pirms līguma vai vienošanās noslēgšanas.</w:t>
            </w:r>
          </w:p>
          <w:p w14:paraId="23E825DF" w14:textId="47DA219A" w:rsidR="00770E9E" w:rsidRPr="002D6FA0" w:rsidRDefault="001B620C" w:rsidP="00AB7A5C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Atsevišķu specifisko atbalsta mērķa ietvaros</w:t>
            </w:r>
            <w:r w:rsidR="003C195C" w:rsidRPr="002D6FA0">
              <w:rPr>
                <w:sz w:val="28"/>
                <w:szCs w:val="28"/>
              </w:rPr>
              <w:t>, kur paredzēti publiskā tipa pasākumi</w:t>
            </w:r>
            <w:r w:rsidR="00536E16" w:rsidRPr="002D6FA0">
              <w:rPr>
                <w:sz w:val="28"/>
                <w:szCs w:val="28"/>
              </w:rPr>
              <w:t>,</w:t>
            </w:r>
            <w:r w:rsidRPr="002D6FA0">
              <w:rPr>
                <w:sz w:val="28"/>
                <w:szCs w:val="28"/>
              </w:rPr>
              <w:t xml:space="preserve"> administratīvais slogs</w:t>
            </w:r>
            <w:r w:rsidR="00536E16" w:rsidRPr="002D6FA0">
              <w:rPr>
                <w:sz w:val="28"/>
                <w:szCs w:val="28"/>
              </w:rPr>
              <w:t xml:space="preserve"> finansējuma saņēmējiem</w:t>
            </w:r>
            <w:r w:rsidRPr="002D6FA0">
              <w:rPr>
                <w:sz w:val="28"/>
                <w:szCs w:val="28"/>
              </w:rPr>
              <w:t>, lai aizpildītu maksājuma pieprasījuma veidlapu un iesniegt to sadarbības iestādei, un attiecīgi sadarbības iestāde</w:t>
            </w:r>
            <w:r w:rsidR="00536E16" w:rsidRPr="0049348A">
              <w:rPr>
                <w:sz w:val="28"/>
                <w:szCs w:val="28"/>
              </w:rPr>
              <w:t>i</w:t>
            </w:r>
            <w:r w:rsidRPr="002D6FA0">
              <w:rPr>
                <w:sz w:val="28"/>
                <w:szCs w:val="28"/>
              </w:rPr>
              <w:t xml:space="preserve">, ja nepieciešams, maksājuma pieprasījumu, kas iesniegts papīra formātā, datus ievadīt </w:t>
            </w:r>
            <w:r w:rsidR="00AB7A5C" w:rsidRPr="002D6FA0">
              <w:rPr>
                <w:sz w:val="28"/>
                <w:szCs w:val="28"/>
              </w:rPr>
              <w:t>Kohēzijas politikas fondu vadības informācijas sistēmā 2014-2020.gadam</w:t>
            </w:r>
            <w:r w:rsidRPr="002D6FA0">
              <w:rPr>
                <w:sz w:val="28"/>
                <w:szCs w:val="28"/>
              </w:rPr>
              <w:t>, samazinās.</w:t>
            </w:r>
          </w:p>
        </w:tc>
      </w:tr>
      <w:tr w:rsidR="002D6FA0" w:rsidRPr="002D6FA0" w14:paraId="057B4A93" w14:textId="77777777" w:rsidTr="005E0EF3">
        <w:trPr>
          <w:cantSplit/>
        </w:trPr>
        <w:tc>
          <w:tcPr>
            <w:tcW w:w="311" w:type="pct"/>
            <w:hideMark/>
          </w:tcPr>
          <w:p w14:paraId="07B0291F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479" w:type="pct"/>
            <w:hideMark/>
          </w:tcPr>
          <w:p w14:paraId="0C264A8E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210" w:type="pct"/>
            <w:hideMark/>
          </w:tcPr>
          <w:p w14:paraId="4F2C182D" w14:textId="77777777" w:rsidR="004259C5" w:rsidRPr="002D6FA0" w:rsidRDefault="003C195C" w:rsidP="004259C5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 xml:space="preserve">Administratīvās izmaksas </w:t>
            </w:r>
            <w:r w:rsidR="004259C5" w:rsidRPr="002D6FA0">
              <w:rPr>
                <w:sz w:val="28"/>
                <w:szCs w:val="28"/>
              </w:rPr>
              <w:t xml:space="preserve">attiecībā uz maksājuma pieprasījuma aizpildīšanu un iesniegšanu sadarbības iestādē </w:t>
            </w:r>
            <w:r w:rsidRPr="002D6FA0">
              <w:rPr>
                <w:sz w:val="28"/>
                <w:szCs w:val="28"/>
              </w:rPr>
              <w:t xml:space="preserve">nav iespējams aprēķināt, jo, </w:t>
            </w:r>
          </w:p>
          <w:p w14:paraId="3406D738" w14:textId="471A7D93" w:rsidR="00FC6CB7" w:rsidRPr="002D6FA0" w:rsidRDefault="003C195C" w:rsidP="004259C5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ņemot vērā katra projekta specifiku</w:t>
            </w:r>
            <w:r w:rsidR="004259C5" w:rsidRPr="002D6FA0">
              <w:rPr>
                <w:sz w:val="28"/>
                <w:szCs w:val="28"/>
              </w:rPr>
              <w:t xml:space="preserve"> (saturs, apjoms, sasniedzamo rezultātu un rādītāju skaits, gala saņēmēju skaits, iesniedzamo dokumentu skaits u.c.)</w:t>
            </w:r>
            <w:r w:rsidRPr="002D6FA0">
              <w:rPr>
                <w:sz w:val="28"/>
                <w:szCs w:val="28"/>
              </w:rPr>
              <w:t>, tās aptver dažādu administratīvo izmaksu variantus.</w:t>
            </w:r>
          </w:p>
        </w:tc>
      </w:tr>
      <w:tr w:rsidR="002D6FA0" w:rsidRPr="002D6FA0" w14:paraId="53C5FA1D" w14:textId="77777777" w:rsidTr="005E0EF3">
        <w:trPr>
          <w:cantSplit/>
        </w:trPr>
        <w:tc>
          <w:tcPr>
            <w:tcW w:w="311" w:type="pct"/>
            <w:hideMark/>
          </w:tcPr>
          <w:p w14:paraId="65E8AAF6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4.</w:t>
            </w:r>
          </w:p>
        </w:tc>
        <w:tc>
          <w:tcPr>
            <w:tcW w:w="1479" w:type="pct"/>
            <w:hideMark/>
          </w:tcPr>
          <w:p w14:paraId="29F39D19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3210" w:type="pct"/>
            <w:hideMark/>
          </w:tcPr>
          <w:p w14:paraId="01DE99FC" w14:textId="77777777" w:rsidR="00FC6CB7" w:rsidRPr="002D6FA0" w:rsidRDefault="00AD6BD5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MK noteikumu projekts šo jomu neskar.</w:t>
            </w:r>
          </w:p>
        </w:tc>
      </w:tr>
      <w:tr w:rsidR="00FC6CB7" w:rsidRPr="002D6FA0" w14:paraId="55E554C9" w14:textId="77777777" w:rsidTr="005E0EF3">
        <w:trPr>
          <w:cantSplit/>
        </w:trPr>
        <w:tc>
          <w:tcPr>
            <w:tcW w:w="311" w:type="pct"/>
            <w:hideMark/>
          </w:tcPr>
          <w:p w14:paraId="6D1912C3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5.</w:t>
            </w:r>
          </w:p>
        </w:tc>
        <w:tc>
          <w:tcPr>
            <w:tcW w:w="1479" w:type="pct"/>
            <w:hideMark/>
          </w:tcPr>
          <w:p w14:paraId="75F1A6B7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Cita informācija</w:t>
            </w:r>
          </w:p>
        </w:tc>
        <w:tc>
          <w:tcPr>
            <w:tcW w:w="3210" w:type="pct"/>
            <w:hideMark/>
          </w:tcPr>
          <w:p w14:paraId="5295BFA1" w14:textId="77777777" w:rsidR="00FC6CB7" w:rsidRPr="002D6FA0" w:rsidRDefault="00AD6BD5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Nav</w:t>
            </w:r>
          </w:p>
        </w:tc>
      </w:tr>
    </w:tbl>
    <w:p w14:paraId="59F27FEE" w14:textId="77777777" w:rsidR="00FC6CB7" w:rsidRPr="002D6FA0" w:rsidRDefault="00FC6CB7" w:rsidP="00FC6CB7">
      <w:pPr>
        <w:rPr>
          <w:sz w:val="28"/>
          <w:szCs w:val="28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5"/>
      </w:tblGrid>
      <w:tr w:rsidR="002D6FA0" w:rsidRPr="002D6FA0" w14:paraId="18D1F721" w14:textId="77777777" w:rsidTr="005E0EF3">
        <w:trPr>
          <w:cantSplit/>
        </w:trPr>
        <w:tc>
          <w:tcPr>
            <w:tcW w:w="8299" w:type="dxa"/>
            <w:shd w:val="clear" w:color="auto" w:fill="auto"/>
            <w:vAlign w:val="center"/>
            <w:hideMark/>
          </w:tcPr>
          <w:p w14:paraId="4722B04B" w14:textId="77777777" w:rsidR="006872B5" w:rsidRPr="002D6FA0" w:rsidRDefault="006872B5" w:rsidP="005E0EF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D6FA0">
              <w:rPr>
                <w:b/>
                <w:bCs/>
                <w:sz w:val="28"/>
                <w:szCs w:val="28"/>
                <w:lang w:eastAsia="en-US"/>
              </w:rPr>
              <w:t>III. Tiesību akta projekta ietekme uz valsts budžetu un pašvaldību budžetiem</w:t>
            </w:r>
          </w:p>
        </w:tc>
      </w:tr>
      <w:tr w:rsidR="002D6FA0" w:rsidRPr="002D6FA0" w14:paraId="58CB406F" w14:textId="77777777" w:rsidTr="005E0EF3">
        <w:trPr>
          <w:cantSplit/>
        </w:trPr>
        <w:tc>
          <w:tcPr>
            <w:tcW w:w="8299" w:type="dxa"/>
            <w:shd w:val="clear" w:color="auto" w:fill="auto"/>
            <w:vAlign w:val="center"/>
          </w:tcPr>
          <w:p w14:paraId="4A026436" w14:textId="77777777" w:rsidR="006872B5" w:rsidRPr="002D6FA0" w:rsidRDefault="006872B5" w:rsidP="005E0EF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D6FA0">
              <w:rPr>
                <w:bCs/>
                <w:sz w:val="28"/>
                <w:szCs w:val="28"/>
              </w:rPr>
              <w:t>MK noteikumu projekts šo jomu neskar</w:t>
            </w:r>
          </w:p>
        </w:tc>
      </w:tr>
    </w:tbl>
    <w:p w14:paraId="0873D3D8" w14:textId="77777777" w:rsidR="006872B5" w:rsidRPr="002D6FA0" w:rsidRDefault="006872B5" w:rsidP="00FC6CB7">
      <w:pPr>
        <w:rPr>
          <w:sz w:val="28"/>
          <w:szCs w:val="28"/>
        </w:rPr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2D6FA0" w:rsidRPr="002D6FA0" w14:paraId="3EDF014D" w14:textId="77777777" w:rsidTr="006872B5">
        <w:trPr>
          <w:cantSplit/>
        </w:trPr>
        <w:tc>
          <w:tcPr>
            <w:tcW w:w="8299" w:type="dxa"/>
            <w:vAlign w:val="center"/>
            <w:hideMark/>
          </w:tcPr>
          <w:p w14:paraId="5E92C010" w14:textId="77777777" w:rsidR="00FC6CB7" w:rsidRPr="002D6FA0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2D6FA0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2D6FA0" w:rsidRPr="002D6FA0" w14:paraId="504FAB97" w14:textId="77777777" w:rsidTr="005E0EF3">
        <w:trPr>
          <w:cantSplit/>
        </w:trPr>
        <w:tc>
          <w:tcPr>
            <w:tcW w:w="8299" w:type="dxa"/>
          </w:tcPr>
          <w:p w14:paraId="0C41B880" w14:textId="77777777" w:rsidR="00D711F9" w:rsidRPr="002D6FA0" w:rsidRDefault="00D711F9" w:rsidP="00D711F9">
            <w:pPr>
              <w:jc w:val="center"/>
              <w:rPr>
                <w:sz w:val="28"/>
                <w:szCs w:val="28"/>
              </w:rPr>
            </w:pPr>
            <w:r w:rsidRPr="002D6FA0">
              <w:rPr>
                <w:bCs/>
                <w:sz w:val="28"/>
                <w:szCs w:val="28"/>
              </w:rPr>
              <w:t>MK noteikumu projekts šo jomu neskar</w:t>
            </w:r>
          </w:p>
        </w:tc>
      </w:tr>
    </w:tbl>
    <w:p w14:paraId="1B769653" w14:textId="77777777" w:rsidR="00FC6CB7" w:rsidRPr="002D6FA0" w:rsidRDefault="00FC6CB7" w:rsidP="00FC6CB7">
      <w:pPr>
        <w:pStyle w:val="Title"/>
        <w:spacing w:before="130"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2D6FA0" w:rsidRPr="002D6FA0" w14:paraId="38D9068D" w14:textId="77777777" w:rsidTr="005E0EF3">
        <w:trPr>
          <w:cantSplit/>
        </w:trPr>
        <w:tc>
          <w:tcPr>
            <w:tcW w:w="5000" w:type="pct"/>
            <w:vAlign w:val="center"/>
            <w:hideMark/>
          </w:tcPr>
          <w:p w14:paraId="2F71B928" w14:textId="77777777" w:rsidR="00FC6CB7" w:rsidRPr="002D6FA0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2D6FA0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D711F9" w:rsidRPr="002D6FA0" w14:paraId="58F88B6A" w14:textId="77777777" w:rsidTr="00D711F9">
        <w:trPr>
          <w:cantSplit/>
        </w:trPr>
        <w:tc>
          <w:tcPr>
            <w:tcW w:w="5000" w:type="pct"/>
          </w:tcPr>
          <w:p w14:paraId="78DD32F3" w14:textId="77777777" w:rsidR="00D711F9" w:rsidRPr="002D6FA0" w:rsidRDefault="00D711F9" w:rsidP="00D711F9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MK noteikumu projekts šo jomu neskar</w:t>
            </w:r>
          </w:p>
        </w:tc>
      </w:tr>
    </w:tbl>
    <w:p w14:paraId="52093427" w14:textId="059AACD1" w:rsidR="00FC6CB7" w:rsidRPr="002D6FA0" w:rsidRDefault="00FC6CB7" w:rsidP="002C012F">
      <w:pPr>
        <w:pStyle w:val="Title"/>
        <w:spacing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1"/>
        <w:gridCol w:w="3545"/>
        <w:gridCol w:w="4955"/>
      </w:tblGrid>
      <w:tr w:rsidR="002D6FA0" w:rsidRPr="002D6FA0" w14:paraId="39E42540" w14:textId="77777777" w:rsidTr="00EC7716">
        <w:trPr>
          <w:cantSplit/>
          <w:trHeight w:val="542"/>
        </w:trPr>
        <w:tc>
          <w:tcPr>
            <w:tcW w:w="5000" w:type="pct"/>
            <w:gridSpan w:val="3"/>
            <w:vAlign w:val="center"/>
            <w:hideMark/>
          </w:tcPr>
          <w:p w14:paraId="0814779B" w14:textId="7664F666" w:rsidR="00FC6CB7" w:rsidRPr="002D6FA0" w:rsidRDefault="00FC6CB7" w:rsidP="00EC7716">
            <w:pPr>
              <w:jc w:val="center"/>
              <w:rPr>
                <w:b/>
                <w:bCs/>
                <w:sz w:val="28"/>
                <w:szCs w:val="28"/>
              </w:rPr>
            </w:pPr>
            <w:r w:rsidRPr="002D6FA0">
              <w:rPr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2D6FA0" w:rsidRPr="002D6FA0" w14:paraId="48672093" w14:textId="77777777" w:rsidTr="002C012F">
        <w:trPr>
          <w:cantSplit/>
        </w:trPr>
        <w:tc>
          <w:tcPr>
            <w:tcW w:w="310" w:type="pct"/>
            <w:hideMark/>
          </w:tcPr>
          <w:p w14:paraId="0075D8E1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1.</w:t>
            </w:r>
          </w:p>
        </w:tc>
        <w:tc>
          <w:tcPr>
            <w:tcW w:w="1956" w:type="pct"/>
            <w:hideMark/>
          </w:tcPr>
          <w:p w14:paraId="440DCDEF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2734" w:type="pct"/>
            <w:hideMark/>
          </w:tcPr>
          <w:p w14:paraId="60A22B61" w14:textId="498E4689" w:rsidR="00FC6CB7" w:rsidRPr="002D6FA0" w:rsidRDefault="00D711F9" w:rsidP="002C012F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 xml:space="preserve">Sabiedrības pārstāvji varēs līdzdarboties MK noteikumu projekta izstrādē, sniedzot atzinumu par to pēc noteikumu projekta izsludināšanas Valsts sekretāru sanāksmē. Noteikumu projekts pirms izsludināšanas Valsts sekretāru sanāksmē </w:t>
            </w:r>
            <w:proofErr w:type="gramStart"/>
            <w:r w:rsidR="00405BD5" w:rsidRPr="002D6FA0">
              <w:rPr>
                <w:sz w:val="28"/>
                <w:szCs w:val="28"/>
              </w:rPr>
              <w:t>2017.gada</w:t>
            </w:r>
            <w:proofErr w:type="gramEnd"/>
            <w:r w:rsidR="00405BD5" w:rsidRPr="002D6FA0">
              <w:rPr>
                <w:sz w:val="28"/>
                <w:szCs w:val="28"/>
              </w:rPr>
              <w:t xml:space="preserve"> 27.decembrī </w:t>
            </w:r>
            <w:r w:rsidRPr="002D6FA0">
              <w:rPr>
                <w:sz w:val="28"/>
                <w:szCs w:val="28"/>
              </w:rPr>
              <w:t xml:space="preserve">ir publicēts tīmekļa vietnē </w:t>
            </w:r>
            <w:hyperlink r:id="rId8" w:history="1">
              <w:r w:rsidR="002C012F" w:rsidRPr="002D6FA0">
                <w:rPr>
                  <w:rStyle w:val="Hyperlink"/>
                  <w:color w:val="auto"/>
                  <w:sz w:val="27"/>
                  <w:szCs w:val="27"/>
                </w:rPr>
                <w:t>http://www.fm.gov.lv/lv/sabiedribas_lidzdaliba/sabiedribas_lidzdaliba_par_es_jautajumiem/</w:t>
              </w:r>
            </w:hyperlink>
            <w:r w:rsidR="002C012F" w:rsidRPr="002D6FA0">
              <w:rPr>
                <w:sz w:val="28"/>
                <w:szCs w:val="28"/>
              </w:rPr>
              <w:t xml:space="preserve"> </w:t>
            </w:r>
            <w:r w:rsidRPr="002D6FA0">
              <w:rPr>
                <w:sz w:val="28"/>
                <w:szCs w:val="28"/>
              </w:rPr>
              <w:t xml:space="preserve">un tīmekļa vietnē </w:t>
            </w:r>
            <w:hyperlink r:id="rId9" w:history="1">
              <w:r w:rsidR="002C012F" w:rsidRPr="002D6FA0">
                <w:rPr>
                  <w:rStyle w:val="Hyperlink"/>
                  <w:color w:val="auto"/>
                  <w:sz w:val="27"/>
                  <w:szCs w:val="27"/>
                </w:rPr>
                <w:t>http://www.esfondi.lv/normativie-akti</w:t>
              </w:r>
            </w:hyperlink>
            <w:r w:rsidR="002C012F" w:rsidRPr="002D6FA0">
              <w:rPr>
                <w:sz w:val="28"/>
                <w:szCs w:val="28"/>
              </w:rPr>
              <w:t xml:space="preserve"> .</w:t>
            </w:r>
          </w:p>
        </w:tc>
      </w:tr>
      <w:tr w:rsidR="002D6FA0" w:rsidRPr="002D6FA0" w14:paraId="64797448" w14:textId="77777777" w:rsidTr="002C012F">
        <w:trPr>
          <w:cantSplit/>
        </w:trPr>
        <w:tc>
          <w:tcPr>
            <w:tcW w:w="310" w:type="pct"/>
            <w:hideMark/>
          </w:tcPr>
          <w:p w14:paraId="3759764D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2.</w:t>
            </w:r>
          </w:p>
        </w:tc>
        <w:tc>
          <w:tcPr>
            <w:tcW w:w="1956" w:type="pct"/>
            <w:hideMark/>
          </w:tcPr>
          <w:p w14:paraId="7E1C4C13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Sabiedrības līdzdalība projekta izstrādē</w:t>
            </w:r>
          </w:p>
        </w:tc>
        <w:tc>
          <w:tcPr>
            <w:tcW w:w="2734" w:type="pct"/>
            <w:hideMark/>
          </w:tcPr>
          <w:p w14:paraId="1E9F6885" w14:textId="77777777" w:rsidR="00FC6CB7" w:rsidRPr="002D6FA0" w:rsidRDefault="001137B1" w:rsidP="001137B1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MK noteikumu projekta izstrādes laikā nav saņemti sabiedrības pārstāvju ieteikumi vai iebildumi par minēto projektu.</w:t>
            </w:r>
          </w:p>
        </w:tc>
      </w:tr>
      <w:tr w:rsidR="002D6FA0" w:rsidRPr="002D6FA0" w14:paraId="47DA2216" w14:textId="77777777" w:rsidTr="002C012F">
        <w:trPr>
          <w:cantSplit/>
        </w:trPr>
        <w:tc>
          <w:tcPr>
            <w:tcW w:w="310" w:type="pct"/>
            <w:hideMark/>
          </w:tcPr>
          <w:p w14:paraId="226ED050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3.</w:t>
            </w:r>
          </w:p>
        </w:tc>
        <w:tc>
          <w:tcPr>
            <w:tcW w:w="1956" w:type="pct"/>
            <w:hideMark/>
          </w:tcPr>
          <w:p w14:paraId="103A64F5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Sabiedrības līdzdalības rezultāti</w:t>
            </w:r>
          </w:p>
        </w:tc>
        <w:tc>
          <w:tcPr>
            <w:tcW w:w="2734" w:type="pct"/>
            <w:hideMark/>
          </w:tcPr>
          <w:p w14:paraId="2B3FC0F4" w14:textId="77777777" w:rsidR="00FC6CB7" w:rsidRPr="002D6FA0" w:rsidRDefault="001137B1" w:rsidP="001137B1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MK noteikumu projekta izstrādes laikā nav saņemti sabiedrības pārstāvju ieteikumi vai iebildumi par minēto projektu.</w:t>
            </w:r>
          </w:p>
        </w:tc>
      </w:tr>
      <w:tr w:rsidR="00FC6CB7" w:rsidRPr="002D6FA0" w14:paraId="3F0A40CA" w14:textId="77777777" w:rsidTr="002C012F">
        <w:trPr>
          <w:cantSplit/>
        </w:trPr>
        <w:tc>
          <w:tcPr>
            <w:tcW w:w="310" w:type="pct"/>
            <w:hideMark/>
          </w:tcPr>
          <w:p w14:paraId="165A90D8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956" w:type="pct"/>
            <w:hideMark/>
          </w:tcPr>
          <w:p w14:paraId="2B7362B2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Cita informācija</w:t>
            </w:r>
          </w:p>
        </w:tc>
        <w:tc>
          <w:tcPr>
            <w:tcW w:w="2734" w:type="pct"/>
            <w:hideMark/>
          </w:tcPr>
          <w:p w14:paraId="049E114C" w14:textId="77777777" w:rsidR="00FC6CB7" w:rsidRPr="002D6FA0" w:rsidRDefault="001137B1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Nav</w:t>
            </w:r>
          </w:p>
        </w:tc>
      </w:tr>
    </w:tbl>
    <w:p w14:paraId="0764575C" w14:textId="77777777" w:rsidR="00FC6CB7" w:rsidRPr="002D6FA0" w:rsidRDefault="00FC6CB7" w:rsidP="002C012F">
      <w:pPr>
        <w:pStyle w:val="Title"/>
        <w:spacing w:line="260" w:lineRule="exact"/>
        <w:ind w:firstLine="53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2D6FA0" w:rsidRPr="002D6FA0" w14:paraId="2B95F71C" w14:textId="77777777" w:rsidTr="005E0EF3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2F780CF6" w14:textId="77777777" w:rsidR="00FC6CB7" w:rsidRPr="002D6FA0" w:rsidRDefault="00FC6CB7" w:rsidP="005E0EF3">
            <w:pPr>
              <w:jc w:val="center"/>
              <w:rPr>
                <w:b/>
                <w:bCs/>
                <w:sz w:val="28"/>
                <w:szCs w:val="28"/>
              </w:rPr>
            </w:pPr>
            <w:r w:rsidRPr="002D6FA0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2D6FA0" w:rsidRPr="002D6FA0" w14:paraId="5B18D498" w14:textId="77777777" w:rsidTr="005E0EF3">
        <w:trPr>
          <w:cantSplit/>
        </w:trPr>
        <w:tc>
          <w:tcPr>
            <w:tcW w:w="311" w:type="pct"/>
            <w:hideMark/>
          </w:tcPr>
          <w:p w14:paraId="3335BA6D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1.</w:t>
            </w:r>
          </w:p>
        </w:tc>
        <w:tc>
          <w:tcPr>
            <w:tcW w:w="1479" w:type="pct"/>
            <w:hideMark/>
          </w:tcPr>
          <w:p w14:paraId="2F3DA57D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3210" w:type="pct"/>
            <w:hideMark/>
          </w:tcPr>
          <w:p w14:paraId="6B028798" w14:textId="77777777" w:rsidR="00FC6CB7" w:rsidRPr="002D6FA0" w:rsidRDefault="001137B1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Sadarbības iestāde</w:t>
            </w:r>
          </w:p>
        </w:tc>
      </w:tr>
      <w:tr w:rsidR="002D6FA0" w:rsidRPr="002D6FA0" w14:paraId="5FF9F292" w14:textId="77777777" w:rsidTr="005E0EF3">
        <w:trPr>
          <w:cantSplit/>
        </w:trPr>
        <w:tc>
          <w:tcPr>
            <w:tcW w:w="311" w:type="pct"/>
            <w:hideMark/>
          </w:tcPr>
          <w:p w14:paraId="62A0A727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2.</w:t>
            </w:r>
          </w:p>
        </w:tc>
        <w:tc>
          <w:tcPr>
            <w:tcW w:w="1479" w:type="pct"/>
            <w:hideMark/>
          </w:tcPr>
          <w:p w14:paraId="48397E80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Projekta izpildes ietekme uz pārvaldes funkcijām un institucionālo struktūru.</w:t>
            </w:r>
            <w:r w:rsidRPr="002D6FA0">
              <w:rPr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0B6CD97" w14:textId="77777777" w:rsidR="00FC6CB7" w:rsidRPr="002D6FA0" w:rsidRDefault="001137B1" w:rsidP="00B34BEF">
            <w:pPr>
              <w:jc w:val="both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Jaunu institūciju izveide, esošu institūciju likvidācija vai reorganizācija nav paredzēta. MK noteikumu projekts neietekmē pārvaldes funkcijas un institucionālo struktūru, kā arī MK noteikumu projekts neietekmē pārvaldes cilvēkresursus.</w:t>
            </w:r>
          </w:p>
        </w:tc>
      </w:tr>
      <w:tr w:rsidR="00FC6CB7" w:rsidRPr="002D6FA0" w14:paraId="2844427C" w14:textId="77777777" w:rsidTr="005E0EF3">
        <w:trPr>
          <w:cantSplit/>
        </w:trPr>
        <w:tc>
          <w:tcPr>
            <w:tcW w:w="311" w:type="pct"/>
            <w:hideMark/>
          </w:tcPr>
          <w:p w14:paraId="12DBA747" w14:textId="77777777" w:rsidR="00FC6CB7" w:rsidRPr="002D6FA0" w:rsidRDefault="00FC6CB7" w:rsidP="005E0EF3">
            <w:pPr>
              <w:jc w:val="center"/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3.</w:t>
            </w:r>
          </w:p>
        </w:tc>
        <w:tc>
          <w:tcPr>
            <w:tcW w:w="1479" w:type="pct"/>
            <w:hideMark/>
          </w:tcPr>
          <w:p w14:paraId="0FAD1946" w14:textId="77777777" w:rsidR="00FC6CB7" w:rsidRPr="002D6FA0" w:rsidRDefault="00FC6CB7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Cita informācija</w:t>
            </w:r>
          </w:p>
        </w:tc>
        <w:tc>
          <w:tcPr>
            <w:tcW w:w="3210" w:type="pct"/>
            <w:hideMark/>
          </w:tcPr>
          <w:p w14:paraId="7EAF5B08" w14:textId="77777777" w:rsidR="00FC6CB7" w:rsidRPr="002D6FA0" w:rsidRDefault="001137B1" w:rsidP="005E0EF3">
            <w:pPr>
              <w:rPr>
                <w:sz w:val="28"/>
                <w:szCs w:val="28"/>
              </w:rPr>
            </w:pPr>
            <w:r w:rsidRPr="002D6FA0">
              <w:rPr>
                <w:sz w:val="28"/>
                <w:szCs w:val="28"/>
              </w:rPr>
              <w:t>Nav</w:t>
            </w:r>
          </w:p>
        </w:tc>
      </w:tr>
    </w:tbl>
    <w:p w14:paraId="5DB75D32" w14:textId="77777777" w:rsidR="00FC6CB7" w:rsidRPr="002D6FA0" w:rsidRDefault="00FC6CB7" w:rsidP="00FC6CB7">
      <w:pPr>
        <w:rPr>
          <w:sz w:val="28"/>
          <w:szCs w:val="28"/>
        </w:rPr>
      </w:pPr>
    </w:p>
    <w:p w14:paraId="50B9F729" w14:textId="256586FC" w:rsidR="00A70991" w:rsidRDefault="00A70991" w:rsidP="00A70991">
      <w:pPr>
        <w:tabs>
          <w:tab w:val="left" w:pos="6521"/>
        </w:tabs>
        <w:rPr>
          <w:sz w:val="28"/>
          <w:szCs w:val="28"/>
        </w:rPr>
      </w:pPr>
    </w:p>
    <w:p w14:paraId="42F8271F" w14:textId="77777777" w:rsidR="00DB08F0" w:rsidRPr="002D6FA0" w:rsidRDefault="00DB08F0" w:rsidP="00A70991">
      <w:pPr>
        <w:tabs>
          <w:tab w:val="left" w:pos="6521"/>
        </w:tabs>
        <w:rPr>
          <w:sz w:val="28"/>
          <w:szCs w:val="28"/>
        </w:rPr>
      </w:pPr>
    </w:p>
    <w:p w14:paraId="094BC068" w14:textId="77777777" w:rsidR="00A70991" w:rsidRPr="002D6FA0" w:rsidRDefault="00A70991" w:rsidP="00A70991">
      <w:pPr>
        <w:tabs>
          <w:tab w:val="left" w:pos="6521"/>
        </w:tabs>
        <w:rPr>
          <w:sz w:val="28"/>
          <w:szCs w:val="28"/>
        </w:rPr>
      </w:pPr>
      <w:r w:rsidRPr="002D6FA0">
        <w:rPr>
          <w:sz w:val="28"/>
          <w:szCs w:val="28"/>
        </w:rPr>
        <w:t>Finanšu ministre</w:t>
      </w:r>
      <w:r w:rsidRPr="002D6FA0">
        <w:rPr>
          <w:sz w:val="28"/>
          <w:szCs w:val="28"/>
        </w:rPr>
        <w:tab/>
        <w:t>D.Reizniece-Ozola</w:t>
      </w:r>
    </w:p>
    <w:p w14:paraId="3A210776" w14:textId="56EC401C" w:rsidR="00A70991" w:rsidRDefault="00A70991" w:rsidP="00A70991">
      <w:pPr>
        <w:tabs>
          <w:tab w:val="left" w:pos="6237"/>
        </w:tabs>
        <w:rPr>
          <w:sz w:val="28"/>
          <w:szCs w:val="28"/>
        </w:rPr>
      </w:pPr>
    </w:p>
    <w:p w14:paraId="4064492A" w14:textId="78AEA651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5F2F578D" w14:textId="0BC646FD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509DFE1F" w14:textId="61A1D116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17DF2378" w14:textId="7328D57F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00937136" w14:textId="287C4DE8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43C57926" w14:textId="2C8D1621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3B96BCA4" w14:textId="7FF67EBC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2E68E2C4" w14:textId="5C586A85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46FB5937" w14:textId="05EF843C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50B0A546" w14:textId="0A8C446E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4229E22A" w14:textId="281A15F9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0BC9B9FE" w14:textId="1DDA9AFB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66783EFC" w14:textId="67F1048A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2448215D" w14:textId="6C9D80D6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716480B5" w14:textId="552DD522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5A565FA1" w14:textId="52FC57D6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35C291AC" w14:textId="26ACA71A" w:rsidR="00DB08F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489353A8" w14:textId="77777777" w:rsidR="00DB08F0" w:rsidRPr="002D6FA0" w:rsidRDefault="00DB08F0" w:rsidP="00A70991">
      <w:pPr>
        <w:tabs>
          <w:tab w:val="left" w:pos="6237"/>
        </w:tabs>
        <w:rPr>
          <w:sz w:val="28"/>
          <w:szCs w:val="28"/>
        </w:rPr>
      </w:pPr>
    </w:p>
    <w:p w14:paraId="7B948F27" w14:textId="77777777" w:rsidR="00A70991" w:rsidRPr="002D6FA0" w:rsidRDefault="00A70991" w:rsidP="00A70991">
      <w:pPr>
        <w:tabs>
          <w:tab w:val="left" w:pos="6237"/>
        </w:tabs>
        <w:rPr>
          <w:szCs w:val="28"/>
        </w:rPr>
      </w:pPr>
      <w:r w:rsidRPr="002D6FA0">
        <w:rPr>
          <w:szCs w:val="28"/>
        </w:rPr>
        <w:t>Petrova, 67083941</w:t>
      </w:r>
    </w:p>
    <w:p w14:paraId="0D44B9B1" w14:textId="77777777" w:rsidR="0081350C" w:rsidRPr="002D6FA0" w:rsidRDefault="00A70991" w:rsidP="00A70991">
      <w:pPr>
        <w:tabs>
          <w:tab w:val="left" w:pos="6237"/>
        </w:tabs>
      </w:pPr>
      <w:r w:rsidRPr="002D6FA0">
        <w:rPr>
          <w:szCs w:val="28"/>
        </w:rPr>
        <w:t>Inita.Petrova@fm.gov.lv</w:t>
      </w:r>
    </w:p>
    <w:sectPr w:rsidR="0081350C" w:rsidRPr="002D6FA0" w:rsidSect="00D048A5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FDA2E" w14:textId="77777777" w:rsidR="00E711E9" w:rsidRDefault="00E711E9" w:rsidP="00D048A5">
      <w:r>
        <w:separator/>
      </w:r>
    </w:p>
  </w:endnote>
  <w:endnote w:type="continuationSeparator" w:id="0">
    <w:p w14:paraId="3C19898C" w14:textId="77777777" w:rsidR="00E711E9" w:rsidRDefault="00E711E9" w:rsidP="00D0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C873" w14:textId="06D29FCF" w:rsidR="00514693" w:rsidRDefault="00514693">
    <w:pPr>
      <w:pStyle w:val="Footer"/>
    </w:pPr>
    <w:r>
      <w:t>FManot_</w:t>
    </w:r>
    <w:r w:rsidR="00DB08F0">
      <w:t>070518</w:t>
    </w:r>
    <w:r>
      <w:t>_MK 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7F457" w14:textId="6592F10E" w:rsidR="00514693" w:rsidRDefault="00514693">
    <w:pPr>
      <w:pStyle w:val="Footer"/>
    </w:pPr>
    <w:r>
      <w:t>FManot_</w:t>
    </w:r>
    <w:r w:rsidR="00DB08F0">
      <w:t>070518</w:t>
    </w:r>
    <w: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99575" w14:textId="77777777" w:rsidR="00E711E9" w:rsidRDefault="00E711E9" w:rsidP="00D048A5">
      <w:r>
        <w:separator/>
      </w:r>
    </w:p>
  </w:footnote>
  <w:footnote w:type="continuationSeparator" w:id="0">
    <w:p w14:paraId="41B666FB" w14:textId="77777777" w:rsidR="00E711E9" w:rsidRDefault="00E711E9" w:rsidP="00D048A5">
      <w:r>
        <w:continuationSeparator/>
      </w:r>
    </w:p>
  </w:footnote>
  <w:footnote w:id="1">
    <w:p w14:paraId="4197AABA" w14:textId="76FEF41A" w:rsidR="00514693" w:rsidRDefault="00514693" w:rsidP="00AD0C2E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Saskaņā ar Ministru kabineta</w:t>
      </w:r>
      <w:r w:rsidRPr="00B77168">
        <w:t xml:space="preserve"> </w:t>
      </w:r>
      <w:proofErr w:type="gramStart"/>
      <w:r w:rsidRPr="00B77168">
        <w:t>2014.</w:t>
      </w:r>
      <w:r>
        <w:t>gada</w:t>
      </w:r>
      <w:proofErr w:type="gramEnd"/>
      <w:r>
        <w:t xml:space="preserve"> 16.decembra noteikumu Nr.784 “</w:t>
      </w:r>
      <w:r w:rsidRPr="00B77168">
        <w:t>Kārtība, kādā Eiropas Savienības struktūrfondu un Kohēzijas fonda vadībā iesaistītās institūcijas nodrošina plānošanas dokumentu sagatavošanu un šo fondu ieviešanu 2014.–2020.gada plānošanas periodā</w:t>
      </w:r>
      <w:r>
        <w:t xml:space="preserve">” 25.punktu </w:t>
      </w:r>
      <w:r w:rsidRPr="00AD0C2E">
        <w:t>līgumu vai vienošanos noslēdz 30 darbdienu laikā no brīža, kad stājies spēkā lēmums par projekta iesnieguma apstiprināšanu vai atzinums par lēmumā ietverto nosacījumu izpildi</w:t>
      </w:r>
      <w:r>
        <w:t>.</w:t>
      </w:r>
    </w:p>
  </w:footnote>
  <w:footnote w:id="2">
    <w:p w14:paraId="3479324A" w14:textId="77777777" w:rsidR="00514693" w:rsidRDefault="005146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56B6">
        <w:t>https://komitejas.esfondi.lv/_layouts/15/WopiFrame.aspx?sourcedoc=/KIDG/00%20-%20Izv%C4%93rt%C4%93%C5%A1anas%20vadl%C4%ABnijas/03%20-%20EIROPAS%20KOMISIJAS%20vadl%C4%ABnijas/Praktisk%C4%81s%20vadl%C4%ABnijas%20datu%20uzkr%C4%81%C5%A1anai%20May%202016.pdf&amp;action=default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53729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E375C9" w14:textId="7F01EF3D" w:rsidR="00514693" w:rsidRDefault="005146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9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12A5BD0" w14:textId="77777777" w:rsidR="00514693" w:rsidRDefault="00514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7A5B"/>
    <w:multiLevelType w:val="hybridMultilevel"/>
    <w:tmpl w:val="779ADA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2249A"/>
    <w:multiLevelType w:val="hybridMultilevel"/>
    <w:tmpl w:val="FB06B88E"/>
    <w:lvl w:ilvl="0" w:tplc="4AAAD6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B7"/>
    <w:rsid w:val="00004032"/>
    <w:rsid w:val="00011C6A"/>
    <w:rsid w:val="00027D28"/>
    <w:rsid w:val="00074081"/>
    <w:rsid w:val="00080777"/>
    <w:rsid w:val="000814F6"/>
    <w:rsid w:val="000E7987"/>
    <w:rsid w:val="000E7C15"/>
    <w:rsid w:val="000F70F1"/>
    <w:rsid w:val="00104A7D"/>
    <w:rsid w:val="001137B1"/>
    <w:rsid w:val="0011653E"/>
    <w:rsid w:val="001207F3"/>
    <w:rsid w:val="001824A5"/>
    <w:rsid w:val="00196450"/>
    <w:rsid w:val="001B620C"/>
    <w:rsid w:val="001C0B91"/>
    <w:rsid w:val="001F190C"/>
    <w:rsid w:val="001F6113"/>
    <w:rsid w:val="002158D4"/>
    <w:rsid w:val="002273C3"/>
    <w:rsid w:val="002328A5"/>
    <w:rsid w:val="002375CE"/>
    <w:rsid w:val="00265450"/>
    <w:rsid w:val="0028389A"/>
    <w:rsid w:val="002901E0"/>
    <w:rsid w:val="00293CA6"/>
    <w:rsid w:val="002940FC"/>
    <w:rsid w:val="002B22B0"/>
    <w:rsid w:val="002B2555"/>
    <w:rsid w:val="002C012F"/>
    <w:rsid w:val="002D6FA0"/>
    <w:rsid w:val="002E7916"/>
    <w:rsid w:val="00303D52"/>
    <w:rsid w:val="003315FC"/>
    <w:rsid w:val="0034049B"/>
    <w:rsid w:val="003A76CF"/>
    <w:rsid w:val="003C195C"/>
    <w:rsid w:val="003D3F0C"/>
    <w:rsid w:val="003F003F"/>
    <w:rsid w:val="00405BD5"/>
    <w:rsid w:val="004259C5"/>
    <w:rsid w:val="00446C0A"/>
    <w:rsid w:val="004507F6"/>
    <w:rsid w:val="00463BAB"/>
    <w:rsid w:val="0049348A"/>
    <w:rsid w:val="004D63A7"/>
    <w:rsid w:val="004F2155"/>
    <w:rsid w:val="00501F38"/>
    <w:rsid w:val="00502D43"/>
    <w:rsid w:val="00514693"/>
    <w:rsid w:val="005211F1"/>
    <w:rsid w:val="00536E16"/>
    <w:rsid w:val="005548F8"/>
    <w:rsid w:val="005820FB"/>
    <w:rsid w:val="005D77B6"/>
    <w:rsid w:val="005E0EF3"/>
    <w:rsid w:val="005E25DD"/>
    <w:rsid w:val="005E3E31"/>
    <w:rsid w:val="005F17A8"/>
    <w:rsid w:val="00621CAF"/>
    <w:rsid w:val="006704FE"/>
    <w:rsid w:val="00681E51"/>
    <w:rsid w:val="006867C8"/>
    <w:rsid w:val="006872B5"/>
    <w:rsid w:val="006922AE"/>
    <w:rsid w:val="006C2AD9"/>
    <w:rsid w:val="006E6AEC"/>
    <w:rsid w:val="0074648B"/>
    <w:rsid w:val="00770E9E"/>
    <w:rsid w:val="00777427"/>
    <w:rsid w:val="007901AB"/>
    <w:rsid w:val="007B5664"/>
    <w:rsid w:val="007B632A"/>
    <w:rsid w:val="007D7D40"/>
    <w:rsid w:val="0081350C"/>
    <w:rsid w:val="00814BD2"/>
    <w:rsid w:val="008344C9"/>
    <w:rsid w:val="00892352"/>
    <w:rsid w:val="008D153F"/>
    <w:rsid w:val="008E074F"/>
    <w:rsid w:val="008E56B5"/>
    <w:rsid w:val="00913075"/>
    <w:rsid w:val="009136DF"/>
    <w:rsid w:val="0092556F"/>
    <w:rsid w:val="0097496A"/>
    <w:rsid w:val="009B067E"/>
    <w:rsid w:val="009E3CEB"/>
    <w:rsid w:val="009E41E8"/>
    <w:rsid w:val="009F44D4"/>
    <w:rsid w:val="00A06CC7"/>
    <w:rsid w:val="00A60631"/>
    <w:rsid w:val="00A61313"/>
    <w:rsid w:val="00A70991"/>
    <w:rsid w:val="00A8749C"/>
    <w:rsid w:val="00AB7A5C"/>
    <w:rsid w:val="00AD0C2E"/>
    <w:rsid w:val="00AD6BD5"/>
    <w:rsid w:val="00B34BEF"/>
    <w:rsid w:val="00B77168"/>
    <w:rsid w:val="00B872F3"/>
    <w:rsid w:val="00B90084"/>
    <w:rsid w:val="00B9524C"/>
    <w:rsid w:val="00BA1498"/>
    <w:rsid w:val="00BA2F31"/>
    <w:rsid w:val="00BB26C3"/>
    <w:rsid w:val="00BB2859"/>
    <w:rsid w:val="00BB3F92"/>
    <w:rsid w:val="00BC0C29"/>
    <w:rsid w:val="00BC58C7"/>
    <w:rsid w:val="00BD6943"/>
    <w:rsid w:val="00BE7C55"/>
    <w:rsid w:val="00C070A1"/>
    <w:rsid w:val="00C126B8"/>
    <w:rsid w:val="00C2452F"/>
    <w:rsid w:val="00C531DD"/>
    <w:rsid w:val="00C747AD"/>
    <w:rsid w:val="00CC0D73"/>
    <w:rsid w:val="00CE4A15"/>
    <w:rsid w:val="00D048A5"/>
    <w:rsid w:val="00D34254"/>
    <w:rsid w:val="00D469AA"/>
    <w:rsid w:val="00D711F9"/>
    <w:rsid w:val="00DB08F0"/>
    <w:rsid w:val="00DE1F7A"/>
    <w:rsid w:val="00E067DC"/>
    <w:rsid w:val="00E555CE"/>
    <w:rsid w:val="00E61DB4"/>
    <w:rsid w:val="00E711E9"/>
    <w:rsid w:val="00EA42AA"/>
    <w:rsid w:val="00EC493A"/>
    <w:rsid w:val="00EC7716"/>
    <w:rsid w:val="00ED56B6"/>
    <w:rsid w:val="00EF2A2A"/>
    <w:rsid w:val="00F1710D"/>
    <w:rsid w:val="00F978A2"/>
    <w:rsid w:val="00FC6B57"/>
    <w:rsid w:val="00FC6C38"/>
    <w:rsid w:val="00FC6CB7"/>
    <w:rsid w:val="00FD5309"/>
    <w:rsid w:val="00F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F03B"/>
  <w15:chartTrackingRefBased/>
  <w15:docId w15:val="{28608D20-3E79-4E9F-92D2-93B09D00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CB7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6CB7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C6CB7"/>
    <w:rPr>
      <w:rFonts w:eastAsia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048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8A5"/>
    <w:rPr>
      <w:rFonts w:eastAsia="Times New Roman" w:cs="Times New Roman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048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8A5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D4"/>
    <w:rPr>
      <w:rFonts w:ascii="Segoe UI" w:eastAsia="Times New Roman" w:hAnsi="Segoe UI" w:cs="Segoe UI"/>
      <w:sz w:val="18"/>
      <w:szCs w:val="18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56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56B6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ED56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6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6C0A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0A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2C0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.gov.lv/lv/sabiedribas_lidzdaliba/sabiedribas_lidzdaliba_par_es_jautajumie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fondi.lv/normativie-ak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10F1-5F28-4972-9F8B-9EA33EC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9890</Words>
  <Characters>5638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2015. gada 10. februāra noteikumos Nr. 77 "Eiropas Savienības struktūrfondu un Kohēzijas fonda projektu pārbaužu veikšanas kārtība 2014. - 2020. gada plānošanas periodā"" sākotnējās ietekme</vt:lpstr>
    </vt:vector>
  </TitlesOfParts>
  <Company>Finanšu ministrija</Company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2015. gada 10. februāra noteikumos Nr. 77 "Eiropas Savienības struktūrfondu un Kohēzijas fonda projektu pārbaužu veikšanas kārtība 2014. - 2020. gada plānošanas periodā"" sākotnējās ietekmes novērtējuma ziņojums (anotācija)</dc:title>
  <dc:subject>anotācija</dc:subject>
  <dc:creator>Inita Petrova</dc:creator>
  <cp:keywords/>
  <dc:description>inita.petrova@fm.gov.lv, tālr.:67083941</dc:description>
  <cp:lastModifiedBy>Laimdota Adlere</cp:lastModifiedBy>
  <cp:revision>2</cp:revision>
  <cp:lastPrinted>2018-02-08T15:16:00Z</cp:lastPrinted>
  <dcterms:created xsi:type="dcterms:W3CDTF">2018-05-16T09:00:00Z</dcterms:created>
  <dcterms:modified xsi:type="dcterms:W3CDTF">2018-05-16T09:00:00Z</dcterms:modified>
  <cp:category>Anotācija</cp:category>
</cp:coreProperties>
</file>