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659" w:rsidRPr="00195EA8" w:rsidRDefault="006F26AC" w:rsidP="00C166E2">
      <w:pPr>
        <w:spacing w:line="240" w:lineRule="auto"/>
        <w:jc w:val="center"/>
        <w:rPr>
          <w:rFonts w:ascii="Times New Roman" w:hAnsi="Times New Roman" w:cs="Times New Roman"/>
          <w:b/>
          <w:sz w:val="24"/>
          <w:szCs w:val="24"/>
        </w:rPr>
      </w:pPr>
      <w:r w:rsidRPr="00195EA8">
        <w:rPr>
          <w:rFonts w:ascii="Times New Roman" w:hAnsi="Times New Roman" w:cs="Times New Roman"/>
          <w:b/>
          <w:sz w:val="24"/>
          <w:szCs w:val="24"/>
        </w:rPr>
        <w:t xml:space="preserve">Informatīvais ziņojums </w:t>
      </w:r>
      <w:r w:rsidR="00334BB7">
        <w:rPr>
          <w:rFonts w:ascii="Times New Roman" w:hAnsi="Times New Roman" w:cs="Times New Roman"/>
          <w:b/>
          <w:sz w:val="24"/>
          <w:szCs w:val="24"/>
        </w:rPr>
        <w:t>„P</w:t>
      </w:r>
      <w:r w:rsidRPr="00195EA8">
        <w:rPr>
          <w:rFonts w:ascii="Times New Roman" w:hAnsi="Times New Roman" w:cs="Times New Roman"/>
          <w:b/>
          <w:sz w:val="24"/>
          <w:szCs w:val="24"/>
        </w:rPr>
        <w:t xml:space="preserve">ar </w:t>
      </w:r>
      <w:r w:rsidR="00A57E2E" w:rsidRPr="00195EA8">
        <w:rPr>
          <w:rFonts w:ascii="Times New Roman" w:hAnsi="Times New Roman" w:cs="Times New Roman"/>
          <w:b/>
          <w:sz w:val="24"/>
          <w:szCs w:val="24"/>
        </w:rPr>
        <w:t>senioru dzīves kvalitātes uzlabošanu</w:t>
      </w:r>
      <w:r w:rsidR="00334BB7">
        <w:rPr>
          <w:rFonts w:ascii="Times New Roman" w:hAnsi="Times New Roman" w:cs="Times New Roman"/>
          <w:b/>
          <w:sz w:val="24"/>
          <w:szCs w:val="24"/>
        </w:rPr>
        <w:t>”</w:t>
      </w:r>
    </w:p>
    <w:p w:rsidR="005703B6" w:rsidRDefault="005703B6" w:rsidP="00FE6D53">
      <w:pPr>
        <w:spacing w:after="0" w:line="240" w:lineRule="auto"/>
        <w:ind w:firstLine="567"/>
        <w:jc w:val="both"/>
        <w:rPr>
          <w:rFonts w:ascii="Times New Roman" w:hAnsi="Times New Roman" w:cs="Times New Roman"/>
          <w:sz w:val="24"/>
          <w:szCs w:val="24"/>
        </w:rPr>
      </w:pPr>
    </w:p>
    <w:p w:rsidR="00165D04" w:rsidRDefault="0070116F" w:rsidP="00FE6D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Eiropas Komisija 2018.gada Ziņojumā </w:t>
      </w:r>
      <w:r w:rsidR="002D13C9">
        <w:rPr>
          <w:rFonts w:ascii="Times New Roman" w:hAnsi="Times New Roman" w:cs="Times New Roman"/>
          <w:sz w:val="24"/>
          <w:szCs w:val="24"/>
        </w:rPr>
        <w:t>p</w:t>
      </w:r>
      <w:r>
        <w:rPr>
          <w:rFonts w:ascii="Times New Roman" w:hAnsi="Times New Roman" w:cs="Times New Roman"/>
          <w:sz w:val="24"/>
          <w:szCs w:val="24"/>
        </w:rPr>
        <w:t>ar pensiju adekvātumu</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sadaļā par Latviju secina, ka </w:t>
      </w:r>
      <w:r w:rsidR="00FE6D53">
        <w:rPr>
          <w:rFonts w:ascii="Times New Roman" w:hAnsi="Times New Roman" w:cs="Times New Roman"/>
          <w:sz w:val="24"/>
          <w:szCs w:val="24"/>
        </w:rPr>
        <w:t xml:space="preserve">nabadzības riskam pakļauto senioru īpatsvars </w:t>
      </w:r>
      <w:r w:rsidR="00DA1511">
        <w:rPr>
          <w:rFonts w:ascii="Times New Roman" w:hAnsi="Times New Roman" w:cs="Times New Roman"/>
          <w:sz w:val="24"/>
          <w:szCs w:val="24"/>
        </w:rPr>
        <w:t xml:space="preserve">Latvijā </w:t>
      </w:r>
      <w:r w:rsidR="00FE6D53">
        <w:rPr>
          <w:rFonts w:ascii="Times New Roman" w:hAnsi="Times New Roman" w:cs="Times New Roman"/>
          <w:sz w:val="24"/>
          <w:szCs w:val="24"/>
        </w:rPr>
        <w:t>ir liels un pieaug. Minimālās pensijas ir salīdzinoši zemas, līdz ar to nepieciešams [..] rast mērķētākus risinājumus.</w:t>
      </w:r>
      <w:r w:rsidR="00165D04">
        <w:rPr>
          <w:rFonts w:ascii="Times New Roman" w:hAnsi="Times New Roman" w:cs="Times New Roman"/>
          <w:sz w:val="24"/>
          <w:szCs w:val="24"/>
        </w:rPr>
        <w:t xml:space="preserve"> Arī Ekonomiskās sadarbības un attīstības organizācijas (</w:t>
      </w:r>
      <w:r w:rsidR="00AA1EDD">
        <w:rPr>
          <w:rFonts w:ascii="Times New Roman" w:hAnsi="Times New Roman" w:cs="Times New Roman"/>
          <w:sz w:val="24"/>
          <w:szCs w:val="24"/>
        </w:rPr>
        <w:t xml:space="preserve">turpmāk – </w:t>
      </w:r>
      <w:r w:rsidR="00165D04">
        <w:rPr>
          <w:rFonts w:ascii="Times New Roman" w:hAnsi="Times New Roman" w:cs="Times New Roman"/>
          <w:sz w:val="24"/>
          <w:szCs w:val="24"/>
        </w:rPr>
        <w:t>OECD) eksperti savā</w:t>
      </w:r>
      <w:r w:rsidR="001E6DE8">
        <w:rPr>
          <w:rFonts w:ascii="Times New Roman" w:hAnsi="Times New Roman" w:cs="Times New Roman"/>
          <w:sz w:val="24"/>
          <w:szCs w:val="24"/>
        </w:rPr>
        <w:t xml:space="preserve"> Pārskatā par Latvijas pensiju sistēmu secina, ka Latvija ir viena no tām OECD valstīm, kurās ir augsts senioru nabadzības līmenis, kas par divām reizēm pārsniedz OECD vidējos rādītājus.</w:t>
      </w:r>
      <w:r w:rsidR="001E6DE8">
        <w:rPr>
          <w:rStyle w:val="FootnoteReference"/>
          <w:rFonts w:ascii="Times New Roman" w:hAnsi="Times New Roman" w:cs="Times New Roman"/>
          <w:sz w:val="24"/>
          <w:szCs w:val="24"/>
        </w:rPr>
        <w:footnoteReference w:id="2"/>
      </w:r>
    </w:p>
    <w:p w:rsidR="00941283" w:rsidRPr="00FC34FF" w:rsidRDefault="002F3487" w:rsidP="009412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Informatīvais ziņojums izstrādāts</w:t>
      </w:r>
      <w:r w:rsidR="007D1779">
        <w:rPr>
          <w:rFonts w:ascii="Times New Roman" w:hAnsi="Times New Roman" w:cs="Times New Roman"/>
          <w:sz w:val="24"/>
          <w:szCs w:val="24"/>
        </w:rPr>
        <w:t xml:space="preserve"> ar mērķi </w:t>
      </w:r>
      <w:r w:rsidR="00225994">
        <w:rPr>
          <w:rFonts w:ascii="Times New Roman" w:hAnsi="Times New Roman" w:cs="Times New Roman"/>
          <w:sz w:val="24"/>
          <w:szCs w:val="24"/>
        </w:rPr>
        <w:t>izvērtēt</w:t>
      </w:r>
      <w:r w:rsidR="007D1779">
        <w:rPr>
          <w:rFonts w:ascii="Times New Roman" w:hAnsi="Times New Roman" w:cs="Times New Roman"/>
          <w:sz w:val="24"/>
          <w:szCs w:val="24"/>
        </w:rPr>
        <w:t xml:space="preserve"> </w:t>
      </w:r>
      <w:r w:rsidR="00B80024">
        <w:rPr>
          <w:rFonts w:ascii="Times New Roman" w:hAnsi="Times New Roman" w:cs="Times New Roman"/>
          <w:sz w:val="24"/>
          <w:szCs w:val="24"/>
        </w:rPr>
        <w:t>iespējas</w:t>
      </w:r>
      <w:r w:rsidR="00225994">
        <w:rPr>
          <w:rFonts w:ascii="Times New Roman" w:hAnsi="Times New Roman" w:cs="Times New Roman"/>
          <w:sz w:val="24"/>
          <w:szCs w:val="24"/>
        </w:rPr>
        <w:t>, kā</w:t>
      </w:r>
      <w:r w:rsidR="00B80024">
        <w:rPr>
          <w:rFonts w:ascii="Times New Roman" w:hAnsi="Times New Roman" w:cs="Times New Roman"/>
          <w:sz w:val="24"/>
          <w:szCs w:val="24"/>
        </w:rPr>
        <w:t xml:space="preserve"> uzlabot senioru dzīves kvalitāti gan īstermiņā, gan ilgtermiņā.</w:t>
      </w:r>
      <w:r w:rsidR="0086510A">
        <w:rPr>
          <w:rFonts w:ascii="Times New Roman" w:hAnsi="Times New Roman" w:cs="Times New Roman"/>
          <w:sz w:val="24"/>
          <w:szCs w:val="24"/>
        </w:rPr>
        <w:t xml:space="preserve"> </w:t>
      </w:r>
      <w:r w:rsidR="00225994">
        <w:rPr>
          <w:rFonts w:ascii="Times New Roman" w:hAnsi="Times New Roman" w:cs="Times New Roman"/>
          <w:sz w:val="24"/>
          <w:szCs w:val="24"/>
        </w:rPr>
        <w:t>Lai meklētu labākos risinājumus senioru dzīves kvalitātes uzlabošanai,</w:t>
      </w:r>
      <w:r w:rsidR="007D1779">
        <w:rPr>
          <w:rFonts w:ascii="Times New Roman" w:hAnsi="Times New Roman" w:cs="Times New Roman"/>
          <w:sz w:val="24"/>
          <w:szCs w:val="24"/>
        </w:rPr>
        <w:t xml:space="preserve"> a</w:t>
      </w:r>
      <w:r w:rsidR="0086510A">
        <w:rPr>
          <w:rFonts w:ascii="Times New Roman" w:hAnsi="Times New Roman" w:cs="Times New Roman"/>
          <w:sz w:val="24"/>
          <w:szCs w:val="24"/>
        </w:rPr>
        <w:t xml:space="preserve">r </w:t>
      </w:r>
      <w:r w:rsidR="007D1779">
        <w:rPr>
          <w:rFonts w:ascii="Times New Roman" w:hAnsi="Times New Roman" w:cs="Times New Roman"/>
          <w:sz w:val="24"/>
          <w:szCs w:val="24"/>
        </w:rPr>
        <w:t>labklājības ministra</w:t>
      </w:r>
      <w:r w:rsidR="00035071">
        <w:rPr>
          <w:rFonts w:ascii="Times New Roman" w:hAnsi="Times New Roman" w:cs="Times New Roman"/>
          <w:sz w:val="24"/>
          <w:szCs w:val="24"/>
        </w:rPr>
        <w:t xml:space="preserve"> </w:t>
      </w:r>
      <w:r w:rsidR="0086510A">
        <w:rPr>
          <w:rFonts w:ascii="Times New Roman" w:hAnsi="Times New Roman" w:cs="Times New Roman"/>
          <w:sz w:val="24"/>
          <w:szCs w:val="24"/>
        </w:rPr>
        <w:t>r</w:t>
      </w:r>
      <w:r w:rsidR="00941283">
        <w:rPr>
          <w:rFonts w:ascii="Times New Roman" w:hAnsi="Times New Roman" w:cs="Times New Roman"/>
          <w:sz w:val="24"/>
          <w:szCs w:val="24"/>
        </w:rPr>
        <w:t>īkojumu Nr.99</w:t>
      </w:r>
      <w:r w:rsidR="00B07B58">
        <w:rPr>
          <w:rStyle w:val="FootnoteReference"/>
          <w:rFonts w:ascii="Times New Roman" w:hAnsi="Times New Roman" w:cs="Times New Roman"/>
          <w:sz w:val="24"/>
          <w:szCs w:val="24"/>
        </w:rPr>
        <w:footnoteReference w:id="3"/>
      </w:r>
      <w:r w:rsidR="00941283">
        <w:rPr>
          <w:rFonts w:ascii="Times New Roman" w:hAnsi="Times New Roman" w:cs="Times New Roman"/>
          <w:sz w:val="24"/>
          <w:szCs w:val="24"/>
        </w:rPr>
        <w:t xml:space="preserve"> tika izveidota darba grupa</w:t>
      </w:r>
      <w:r w:rsidR="00941283" w:rsidRPr="00FC34FF">
        <w:rPr>
          <w:rFonts w:ascii="Times New Roman" w:hAnsi="Times New Roman" w:cs="Times New Roman"/>
          <w:sz w:val="24"/>
          <w:szCs w:val="24"/>
        </w:rPr>
        <w:t xml:space="preserve">, kurā </w:t>
      </w:r>
      <w:r w:rsidR="008344B8">
        <w:rPr>
          <w:rFonts w:ascii="Times New Roman" w:hAnsi="Times New Roman" w:cs="Times New Roman"/>
          <w:sz w:val="24"/>
          <w:szCs w:val="24"/>
        </w:rPr>
        <w:t>tika</w:t>
      </w:r>
      <w:r w:rsidR="001B6EBA">
        <w:rPr>
          <w:rFonts w:ascii="Times New Roman" w:hAnsi="Times New Roman" w:cs="Times New Roman"/>
          <w:sz w:val="24"/>
          <w:szCs w:val="24"/>
        </w:rPr>
        <w:t xml:space="preserve"> pieaicināti</w:t>
      </w:r>
      <w:r w:rsidR="00941283" w:rsidRPr="00FC34FF">
        <w:rPr>
          <w:rFonts w:ascii="Times New Roman" w:hAnsi="Times New Roman" w:cs="Times New Roman"/>
          <w:sz w:val="24"/>
          <w:szCs w:val="24"/>
        </w:rPr>
        <w:t xml:space="preserve"> gan akadēmiskās jomas, gan sociālo partneru, gan valsts institūciju pārstāvji – Latvijas Universitātes mācībspēki, Latvijas Brīvo arodbiedrību savienības, Latvijas Pensionāru federācijas, Pārresoru koordinācijas centra, Finanšu ministrijas, Tieslietu ministrijas un Valsts sociālās apdrošināšanas aģentūras (turpmāk – VSAA) eksperti. </w:t>
      </w:r>
      <w:r w:rsidR="001B6EBA">
        <w:rPr>
          <w:rFonts w:ascii="Times New Roman" w:hAnsi="Times New Roman" w:cs="Times New Roman"/>
          <w:sz w:val="24"/>
          <w:szCs w:val="24"/>
        </w:rPr>
        <w:t>Darba grupā kā prioritārais risinājums tika virzīts variants, kas vērsts konkrēti uz to</w:t>
      </w:r>
      <w:r w:rsidR="00941283" w:rsidRPr="00FC34FF">
        <w:rPr>
          <w:rFonts w:ascii="Times New Roman" w:hAnsi="Times New Roman" w:cs="Times New Roman"/>
          <w:sz w:val="24"/>
          <w:szCs w:val="24"/>
        </w:rPr>
        <w:t xml:space="preserve"> </w:t>
      </w:r>
      <w:r w:rsidR="001F54BA">
        <w:rPr>
          <w:rFonts w:ascii="Times New Roman" w:hAnsi="Times New Roman" w:cs="Times New Roman"/>
          <w:sz w:val="24"/>
          <w:szCs w:val="24"/>
        </w:rPr>
        <w:t>senioru dzīves kvalitāt</w:t>
      </w:r>
      <w:r w:rsidR="001B6EBA">
        <w:rPr>
          <w:rFonts w:ascii="Times New Roman" w:hAnsi="Times New Roman" w:cs="Times New Roman"/>
          <w:sz w:val="24"/>
          <w:szCs w:val="24"/>
        </w:rPr>
        <w:t>es uzlabošanu</w:t>
      </w:r>
      <w:r w:rsidR="001F54BA">
        <w:rPr>
          <w:rFonts w:ascii="Times New Roman" w:hAnsi="Times New Roman" w:cs="Times New Roman"/>
          <w:sz w:val="24"/>
          <w:szCs w:val="24"/>
        </w:rPr>
        <w:t>, kur</w:t>
      </w:r>
      <w:r w:rsidR="00022AF1">
        <w:rPr>
          <w:rFonts w:ascii="Times New Roman" w:hAnsi="Times New Roman" w:cs="Times New Roman"/>
          <w:sz w:val="24"/>
          <w:szCs w:val="24"/>
        </w:rPr>
        <w:t>u bērni</w:t>
      </w:r>
      <w:r w:rsidR="001F54BA">
        <w:rPr>
          <w:rFonts w:ascii="Times New Roman" w:hAnsi="Times New Roman" w:cs="Times New Roman"/>
          <w:sz w:val="24"/>
          <w:szCs w:val="24"/>
        </w:rPr>
        <w:t xml:space="preserve"> </w:t>
      </w:r>
      <w:r w:rsidR="001B6EBA">
        <w:rPr>
          <w:rFonts w:ascii="Times New Roman" w:hAnsi="Times New Roman" w:cs="Times New Roman"/>
          <w:sz w:val="24"/>
          <w:szCs w:val="24"/>
        </w:rPr>
        <w:t>godprātīgi</w:t>
      </w:r>
      <w:r w:rsidR="00022AF1">
        <w:rPr>
          <w:rFonts w:ascii="Times New Roman" w:hAnsi="Times New Roman" w:cs="Times New Roman"/>
          <w:sz w:val="24"/>
          <w:szCs w:val="24"/>
        </w:rPr>
        <w:t xml:space="preserve"> </w:t>
      </w:r>
      <w:r w:rsidR="00550201">
        <w:rPr>
          <w:rFonts w:ascii="Times New Roman" w:hAnsi="Times New Roman" w:cs="Times New Roman"/>
          <w:sz w:val="24"/>
          <w:szCs w:val="24"/>
        </w:rPr>
        <w:t>veic valsts sociālās apdrošināšanas obligātās (turpmāk – sociālās apdrošināšanas iemaksas)</w:t>
      </w:r>
      <w:r w:rsidR="00022AF1">
        <w:rPr>
          <w:rFonts w:ascii="Times New Roman" w:hAnsi="Times New Roman" w:cs="Times New Roman"/>
          <w:sz w:val="24"/>
          <w:szCs w:val="24"/>
        </w:rPr>
        <w:t xml:space="preserve"> Latvijā. </w:t>
      </w:r>
      <w:r w:rsidR="00C20C65">
        <w:rPr>
          <w:rFonts w:ascii="Times New Roman" w:hAnsi="Times New Roman" w:cs="Times New Roman"/>
          <w:sz w:val="24"/>
          <w:szCs w:val="24"/>
        </w:rPr>
        <w:t>D</w:t>
      </w:r>
      <w:r w:rsidR="00941283" w:rsidRPr="00FC34FF">
        <w:rPr>
          <w:rFonts w:ascii="Times New Roman" w:hAnsi="Times New Roman" w:cs="Times New Roman"/>
          <w:sz w:val="24"/>
          <w:szCs w:val="24"/>
        </w:rPr>
        <w:t xml:space="preserve">arba grupas ietvaros eksperti tika aicināti </w:t>
      </w:r>
      <w:r w:rsidR="001B6EBA">
        <w:rPr>
          <w:rFonts w:ascii="Times New Roman" w:hAnsi="Times New Roman" w:cs="Times New Roman"/>
          <w:sz w:val="24"/>
          <w:szCs w:val="24"/>
        </w:rPr>
        <w:t xml:space="preserve">arī </w:t>
      </w:r>
      <w:r w:rsidR="00C20C65">
        <w:rPr>
          <w:rFonts w:ascii="Times New Roman" w:hAnsi="Times New Roman" w:cs="Times New Roman"/>
          <w:sz w:val="24"/>
          <w:szCs w:val="24"/>
        </w:rPr>
        <w:t>izvērtēt</w:t>
      </w:r>
      <w:r w:rsidR="00941283" w:rsidRPr="00FC34FF">
        <w:rPr>
          <w:rFonts w:ascii="Times New Roman" w:hAnsi="Times New Roman" w:cs="Times New Roman"/>
          <w:sz w:val="24"/>
          <w:szCs w:val="24"/>
        </w:rPr>
        <w:t xml:space="preserve"> </w:t>
      </w:r>
      <w:r w:rsidR="001B6EBA">
        <w:rPr>
          <w:rFonts w:ascii="Times New Roman" w:hAnsi="Times New Roman" w:cs="Times New Roman"/>
          <w:sz w:val="24"/>
          <w:szCs w:val="24"/>
        </w:rPr>
        <w:t xml:space="preserve">iespējas, kā </w:t>
      </w:r>
      <w:r w:rsidR="00941283" w:rsidRPr="00FC34FF">
        <w:rPr>
          <w:rFonts w:ascii="Times New Roman" w:hAnsi="Times New Roman" w:cs="Times New Roman"/>
          <w:sz w:val="24"/>
          <w:szCs w:val="24"/>
        </w:rPr>
        <w:t xml:space="preserve">uzlabot </w:t>
      </w:r>
      <w:r w:rsidR="00C20C65">
        <w:rPr>
          <w:rFonts w:ascii="Times New Roman" w:hAnsi="Times New Roman" w:cs="Times New Roman"/>
          <w:sz w:val="24"/>
          <w:szCs w:val="24"/>
        </w:rPr>
        <w:t xml:space="preserve">to </w:t>
      </w:r>
      <w:r w:rsidR="00A51D37">
        <w:rPr>
          <w:rFonts w:ascii="Times New Roman" w:hAnsi="Times New Roman" w:cs="Times New Roman"/>
          <w:sz w:val="24"/>
          <w:szCs w:val="24"/>
        </w:rPr>
        <w:t>senioru</w:t>
      </w:r>
      <w:r w:rsidR="00941283" w:rsidRPr="00FC34FF">
        <w:rPr>
          <w:rFonts w:ascii="Times New Roman" w:hAnsi="Times New Roman" w:cs="Times New Roman"/>
          <w:sz w:val="24"/>
          <w:szCs w:val="24"/>
        </w:rPr>
        <w:t xml:space="preserve"> </w:t>
      </w:r>
      <w:r w:rsidR="0086510A">
        <w:rPr>
          <w:rFonts w:ascii="Times New Roman" w:hAnsi="Times New Roman" w:cs="Times New Roman"/>
          <w:sz w:val="24"/>
          <w:szCs w:val="24"/>
        </w:rPr>
        <w:t>materiālo situāciju</w:t>
      </w:r>
      <w:r w:rsidR="00941283" w:rsidRPr="00FC34FF">
        <w:rPr>
          <w:rFonts w:ascii="Times New Roman" w:hAnsi="Times New Roman" w:cs="Times New Roman"/>
          <w:sz w:val="24"/>
          <w:szCs w:val="24"/>
        </w:rPr>
        <w:t>, kur</w:t>
      </w:r>
      <w:r w:rsidR="001B6EBA">
        <w:rPr>
          <w:rFonts w:ascii="Times New Roman" w:hAnsi="Times New Roman" w:cs="Times New Roman"/>
          <w:sz w:val="24"/>
          <w:szCs w:val="24"/>
        </w:rPr>
        <w:t>i</w:t>
      </w:r>
      <w:r w:rsidR="00941283" w:rsidRPr="00FC34FF">
        <w:rPr>
          <w:rFonts w:ascii="Times New Roman" w:hAnsi="Times New Roman" w:cs="Times New Roman"/>
          <w:sz w:val="24"/>
          <w:szCs w:val="24"/>
        </w:rPr>
        <w:t xml:space="preserve"> </w:t>
      </w:r>
      <w:r w:rsidR="001B6EBA">
        <w:rPr>
          <w:rFonts w:ascii="Times New Roman" w:hAnsi="Times New Roman" w:cs="Times New Roman"/>
          <w:sz w:val="24"/>
          <w:szCs w:val="24"/>
        </w:rPr>
        <w:t xml:space="preserve">ir </w:t>
      </w:r>
      <w:r w:rsidR="00941283" w:rsidRPr="00FC34FF">
        <w:rPr>
          <w:rFonts w:ascii="Times New Roman" w:hAnsi="Times New Roman" w:cs="Times New Roman"/>
          <w:sz w:val="24"/>
          <w:szCs w:val="24"/>
        </w:rPr>
        <w:t>visvairāk pakļaut</w:t>
      </w:r>
      <w:r w:rsidR="001B6EBA">
        <w:rPr>
          <w:rFonts w:ascii="Times New Roman" w:hAnsi="Times New Roman" w:cs="Times New Roman"/>
          <w:sz w:val="24"/>
          <w:szCs w:val="24"/>
        </w:rPr>
        <w:t>i</w:t>
      </w:r>
      <w:r w:rsidR="00941283" w:rsidRPr="00FC34FF">
        <w:rPr>
          <w:rFonts w:ascii="Times New Roman" w:hAnsi="Times New Roman" w:cs="Times New Roman"/>
          <w:sz w:val="24"/>
          <w:szCs w:val="24"/>
        </w:rPr>
        <w:t xml:space="preserve"> nabadzības riskam. Darba grupa kopumā tikās </w:t>
      </w:r>
      <w:r w:rsidR="001F54BA">
        <w:rPr>
          <w:rFonts w:ascii="Times New Roman" w:hAnsi="Times New Roman" w:cs="Times New Roman"/>
          <w:sz w:val="24"/>
          <w:szCs w:val="24"/>
        </w:rPr>
        <w:t>trīs</w:t>
      </w:r>
      <w:r w:rsidR="00941283" w:rsidRPr="00FC34FF">
        <w:rPr>
          <w:rFonts w:ascii="Times New Roman" w:hAnsi="Times New Roman" w:cs="Times New Roman"/>
          <w:sz w:val="24"/>
          <w:szCs w:val="24"/>
        </w:rPr>
        <w:t xml:space="preserve"> reizes, ekspertu līmenī </w:t>
      </w:r>
      <w:r w:rsidR="00941283">
        <w:rPr>
          <w:rFonts w:ascii="Times New Roman" w:hAnsi="Times New Roman" w:cs="Times New Roman"/>
          <w:sz w:val="24"/>
          <w:szCs w:val="24"/>
        </w:rPr>
        <w:t>padziļināti diskutējot par</w:t>
      </w:r>
      <w:r w:rsidR="00941283" w:rsidRPr="00FC34FF">
        <w:rPr>
          <w:rFonts w:ascii="Times New Roman" w:hAnsi="Times New Roman" w:cs="Times New Roman"/>
          <w:sz w:val="24"/>
          <w:szCs w:val="24"/>
        </w:rPr>
        <w:t xml:space="preserve"> </w:t>
      </w:r>
      <w:r w:rsidR="004C1823">
        <w:rPr>
          <w:rFonts w:ascii="Times New Roman" w:hAnsi="Times New Roman" w:cs="Times New Roman"/>
          <w:sz w:val="24"/>
          <w:szCs w:val="24"/>
        </w:rPr>
        <w:t xml:space="preserve">iespējamajiem </w:t>
      </w:r>
      <w:r w:rsidR="00941283">
        <w:rPr>
          <w:rFonts w:ascii="Times New Roman" w:hAnsi="Times New Roman" w:cs="Times New Roman"/>
          <w:sz w:val="24"/>
          <w:szCs w:val="24"/>
        </w:rPr>
        <w:t>risinājum</w:t>
      </w:r>
      <w:r w:rsidR="00941283" w:rsidRPr="00FC34FF">
        <w:rPr>
          <w:rFonts w:ascii="Times New Roman" w:hAnsi="Times New Roman" w:cs="Times New Roman"/>
          <w:sz w:val="24"/>
          <w:szCs w:val="24"/>
        </w:rPr>
        <w:t xml:space="preserve">iem. </w:t>
      </w:r>
    </w:p>
    <w:p w:rsidR="002A789F" w:rsidRDefault="002A789F" w:rsidP="001F54BA">
      <w:pPr>
        <w:spacing w:after="0" w:line="240" w:lineRule="auto"/>
        <w:jc w:val="both"/>
        <w:rPr>
          <w:rFonts w:ascii="Times New Roman" w:hAnsi="Times New Roman" w:cs="Times New Roman"/>
          <w:b/>
          <w:sz w:val="24"/>
          <w:szCs w:val="24"/>
        </w:rPr>
      </w:pPr>
    </w:p>
    <w:p w:rsidR="001F54BA" w:rsidRDefault="001F54BA" w:rsidP="001F54B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Esošās situācijas analīze</w:t>
      </w:r>
    </w:p>
    <w:p w:rsidR="001F54BA" w:rsidRPr="001F54BA" w:rsidRDefault="001F54BA" w:rsidP="001F54BA">
      <w:pPr>
        <w:spacing w:after="0" w:line="240" w:lineRule="auto"/>
        <w:jc w:val="both"/>
        <w:rPr>
          <w:rFonts w:ascii="Times New Roman" w:hAnsi="Times New Roman" w:cs="Times New Roman"/>
          <w:sz w:val="24"/>
          <w:szCs w:val="24"/>
        </w:rPr>
      </w:pPr>
    </w:p>
    <w:p w:rsidR="00887E54" w:rsidRPr="00887E54" w:rsidRDefault="00887E54" w:rsidP="00887E54">
      <w:pPr>
        <w:autoSpaceDE w:val="0"/>
        <w:autoSpaceDN w:val="0"/>
        <w:adjustRightInd w:val="0"/>
        <w:spacing w:after="0" w:line="240" w:lineRule="auto"/>
        <w:ind w:firstLine="567"/>
        <w:jc w:val="both"/>
        <w:rPr>
          <w:rFonts w:ascii="Times New Roman" w:hAnsi="Times New Roman" w:cs="Times New Roman"/>
          <w:sz w:val="24"/>
          <w:szCs w:val="24"/>
        </w:rPr>
      </w:pPr>
      <w:r w:rsidRPr="00887E54">
        <w:rPr>
          <w:rFonts w:ascii="Times New Roman" w:hAnsi="Times New Roman" w:cs="Times New Roman"/>
          <w:sz w:val="24"/>
          <w:szCs w:val="24"/>
        </w:rPr>
        <w:t xml:space="preserve">Saskaņā ar likumu “Par valsts sociālo apdrošināšanu” (3.pants) sociālā apdrošināšana ir pasākumu kopums, ko organizē valsts, lai apdrošinātu personas vai tās apgādībā esošo personu </w:t>
      </w:r>
      <w:r w:rsidR="001B6EBA">
        <w:rPr>
          <w:rFonts w:ascii="Times New Roman" w:hAnsi="Times New Roman" w:cs="Times New Roman"/>
          <w:sz w:val="24"/>
          <w:szCs w:val="24"/>
        </w:rPr>
        <w:t xml:space="preserve">pret </w:t>
      </w:r>
      <w:r w:rsidRPr="00887E54">
        <w:rPr>
          <w:rFonts w:ascii="Times New Roman" w:hAnsi="Times New Roman" w:cs="Times New Roman"/>
          <w:sz w:val="24"/>
          <w:szCs w:val="24"/>
        </w:rPr>
        <w:t xml:space="preserve">risku zaudēt darba ienākumu sakarā ar sociāli apdrošinātās personas slimību, invaliditāti, maternitāti, </w:t>
      </w:r>
      <w:r w:rsidR="001B6EBA">
        <w:rPr>
          <w:rFonts w:ascii="Times New Roman" w:hAnsi="Times New Roman" w:cs="Times New Roman"/>
          <w:sz w:val="24"/>
          <w:szCs w:val="24"/>
        </w:rPr>
        <w:t xml:space="preserve">bērna kopšanu, </w:t>
      </w:r>
      <w:r w:rsidRPr="00887E54">
        <w:rPr>
          <w:rFonts w:ascii="Times New Roman" w:hAnsi="Times New Roman" w:cs="Times New Roman"/>
          <w:sz w:val="24"/>
          <w:szCs w:val="24"/>
        </w:rPr>
        <w:t>bezdarbu, vecumu, nelaimes gadījumu darbā vai saslimšanu ar arodslimību, kā arī papildu izdevumiem sakarā ar sociāli apdrošinātās personas vai tās apgādībā esošās personas nāvi</w:t>
      </w:r>
      <w:r w:rsidR="00D742C6">
        <w:rPr>
          <w:rFonts w:ascii="Times New Roman" w:hAnsi="Times New Roman" w:cs="Times New Roman"/>
          <w:sz w:val="24"/>
          <w:szCs w:val="24"/>
        </w:rPr>
        <w:t xml:space="preserve">, </w:t>
      </w:r>
      <w:r w:rsidR="00267862">
        <w:rPr>
          <w:rFonts w:ascii="Times New Roman" w:hAnsi="Times New Roman" w:cs="Times New Roman"/>
          <w:sz w:val="24"/>
          <w:szCs w:val="24"/>
        </w:rPr>
        <w:t>turklāt</w:t>
      </w:r>
      <w:r w:rsidR="00D742C6">
        <w:rPr>
          <w:rFonts w:ascii="Times New Roman" w:hAnsi="Times New Roman" w:cs="Times New Roman"/>
          <w:sz w:val="24"/>
          <w:szCs w:val="24"/>
        </w:rPr>
        <w:t xml:space="preserve"> no 2018.gada 1.janvāra tā ietver arī veselības apdrošināšanu</w:t>
      </w:r>
      <w:r w:rsidRPr="00887E54">
        <w:rPr>
          <w:rFonts w:ascii="Times New Roman" w:hAnsi="Times New Roman" w:cs="Times New Roman"/>
          <w:sz w:val="24"/>
          <w:szCs w:val="24"/>
        </w:rPr>
        <w:t>. Sociālā apdrošināšana ir valsts sociālās drošības sistēmas sastāvdaļa. Sociālās apdrošināšanas pamatprincipi paredz:</w:t>
      </w:r>
    </w:p>
    <w:p w:rsidR="00887E54" w:rsidRPr="006B57A8" w:rsidRDefault="00887E54" w:rsidP="006B57A8">
      <w:pPr>
        <w:pStyle w:val="ListParagraph"/>
        <w:numPr>
          <w:ilvl w:val="0"/>
          <w:numId w:val="3"/>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B57A8">
        <w:rPr>
          <w:rFonts w:ascii="Times New Roman" w:hAnsi="Times New Roman" w:cs="Times New Roman"/>
          <w:sz w:val="24"/>
          <w:szCs w:val="24"/>
        </w:rPr>
        <w:t>solidaritāti starp sociālās apdrošināšanas iemaksu veicējiem un sociālās apdrošināšanas pakalpojumu saņēmējiem;</w:t>
      </w:r>
    </w:p>
    <w:p w:rsidR="00887E54" w:rsidRPr="006B57A8" w:rsidRDefault="00887E54" w:rsidP="006B57A8">
      <w:pPr>
        <w:pStyle w:val="ListParagraph"/>
        <w:numPr>
          <w:ilvl w:val="0"/>
          <w:numId w:val="3"/>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B57A8">
        <w:rPr>
          <w:rFonts w:ascii="Times New Roman" w:hAnsi="Times New Roman" w:cs="Times New Roman"/>
          <w:sz w:val="24"/>
          <w:szCs w:val="24"/>
        </w:rPr>
        <w:t>sociālās apdrošināšanas līdzekļu izmantošanu tikai sociālās apdrošināšanas pakalpojumiem saskaņā ar likumu.</w:t>
      </w:r>
    </w:p>
    <w:p w:rsidR="00887E54" w:rsidRDefault="00887E54" w:rsidP="00887E54">
      <w:pPr>
        <w:spacing w:after="0" w:line="240" w:lineRule="auto"/>
        <w:ind w:firstLine="567"/>
        <w:jc w:val="both"/>
        <w:rPr>
          <w:rFonts w:ascii="Times New Roman" w:hAnsi="Times New Roman" w:cs="Times New Roman"/>
          <w:sz w:val="24"/>
          <w:szCs w:val="24"/>
        </w:rPr>
      </w:pPr>
      <w:r w:rsidRPr="00887E54">
        <w:rPr>
          <w:rFonts w:ascii="Times New Roman" w:hAnsi="Times New Roman" w:cs="Times New Roman"/>
          <w:sz w:val="24"/>
          <w:szCs w:val="24"/>
        </w:rPr>
        <w:t xml:space="preserve">Viena no valsts sociālās apdrošināšanas jomām ir pensiju apdrošināšana. Latvijā pensiju sistēma ir veidota trīs līmeņos: pirmais – valsts obligātā nefondētā pensiju shēma, otrais </w:t>
      </w:r>
      <w:r w:rsidR="00C82AA0">
        <w:rPr>
          <w:rFonts w:ascii="Times New Roman" w:hAnsi="Times New Roman" w:cs="Times New Roman"/>
          <w:sz w:val="24"/>
          <w:szCs w:val="24"/>
        </w:rPr>
        <w:t>–</w:t>
      </w:r>
      <w:r w:rsidRPr="00887E54">
        <w:rPr>
          <w:rFonts w:ascii="Times New Roman" w:hAnsi="Times New Roman" w:cs="Times New Roman"/>
          <w:sz w:val="24"/>
          <w:szCs w:val="24"/>
        </w:rPr>
        <w:t xml:space="preserve"> valsts obligātā fondētā pensiju shēma, trešais </w:t>
      </w:r>
      <w:r w:rsidR="00C82AA0">
        <w:rPr>
          <w:rFonts w:ascii="Times New Roman" w:hAnsi="Times New Roman" w:cs="Times New Roman"/>
          <w:sz w:val="24"/>
          <w:szCs w:val="24"/>
        </w:rPr>
        <w:t>–</w:t>
      </w:r>
      <w:r w:rsidRPr="00887E54">
        <w:rPr>
          <w:rFonts w:ascii="Times New Roman" w:hAnsi="Times New Roman" w:cs="Times New Roman"/>
          <w:sz w:val="24"/>
          <w:szCs w:val="24"/>
        </w:rPr>
        <w:t xml:space="preserve"> privātā brīvprātīgā pensiju shēma.</w:t>
      </w:r>
      <w:r w:rsidR="00C82AA0">
        <w:rPr>
          <w:rFonts w:ascii="Times New Roman" w:hAnsi="Times New Roman" w:cs="Times New Roman"/>
          <w:sz w:val="24"/>
          <w:szCs w:val="24"/>
        </w:rPr>
        <w:t xml:space="preserve"> </w:t>
      </w:r>
      <w:r w:rsidR="005B69E1">
        <w:rPr>
          <w:rFonts w:ascii="Times New Roman" w:hAnsi="Times New Roman" w:cs="Times New Roman"/>
          <w:sz w:val="24"/>
          <w:szCs w:val="24"/>
        </w:rPr>
        <w:t>S</w:t>
      </w:r>
      <w:r w:rsidR="000E0265">
        <w:rPr>
          <w:rFonts w:ascii="Times New Roman" w:hAnsi="Times New Roman" w:cs="Times New Roman"/>
          <w:sz w:val="24"/>
          <w:szCs w:val="24"/>
        </w:rPr>
        <w:t xml:space="preserve">ociālās apdrošināšanas likme, ja darba ņēmējs ir apdrošināts visiem sociālās apdrošināšanas veidiem, </w:t>
      </w:r>
      <w:r w:rsidR="00FA5B15">
        <w:rPr>
          <w:rFonts w:ascii="Times New Roman" w:hAnsi="Times New Roman" w:cs="Times New Roman"/>
          <w:sz w:val="24"/>
          <w:szCs w:val="24"/>
        </w:rPr>
        <w:t xml:space="preserve">2018.gadā </w:t>
      </w:r>
      <w:r w:rsidR="000E0265">
        <w:rPr>
          <w:rFonts w:ascii="Times New Roman" w:hAnsi="Times New Roman" w:cs="Times New Roman"/>
          <w:sz w:val="24"/>
          <w:szCs w:val="24"/>
        </w:rPr>
        <w:t xml:space="preserve">ir 35,09%, no kuriem 24,09% maksā </w:t>
      </w:r>
      <w:r w:rsidR="000E0265">
        <w:rPr>
          <w:rFonts w:ascii="Times New Roman" w:hAnsi="Times New Roman" w:cs="Times New Roman"/>
          <w:sz w:val="24"/>
          <w:szCs w:val="24"/>
        </w:rPr>
        <w:lastRenderedPageBreak/>
        <w:t xml:space="preserve">darba devējs un 11% </w:t>
      </w:r>
      <w:r w:rsidR="00C82AA0" w:rsidRPr="00887E54">
        <w:rPr>
          <w:rFonts w:ascii="Times New Roman" w:hAnsi="Times New Roman" w:cs="Times New Roman"/>
          <w:sz w:val="24"/>
          <w:szCs w:val="24"/>
        </w:rPr>
        <w:t>–</w:t>
      </w:r>
      <w:r w:rsidR="000E0265">
        <w:rPr>
          <w:rFonts w:ascii="Times New Roman" w:hAnsi="Times New Roman" w:cs="Times New Roman"/>
          <w:sz w:val="24"/>
          <w:szCs w:val="24"/>
        </w:rPr>
        <w:t xml:space="preserve"> darba ņēmējs, </w:t>
      </w:r>
      <w:r w:rsidR="00FA5B15">
        <w:rPr>
          <w:rFonts w:ascii="Times New Roman" w:hAnsi="Times New Roman" w:cs="Times New Roman"/>
          <w:sz w:val="24"/>
          <w:szCs w:val="24"/>
        </w:rPr>
        <w:t>turklāt</w:t>
      </w:r>
      <w:r w:rsidR="000E0265">
        <w:rPr>
          <w:rFonts w:ascii="Times New Roman" w:hAnsi="Times New Roman" w:cs="Times New Roman"/>
          <w:sz w:val="24"/>
          <w:szCs w:val="24"/>
        </w:rPr>
        <w:t xml:space="preserve"> 1% </w:t>
      </w:r>
      <w:r w:rsidR="00286604">
        <w:rPr>
          <w:rFonts w:ascii="Times New Roman" w:hAnsi="Times New Roman" w:cs="Times New Roman"/>
          <w:sz w:val="24"/>
          <w:szCs w:val="24"/>
        </w:rPr>
        <w:t xml:space="preserve">punkts </w:t>
      </w:r>
      <w:r w:rsidR="000E0265">
        <w:rPr>
          <w:rFonts w:ascii="Times New Roman" w:hAnsi="Times New Roman" w:cs="Times New Roman"/>
          <w:sz w:val="24"/>
          <w:szCs w:val="24"/>
        </w:rPr>
        <w:t xml:space="preserve">no kopējās likmes tiek novirzīts veselības aprūpes pakalpojumu finansēšanai. </w:t>
      </w:r>
      <w:r w:rsidR="00286604">
        <w:rPr>
          <w:rFonts w:ascii="Times New Roman" w:hAnsi="Times New Roman" w:cs="Times New Roman"/>
          <w:sz w:val="24"/>
          <w:szCs w:val="24"/>
        </w:rPr>
        <w:t xml:space="preserve">Vispārējā nodokļu režīma ietvaros </w:t>
      </w:r>
      <w:r w:rsidR="00430921">
        <w:rPr>
          <w:rFonts w:ascii="Times New Roman" w:hAnsi="Times New Roman" w:cs="Times New Roman"/>
          <w:sz w:val="24"/>
          <w:szCs w:val="24"/>
        </w:rPr>
        <w:t xml:space="preserve">24,5% punkti </w:t>
      </w:r>
      <w:r w:rsidR="00286604">
        <w:rPr>
          <w:rFonts w:ascii="Times New Roman" w:hAnsi="Times New Roman" w:cs="Times New Roman"/>
          <w:sz w:val="24"/>
          <w:szCs w:val="24"/>
        </w:rPr>
        <w:t xml:space="preserve">no sociālās apdrošināšanas iemaksu likmes </w:t>
      </w:r>
      <w:r w:rsidR="00430921">
        <w:rPr>
          <w:rFonts w:ascii="Times New Roman" w:hAnsi="Times New Roman" w:cs="Times New Roman"/>
          <w:sz w:val="24"/>
          <w:szCs w:val="24"/>
        </w:rPr>
        <w:t xml:space="preserve">tiek novirzīti </w:t>
      </w:r>
      <w:r w:rsidR="00286604">
        <w:rPr>
          <w:rFonts w:ascii="Times New Roman" w:hAnsi="Times New Roman" w:cs="Times New Roman"/>
          <w:sz w:val="24"/>
          <w:szCs w:val="24"/>
        </w:rPr>
        <w:t xml:space="preserve">pensiju apdrošināšanai. </w:t>
      </w:r>
      <w:r w:rsidRPr="00FC34FF">
        <w:rPr>
          <w:rFonts w:ascii="Times New Roman" w:hAnsi="Times New Roman" w:cs="Times New Roman"/>
          <w:sz w:val="24"/>
          <w:szCs w:val="24"/>
        </w:rPr>
        <w:t xml:space="preserve">No šiem 24,5% </w:t>
      </w:r>
      <w:r w:rsidR="006F1D75">
        <w:rPr>
          <w:rFonts w:ascii="Times New Roman" w:hAnsi="Times New Roman" w:cs="Times New Roman"/>
          <w:sz w:val="24"/>
          <w:szCs w:val="24"/>
        </w:rPr>
        <w:t xml:space="preserve">punktiem </w:t>
      </w:r>
      <w:r w:rsidRPr="00FC34FF">
        <w:rPr>
          <w:rFonts w:ascii="Times New Roman" w:hAnsi="Times New Roman" w:cs="Times New Roman"/>
          <w:sz w:val="24"/>
          <w:szCs w:val="24"/>
        </w:rPr>
        <w:t xml:space="preserve">attiecīgi </w:t>
      </w:r>
      <w:r w:rsidR="00B8010D">
        <w:rPr>
          <w:rFonts w:ascii="Times New Roman" w:hAnsi="Times New Roman" w:cs="Times New Roman"/>
          <w:sz w:val="24"/>
          <w:szCs w:val="24"/>
        </w:rPr>
        <w:t>6</w:t>
      </w:r>
      <w:r w:rsidRPr="00FC34FF">
        <w:rPr>
          <w:rFonts w:ascii="Times New Roman" w:hAnsi="Times New Roman" w:cs="Times New Roman"/>
          <w:sz w:val="24"/>
          <w:szCs w:val="24"/>
        </w:rPr>
        <w:t xml:space="preserve">% punkti </w:t>
      </w:r>
      <w:r w:rsidR="00E6622F">
        <w:rPr>
          <w:rFonts w:ascii="Times New Roman" w:hAnsi="Times New Roman" w:cs="Times New Roman"/>
          <w:sz w:val="24"/>
          <w:szCs w:val="24"/>
        </w:rPr>
        <w:t>veido</w:t>
      </w:r>
      <w:r w:rsidRPr="00FC34FF">
        <w:rPr>
          <w:rFonts w:ascii="Times New Roman" w:hAnsi="Times New Roman" w:cs="Times New Roman"/>
          <w:sz w:val="24"/>
          <w:szCs w:val="24"/>
        </w:rPr>
        <w:t xml:space="preserve"> pensiju </w:t>
      </w:r>
      <w:r w:rsidR="00D742C6">
        <w:rPr>
          <w:rFonts w:ascii="Times New Roman" w:hAnsi="Times New Roman" w:cs="Times New Roman"/>
          <w:sz w:val="24"/>
          <w:szCs w:val="24"/>
        </w:rPr>
        <w:t>kapitāla uzkrājum</w:t>
      </w:r>
      <w:r w:rsidR="00E6622F">
        <w:rPr>
          <w:rFonts w:ascii="Times New Roman" w:hAnsi="Times New Roman" w:cs="Times New Roman"/>
          <w:sz w:val="24"/>
          <w:szCs w:val="24"/>
        </w:rPr>
        <w:t>u</w:t>
      </w:r>
      <w:r w:rsidR="00D742C6">
        <w:rPr>
          <w:rFonts w:ascii="Times New Roman" w:hAnsi="Times New Roman" w:cs="Times New Roman"/>
          <w:sz w:val="24"/>
          <w:szCs w:val="24"/>
        </w:rPr>
        <w:t xml:space="preserve"> </w:t>
      </w:r>
      <w:r w:rsidRPr="00FC34FF">
        <w:rPr>
          <w:rFonts w:ascii="Times New Roman" w:hAnsi="Times New Roman" w:cs="Times New Roman"/>
          <w:sz w:val="24"/>
          <w:szCs w:val="24"/>
        </w:rPr>
        <w:t>2.</w:t>
      </w:r>
      <w:r w:rsidR="00D742C6">
        <w:rPr>
          <w:rFonts w:ascii="Times New Roman" w:hAnsi="Times New Roman" w:cs="Times New Roman"/>
          <w:sz w:val="24"/>
          <w:szCs w:val="24"/>
        </w:rPr>
        <w:t xml:space="preserve">pensiju </w:t>
      </w:r>
      <w:r w:rsidRPr="00FC34FF">
        <w:rPr>
          <w:rFonts w:ascii="Times New Roman" w:hAnsi="Times New Roman" w:cs="Times New Roman"/>
          <w:sz w:val="24"/>
          <w:szCs w:val="24"/>
        </w:rPr>
        <w:t>līmen</w:t>
      </w:r>
      <w:r w:rsidR="00E6622F">
        <w:rPr>
          <w:rFonts w:ascii="Times New Roman" w:hAnsi="Times New Roman" w:cs="Times New Roman"/>
          <w:sz w:val="24"/>
          <w:szCs w:val="24"/>
        </w:rPr>
        <w:t>ī</w:t>
      </w:r>
      <w:r w:rsidRPr="00FC34FF">
        <w:rPr>
          <w:rFonts w:ascii="Times New Roman" w:hAnsi="Times New Roman" w:cs="Times New Roman"/>
          <w:sz w:val="24"/>
          <w:szCs w:val="24"/>
        </w:rPr>
        <w:t xml:space="preserve">, savukārt </w:t>
      </w:r>
      <w:r w:rsidR="00B8010D">
        <w:rPr>
          <w:rFonts w:ascii="Times New Roman" w:hAnsi="Times New Roman" w:cs="Times New Roman"/>
          <w:sz w:val="24"/>
          <w:szCs w:val="24"/>
        </w:rPr>
        <w:t xml:space="preserve">atlikušie 18,5% punkti – valsts pensiju speciālā budžeta izdevumu finansēšanai, </w:t>
      </w:r>
      <w:r w:rsidR="00FA5B15">
        <w:rPr>
          <w:rFonts w:ascii="Times New Roman" w:hAnsi="Times New Roman" w:cs="Times New Roman"/>
          <w:sz w:val="24"/>
          <w:szCs w:val="24"/>
        </w:rPr>
        <w:t>no kuriem</w:t>
      </w:r>
      <w:r w:rsidR="00B8010D">
        <w:rPr>
          <w:rFonts w:ascii="Times New Roman" w:hAnsi="Times New Roman" w:cs="Times New Roman"/>
          <w:sz w:val="24"/>
          <w:szCs w:val="24"/>
        </w:rPr>
        <w:t xml:space="preserve"> 14 % punktus nosacīti </w:t>
      </w:r>
      <w:r w:rsidR="00E6622F">
        <w:rPr>
          <w:rFonts w:ascii="Times New Roman" w:hAnsi="Times New Roman" w:cs="Times New Roman"/>
          <w:sz w:val="24"/>
          <w:szCs w:val="24"/>
        </w:rPr>
        <w:t>ieskaitot</w:t>
      </w:r>
      <w:r w:rsidR="00B8010D">
        <w:rPr>
          <w:rFonts w:ascii="Times New Roman" w:hAnsi="Times New Roman" w:cs="Times New Roman"/>
          <w:sz w:val="24"/>
          <w:szCs w:val="24"/>
        </w:rPr>
        <w:t xml:space="preserve"> šķietamā pensiju kapitāla uzkrājumam 1.pensiju līmen</w:t>
      </w:r>
      <w:r w:rsidR="00E6622F">
        <w:rPr>
          <w:rFonts w:ascii="Times New Roman" w:hAnsi="Times New Roman" w:cs="Times New Roman"/>
          <w:sz w:val="24"/>
          <w:szCs w:val="24"/>
        </w:rPr>
        <w:t>ī</w:t>
      </w:r>
      <w:r w:rsidR="00B8010D">
        <w:rPr>
          <w:rFonts w:ascii="Times New Roman" w:hAnsi="Times New Roman" w:cs="Times New Roman"/>
          <w:sz w:val="24"/>
          <w:szCs w:val="24"/>
        </w:rPr>
        <w:t xml:space="preserve">. Tādējādi atlikušie </w:t>
      </w:r>
      <w:r w:rsidRPr="00FC34FF">
        <w:rPr>
          <w:rFonts w:ascii="Times New Roman" w:hAnsi="Times New Roman" w:cs="Times New Roman"/>
          <w:sz w:val="24"/>
          <w:szCs w:val="24"/>
        </w:rPr>
        <w:t>4,5% punkti</w:t>
      </w:r>
      <w:r w:rsidR="00B8010D">
        <w:rPr>
          <w:rFonts w:ascii="Times New Roman" w:hAnsi="Times New Roman" w:cs="Times New Roman"/>
          <w:sz w:val="24"/>
          <w:szCs w:val="24"/>
        </w:rPr>
        <w:t xml:space="preserve">, kas </w:t>
      </w:r>
      <w:r w:rsidR="005D35CF">
        <w:rPr>
          <w:rFonts w:ascii="Times New Roman" w:hAnsi="Times New Roman" w:cs="Times New Roman"/>
          <w:sz w:val="24"/>
          <w:szCs w:val="24"/>
        </w:rPr>
        <w:t>nav attiecināmi uz pensiju kapitāla uzkrājumu,</w:t>
      </w:r>
      <w:r w:rsidR="00B8010D">
        <w:rPr>
          <w:rFonts w:ascii="Times New Roman" w:hAnsi="Times New Roman" w:cs="Times New Roman"/>
          <w:sz w:val="24"/>
          <w:szCs w:val="24"/>
        </w:rPr>
        <w:t xml:space="preserve"> ir tā likmes daļa, kas papildus </w:t>
      </w:r>
      <w:r w:rsidR="005D35CF">
        <w:rPr>
          <w:rFonts w:ascii="Times New Roman" w:hAnsi="Times New Roman" w:cs="Times New Roman"/>
          <w:sz w:val="24"/>
          <w:szCs w:val="24"/>
        </w:rPr>
        <w:t>nepieciešama visu finanšu saistību nodrošināšanai v</w:t>
      </w:r>
      <w:r w:rsidR="00C82AA0">
        <w:rPr>
          <w:rFonts w:ascii="Times New Roman" w:hAnsi="Times New Roman" w:cs="Times New Roman"/>
          <w:sz w:val="24"/>
          <w:szCs w:val="24"/>
        </w:rPr>
        <w:t>alsts pensiju speciālajā budžetā, t.i</w:t>
      </w:r>
      <w:r w:rsidR="005D35CF">
        <w:rPr>
          <w:rFonts w:ascii="Times New Roman" w:hAnsi="Times New Roman" w:cs="Times New Roman"/>
          <w:sz w:val="24"/>
          <w:szCs w:val="24"/>
        </w:rPr>
        <w:t>.</w:t>
      </w:r>
      <w:r w:rsidR="00C82AA0">
        <w:rPr>
          <w:rFonts w:ascii="Times New Roman" w:hAnsi="Times New Roman" w:cs="Times New Roman"/>
          <w:sz w:val="24"/>
          <w:szCs w:val="24"/>
        </w:rPr>
        <w:t>,</w:t>
      </w:r>
      <w:r w:rsidR="005D35CF">
        <w:rPr>
          <w:rFonts w:ascii="Times New Roman" w:hAnsi="Times New Roman" w:cs="Times New Roman"/>
          <w:sz w:val="24"/>
          <w:szCs w:val="24"/>
        </w:rPr>
        <w:t xml:space="preserve"> vecuma pensiju, apgādnieka zaudējuma pensiju, pārdzīvojuša laulātā pabalstu </w:t>
      </w:r>
      <w:r w:rsidR="00C82AA0">
        <w:rPr>
          <w:rFonts w:ascii="Times New Roman" w:hAnsi="Times New Roman" w:cs="Times New Roman"/>
          <w:sz w:val="24"/>
          <w:szCs w:val="24"/>
        </w:rPr>
        <w:t>un citu pensiju apdrošināšanas pakalpojumu</w:t>
      </w:r>
      <w:r w:rsidR="005D35CF">
        <w:rPr>
          <w:rFonts w:ascii="Times New Roman" w:hAnsi="Times New Roman" w:cs="Times New Roman"/>
          <w:sz w:val="24"/>
          <w:szCs w:val="24"/>
        </w:rPr>
        <w:t xml:space="preserve"> finansēšanai. </w:t>
      </w:r>
    </w:p>
    <w:p w:rsidR="00397586" w:rsidRDefault="00267862" w:rsidP="00B80024">
      <w:pPr>
        <w:spacing w:after="0" w:line="240" w:lineRule="auto"/>
        <w:ind w:firstLine="567"/>
        <w:jc w:val="both"/>
        <w:rPr>
          <w:rFonts w:ascii="Times New Roman" w:hAnsi="Times New Roman"/>
          <w:color w:val="000000"/>
          <w:sz w:val="24"/>
          <w:szCs w:val="24"/>
          <w:lang w:eastAsia="lv-LV"/>
        </w:rPr>
      </w:pPr>
      <w:r>
        <w:rPr>
          <w:rFonts w:ascii="Times New Roman" w:hAnsi="Times New Roman"/>
          <w:color w:val="000000"/>
          <w:sz w:val="24"/>
          <w:szCs w:val="24"/>
          <w:lang w:eastAsia="lv-LV"/>
        </w:rPr>
        <w:t>Saskaņā ar iepriekš minēto</w:t>
      </w:r>
      <w:r w:rsidR="009F59EC">
        <w:rPr>
          <w:rFonts w:ascii="Times New Roman" w:hAnsi="Times New Roman"/>
          <w:color w:val="000000"/>
          <w:sz w:val="24"/>
          <w:szCs w:val="24"/>
          <w:lang w:eastAsia="lv-LV"/>
        </w:rPr>
        <w:t xml:space="preserve"> </w:t>
      </w:r>
      <w:r w:rsidR="00E52C03" w:rsidRPr="005C29D4">
        <w:rPr>
          <w:rFonts w:ascii="Times New Roman" w:hAnsi="Times New Roman"/>
          <w:color w:val="000000"/>
          <w:sz w:val="24"/>
          <w:szCs w:val="24"/>
          <w:lang w:eastAsia="lv-LV"/>
        </w:rPr>
        <w:t>Latvijā sociālās apdrošināšanas sistēmas</w:t>
      </w:r>
      <w:r w:rsidR="00E52C03">
        <w:rPr>
          <w:rFonts w:ascii="Times New Roman" w:hAnsi="Times New Roman"/>
          <w:color w:val="000000"/>
          <w:sz w:val="24"/>
          <w:szCs w:val="24"/>
          <w:lang w:eastAsia="lv-LV"/>
        </w:rPr>
        <w:t xml:space="preserve"> </w:t>
      </w:r>
      <w:r w:rsidR="00E52C03" w:rsidRPr="005C29D4">
        <w:rPr>
          <w:rFonts w:ascii="Times New Roman" w:hAnsi="Times New Roman"/>
          <w:color w:val="000000"/>
          <w:sz w:val="24"/>
          <w:szCs w:val="24"/>
          <w:lang w:eastAsia="lv-LV"/>
        </w:rPr>
        <w:t>pamatprincipi iekļauj solidaritātes principu</w:t>
      </w:r>
      <w:r w:rsidR="00E52C03">
        <w:rPr>
          <w:rFonts w:ascii="Times New Roman" w:hAnsi="Times New Roman"/>
          <w:color w:val="000000"/>
          <w:sz w:val="24"/>
          <w:szCs w:val="24"/>
          <w:lang w:eastAsia="lv-LV"/>
        </w:rPr>
        <w:t xml:space="preserve">, </w:t>
      </w:r>
      <w:r w:rsidR="009F59EC">
        <w:rPr>
          <w:rFonts w:ascii="Times New Roman" w:hAnsi="Times New Roman"/>
          <w:color w:val="000000"/>
          <w:sz w:val="24"/>
          <w:szCs w:val="24"/>
          <w:lang w:eastAsia="lv-LV"/>
        </w:rPr>
        <w:t>turklāt šis princips</w:t>
      </w:r>
      <w:r w:rsidR="00E52C03">
        <w:rPr>
          <w:rFonts w:ascii="Times New Roman" w:hAnsi="Times New Roman"/>
          <w:color w:val="000000"/>
          <w:sz w:val="24"/>
          <w:szCs w:val="24"/>
          <w:lang w:eastAsia="lv-LV"/>
        </w:rPr>
        <w:t xml:space="preserve"> </w:t>
      </w:r>
      <w:r w:rsidR="00E52C03" w:rsidRPr="005C29D4">
        <w:rPr>
          <w:rFonts w:ascii="Times New Roman" w:hAnsi="Times New Roman"/>
          <w:color w:val="000000"/>
          <w:sz w:val="24"/>
          <w:szCs w:val="24"/>
          <w:lang w:eastAsia="lv-LV"/>
        </w:rPr>
        <w:t>darbojas gan starp paaudzēm, gan paaudžu ietvaros (t.sk. arī starp pakalpojumu s</w:t>
      </w:r>
      <w:r w:rsidR="001F393A">
        <w:rPr>
          <w:rFonts w:ascii="Times New Roman" w:hAnsi="Times New Roman"/>
          <w:color w:val="000000"/>
          <w:sz w:val="24"/>
          <w:szCs w:val="24"/>
          <w:lang w:eastAsia="lv-LV"/>
        </w:rPr>
        <w:t>aņēmējiem). Paaudžu solidaritāte</w:t>
      </w:r>
      <w:r w:rsidR="00E52C03" w:rsidRPr="005C29D4">
        <w:rPr>
          <w:rFonts w:ascii="Times New Roman" w:hAnsi="Times New Roman"/>
          <w:color w:val="000000"/>
          <w:sz w:val="24"/>
          <w:szCs w:val="24"/>
          <w:lang w:eastAsia="lv-LV"/>
        </w:rPr>
        <w:t xml:space="preserve"> izpaužas tādējādi, ka </w:t>
      </w:r>
      <w:r w:rsidR="00E6622F">
        <w:rPr>
          <w:rFonts w:ascii="Times New Roman" w:hAnsi="Times New Roman"/>
          <w:color w:val="000000"/>
          <w:sz w:val="24"/>
          <w:szCs w:val="24"/>
          <w:lang w:eastAsia="lv-LV"/>
        </w:rPr>
        <w:t>1.</w:t>
      </w:r>
      <w:r w:rsidR="00524160">
        <w:rPr>
          <w:rFonts w:ascii="Times New Roman" w:hAnsi="Times New Roman"/>
          <w:color w:val="000000"/>
          <w:sz w:val="24"/>
          <w:szCs w:val="24"/>
          <w:lang w:eastAsia="lv-LV"/>
        </w:rPr>
        <w:t xml:space="preserve">pensiju </w:t>
      </w:r>
      <w:r w:rsidR="00E6622F">
        <w:rPr>
          <w:rFonts w:ascii="Times New Roman" w:hAnsi="Times New Roman"/>
          <w:color w:val="000000"/>
          <w:sz w:val="24"/>
          <w:szCs w:val="24"/>
          <w:lang w:eastAsia="lv-LV"/>
        </w:rPr>
        <w:t>līmenī</w:t>
      </w:r>
      <w:r w:rsidR="00E52C03" w:rsidRPr="005C29D4">
        <w:rPr>
          <w:rFonts w:ascii="Times New Roman" w:hAnsi="Times New Roman"/>
          <w:color w:val="000000"/>
          <w:sz w:val="24"/>
          <w:szCs w:val="24"/>
          <w:lang w:eastAsia="lv-LV"/>
        </w:rPr>
        <w:t xml:space="preserve"> darbspējīgā vecuma iedzīvotāju veiktās sociālās apdrošināšanas iemaksas vecuma pensijām netiek </w:t>
      </w:r>
      <w:r w:rsidR="00F02BFA">
        <w:rPr>
          <w:rFonts w:ascii="Times New Roman" w:hAnsi="Times New Roman"/>
          <w:color w:val="000000"/>
          <w:sz w:val="24"/>
          <w:szCs w:val="24"/>
          <w:lang w:eastAsia="lv-LV"/>
        </w:rPr>
        <w:t xml:space="preserve">faktiski </w:t>
      </w:r>
      <w:r w:rsidR="00E52C03" w:rsidRPr="005C29D4">
        <w:rPr>
          <w:rFonts w:ascii="Times New Roman" w:hAnsi="Times New Roman"/>
          <w:color w:val="000000"/>
          <w:sz w:val="24"/>
          <w:szCs w:val="24"/>
          <w:lang w:eastAsia="lv-LV"/>
        </w:rPr>
        <w:t>uzkrātas kā ilgtermiņa ieguldījumi, bet izlietotas, lai izmaksātu pensijas esošajai pensionāru paaudzei. Šodienas strādājošajiem</w:t>
      </w:r>
      <w:r w:rsidR="00F02BFA">
        <w:rPr>
          <w:rFonts w:ascii="Times New Roman" w:hAnsi="Times New Roman"/>
          <w:color w:val="000000"/>
          <w:sz w:val="24"/>
          <w:szCs w:val="24"/>
          <w:lang w:eastAsia="lv-LV"/>
        </w:rPr>
        <w:t>,</w:t>
      </w:r>
      <w:r w:rsidR="00E52C03" w:rsidRPr="005C29D4">
        <w:rPr>
          <w:rFonts w:ascii="Times New Roman" w:hAnsi="Times New Roman"/>
          <w:color w:val="000000"/>
          <w:sz w:val="24"/>
          <w:szCs w:val="24"/>
          <w:lang w:eastAsia="lv-LV"/>
        </w:rPr>
        <w:t xml:space="preserve"> nākotnē sasniedzot pensionēšanās vecumu un </w:t>
      </w:r>
      <w:r w:rsidR="00FA5B15">
        <w:rPr>
          <w:rFonts w:ascii="Times New Roman" w:hAnsi="Times New Roman"/>
          <w:color w:val="000000"/>
          <w:sz w:val="24"/>
          <w:szCs w:val="24"/>
          <w:lang w:eastAsia="lv-LV"/>
        </w:rPr>
        <w:t>piepras</w:t>
      </w:r>
      <w:r w:rsidR="00E52C03" w:rsidRPr="005C29D4">
        <w:rPr>
          <w:rFonts w:ascii="Times New Roman" w:hAnsi="Times New Roman"/>
          <w:color w:val="000000"/>
          <w:sz w:val="24"/>
          <w:szCs w:val="24"/>
          <w:lang w:eastAsia="lv-LV"/>
        </w:rPr>
        <w:t>ot pensiju, tā tiks aprēķināta</w:t>
      </w:r>
      <w:r w:rsidR="006F1D75">
        <w:rPr>
          <w:rFonts w:ascii="Times New Roman" w:hAnsi="Times New Roman"/>
          <w:color w:val="000000"/>
          <w:sz w:val="24"/>
          <w:szCs w:val="24"/>
          <w:lang w:eastAsia="lv-LV"/>
        </w:rPr>
        <w:t>,</w:t>
      </w:r>
      <w:r w:rsidR="00E52C03" w:rsidRPr="005C29D4">
        <w:rPr>
          <w:rFonts w:ascii="Times New Roman" w:hAnsi="Times New Roman"/>
          <w:color w:val="000000"/>
          <w:sz w:val="24"/>
          <w:szCs w:val="24"/>
          <w:lang w:eastAsia="lv-LV"/>
        </w:rPr>
        <w:t xml:space="preserve"> ņemot vērā viņu individuālajā kontā reģistrētās sociālās apdrošināšanas iemaksas, bet šo pensiju izmaksa tiks veikta no </w:t>
      </w:r>
      <w:r w:rsidR="00F02BFA">
        <w:rPr>
          <w:rFonts w:ascii="Times New Roman" w:hAnsi="Times New Roman"/>
          <w:color w:val="000000"/>
          <w:sz w:val="24"/>
          <w:szCs w:val="24"/>
          <w:lang w:eastAsia="lv-LV"/>
        </w:rPr>
        <w:t>attiecīgi nākotnes</w:t>
      </w:r>
      <w:r w:rsidR="00E52C03" w:rsidRPr="005C29D4">
        <w:rPr>
          <w:rFonts w:ascii="Times New Roman" w:hAnsi="Times New Roman"/>
          <w:color w:val="000000"/>
          <w:sz w:val="24"/>
          <w:szCs w:val="24"/>
          <w:lang w:eastAsia="lv-LV"/>
        </w:rPr>
        <w:t xml:space="preserve"> strādājošo veiktajām sociālās apdrošināšanas iemaksām.</w:t>
      </w:r>
      <w:r w:rsidR="00E52C03">
        <w:rPr>
          <w:rFonts w:ascii="Times New Roman" w:hAnsi="Times New Roman"/>
          <w:color w:val="000000"/>
          <w:sz w:val="24"/>
          <w:szCs w:val="24"/>
          <w:lang w:eastAsia="lv-LV"/>
        </w:rPr>
        <w:t xml:space="preserve"> </w:t>
      </w:r>
      <w:r w:rsidR="00E52C03" w:rsidRPr="005C29D4">
        <w:rPr>
          <w:rFonts w:ascii="Times New Roman" w:hAnsi="Times New Roman"/>
          <w:color w:val="000000"/>
          <w:sz w:val="24"/>
          <w:szCs w:val="24"/>
          <w:lang w:eastAsia="lv-LV"/>
        </w:rPr>
        <w:t xml:space="preserve">Solidaritātes princips darbojas arī paaudzes ietvaros. Pastāv solidaritāte starp sociālās apdrošināšanas iemaksu veicējiem un </w:t>
      </w:r>
      <w:r w:rsidR="00F02BFA">
        <w:rPr>
          <w:rFonts w:ascii="Times New Roman" w:hAnsi="Times New Roman"/>
          <w:color w:val="000000"/>
          <w:sz w:val="24"/>
          <w:szCs w:val="24"/>
          <w:lang w:eastAsia="lv-LV"/>
        </w:rPr>
        <w:t xml:space="preserve">arī īstermiņa </w:t>
      </w:r>
      <w:r w:rsidR="00E52C03" w:rsidRPr="005C29D4">
        <w:rPr>
          <w:rFonts w:ascii="Times New Roman" w:hAnsi="Times New Roman"/>
          <w:color w:val="000000"/>
          <w:sz w:val="24"/>
          <w:szCs w:val="24"/>
          <w:lang w:eastAsia="lv-LV"/>
        </w:rPr>
        <w:t xml:space="preserve">sociālās apdrošināšanas pakalpojumu saņēmējiem. </w:t>
      </w:r>
      <w:r w:rsidR="00F02BFA">
        <w:rPr>
          <w:rFonts w:ascii="Times New Roman" w:hAnsi="Times New Roman"/>
          <w:color w:val="000000"/>
          <w:sz w:val="24"/>
          <w:szCs w:val="24"/>
          <w:lang w:eastAsia="lv-LV"/>
        </w:rPr>
        <w:t>Strādājoš</w:t>
      </w:r>
      <w:r w:rsidR="00E52C03" w:rsidRPr="005C29D4">
        <w:rPr>
          <w:rFonts w:ascii="Times New Roman" w:hAnsi="Times New Roman"/>
          <w:color w:val="000000"/>
          <w:sz w:val="24"/>
          <w:szCs w:val="24"/>
          <w:lang w:eastAsia="lv-LV"/>
        </w:rPr>
        <w:t xml:space="preserve">o veiktās sociālās apdrošināšanas iemaksas tiek izmantotas pakalpojumu </w:t>
      </w:r>
      <w:r w:rsidR="00EC25F6">
        <w:rPr>
          <w:rFonts w:ascii="Times New Roman" w:hAnsi="Times New Roman"/>
          <w:color w:val="000000"/>
          <w:sz w:val="24"/>
          <w:szCs w:val="24"/>
          <w:lang w:eastAsia="lv-LV"/>
        </w:rPr>
        <w:t>finansē</w:t>
      </w:r>
      <w:r w:rsidR="00E52C03" w:rsidRPr="005C29D4">
        <w:rPr>
          <w:rFonts w:ascii="Times New Roman" w:hAnsi="Times New Roman"/>
          <w:color w:val="000000"/>
          <w:sz w:val="24"/>
          <w:szCs w:val="24"/>
          <w:lang w:eastAsia="lv-LV"/>
        </w:rPr>
        <w:t xml:space="preserve">šanai </w:t>
      </w:r>
      <w:r w:rsidR="00C14421">
        <w:rPr>
          <w:rFonts w:ascii="Times New Roman" w:hAnsi="Times New Roman"/>
          <w:color w:val="000000"/>
          <w:sz w:val="24"/>
          <w:szCs w:val="24"/>
          <w:lang w:eastAsia="lv-LV"/>
        </w:rPr>
        <w:t xml:space="preserve">arī </w:t>
      </w:r>
      <w:r w:rsidR="00E52C03" w:rsidRPr="005C29D4">
        <w:rPr>
          <w:rFonts w:ascii="Times New Roman" w:hAnsi="Times New Roman"/>
          <w:color w:val="000000"/>
          <w:sz w:val="24"/>
          <w:szCs w:val="24"/>
          <w:lang w:eastAsia="lv-LV"/>
        </w:rPr>
        <w:t>personām, kuras objektīvu iemeslu dēļ (slimība, bezdarbs, invaliditāte u.c.) nespēj gūt ienākumus vai to spēja gūt ienākumus ir ierobežota.</w:t>
      </w:r>
      <w:r w:rsidR="00E52C03">
        <w:rPr>
          <w:rFonts w:ascii="Times New Roman" w:hAnsi="Times New Roman"/>
          <w:color w:val="000000"/>
          <w:sz w:val="24"/>
          <w:szCs w:val="24"/>
          <w:lang w:eastAsia="lv-LV"/>
        </w:rPr>
        <w:t xml:space="preserve"> </w:t>
      </w:r>
    </w:p>
    <w:p w:rsidR="00214F47" w:rsidRDefault="001614FD" w:rsidP="00B80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Viens no veidiem</w:t>
      </w:r>
      <w:r w:rsidR="00B511BE">
        <w:rPr>
          <w:rFonts w:ascii="Times New Roman" w:hAnsi="Times New Roman" w:cs="Times New Roman"/>
          <w:sz w:val="24"/>
          <w:szCs w:val="24"/>
        </w:rPr>
        <w:t>,</w:t>
      </w:r>
      <w:r w:rsidR="00E52C03">
        <w:rPr>
          <w:rFonts w:ascii="Times New Roman" w:hAnsi="Times New Roman" w:cs="Times New Roman"/>
          <w:sz w:val="24"/>
          <w:szCs w:val="24"/>
        </w:rPr>
        <w:t xml:space="preserve"> kā motivēt veikt sociālās apdrošināšanas iemaksas no visiem darbā gūtajiem ienākumiem un vienlaikus atbilstoši materiāli uzlabot senioru dzīves kvalitāti, ir pastiprināt tiešu bērnu-</w:t>
      </w:r>
      <w:r w:rsidR="00B511BE">
        <w:rPr>
          <w:rFonts w:ascii="Times New Roman" w:hAnsi="Times New Roman" w:cs="Times New Roman"/>
          <w:sz w:val="24"/>
          <w:szCs w:val="24"/>
        </w:rPr>
        <w:t>iemaksu veicē</w:t>
      </w:r>
      <w:r w:rsidR="00E52C03">
        <w:rPr>
          <w:rFonts w:ascii="Times New Roman" w:hAnsi="Times New Roman" w:cs="Times New Roman"/>
          <w:sz w:val="24"/>
          <w:szCs w:val="24"/>
        </w:rPr>
        <w:t xml:space="preserve">ju līdzdalību </w:t>
      </w:r>
      <w:r w:rsidR="001F07EB">
        <w:rPr>
          <w:rFonts w:ascii="Times New Roman" w:hAnsi="Times New Roman" w:cs="Times New Roman"/>
          <w:sz w:val="24"/>
          <w:szCs w:val="24"/>
        </w:rPr>
        <w:t xml:space="preserve">savu </w:t>
      </w:r>
      <w:r w:rsidR="00E52C03">
        <w:rPr>
          <w:rFonts w:ascii="Times New Roman" w:hAnsi="Times New Roman" w:cs="Times New Roman"/>
          <w:sz w:val="24"/>
          <w:szCs w:val="24"/>
        </w:rPr>
        <w:t>vecāku-pensionāru ienākumu nodrošināšanā</w:t>
      </w:r>
      <w:r w:rsidR="00397586">
        <w:rPr>
          <w:rFonts w:ascii="Times New Roman" w:hAnsi="Times New Roman" w:cs="Times New Roman"/>
          <w:sz w:val="24"/>
          <w:szCs w:val="24"/>
        </w:rPr>
        <w:t xml:space="preserve">, veidojot nepastarpinātu solidaritāti starp bērniem un </w:t>
      </w:r>
      <w:r w:rsidR="002A3571">
        <w:rPr>
          <w:rFonts w:ascii="Times New Roman" w:hAnsi="Times New Roman" w:cs="Times New Roman"/>
          <w:sz w:val="24"/>
          <w:szCs w:val="24"/>
        </w:rPr>
        <w:t xml:space="preserve">viņu </w:t>
      </w:r>
      <w:r w:rsidR="00397586">
        <w:rPr>
          <w:rFonts w:ascii="Times New Roman" w:hAnsi="Times New Roman" w:cs="Times New Roman"/>
          <w:sz w:val="24"/>
          <w:szCs w:val="24"/>
        </w:rPr>
        <w:t>vecākiem</w:t>
      </w:r>
      <w:r w:rsidR="00E52C03">
        <w:rPr>
          <w:rFonts w:ascii="Times New Roman" w:hAnsi="Times New Roman" w:cs="Times New Roman"/>
          <w:sz w:val="24"/>
          <w:szCs w:val="24"/>
        </w:rPr>
        <w:t>.</w:t>
      </w:r>
      <w:r w:rsidR="00397586">
        <w:rPr>
          <w:rFonts w:ascii="Times New Roman" w:hAnsi="Times New Roman" w:cs="Times New Roman"/>
          <w:sz w:val="24"/>
          <w:szCs w:val="24"/>
        </w:rPr>
        <w:t xml:space="preserve"> </w:t>
      </w:r>
      <w:r w:rsidR="00214F47" w:rsidRPr="000B57CC">
        <w:rPr>
          <w:rFonts w:ascii="Times New Roman" w:hAnsi="Times New Roman" w:cs="Times New Roman"/>
          <w:sz w:val="24"/>
          <w:szCs w:val="24"/>
        </w:rPr>
        <w:t xml:space="preserve">Saskaņā ar Centrālās statistikas pārvaldes </w:t>
      </w:r>
      <w:r w:rsidR="00214F47">
        <w:rPr>
          <w:rFonts w:ascii="Times New Roman" w:hAnsi="Times New Roman" w:cs="Times New Roman"/>
          <w:sz w:val="24"/>
          <w:szCs w:val="24"/>
        </w:rPr>
        <w:t>Ienākumu un dzīves apstākļu 2016</w:t>
      </w:r>
      <w:r w:rsidR="00214F47" w:rsidRPr="000B57CC">
        <w:rPr>
          <w:rFonts w:ascii="Times New Roman" w:hAnsi="Times New Roman" w:cs="Times New Roman"/>
          <w:sz w:val="24"/>
          <w:szCs w:val="24"/>
        </w:rPr>
        <w:t>. gadā veiktā apsekojuma datiem</w:t>
      </w:r>
      <w:r w:rsidR="00214F47">
        <w:rPr>
          <w:rFonts w:ascii="Times New Roman" w:hAnsi="Times New Roman" w:cs="Times New Roman"/>
          <w:sz w:val="24"/>
          <w:szCs w:val="24"/>
        </w:rPr>
        <w:t xml:space="preserve"> v</w:t>
      </w:r>
      <w:r w:rsidR="00214F47" w:rsidRPr="000B57CC">
        <w:rPr>
          <w:rFonts w:ascii="Times New Roman" w:hAnsi="Times New Roman" w:cs="Times New Roman"/>
          <w:sz w:val="24"/>
          <w:szCs w:val="24"/>
        </w:rPr>
        <w:t>isaugstākais nabadzības risks ir senioriem vecumā virs 65 gadiem – nabadzības riskam pakļauti 3</w:t>
      </w:r>
      <w:r w:rsidR="00214F47">
        <w:rPr>
          <w:rFonts w:ascii="Times New Roman" w:hAnsi="Times New Roman" w:cs="Times New Roman"/>
          <w:sz w:val="24"/>
          <w:szCs w:val="24"/>
        </w:rPr>
        <w:t>9</w:t>
      </w:r>
      <w:r w:rsidR="00214F47" w:rsidRPr="000B57CC">
        <w:rPr>
          <w:rFonts w:ascii="Times New Roman" w:hAnsi="Times New Roman" w:cs="Times New Roman"/>
          <w:sz w:val="24"/>
          <w:szCs w:val="24"/>
        </w:rPr>
        <w:t>,</w:t>
      </w:r>
      <w:r w:rsidR="00214F47">
        <w:rPr>
          <w:rFonts w:ascii="Times New Roman" w:hAnsi="Times New Roman" w:cs="Times New Roman"/>
          <w:sz w:val="24"/>
          <w:szCs w:val="24"/>
        </w:rPr>
        <w:t>9</w:t>
      </w:r>
      <w:r w:rsidR="00214F47" w:rsidRPr="000B57CC">
        <w:rPr>
          <w:rFonts w:ascii="Times New Roman" w:hAnsi="Times New Roman" w:cs="Times New Roman"/>
          <w:sz w:val="24"/>
          <w:szCs w:val="24"/>
        </w:rPr>
        <w:t>%. Savukārt, ja seniors dzīvo viens, tad nabadzības risks pieaug</w:t>
      </w:r>
      <w:r w:rsidR="00214F47">
        <w:rPr>
          <w:rFonts w:ascii="Times New Roman" w:hAnsi="Times New Roman" w:cs="Times New Roman"/>
          <w:sz w:val="24"/>
          <w:szCs w:val="24"/>
        </w:rPr>
        <w:t>.</w:t>
      </w:r>
      <w:r w:rsidR="00214F47" w:rsidRPr="000B57CC">
        <w:rPr>
          <w:rFonts w:ascii="Times New Roman" w:hAnsi="Times New Roman" w:cs="Times New Roman"/>
          <w:sz w:val="24"/>
          <w:szCs w:val="24"/>
        </w:rPr>
        <w:t xml:space="preserve"> </w:t>
      </w:r>
      <w:r w:rsidR="00214F47">
        <w:rPr>
          <w:rFonts w:ascii="Times New Roman" w:hAnsi="Times New Roman" w:cs="Times New Roman"/>
          <w:sz w:val="24"/>
          <w:szCs w:val="24"/>
        </w:rPr>
        <w:t>D</w:t>
      </w:r>
      <w:r w:rsidR="00214F47" w:rsidRPr="000B57CC">
        <w:rPr>
          <w:rFonts w:ascii="Times New Roman" w:hAnsi="Times New Roman" w:cs="Times New Roman"/>
          <w:sz w:val="24"/>
          <w:szCs w:val="24"/>
        </w:rPr>
        <w:t>ati liecina, ka nabadzības riskam tiek pakļauti 7</w:t>
      </w:r>
      <w:r w:rsidR="00214F47">
        <w:rPr>
          <w:rFonts w:ascii="Times New Roman" w:hAnsi="Times New Roman" w:cs="Times New Roman"/>
          <w:sz w:val="24"/>
          <w:szCs w:val="24"/>
        </w:rPr>
        <w:t>2,8</w:t>
      </w:r>
      <w:r w:rsidR="00214F47" w:rsidRPr="000B57CC">
        <w:rPr>
          <w:rFonts w:ascii="Times New Roman" w:hAnsi="Times New Roman" w:cs="Times New Roman"/>
          <w:sz w:val="24"/>
          <w:szCs w:val="24"/>
        </w:rPr>
        <w:t>% mājsaimniecību, ko veido atsevišķi dzīvojuši seniori vecumā virs 65 gadiem.</w:t>
      </w:r>
      <w:r w:rsidR="00B2604F">
        <w:rPr>
          <w:rFonts w:ascii="Times New Roman" w:hAnsi="Times New Roman" w:cs="Times New Roman"/>
          <w:sz w:val="24"/>
          <w:szCs w:val="24"/>
        </w:rPr>
        <w:t xml:space="preserve"> </w:t>
      </w:r>
    </w:p>
    <w:p w:rsidR="00214F47" w:rsidRPr="00214F47" w:rsidRDefault="00267862" w:rsidP="00B80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Kopumā </w:t>
      </w:r>
      <w:r w:rsidR="00214F47" w:rsidRPr="00214F47">
        <w:rPr>
          <w:rFonts w:ascii="Times New Roman" w:hAnsi="Times New Roman" w:cs="Times New Roman"/>
          <w:sz w:val="24"/>
          <w:szCs w:val="24"/>
        </w:rPr>
        <w:t>2017.gadā bija 452,8 tūkst. vecuma pensijas saņēmēju</w:t>
      </w:r>
      <w:r w:rsidRPr="00214F47">
        <w:rPr>
          <w:rFonts w:ascii="Times New Roman" w:hAnsi="Times New Roman" w:cs="Times New Roman"/>
          <w:sz w:val="24"/>
          <w:szCs w:val="24"/>
          <w:vertAlign w:val="superscript"/>
        </w:rPr>
        <w:footnoteReference w:id="4"/>
      </w:r>
      <w:r w:rsidR="00214F47" w:rsidRPr="00214F47">
        <w:rPr>
          <w:rFonts w:ascii="Times New Roman" w:hAnsi="Times New Roman" w:cs="Times New Roman"/>
          <w:sz w:val="24"/>
          <w:szCs w:val="24"/>
        </w:rPr>
        <w:t>. Vidējais vecuma pensijas apmērs (kopā ar piemaksu pa</w:t>
      </w:r>
      <w:r w:rsidR="001E1376">
        <w:rPr>
          <w:rFonts w:ascii="Times New Roman" w:hAnsi="Times New Roman" w:cs="Times New Roman"/>
          <w:sz w:val="24"/>
          <w:szCs w:val="24"/>
        </w:rPr>
        <w:t>r apdrošināšanas stāžu līdz 1995</w:t>
      </w:r>
      <w:r w:rsidR="00214F47" w:rsidRPr="00214F47">
        <w:rPr>
          <w:rFonts w:ascii="Times New Roman" w:hAnsi="Times New Roman" w:cs="Times New Roman"/>
          <w:sz w:val="24"/>
          <w:szCs w:val="24"/>
        </w:rPr>
        <w:t>.gada</w:t>
      </w:r>
      <w:r w:rsidR="001E1376">
        <w:rPr>
          <w:rFonts w:ascii="Times New Roman" w:hAnsi="Times New Roman" w:cs="Times New Roman"/>
          <w:sz w:val="24"/>
          <w:szCs w:val="24"/>
        </w:rPr>
        <w:t xml:space="preserve"> 31.decembrim</w:t>
      </w:r>
      <w:r w:rsidR="00214F47" w:rsidRPr="00214F47">
        <w:rPr>
          <w:rFonts w:ascii="Times New Roman" w:hAnsi="Times New Roman" w:cs="Times New Roman"/>
          <w:sz w:val="24"/>
          <w:szCs w:val="24"/>
        </w:rPr>
        <w:t xml:space="preserve">) vidēji mēnesī bija 312,31 </w:t>
      </w:r>
      <w:r w:rsidR="00706D08">
        <w:rPr>
          <w:rFonts w:ascii="Times New Roman" w:hAnsi="Times New Roman" w:cs="Times New Roman"/>
          <w:sz w:val="24"/>
          <w:szCs w:val="24"/>
        </w:rPr>
        <w:t>euro</w:t>
      </w:r>
      <w:r w:rsidR="00214F47" w:rsidRPr="00214F47">
        <w:rPr>
          <w:rFonts w:ascii="Times New Roman" w:hAnsi="Times New Roman" w:cs="Times New Roman"/>
          <w:sz w:val="24"/>
          <w:szCs w:val="24"/>
        </w:rPr>
        <w:t xml:space="preserve">. Vidējais vecuma pensijas apmērs (kopā ar piemaksu) vīriešiem bija 337,40 </w:t>
      </w:r>
      <w:r w:rsidR="00706D08">
        <w:rPr>
          <w:rFonts w:ascii="Times New Roman" w:hAnsi="Times New Roman" w:cs="Times New Roman"/>
          <w:sz w:val="24"/>
          <w:szCs w:val="24"/>
        </w:rPr>
        <w:t>euro</w:t>
      </w:r>
      <w:r w:rsidR="00214F47" w:rsidRPr="00214F47">
        <w:rPr>
          <w:rFonts w:ascii="Times New Roman" w:hAnsi="Times New Roman" w:cs="Times New Roman"/>
          <w:sz w:val="24"/>
          <w:szCs w:val="24"/>
        </w:rPr>
        <w:t xml:space="preserve">, bet sievietēm – 293,80 </w:t>
      </w:r>
      <w:r w:rsidR="00706D08">
        <w:rPr>
          <w:rFonts w:ascii="Times New Roman" w:hAnsi="Times New Roman" w:cs="Times New Roman"/>
          <w:sz w:val="24"/>
          <w:szCs w:val="24"/>
        </w:rPr>
        <w:t>euro</w:t>
      </w:r>
      <w:r w:rsidR="00214F47" w:rsidRPr="00214F47">
        <w:rPr>
          <w:rFonts w:ascii="Times New Roman" w:hAnsi="Times New Roman" w:cs="Times New Roman"/>
          <w:sz w:val="24"/>
          <w:szCs w:val="24"/>
        </w:rPr>
        <w:t xml:space="preserve"> </w:t>
      </w:r>
      <w:r w:rsidR="00F85FCC">
        <w:rPr>
          <w:rFonts w:ascii="Times New Roman" w:hAnsi="Times New Roman" w:cs="Times New Roman"/>
          <w:sz w:val="24"/>
          <w:szCs w:val="24"/>
        </w:rPr>
        <w:t xml:space="preserve">mēnesī </w:t>
      </w:r>
      <w:r w:rsidR="00214F47" w:rsidRPr="00214F47">
        <w:rPr>
          <w:rFonts w:ascii="Times New Roman" w:hAnsi="Times New Roman" w:cs="Times New Roman"/>
          <w:sz w:val="24"/>
          <w:szCs w:val="24"/>
        </w:rPr>
        <w:t xml:space="preserve">jeb 87% no vidējā vecuma pensijas apmēra vīriešiem. Piemaksu par </w:t>
      </w:r>
      <w:r w:rsidR="000F5722">
        <w:rPr>
          <w:rFonts w:ascii="Times New Roman" w:hAnsi="Times New Roman" w:cs="Times New Roman"/>
          <w:sz w:val="24"/>
          <w:szCs w:val="24"/>
        </w:rPr>
        <w:t>apdrošināšanas</w:t>
      </w:r>
      <w:r w:rsidR="00214F47" w:rsidRPr="00214F47">
        <w:rPr>
          <w:rFonts w:ascii="Times New Roman" w:hAnsi="Times New Roman" w:cs="Times New Roman"/>
          <w:sz w:val="24"/>
          <w:szCs w:val="24"/>
        </w:rPr>
        <w:t xml:space="preserve"> stāžu līdz 1995.gada 31.decembrim pie vecuma pensijas saņēma 83% no visiem vecuma pensionāriem un tās vidējais apmērs bija 31,75 </w:t>
      </w:r>
      <w:r w:rsidR="00706D08">
        <w:rPr>
          <w:rFonts w:ascii="Times New Roman" w:hAnsi="Times New Roman" w:cs="Times New Roman"/>
          <w:sz w:val="24"/>
          <w:szCs w:val="24"/>
        </w:rPr>
        <w:t>euro</w:t>
      </w:r>
      <w:r w:rsidR="00214F47" w:rsidRPr="00214F47">
        <w:rPr>
          <w:rFonts w:ascii="Times New Roman" w:hAnsi="Times New Roman" w:cs="Times New Roman"/>
          <w:sz w:val="24"/>
          <w:szCs w:val="24"/>
        </w:rPr>
        <w:t xml:space="preserve"> mēnesī. </w:t>
      </w:r>
      <w:r w:rsidR="00087738">
        <w:rPr>
          <w:rFonts w:ascii="Times New Roman" w:hAnsi="Times New Roman" w:cs="Times New Roman"/>
          <w:sz w:val="24"/>
          <w:szCs w:val="24"/>
        </w:rPr>
        <w:t xml:space="preserve">Attiecīgi </w:t>
      </w:r>
      <w:r w:rsidR="00214F47" w:rsidRPr="00214F47">
        <w:rPr>
          <w:rFonts w:ascii="Times New Roman" w:hAnsi="Times New Roman" w:cs="Times New Roman"/>
          <w:sz w:val="24"/>
          <w:szCs w:val="24"/>
        </w:rPr>
        <w:t xml:space="preserve">2017.gadā vidējais pensijas apmērs jaunpiešķirtajām vecuma pensijām bija 335,46 </w:t>
      </w:r>
      <w:r w:rsidR="00706D08">
        <w:rPr>
          <w:rFonts w:ascii="Times New Roman" w:hAnsi="Times New Roman" w:cs="Times New Roman"/>
          <w:sz w:val="24"/>
          <w:szCs w:val="24"/>
        </w:rPr>
        <w:t>euro</w:t>
      </w:r>
      <w:r w:rsidR="009E7388">
        <w:rPr>
          <w:rFonts w:ascii="Times New Roman" w:hAnsi="Times New Roman" w:cs="Times New Roman"/>
          <w:sz w:val="24"/>
          <w:szCs w:val="24"/>
        </w:rPr>
        <w:t xml:space="preserve"> mēnesī</w:t>
      </w:r>
      <w:r w:rsidR="00087738">
        <w:rPr>
          <w:rFonts w:ascii="Times New Roman" w:hAnsi="Times New Roman" w:cs="Times New Roman"/>
          <w:sz w:val="24"/>
          <w:szCs w:val="24"/>
        </w:rPr>
        <w:t>, bet</w:t>
      </w:r>
      <w:r w:rsidR="00214F47" w:rsidRPr="00214F47">
        <w:rPr>
          <w:rFonts w:ascii="Times New Roman" w:hAnsi="Times New Roman" w:cs="Times New Roman"/>
          <w:sz w:val="24"/>
          <w:szCs w:val="24"/>
        </w:rPr>
        <w:t xml:space="preserve"> no jaunpiešķirtajām vecuma pensijām 15% bija piešķirtas priekšlaicīgi (faktiskais </w:t>
      </w:r>
      <w:r w:rsidR="00214F47" w:rsidRPr="00214F47">
        <w:rPr>
          <w:rFonts w:ascii="Times New Roman" w:hAnsi="Times New Roman" w:cs="Times New Roman"/>
          <w:sz w:val="24"/>
          <w:szCs w:val="24"/>
        </w:rPr>
        <w:lastRenderedPageBreak/>
        <w:t>pensionēšanās vecums vīriešiem bija 61,23 gadi (stāžs – 37 gadi), sievietēm – 61,21 gadi (stāžs - 38 gadi))</w:t>
      </w:r>
      <w:r w:rsidR="00214F47" w:rsidRPr="00214F47">
        <w:rPr>
          <w:rFonts w:ascii="Times New Roman" w:hAnsi="Times New Roman" w:cs="Times New Roman"/>
          <w:sz w:val="24"/>
          <w:szCs w:val="24"/>
          <w:vertAlign w:val="superscript"/>
        </w:rPr>
        <w:footnoteReference w:id="5"/>
      </w:r>
      <w:r w:rsidR="00214F47" w:rsidRPr="00214F47">
        <w:rPr>
          <w:rFonts w:ascii="Times New Roman" w:hAnsi="Times New Roman" w:cs="Times New Roman"/>
          <w:sz w:val="24"/>
          <w:szCs w:val="24"/>
        </w:rPr>
        <w:t xml:space="preserve">. </w:t>
      </w:r>
    </w:p>
    <w:p w:rsidR="00EF1754" w:rsidRDefault="00EF1754" w:rsidP="00B80024">
      <w:pPr>
        <w:spacing w:after="0" w:line="240" w:lineRule="auto"/>
        <w:ind w:firstLine="567"/>
        <w:jc w:val="both"/>
        <w:rPr>
          <w:rFonts w:ascii="Times New Roman" w:hAnsi="Times New Roman" w:cs="Times New Roman"/>
          <w:sz w:val="24"/>
          <w:szCs w:val="24"/>
        </w:rPr>
      </w:pPr>
      <w:r w:rsidRPr="00FC34FF">
        <w:rPr>
          <w:rFonts w:ascii="Times New Roman" w:hAnsi="Times New Roman" w:cs="Times New Roman"/>
          <w:sz w:val="24"/>
          <w:szCs w:val="24"/>
        </w:rPr>
        <w:t xml:space="preserve">Latvijā, </w:t>
      </w:r>
      <w:r w:rsidR="005F3A50">
        <w:rPr>
          <w:rFonts w:ascii="Times New Roman" w:hAnsi="Times New Roman" w:cs="Times New Roman"/>
          <w:sz w:val="24"/>
          <w:szCs w:val="24"/>
        </w:rPr>
        <w:t xml:space="preserve">līdzīgi </w:t>
      </w:r>
      <w:r w:rsidRPr="00FC34FF">
        <w:rPr>
          <w:rFonts w:ascii="Times New Roman" w:hAnsi="Times New Roman" w:cs="Times New Roman"/>
          <w:sz w:val="24"/>
          <w:szCs w:val="24"/>
        </w:rPr>
        <w:t xml:space="preserve">kā citās Eiropas Savienības </w:t>
      </w:r>
      <w:r w:rsidR="00860BF3">
        <w:rPr>
          <w:rFonts w:ascii="Times New Roman" w:hAnsi="Times New Roman" w:cs="Times New Roman"/>
          <w:sz w:val="24"/>
          <w:szCs w:val="24"/>
        </w:rPr>
        <w:t>dalīb</w:t>
      </w:r>
      <w:r w:rsidRPr="00FC34FF">
        <w:rPr>
          <w:rFonts w:ascii="Times New Roman" w:hAnsi="Times New Roman" w:cs="Times New Roman"/>
          <w:sz w:val="24"/>
          <w:szCs w:val="24"/>
        </w:rPr>
        <w:t>valstīs, ir vērojama sabiedrības pakāpeniska novecošanās, kā rezultātā palielinās iedzīvotāju virs darbspējas vecuma skaits, samazinās dzimstība un darbspējīgo iedzīvotāju skaits.</w:t>
      </w:r>
      <w:r>
        <w:rPr>
          <w:rFonts w:ascii="Times New Roman" w:hAnsi="Times New Roman" w:cs="Times New Roman"/>
          <w:sz w:val="24"/>
          <w:szCs w:val="24"/>
        </w:rPr>
        <w:t xml:space="preserve"> </w:t>
      </w:r>
      <w:r w:rsidR="00D73654">
        <w:rPr>
          <w:rFonts w:ascii="Times New Roman" w:hAnsi="Times New Roman" w:cs="Times New Roman"/>
          <w:sz w:val="24"/>
          <w:szCs w:val="24"/>
        </w:rPr>
        <w:t>Kopš 1993.</w:t>
      </w:r>
      <w:r w:rsidRPr="005E46F5">
        <w:rPr>
          <w:rFonts w:ascii="Times New Roman" w:hAnsi="Times New Roman" w:cs="Times New Roman"/>
          <w:sz w:val="24"/>
          <w:szCs w:val="24"/>
        </w:rPr>
        <w:t>gada pensijas vecuma iedzīvotāju īpatsvars ir lielāks par bērnu un pusaudžu īpatsvaru, kas nozīmē, ka nākotnē būs mazāks iedzīvotāju skaits darbspējas vecumā un demogrāfiskās slodzes līmenis pieaugs,</w:t>
      </w:r>
      <w:r w:rsidR="00964532">
        <w:rPr>
          <w:rStyle w:val="FootnoteReference"/>
          <w:rFonts w:ascii="Times New Roman" w:hAnsi="Times New Roman" w:cs="Times New Roman"/>
          <w:sz w:val="24"/>
          <w:szCs w:val="24"/>
        </w:rPr>
        <w:footnoteReference w:id="6"/>
      </w:r>
      <w:r w:rsidRPr="005E46F5">
        <w:rPr>
          <w:rFonts w:ascii="Times New Roman" w:hAnsi="Times New Roman" w:cs="Times New Roman"/>
          <w:sz w:val="24"/>
          <w:szCs w:val="24"/>
        </w:rPr>
        <w:t xml:space="preserve"> t.i.</w:t>
      </w:r>
      <w:r>
        <w:rPr>
          <w:rFonts w:ascii="Times New Roman" w:hAnsi="Times New Roman" w:cs="Times New Roman"/>
          <w:sz w:val="24"/>
          <w:szCs w:val="24"/>
        </w:rPr>
        <w:t>,</w:t>
      </w:r>
      <w:r w:rsidRPr="005E46F5">
        <w:rPr>
          <w:rFonts w:ascii="Times New Roman" w:hAnsi="Times New Roman" w:cs="Times New Roman"/>
          <w:sz w:val="24"/>
          <w:szCs w:val="24"/>
        </w:rPr>
        <w:t xml:space="preserve"> iedzīvotājiem darbspējas vecumā būs jāuztur arvien lielāka sabiedrības daļa. Iedzīvotāju novecošanās tendencēm turpinoties, paredzamas lielākas sociāl</w:t>
      </w:r>
      <w:r w:rsidR="00987297">
        <w:rPr>
          <w:rFonts w:ascii="Times New Roman" w:hAnsi="Times New Roman" w:cs="Times New Roman"/>
          <w:sz w:val="24"/>
          <w:szCs w:val="24"/>
        </w:rPr>
        <w:t>o</w:t>
      </w:r>
      <w:r w:rsidRPr="005E46F5">
        <w:rPr>
          <w:rFonts w:ascii="Times New Roman" w:hAnsi="Times New Roman" w:cs="Times New Roman"/>
          <w:sz w:val="24"/>
          <w:szCs w:val="24"/>
        </w:rPr>
        <w:t xml:space="preserve"> izdevumu vajadzības, kuras jāfinansē arvien mazākam darba ņēmēju skaitam. Līdz ar to ilgāka darba mūža atbalstīšanai ir izšķiroša nozīme, ņemot vērā Latvijas demogrāfiskās problēmas un augstos demogrāfiskās slodzes rādītājus (sagaidāms, ka iedzīvotāju vecumā virs 65 gadiem skaita proporcija no darbspējas vecuma iedzīvotājiem (20-64 gadi) Latvijā pieaugs no 32% 2015.gadā līdz 58% 2055.gadā).</w:t>
      </w:r>
      <w:r w:rsidR="00E30A72">
        <w:rPr>
          <w:rStyle w:val="FootnoteReference"/>
          <w:rFonts w:ascii="Times New Roman" w:hAnsi="Times New Roman" w:cs="Times New Roman"/>
          <w:sz w:val="24"/>
          <w:szCs w:val="24"/>
        </w:rPr>
        <w:footnoteReference w:id="7"/>
      </w:r>
      <w:r>
        <w:rPr>
          <w:noProof/>
          <w:sz w:val="28"/>
          <w:szCs w:val="28"/>
        </w:rPr>
        <w:t xml:space="preserve"> </w:t>
      </w:r>
      <w:r w:rsidRPr="00FC34FF">
        <w:rPr>
          <w:rFonts w:ascii="Times New Roman" w:hAnsi="Times New Roman" w:cs="Times New Roman"/>
          <w:sz w:val="24"/>
          <w:szCs w:val="24"/>
        </w:rPr>
        <w:t>Lai risinātu minētos demogrāfiskos izaicinājumus, nepieciešama kompleksa pieeja, kas paralēli jauno vecāku atbalstam</w:t>
      </w:r>
      <w:r>
        <w:rPr>
          <w:rFonts w:ascii="Times New Roman" w:hAnsi="Times New Roman" w:cs="Times New Roman"/>
          <w:sz w:val="24"/>
          <w:szCs w:val="24"/>
        </w:rPr>
        <w:t>, aktīvai un iekļaujošai politikai un ilgākai atrašanās darba tirgū,</w:t>
      </w:r>
      <w:r w:rsidRPr="00FC34FF">
        <w:rPr>
          <w:rFonts w:ascii="Times New Roman" w:hAnsi="Times New Roman" w:cs="Times New Roman"/>
          <w:sz w:val="24"/>
          <w:szCs w:val="24"/>
        </w:rPr>
        <w:t xml:space="preserve"> jau šobrīd dotu papildus novērtējumu un atbalstu personām, kas daļu sava darba mūža veltījuš</w:t>
      </w:r>
      <w:r w:rsidR="00E30A72">
        <w:rPr>
          <w:rFonts w:ascii="Times New Roman" w:hAnsi="Times New Roman" w:cs="Times New Roman"/>
          <w:sz w:val="24"/>
          <w:szCs w:val="24"/>
        </w:rPr>
        <w:t>as</w:t>
      </w:r>
      <w:r w:rsidRPr="00FC34FF">
        <w:rPr>
          <w:rFonts w:ascii="Times New Roman" w:hAnsi="Times New Roman" w:cs="Times New Roman"/>
          <w:sz w:val="24"/>
          <w:szCs w:val="24"/>
        </w:rPr>
        <w:t xml:space="preserve"> šā brīža </w:t>
      </w:r>
      <w:r w:rsidR="00146C2B">
        <w:rPr>
          <w:rFonts w:ascii="Times New Roman" w:hAnsi="Times New Roman" w:cs="Times New Roman"/>
          <w:sz w:val="24"/>
          <w:szCs w:val="24"/>
        </w:rPr>
        <w:t>sociālo apdrošināšanas iemaksu</w:t>
      </w:r>
      <w:r w:rsidRPr="00FC34FF">
        <w:rPr>
          <w:rFonts w:ascii="Times New Roman" w:hAnsi="Times New Roman" w:cs="Times New Roman"/>
          <w:sz w:val="24"/>
          <w:szCs w:val="24"/>
        </w:rPr>
        <w:t xml:space="preserve"> audzināšanai. </w:t>
      </w:r>
    </w:p>
    <w:p w:rsidR="00D2671D" w:rsidRDefault="00F91F8C" w:rsidP="00F91F8C">
      <w:pPr>
        <w:spacing w:after="0" w:line="240" w:lineRule="auto"/>
        <w:ind w:firstLine="567"/>
        <w:jc w:val="both"/>
        <w:rPr>
          <w:rFonts w:ascii="Times New Roman" w:hAnsi="Times New Roman" w:cs="Times New Roman"/>
          <w:sz w:val="24"/>
          <w:szCs w:val="24"/>
        </w:rPr>
      </w:pPr>
      <w:r w:rsidRPr="00F91F8C">
        <w:rPr>
          <w:rFonts w:ascii="Times New Roman" w:hAnsi="Times New Roman" w:cs="Times New Roman"/>
          <w:sz w:val="24"/>
          <w:szCs w:val="24"/>
        </w:rPr>
        <w:t>Sociālās apdrošināšanas sistēmas noslodze</w:t>
      </w:r>
      <w:r w:rsidR="007C4F4D">
        <w:rPr>
          <w:rFonts w:ascii="Times New Roman" w:hAnsi="Times New Roman" w:cs="Times New Roman"/>
          <w:sz w:val="24"/>
          <w:szCs w:val="24"/>
        </w:rPr>
        <w:t xml:space="preserve"> (skatīt </w:t>
      </w:r>
      <w:r w:rsidR="00964532">
        <w:rPr>
          <w:rFonts w:ascii="Times New Roman" w:hAnsi="Times New Roman" w:cs="Times New Roman"/>
          <w:sz w:val="24"/>
          <w:szCs w:val="24"/>
        </w:rPr>
        <w:t>1.</w:t>
      </w:r>
      <w:r w:rsidR="00507C3A">
        <w:rPr>
          <w:rFonts w:ascii="Times New Roman" w:hAnsi="Times New Roman" w:cs="Times New Roman"/>
          <w:sz w:val="24"/>
          <w:szCs w:val="24"/>
        </w:rPr>
        <w:t>attēlu</w:t>
      </w:r>
      <w:r w:rsidR="007C4F4D">
        <w:rPr>
          <w:rFonts w:ascii="Times New Roman" w:hAnsi="Times New Roman" w:cs="Times New Roman"/>
          <w:sz w:val="24"/>
          <w:szCs w:val="24"/>
        </w:rPr>
        <w:t>)</w:t>
      </w:r>
      <w:r w:rsidRPr="00F91F8C">
        <w:rPr>
          <w:rFonts w:ascii="Times New Roman" w:hAnsi="Times New Roman" w:cs="Times New Roman"/>
          <w:sz w:val="24"/>
          <w:szCs w:val="24"/>
        </w:rPr>
        <w:t xml:space="preserve"> jeb uzskaitē esošo pensiju saņēmēju skaits uz 1000 obligāti sociāl</w:t>
      </w:r>
      <w:r w:rsidR="0086197F">
        <w:rPr>
          <w:rFonts w:ascii="Times New Roman" w:hAnsi="Times New Roman" w:cs="Times New Roman"/>
          <w:sz w:val="24"/>
          <w:szCs w:val="24"/>
        </w:rPr>
        <w:t>i apdrošinātām personām</w:t>
      </w:r>
      <w:r w:rsidR="00D73654">
        <w:rPr>
          <w:rFonts w:ascii="Times New Roman" w:hAnsi="Times New Roman" w:cs="Times New Roman"/>
          <w:sz w:val="24"/>
          <w:szCs w:val="24"/>
        </w:rPr>
        <w:t xml:space="preserve"> 2017.g</w:t>
      </w:r>
      <w:r w:rsidRPr="00F91F8C">
        <w:rPr>
          <w:rFonts w:ascii="Times New Roman" w:hAnsi="Times New Roman" w:cs="Times New Roman"/>
          <w:sz w:val="24"/>
          <w:szCs w:val="24"/>
        </w:rPr>
        <w:t>ada beigās bija 650 personas.</w:t>
      </w:r>
      <w:r>
        <w:rPr>
          <w:rFonts w:ascii="Times New Roman" w:hAnsi="Times New Roman" w:cs="Times New Roman"/>
          <w:sz w:val="24"/>
          <w:szCs w:val="24"/>
        </w:rPr>
        <w:t xml:space="preserve"> Lai nepieļautu sociālās apdrošināšanas sistēmas noslodzes strauju pieaugumu, Latvijā pakāpeniski tiek paaugstināts pensionēšanās vecums.</w:t>
      </w:r>
    </w:p>
    <w:p w:rsidR="00D73654" w:rsidRDefault="00F91F8C" w:rsidP="00F91F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544C4B" w:rsidRDefault="00D47D33" w:rsidP="00D47D33">
      <w:pPr>
        <w:spacing w:after="0" w:line="240" w:lineRule="auto"/>
        <w:ind w:left="6480" w:firstLine="720"/>
        <w:jc w:val="both"/>
        <w:rPr>
          <w:rFonts w:ascii="Times New Roman" w:hAnsi="Times New Roman" w:cs="Times New Roman"/>
          <w:sz w:val="24"/>
          <w:szCs w:val="24"/>
        </w:rPr>
      </w:pPr>
      <w:r>
        <w:rPr>
          <w:rFonts w:ascii="Times New Roman" w:hAnsi="Times New Roman" w:cs="Times New Roman"/>
          <w:sz w:val="24"/>
          <w:szCs w:val="24"/>
        </w:rPr>
        <w:t>1.a</w:t>
      </w:r>
      <w:r w:rsidR="00507C3A">
        <w:rPr>
          <w:rFonts w:ascii="Times New Roman" w:hAnsi="Times New Roman" w:cs="Times New Roman"/>
          <w:sz w:val="24"/>
          <w:szCs w:val="24"/>
        </w:rPr>
        <w:t>ttēls</w:t>
      </w:r>
    </w:p>
    <w:p w:rsidR="009F5F0E" w:rsidRDefault="009F5F0E" w:rsidP="00D47D33">
      <w:pPr>
        <w:spacing w:after="0" w:line="240" w:lineRule="auto"/>
        <w:ind w:left="6480" w:firstLine="720"/>
        <w:jc w:val="both"/>
        <w:rPr>
          <w:rFonts w:ascii="Times New Roman" w:hAnsi="Times New Roman" w:cs="Times New Roman"/>
          <w:sz w:val="24"/>
          <w:szCs w:val="24"/>
        </w:rPr>
      </w:pPr>
    </w:p>
    <w:p w:rsidR="009F5F0E" w:rsidRDefault="00330E21" w:rsidP="00D73654">
      <w:pPr>
        <w:spacing w:after="0" w:line="240" w:lineRule="auto"/>
        <w:jc w:val="both"/>
        <w:rPr>
          <w:rFonts w:ascii="Times New Roman" w:hAnsi="Times New Roman" w:cs="Times New Roman"/>
          <w:sz w:val="24"/>
          <w:szCs w:val="24"/>
        </w:rPr>
      </w:pPr>
      <w:r>
        <w:rPr>
          <w:noProof/>
          <w:lang w:eastAsia="lv-LV"/>
        </w:rPr>
        <w:drawing>
          <wp:inline distT="0" distB="0" distL="0" distR="0" wp14:anchorId="3BFAAB37" wp14:editId="4E2CC088">
            <wp:extent cx="5274310" cy="2164665"/>
            <wp:effectExtent l="0" t="0" r="254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3654" w:rsidRDefault="006F1D75" w:rsidP="00D736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Datu avots:</w:t>
      </w:r>
      <w:r w:rsidR="007024B8">
        <w:rPr>
          <w:rFonts w:ascii="Times New Roman" w:hAnsi="Times New Roman" w:cs="Times New Roman"/>
          <w:sz w:val="24"/>
          <w:szCs w:val="24"/>
        </w:rPr>
        <w:t xml:space="preserve"> V</w:t>
      </w:r>
      <w:r w:rsidR="00941532">
        <w:rPr>
          <w:rFonts w:ascii="Times New Roman" w:hAnsi="Times New Roman" w:cs="Times New Roman"/>
          <w:sz w:val="24"/>
          <w:szCs w:val="24"/>
        </w:rPr>
        <w:t>SAA</w:t>
      </w:r>
      <w:r w:rsidR="00F11617">
        <w:rPr>
          <w:rFonts w:ascii="Times New Roman" w:hAnsi="Times New Roman" w:cs="Times New Roman"/>
          <w:sz w:val="24"/>
          <w:szCs w:val="24"/>
        </w:rPr>
        <w:t xml:space="preserve"> dati, Labklājības ministrijas aprēķini</w:t>
      </w:r>
    </w:p>
    <w:p w:rsidR="00CB6412" w:rsidRDefault="00CB6412" w:rsidP="00D73654">
      <w:pPr>
        <w:spacing w:after="0" w:line="240" w:lineRule="auto"/>
        <w:jc w:val="both"/>
        <w:rPr>
          <w:rFonts w:ascii="Times New Roman" w:hAnsi="Times New Roman" w:cs="Times New Roman"/>
          <w:sz w:val="24"/>
          <w:szCs w:val="24"/>
        </w:rPr>
      </w:pPr>
    </w:p>
    <w:p w:rsidR="004C0EF4" w:rsidRDefault="00F91F8C" w:rsidP="00A16284">
      <w:pPr>
        <w:spacing w:after="0" w:line="240" w:lineRule="auto"/>
        <w:ind w:firstLine="567"/>
        <w:jc w:val="both"/>
        <w:rPr>
          <w:noProof/>
          <w:lang w:eastAsia="lv-LV"/>
        </w:rPr>
      </w:pPr>
      <w:r>
        <w:rPr>
          <w:rFonts w:ascii="Times New Roman" w:hAnsi="Times New Roman" w:cs="Times New Roman"/>
          <w:sz w:val="24"/>
          <w:szCs w:val="24"/>
        </w:rPr>
        <w:t xml:space="preserve">Kopš 2014.gada valsts sociālās apdrošināšanas speciālā budžeta </w:t>
      </w:r>
      <w:r w:rsidR="00CB6412">
        <w:rPr>
          <w:rFonts w:ascii="Times New Roman" w:hAnsi="Times New Roman" w:cs="Times New Roman"/>
          <w:sz w:val="24"/>
          <w:szCs w:val="24"/>
        </w:rPr>
        <w:t xml:space="preserve">(turpmāk – speciālais budžets) </w:t>
      </w:r>
      <w:r>
        <w:rPr>
          <w:rFonts w:ascii="Times New Roman" w:hAnsi="Times New Roman" w:cs="Times New Roman"/>
          <w:sz w:val="24"/>
          <w:szCs w:val="24"/>
        </w:rPr>
        <w:t>ieņēmumi pārsniedz izdevumus. Kopējie ieņēmumi 2017.gadā bija 2 504,2 milj. euro, izdevumi – 2 390,4 milj. euro,</w:t>
      </w:r>
      <w:r w:rsidR="002165F6">
        <w:rPr>
          <w:rFonts w:ascii="Times New Roman" w:hAnsi="Times New Roman" w:cs="Times New Roman"/>
          <w:sz w:val="24"/>
          <w:szCs w:val="24"/>
        </w:rPr>
        <w:t xml:space="preserve"> turklāt uzkrātā rezerve 2018.gada sākumā bija 507 milj. euro.</w:t>
      </w:r>
      <w:r>
        <w:rPr>
          <w:rFonts w:ascii="Times New Roman" w:hAnsi="Times New Roman" w:cs="Times New Roman"/>
          <w:sz w:val="24"/>
          <w:szCs w:val="24"/>
        </w:rPr>
        <w:t xml:space="preserve"> </w:t>
      </w:r>
      <w:r w:rsidR="00987297">
        <w:rPr>
          <w:rFonts w:ascii="Times New Roman" w:hAnsi="Times New Roman" w:cs="Times New Roman"/>
          <w:sz w:val="24"/>
          <w:szCs w:val="24"/>
        </w:rPr>
        <w:t>Sociālās apdrošināšanas iemaksu</w:t>
      </w:r>
      <w:r>
        <w:rPr>
          <w:rFonts w:ascii="Times New Roman" w:hAnsi="Times New Roman" w:cs="Times New Roman"/>
          <w:sz w:val="24"/>
          <w:szCs w:val="24"/>
        </w:rPr>
        <w:t xml:space="preserve"> ieņēmumu pozitīvos </w:t>
      </w:r>
      <w:r>
        <w:rPr>
          <w:rFonts w:ascii="Times New Roman" w:hAnsi="Times New Roman" w:cs="Times New Roman"/>
          <w:sz w:val="24"/>
          <w:szCs w:val="24"/>
        </w:rPr>
        <w:lastRenderedPageBreak/>
        <w:t>rezultātus ietekmēja noturīgais darba samaksas pieaugums, ko sekmēja ekonomikas izaugsme valstī kopumā, un stabils nodarbināto skaits.</w:t>
      </w:r>
      <w:r w:rsidR="004C0EF4" w:rsidRPr="004C0EF4">
        <w:rPr>
          <w:noProof/>
          <w:lang w:eastAsia="lv-LV"/>
        </w:rPr>
        <w:t xml:space="preserve"> </w:t>
      </w:r>
    </w:p>
    <w:p w:rsidR="00527ECB" w:rsidRDefault="004C0EF4" w:rsidP="004943F3">
      <w:pPr>
        <w:spacing w:after="0" w:line="240" w:lineRule="auto"/>
        <w:ind w:firstLine="567"/>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 xml:space="preserve">No kopējiem 2017.gada speciālā budžeta izdevumiem </w:t>
      </w:r>
      <w:r w:rsidR="007124A6">
        <w:rPr>
          <w:rFonts w:ascii="Times New Roman" w:hAnsi="Times New Roman" w:cs="Times New Roman"/>
          <w:noProof/>
          <w:sz w:val="24"/>
          <w:szCs w:val="24"/>
          <w:lang w:eastAsia="lv-LV"/>
        </w:rPr>
        <w:t xml:space="preserve"> </w:t>
      </w:r>
      <w:r>
        <w:rPr>
          <w:rFonts w:ascii="Times New Roman" w:hAnsi="Times New Roman" w:cs="Times New Roman"/>
          <w:noProof/>
          <w:sz w:val="24"/>
          <w:szCs w:val="24"/>
          <w:lang w:eastAsia="lv-LV"/>
        </w:rPr>
        <w:t xml:space="preserve">lielākā daļa jeb 72,3% tika izlietoti vecuma un </w:t>
      </w:r>
      <w:r w:rsidRPr="00507C3A">
        <w:rPr>
          <w:rFonts w:ascii="Times New Roman" w:hAnsi="Times New Roman" w:cs="Times New Roman"/>
          <w:noProof/>
          <w:sz w:val="24"/>
          <w:szCs w:val="24"/>
          <w:lang w:eastAsia="lv-LV"/>
        </w:rPr>
        <w:t>ap</w:t>
      </w:r>
      <w:r w:rsidR="00507C3A" w:rsidRPr="00507C3A">
        <w:rPr>
          <w:rFonts w:ascii="Times New Roman" w:hAnsi="Times New Roman" w:cs="Times New Roman"/>
          <w:noProof/>
          <w:sz w:val="24"/>
          <w:szCs w:val="24"/>
          <w:lang w:eastAsia="lv-LV"/>
        </w:rPr>
        <w:t>g</w:t>
      </w:r>
      <w:r w:rsidRPr="00507C3A">
        <w:rPr>
          <w:rFonts w:ascii="Times New Roman" w:hAnsi="Times New Roman" w:cs="Times New Roman"/>
          <w:noProof/>
          <w:sz w:val="24"/>
          <w:szCs w:val="24"/>
          <w:lang w:eastAsia="lv-LV"/>
        </w:rPr>
        <w:t>ādnieka</w:t>
      </w:r>
      <w:r w:rsidR="00CB6412">
        <w:rPr>
          <w:rFonts w:ascii="Times New Roman" w:hAnsi="Times New Roman" w:cs="Times New Roman"/>
          <w:noProof/>
          <w:sz w:val="24"/>
          <w:szCs w:val="24"/>
          <w:lang w:eastAsia="lv-LV"/>
        </w:rPr>
        <w:t xml:space="preserve"> zaudējuma pensiju finansēšanai</w:t>
      </w:r>
      <w:r>
        <w:rPr>
          <w:rFonts w:ascii="Times New Roman" w:hAnsi="Times New Roman" w:cs="Times New Roman"/>
          <w:noProof/>
          <w:sz w:val="24"/>
          <w:szCs w:val="24"/>
          <w:lang w:eastAsia="lv-LV"/>
        </w:rPr>
        <w:t xml:space="preserve">. </w:t>
      </w:r>
      <w:r w:rsidR="00BD5F21">
        <w:rPr>
          <w:rFonts w:ascii="Times New Roman" w:hAnsi="Times New Roman" w:cs="Times New Roman"/>
          <w:noProof/>
          <w:sz w:val="24"/>
          <w:szCs w:val="24"/>
          <w:lang w:eastAsia="lv-LV"/>
        </w:rPr>
        <w:t xml:space="preserve">Kopš 2012.gada kopējie speciālā budžeta izdevumi ir </w:t>
      </w:r>
      <w:r w:rsidR="00EB699A">
        <w:rPr>
          <w:rFonts w:ascii="Times New Roman" w:hAnsi="Times New Roman" w:cs="Times New Roman"/>
          <w:noProof/>
          <w:sz w:val="24"/>
          <w:szCs w:val="24"/>
          <w:lang w:eastAsia="lv-LV"/>
        </w:rPr>
        <w:t xml:space="preserve">ap </w:t>
      </w:r>
      <w:r w:rsidR="00BD5F21">
        <w:rPr>
          <w:rFonts w:ascii="Times New Roman" w:hAnsi="Times New Roman" w:cs="Times New Roman"/>
          <w:noProof/>
          <w:sz w:val="24"/>
          <w:szCs w:val="24"/>
          <w:lang w:eastAsia="lv-LV"/>
        </w:rPr>
        <w:t>9% robežās no valsts IKP apjoma, lielākā daļa no tiem (</w:t>
      </w:r>
      <w:r w:rsidR="00AC1579">
        <w:rPr>
          <w:rFonts w:ascii="Times New Roman" w:hAnsi="Times New Roman" w:cs="Times New Roman"/>
          <w:noProof/>
          <w:sz w:val="24"/>
          <w:szCs w:val="24"/>
          <w:lang w:eastAsia="lv-LV"/>
        </w:rPr>
        <w:t xml:space="preserve"> </w:t>
      </w:r>
      <w:r w:rsidR="004B5819">
        <w:rPr>
          <w:rFonts w:ascii="Times New Roman" w:hAnsi="Times New Roman" w:cs="Times New Roman"/>
          <w:noProof/>
          <w:sz w:val="24"/>
          <w:szCs w:val="24"/>
          <w:lang w:eastAsia="lv-LV"/>
        </w:rPr>
        <w:t>vairāk kā</w:t>
      </w:r>
      <w:r w:rsidR="00AC1579">
        <w:rPr>
          <w:rFonts w:ascii="Times New Roman" w:hAnsi="Times New Roman" w:cs="Times New Roman"/>
          <w:noProof/>
          <w:sz w:val="24"/>
          <w:szCs w:val="24"/>
          <w:lang w:eastAsia="lv-LV"/>
        </w:rPr>
        <w:t xml:space="preserve"> </w:t>
      </w:r>
      <w:r w:rsidR="00BD5F21">
        <w:rPr>
          <w:rFonts w:ascii="Times New Roman" w:hAnsi="Times New Roman" w:cs="Times New Roman"/>
          <w:noProof/>
          <w:sz w:val="24"/>
          <w:szCs w:val="24"/>
          <w:lang w:eastAsia="lv-LV"/>
        </w:rPr>
        <w:t>6% punkti) ti</w:t>
      </w:r>
      <w:r w:rsidR="004B4A01">
        <w:rPr>
          <w:rFonts w:ascii="Times New Roman" w:hAnsi="Times New Roman" w:cs="Times New Roman"/>
          <w:noProof/>
          <w:sz w:val="24"/>
          <w:szCs w:val="24"/>
          <w:lang w:eastAsia="lv-LV"/>
        </w:rPr>
        <w:t>ek</w:t>
      </w:r>
      <w:r w:rsidR="00BD5F21">
        <w:rPr>
          <w:rFonts w:ascii="Times New Roman" w:hAnsi="Times New Roman" w:cs="Times New Roman"/>
          <w:noProof/>
          <w:sz w:val="24"/>
          <w:szCs w:val="24"/>
          <w:lang w:eastAsia="lv-LV"/>
        </w:rPr>
        <w:t xml:space="preserve"> izlietoti vecuma pensiju izmaksai</w:t>
      </w:r>
      <w:r w:rsidR="007124A6">
        <w:rPr>
          <w:rFonts w:ascii="Times New Roman" w:hAnsi="Times New Roman" w:cs="Times New Roman"/>
          <w:noProof/>
          <w:sz w:val="24"/>
          <w:szCs w:val="24"/>
          <w:lang w:eastAsia="lv-LV"/>
        </w:rPr>
        <w:t xml:space="preserve"> (</w:t>
      </w:r>
      <w:r w:rsidR="00FF54C7">
        <w:rPr>
          <w:rFonts w:ascii="Times New Roman" w:hAnsi="Times New Roman" w:cs="Times New Roman"/>
          <w:noProof/>
          <w:sz w:val="24"/>
          <w:szCs w:val="24"/>
          <w:lang w:eastAsia="lv-LV"/>
        </w:rPr>
        <w:t xml:space="preserve">skatīt </w:t>
      </w:r>
      <w:r w:rsidR="00FA4A1D">
        <w:rPr>
          <w:rFonts w:ascii="Times New Roman" w:hAnsi="Times New Roman" w:cs="Times New Roman"/>
          <w:noProof/>
          <w:sz w:val="24"/>
          <w:szCs w:val="24"/>
          <w:lang w:eastAsia="lv-LV"/>
        </w:rPr>
        <w:t>1.</w:t>
      </w:r>
      <w:r w:rsidR="007124A6">
        <w:rPr>
          <w:rFonts w:ascii="Times New Roman" w:hAnsi="Times New Roman" w:cs="Times New Roman"/>
          <w:noProof/>
          <w:sz w:val="24"/>
          <w:szCs w:val="24"/>
          <w:lang w:eastAsia="lv-LV"/>
        </w:rPr>
        <w:t>tabul</w:t>
      </w:r>
      <w:r w:rsidR="00FF54C7">
        <w:rPr>
          <w:rFonts w:ascii="Times New Roman" w:hAnsi="Times New Roman" w:cs="Times New Roman"/>
          <w:noProof/>
          <w:sz w:val="24"/>
          <w:szCs w:val="24"/>
          <w:lang w:eastAsia="lv-LV"/>
        </w:rPr>
        <w:t>u</w:t>
      </w:r>
      <w:r w:rsidR="007124A6">
        <w:rPr>
          <w:rFonts w:ascii="Times New Roman" w:hAnsi="Times New Roman" w:cs="Times New Roman"/>
          <w:noProof/>
          <w:sz w:val="24"/>
          <w:szCs w:val="24"/>
          <w:lang w:eastAsia="lv-LV"/>
        </w:rPr>
        <w:t>)</w:t>
      </w:r>
      <w:r w:rsidR="00BD5F21">
        <w:rPr>
          <w:rFonts w:ascii="Times New Roman" w:hAnsi="Times New Roman" w:cs="Times New Roman"/>
          <w:noProof/>
          <w:sz w:val="24"/>
          <w:szCs w:val="24"/>
          <w:lang w:eastAsia="lv-LV"/>
        </w:rPr>
        <w:t xml:space="preserve">. </w:t>
      </w:r>
    </w:p>
    <w:p w:rsidR="008C6A0D" w:rsidRDefault="008C6A0D" w:rsidP="00527ECB">
      <w:pPr>
        <w:spacing w:after="0"/>
        <w:ind w:firstLine="567"/>
        <w:jc w:val="both"/>
        <w:rPr>
          <w:rFonts w:ascii="Times New Roman" w:hAnsi="Times New Roman" w:cs="Times New Roman"/>
          <w:noProof/>
          <w:sz w:val="24"/>
          <w:szCs w:val="24"/>
          <w:lang w:eastAsia="lv-LV"/>
        </w:rPr>
      </w:pPr>
    </w:p>
    <w:p w:rsidR="00527ECB" w:rsidRPr="00806482" w:rsidRDefault="006F1D75" w:rsidP="00544F5A">
      <w:pPr>
        <w:spacing w:after="0"/>
        <w:jc w:val="right"/>
        <w:rPr>
          <w:rFonts w:ascii="Times New Roman" w:hAnsi="Times New Roman" w:cs="Times New Roman"/>
          <w:sz w:val="24"/>
          <w:szCs w:val="24"/>
        </w:rPr>
      </w:pPr>
      <w:r w:rsidRPr="00806482">
        <w:rPr>
          <w:rFonts w:ascii="Times New Roman" w:hAnsi="Times New Roman" w:cs="Times New Roman"/>
          <w:sz w:val="24"/>
          <w:szCs w:val="24"/>
        </w:rPr>
        <w:t>1</w:t>
      </w:r>
      <w:r w:rsidR="00544F5A">
        <w:rPr>
          <w:rFonts w:ascii="Times New Roman" w:hAnsi="Times New Roman" w:cs="Times New Roman"/>
          <w:sz w:val="24"/>
          <w:szCs w:val="24"/>
        </w:rPr>
        <w:t>.tabula</w:t>
      </w:r>
    </w:p>
    <w:p w:rsidR="00527ECB" w:rsidRDefault="00527ECB" w:rsidP="00544F5A">
      <w:pPr>
        <w:spacing w:after="0"/>
        <w:jc w:val="center"/>
        <w:rPr>
          <w:rFonts w:ascii="Times New Roman" w:hAnsi="Times New Roman" w:cs="Times New Roman"/>
          <w:b/>
        </w:rPr>
      </w:pPr>
      <w:r>
        <w:rPr>
          <w:rFonts w:ascii="Times New Roman" w:hAnsi="Times New Roman" w:cs="Times New Roman"/>
          <w:b/>
        </w:rPr>
        <w:t>Sociālās apdrošināšanas speciālais budžets % no IKP</w:t>
      </w:r>
    </w:p>
    <w:tbl>
      <w:tblPr>
        <w:tblW w:w="8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90"/>
        <w:gridCol w:w="851"/>
        <w:gridCol w:w="708"/>
        <w:gridCol w:w="709"/>
        <w:gridCol w:w="851"/>
        <w:gridCol w:w="850"/>
        <w:gridCol w:w="850"/>
        <w:gridCol w:w="851"/>
        <w:gridCol w:w="851"/>
      </w:tblGrid>
      <w:tr w:rsidR="00A97B19" w:rsidRPr="00820A67" w:rsidTr="00966F52">
        <w:trPr>
          <w:trHeight w:val="255"/>
        </w:trPr>
        <w:tc>
          <w:tcPr>
            <w:tcW w:w="1990" w:type="dxa"/>
            <w:shd w:val="clear" w:color="auto" w:fill="auto"/>
            <w:noWrap/>
            <w:vAlign w:val="bottom"/>
            <w:hideMark/>
          </w:tcPr>
          <w:p w:rsidR="00820A67" w:rsidRPr="00820A67" w:rsidRDefault="00820A67" w:rsidP="00820A67">
            <w:pPr>
              <w:spacing w:after="0"/>
              <w:rPr>
                <w:rFonts w:ascii="Times New Roman" w:hAnsi="Times New Roman" w:cs="Times New Roman"/>
                <w:sz w:val="20"/>
                <w:szCs w:val="20"/>
              </w:rPr>
            </w:pPr>
            <w:r w:rsidRPr="00820A67">
              <w:rPr>
                <w:rFonts w:ascii="Times New Roman" w:hAnsi="Times New Roman" w:cs="Times New Roman"/>
                <w:sz w:val="20"/>
                <w:szCs w:val="20"/>
              </w:rPr>
              <w:t> </w:t>
            </w:r>
          </w:p>
        </w:tc>
        <w:tc>
          <w:tcPr>
            <w:tcW w:w="851" w:type="dxa"/>
            <w:shd w:val="clear" w:color="auto" w:fill="auto"/>
            <w:vAlign w:val="center"/>
            <w:hideMark/>
          </w:tcPr>
          <w:p w:rsidR="00820A67" w:rsidRPr="00820A67" w:rsidRDefault="00820A67" w:rsidP="00820A67">
            <w:pPr>
              <w:spacing w:after="0"/>
              <w:jc w:val="center"/>
              <w:rPr>
                <w:rFonts w:ascii="Times New Roman" w:hAnsi="Times New Roman" w:cs="Times New Roman"/>
                <w:b/>
                <w:bCs/>
                <w:sz w:val="20"/>
                <w:szCs w:val="20"/>
              </w:rPr>
            </w:pPr>
            <w:r w:rsidRPr="00820A67">
              <w:rPr>
                <w:rFonts w:ascii="Times New Roman" w:hAnsi="Times New Roman" w:cs="Times New Roman"/>
                <w:b/>
                <w:bCs/>
                <w:sz w:val="20"/>
                <w:szCs w:val="20"/>
              </w:rPr>
              <w:t>2010</w:t>
            </w:r>
          </w:p>
        </w:tc>
        <w:tc>
          <w:tcPr>
            <w:tcW w:w="708" w:type="dxa"/>
            <w:shd w:val="clear" w:color="auto" w:fill="auto"/>
            <w:vAlign w:val="center"/>
            <w:hideMark/>
          </w:tcPr>
          <w:p w:rsidR="00820A67" w:rsidRPr="00820A67" w:rsidRDefault="00820A67" w:rsidP="00820A67">
            <w:pPr>
              <w:spacing w:after="0"/>
              <w:jc w:val="center"/>
              <w:rPr>
                <w:rFonts w:ascii="Times New Roman" w:hAnsi="Times New Roman" w:cs="Times New Roman"/>
                <w:b/>
                <w:bCs/>
                <w:sz w:val="20"/>
                <w:szCs w:val="20"/>
              </w:rPr>
            </w:pPr>
            <w:r w:rsidRPr="00820A67">
              <w:rPr>
                <w:rFonts w:ascii="Times New Roman" w:hAnsi="Times New Roman" w:cs="Times New Roman"/>
                <w:b/>
                <w:bCs/>
                <w:sz w:val="20"/>
                <w:szCs w:val="20"/>
              </w:rPr>
              <w:t>2011</w:t>
            </w:r>
          </w:p>
        </w:tc>
        <w:tc>
          <w:tcPr>
            <w:tcW w:w="709" w:type="dxa"/>
            <w:shd w:val="clear" w:color="auto" w:fill="auto"/>
            <w:vAlign w:val="center"/>
            <w:hideMark/>
          </w:tcPr>
          <w:p w:rsidR="00820A67" w:rsidRPr="00820A67" w:rsidRDefault="00820A67" w:rsidP="00820A67">
            <w:pPr>
              <w:spacing w:after="0"/>
              <w:jc w:val="center"/>
              <w:rPr>
                <w:rFonts w:ascii="Times New Roman" w:hAnsi="Times New Roman" w:cs="Times New Roman"/>
                <w:b/>
                <w:bCs/>
                <w:sz w:val="20"/>
                <w:szCs w:val="20"/>
              </w:rPr>
            </w:pPr>
            <w:r w:rsidRPr="00820A67">
              <w:rPr>
                <w:rFonts w:ascii="Times New Roman" w:hAnsi="Times New Roman" w:cs="Times New Roman"/>
                <w:b/>
                <w:bCs/>
                <w:sz w:val="20"/>
                <w:szCs w:val="20"/>
              </w:rPr>
              <w:t>2012</w:t>
            </w:r>
          </w:p>
        </w:tc>
        <w:tc>
          <w:tcPr>
            <w:tcW w:w="851" w:type="dxa"/>
            <w:shd w:val="clear" w:color="auto" w:fill="auto"/>
            <w:vAlign w:val="center"/>
            <w:hideMark/>
          </w:tcPr>
          <w:p w:rsidR="00820A67" w:rsidRPr="00820A67" w:rsidRDefault="00820A67" w:rsidP="00820A67">
            <w:pPr>
              <w:spacing w:after="0"/>
              <w:jc w:val="center"/>
              <w:rPr>
                <w:rFonts w:ascii="Times New Roman" w:hAnsi="Times New Roman" w:cs="Times New Roman"/>
                <w:b/>
                <w:bCs/>
                <w:sz w:val="20"/>
                <w:szCs w:val="20"/>
              </w:rPr>
            </w:pPr>
            <w:r w:rsidRPr="00820A67">
              <w:rPr>
                <w:rFonts w:ascii="Times New Roman" w:hAnsi="Times New Roman" w:cs="Times New Roman"/>
                <w:b/>
                <w:bCs/>
                <w:sz w:val="20"/>
                <w:szCs w:val="20"/>
              </w:rPr>
              <w:t>2013</w:t>
            </w:r>
          </w:p>
        </w:tc>
        <w:tc>
          <w:tcPr>
            <w:tcW w:w="850" w:type="dxa"/>
            <w:shd w:val="clear" w:color="auto" w:fill="auto"/>
            <w:vAlign w:val="center"/>
            <w:hideMark/>
          </w:tcPr>
          <w:p w:rsidR="00820A67" w:rsidRPr="00820A67" w:rsidRDefault="00820A67" w:rsidP="00820A67">
            <w:pPr>
              <w:spacing w:after="0"/>
              <w:jc w:val="center"/>
              <w:rPr>
                <w:rFonts w:ascii="Times New Roman" w:hAnsi="Times New Roman" w:cs="Times New Roman"/>
                <w:b/>
                <w:bCs/>
                <w:sz w:val="20"/>
                <w:szCs w:val="20"/>
              </w:rPr>
            </w:pPr>
            <w:r w:rsidRPr="00820A67">
              <w:rPr>
                <w:rFonts w:ascii="Times New Roman" w:hAnsi="Times New Roman" w:cs="Times New Roman"/>
                <w:b/>
                <w:bCs/>
                <w:sz w:val="20"/>
                <w:szCs w:val="20"/>
              </w:rPr>
              <w:t>2014</w:t>
            </w:r>
          </w:p>
        </w:tc>
        <w:tc>
          <w:tcPr>
            <w:tcW w:w="850" w:type="dxa"/>
            <w:shd w:val="clear" w:color="auto" w:fill="auto"/>
            <w:vAlign w:val="center"/>
            <w:hideMark/>
          </w:tcPr>
          <w:p w:rsidR="00820A67" w:rsidRPr="00820A67" w:rsidRDefault="00820A67" w:rsidP="00820A67">
            <w:pPr>
              <w:spacing w:after="0"/>
              <w:jc w:val="center"/>
              <w:rPr>
                <w:rFonts w:ascii="Times New Roman" w:hAnsi="Times New Roman" w:cs="Times New Roman"/>
                <w:b/>
                <w:bCs/>
                <w:sz w:val="20"/>
                <w:szCs w:val="20"/>
              </w:rPr>
            </w:pPr>
            <w:r w:rsidRPr="00820A67">
              <w:rPr>
                <w:rFonts w:ascii="Times New Roman" w:hAnsi="Times New Roman" w:cs="Times New Roman"/>
                <w:b/>
                <w:bCs/>
                <w:sz w:val="20"/>
                <w:szCs w:val="20"/>
              </w:rPr>
              <w:t>2015</w:t>
            </w:r>
          </w:p>
        </w:tc>
        <w:tc>
          <w:tcPr>
            <w:tcW w:w="851" w:type="dxa"/>
            <w:shd w:val="clear" w:color="auto" w:fill="auto"/>
            <w:vAlign w:val="center"/>
            <w:hideMark/>
          </w:tcPr>
          <w:p w:rsidR="00820A67" w:rsidRPr="00820A67" w:rsidRDefault="00820A67" w:rsidP="00820A67">
            <w:pPr>
              <w:spacing w:after="0"/>
              <w:jc w:val="center"/>
              <w:rPr>
                <w:rFonts w:ascii="Times New Roman" w:hAnsi="Times New Roman" w:cs="Times New Roman"/>
                <w:b/>
                <w:bCs/>
                <w:sz w:val="20"/>
                <w:szCs w:val="20"/>
              </w:rPr>
            </w:pPr>
            <w:r w:rsidRPr="00820A67">
              <w:rPr>
                <w:rFonts w:ascii="Times New Roman" w:hAnsi="Times New Roman" w:cs="Times New Roman"/>
                <w:b/>
                <w:bCs/>
                <w:sz w:val="20"/>
                <w:szCs w:val="20"/>
              </w:rPr>
              <w:t>2016</w:t>
            </w:r>
          </w:p>
        </w:tc>
        <w:tc>
          <w:tcPr>
            <w:tcW w:w="851" w:type="dxa"/>
            <w:shd w:val="clear" w:color="auto" w:fill="auto"/>
            <w:vAlign w:val="center"/>
            <w:hideMark/>
          </w:tcPr>
          <w:p w:rsidR="00820A67" w:rsidRPr="00820A67" w:rsidRDefault="00820A67" w:rsidP="00820A67">
            <w:pPr>
              <w:spacing w:after="0"/>
              <w:jc w:val="center"/>
              <w:rPr>
                <w:rFonts w:ascii="Times New Roman" w:hAnsi="Times New Roman" w:cs="Times New Roman"/>
                <w:b/>
                <w:bCs/>
                <w:sz w:val="20"/>
                <w:szCs w:val="20"/>
              </w:rPr>
            </w:pPr>
            <w:r w:rsidRPr="00820A67">
              <w:rPr>
                <w:rFonts w:ascii="Times New Roman" w:hAnsi="Times New Roman" w:cs="Times New Roman"/>
                <w:b/>
                <w:bCs/>
                <w:sz w:val="20"/>
                <w:szCs w:val="20"/>
              </w:rPr>
              <w:t>2017</w:t>
            </w:r>
          </w:p>
        </w:tc>
      </w:tr>
      <w:tr w:rsidR="00A97B19" w:rsidRPr="00820A67" w:rsidTr="00966F52">
        <w:trPr>
          <w:trHeight w:val="300"/>
        </w:trPr>
        <w:tc>
          <w:tcPr>
            <w:tcW w:w="1990" w:type="dxa"/>
            <w:shd w:val="clear" w:color="auto" w:fill="auto"/>
            <w:noWrap/>
            <w:vAlign w:val="bottom"/>
            <w:hideMark/>
          </w:tcPr>
          <w:p w:rsidR="00820A67" w:rsidRPr="00820A67" w:rsidRDefault="00820A67" w:rsidP="005B38CF">
            <w:pPr>
              <w:spacing w:after="0"/>
              <w:ind w:firstLine="147"/>
              <w:rPr>
                <w:rFonts w:ascii="Times New Roman" w:hAnsi="Times New Roman" w:cs="Times New Roman"/>
                <w:b/>
                <w:bCs/>
                <w:sz w:val="20"/>
                <w:szCs w:val="20"/>
              </w:rPr>
            </w:pPr>
            <w:r w:rsidRPr="00820A67">
              <w:rPr>
                <w:rFonts w:ascii="Times New Roman" w:hAnsi="Times New Roman" w:cs="Times New Roman"/>
                <w:b/>
                <w:bCs/>
                <w:sz w:val="20"/>
                <w:szCs w:val="20"/>
              </w:rPr>
              <w:t>ieņēmumi</w:t>
            </w:r>
          </w:p>
        </w:tc>
        <w:tc>
          <w:tcPr>
            <w:tcW w:w="851" w:type="dxa"/>
            <w:shd w:val="clear" w:color="auto" w:fill="auto"/>
            <w:noWrap/>
            <w:vAlign w:val="bottom"/>
            <w:hideMark/>
          </w:tcPr>
          <w:p w:rsidR="00820A67" w:rsidRPr="00820A67" w:rsidRDefault="00820A67" w:rsidP="00820A67">
            <w:pPr>
              <w:spacing w:after="0"/>
              <w:jc w:val="center"/>
              <w:rPr>
                <w:rFonts w:ascii="Times New Roman" w:hAnsi="Times New Roman" w:cs="Times New Roman"/>
                <w:b/>
                <w:bCs/>
                <w:sz w:val="20"/>
                <w:szCs w:val="20"/>
              </w:rPr>
            </w:pPr>
            <w:r w:rsidRPr="00820A67">
              <w:rPr>
                <w:rFonts w:ascii="Times New Roman" w:hAnsi="Times New Roman" w:cs="Times New Roman"/>
                <w:b/>
                <w:bCs/>
                <w:sz w:val="20"/>
                <w:szCs w:val="20"/>
              </w:rPr>
              <w:t>9.3%</w:t>
            </w:r>
          </w:p>
        </w:tc>
        <w:tc>
          <w:tcPr>
            <w:tcW w:w="708" w:type="dxa"/>
            <w:shd w:val="clear" w:color="auto" w:fill="auto"/>
            <w:noWrap/>
            <w:vAlign w:val="bottom"/>
            <w:hideMark/>
          </w:tcPr>
          <w:p w:rsidR="00820A67" w:rsidRPr="00820A67" w:rsidRDefault="00820A67" w:rsidP="00820A67">
            <w:pPr>
              <w:spacing w:after="0"/>
              <w:jc w:val="center"/>
              <w:rPr>
                <w:rFonts w:ascii="Times New Roman" w:hAnsi="Times New Roman" w:cs="Times New Roman"/>
                <w:b/>
                <w:bCs/>
                <w:sz w:val="20"/>
                <w:szCs w:val="20"/>
              </w:rPr>
            </w:pPr>
            <w:r w:rsidRPr="00820A67">
              <w:rPr>
                <w:rFonts w:ascii="Times New Roman" w:hAnsi="Times New Roman" w:cs="Times New Roman"/>
                <w:b/>
                <w:bCs/>
                <w:sz w:val="20"/>
                <w:szCs w:val="20"/>
              </w:rPr>
              <w:t>8.8%</w:t>
            </w:r>
          </w:p>
        </w:tc>
        <w:tc>
          <w:tcPr>
            <w:tcW w:w="709" w:type="dxa"/>
            <w:shd w:val="clear" w:color="auto" w:fill="auto"/>
            <w:noWrap/>
            <w:vAlign w:val="bottom"/>
            <w:hideMark/>
          </w:tcPr>
          <w:p w:rsidR="00820A67" w:rsidRPr="00820A67" w:rsidRDefault="00820A67" w:rsidP="00820A67">
            <w:pPr>
              <w:spacing w:after="0"/>
              <w:jc w:val="center"/>
              <w:rPr>
                <w:rFonts w:ascii="Times New Roman" w:hAnsi="Times New Roman" w:cs="Times New Roman"/>
                <w:b/>
                <w:bCs/>
                <w:sz w:val="20"/>
                <w:szCs w:val="20"/>
              </w:rPr>
            </w:pPr>
            <w:r w:rsidRPr="00820A67">
              <w:rPr>
                <w:rFonts w:ascii="Times New Roman" w:hAnsi="Times New Roman" w:cs="Times New Roman"/>
                <w:b/>
                <w:bCs/>
                <w:sz w:val="20"/>
                <w:szCs w:val="20"/>
              </w:rPr>
              <w:t>8.8%</w:t>
            </w:r>
          </w:p>
        </w:tc>
        <w:tc>
          <w:tcPr>
            <w:tcW w:w="851" w:type="dxa"/>
            <w:shd w:val="clear" w:color="auto" w:fill="auto"/>
            <w:noWrap/>
            <w:vAlign w:val="bottom"/>
            <w:hideMark/>
          </w:tcPr>
          <w:p w:rsidR="00820A67" w:rsidRPr="00820A67" w:rsidRDefault="00820A67" w:rsidP="00820A67">
            <w:pPr>
              <w:spacing w:after="0"/>
              <w:jc w:val="center"/>
              <w:rPr>
                <w:rFonts w:ascii="Times New Roman" w:hAnsi="Times New Roman" w:cs="Times New Roman"/>
                <w:b/>
                <w:bCs/>
                <w:sz w:val="20"/>
                <w:szCs w:val="20"/>
              </w:rPr>
            </w:pPr>
            <w:r w:rsidRPr="00820A67">
              <w:rPr>
                <w:rFonts w:ascii="Times New Roman" w:hAnsi="Times New Roman" w:cs="Times New Roman"/>
                <w:b/>
                <w:bCs/>
                <w:sz w:val="20"/>
                <w:szCs w:val="20"/>
              </w:rPr>
              <w:t>8.9%</w:t>
            </w:r>
          </w:p>
        </w:tc>
        <w:tc>
          <w:tcPr>
            <w:tcW w:w="850" w:type="dxa"/>
            <w:shd w:val="clear" w:color="auto" w:fill="auto"/>
            <w:noWrap/>
            <w:vAlign w:val="bottom"/>
            <w:hideMark/>
          </w:tcPr>
          <w:p w:rsidR="00820A67" w:rsidRPr="00820A67" w:rsidRDefault="00820A67" w:rsidP="00820A67">
            <w:pPr>
              <w:spacing w:after="0"/>
              <w:jc w:val="center"/>
              <w:rPr>
                <w:rFonts w:ascii="Times New Roman" w:hAnsi="Times New Roman" w:cs="Times New Roman"/>
                <w:b/>
                <w:bCs/>
                <w:sz w:val="20"/>
                <w:szCs w:val="20"/>
              </w:rPr>
            </w:pPr>
            <w:r w:rsidRPr="00820A67">
              <w:rPr>
                <w:rFonts w:ascii="Times New Roman" w:hAnsi="Times New Roman" w:cs="Times New Roman"/>
                <w:b/>
                <w:bCs/>
                <w:sz w:val="20"/>
                <w:szCs w:val="20"/>
              </w:rPr>
              <w:t>9.4%</w:t>
            </w:r>
          </w:p>
        </w:tc>
        <w:tc>
          <w:tcPr>
            <w:tcW w:w="850" w:type="dxa"/>
            <w:shd w:val="clear" w:color="auto" w:fill="auto"/>
            <w:noWrap/>
            <w:vAlign w:val="bottom"/>
            <w:hideMark/>
          </w:tcPr>
          <w:p w:rsidR="00820A67" w:rsidRPr="00820A67" w:rsidRDefault="00820A67" w:rsidP="00820A67">
            <w:pPr>
              <w:spacing w:after="0"/>
              <w:jc w:val="center"/>
              <w:rPr>
                <w:rFonts w:ascii="Times New Roman" w:hAnsi="Times New Roman" w:cs="Times New Roman"/>
                <w:b/>
                <w:bCs/>
                <w:sz w:val="20"/>
                <w:szCs w:val="20"/>
              </w:rPr>
            </w:pPr>
            <w:r w:rsidRPr="00820A67">
              <w:rPr>
                <w:rFonts w:ascii="Times New Roman" w:hAnsi="Times New Roman" w:cs="Times New Roman"/>
                <w:b/>
                <w:bCs/>
                <w:sz w:val="20"/>
                <w:szCs w:val="20"/>
              </w:rPr>
              <w:t>9.4%</w:t>
            </w:r>
          </w:p>
        </w:tc>
        <w:tc>
          <w:tcPr>
            <w:tcW w:w="851" w:type="dxa"/>
            <w:shd w:val="clear" w:color="auto" w:fill="auto"/>
            <w:noWrap/>
            <w:vAlign w:val="bottom"/>
            <w:hideMark/>
          </w:tcPr>
          <w:p w:rsidR="00820A67" w:rsidRPr="00820A67" w:rsidRDefault="00820A67" w:rsidP="00820A67">
            <w:pPr>
              <w:spacing w:after="0"/>
              <w:jc w:val="center"/>
              <w:rPr>
                <w:rFonts w:ascii="Times New Roman" w:hAnsi="Times New Roman" w:cs="Times New Roman"/>
                <w:b/>
                <w:bCs/>
                <w:sz w:val="20"/>
                <w:szCs w:val="20"/>
              </w:rPr>
            </w:pPr>
            <w:r w:rsidRPr="00820A67">
              <w:rPr>
                <w:rFonts w:ascii="Times New Roman" w:hAnsi="Times New Roman" w:cs="Times New Roman"/>
                <w:b/>
                <w:bCs/>
                <w:sz w:val="20"/>
                <w:szCs w:val="20"/>
              </w:rPr>
              <w:t>9.4%</w:t>
            </w:r>
          </w:p>
        </w:tc>
        <w:tc>
          <w:tcPr>
            <w:tcW w:w="851" w:type="dxa"/>
            <w:shd w:val="clear" w:color="auto" w:fill="auto"/>
            <w:noWrap/>
            <w:vAlign w:val="bottom"/>
            <w:hideMark/>
          </w:tcPr>
          <w:p w:rsidR="00820A67" w:rsidRPr="00820A67" w:rsidRDefault="00820A67" w:rsidP="00820A67">
            <w:pPr>
              <w:spacing w:after="0"/>
              <w:jc w:val="center"/>
              <w:rPr>
                <w:rFonts w:ascii="Times New Roman" w:hAnsi="Times New Roman" w:cs="Times New Roman"/>
                <w:b/>
                <w:bCs/>
                <w:sz w:val="20"/>
                <w:szCs w:val="20"/>
              </w:rPr>
            </w:pPr>
            <w:r w:rsidRPr="00820A67">
              <w:rPr>
                <w:rFonts w:ascii="Times New Roman" w:hAnsi="Times New Roman" w:cs="Times New Roman"/>
                <w:b/>
                <w:bCs/>
                <w:sz w:val="20"/>
                <w:szCs w:val="20"/>
              </w:rPr>
              <w:t>9.3%</w:t>
            </w:r>
          </w:p>
        </w:tc>
      </w:tr>
      <w:tr w:rsidR="00A97B19" w:rsidRPr="00820A67" w:rsidTr="00966F52">
        <w:trPr>
          <w:trHeight w:val="300"/>
        </w:trPr>
        <w:tc>
          <w:tcPr>
            <w:tcW w:w="1990" w:type="dxa"/>
            <w:shd w:val="clear" w:color="auto" w:fill="auto"/>
            <w:noWrap/>
            <w:vAlign w:val="bottom"/>
            <w:hideMark/>
          </w:tcPr>
          <w:p w:rsidR="00820A67" w:rsidRPr="00820A67" w:rsidRDefault="00820A67" w:rsidP="005B38CF">
            <w:pPr>
              <w:spacing w:after="0"/>
              <w:ind w:firstLine="147"/>
              <w:rPr>
                <w:rFonts w:ascii="Times New Roman" w:hAnsi="Times New Roman" w:cs="Times New Roman"/>
                <w:b/>
                <w:bCs/>
                <w:sz w:val="20"/>
                <w:szCs w:val="20"/>
              </w:rPr>
            </w:pPr>
            <w:r w:rsidRPr="00820A67">
              <w:rPr>
                <w:rFonts w:ascii="Times New Roman" w:hAnsi="Times New Roman" w:cs="Times New Roman"/>
                <w:b/>
                <w:bCs/>
                <w:sz w:val="20"/>
                <w:szCs w:val="20"/>
              </w:rPr>
              <w:t>izdevumi</w:t>
            </w:r>
          </w:p>
        </w:tc>
        <w:tc>
          <w:tcPr>
            <w:tcW w:w="851" w:type="dxa"/>
            <w:shd w:val="clear" w:color="auto" w:fill="auto"/>
            <w:noWrap/>
            <w:vAlign w:val="bottom"/>
            <w:hideMark/>
          </w:tcPr>
          <w:p w:rsidR="00820A67" w:rsidRPr="00820A67" w:rsidRDefault="00820A67" w:rsidP="00820A67">
            <w:pPr>
              <w:spacing w:after="0"/>
              <w:jc w:val="center"/>
              <w:rPr>
                <w:rFonts w:ascii="Times New Roman" w:hAnsi="Times New Roman" w:cs="Times New Roman"/>
                <w:b/>
                <w:bCs/>
                <w:sz w:val="20"/>
                <w:szCs w:val="20"/>
              </w:rPr>
            </w:pPr>
            <w:r w:rsidRPr="00820A67">
              <w:rPr>
                <w:rFonts w:ascii="Times New Roman" w:hAnsi="Times New Roman" w:cs="Times New Roman"/>
                <w:b/>
                <w:bCs/>
                <w:sz w:val="20"/>
                <w:szCs w:val="20"/>
              </w:rPr>
              <w:t>12.0%</w:t>
            </w:r>
          </w:p>
        </w:tc>
        <w:tc>
          <w:tcPr>
            <w:tcW w:w="708" w:type="dxa"/>
            <w:shd w:val="clear" w:color="auto" w:fill="auto"/>
            <w:noWrap/>
            <w:vAlign w:val="bottom"/>
            <w:hideMark/>
          </w:tcPr>
          <w:p w:rsidR="00820A67" w:rsidRPr="00820A67" w:rsidRDefault="00820A67" w:rsidP="00820A67">
            <w:pPr>
              <w:spacing w:after="0"/>
              <w:jc w:val="center"/>
              <w:rPr>
                <w:rFonts w:ascii="Times New Roman" w:hAnsi="Times New Roman" w:cs="Times New Roman"/>
                <w:b/>
                <w:bCs/>
                <w:sz w:val="20"/>
                <w:szCs w:val="20"/>
              </w:rPr>
            </w:pPr>
            <w:r w:rsidRPr="00820A67">
              <w:rPr>
                <w:rFonts w:ascii="Times New Roman" w:hAnsi="Times New Roman" w:cs="Times New Roman"/>
                <w:b/>
                <w:bCs/>
                <w:sz w:val="20"/>
                <w:szCs w:val="20"/>
              </w:rPr>
              <w:t>9.7%</w:t>
            </w:r>
          </w:p>
        </w:tc>
        <w:tc>
          <w:tcPr>
            <w:tcW w:w="709" w:type="dxa"/>
            <w:shd w:val="clear" w:color="auto" w:fill="auto"/>
            <w:noWrap/>
            <w:vAlign w:val="bottom"/>
            <w:hideMark/>
          </w:tcPr>
          <w:p w:rsidR="00820A67" w:rsidRPr="00820A67" w:rsidRDefault="00820A67" w:rsidP="00820A67">
            <w:pPr>
              <w:spacing w:after="0"/>
              <w:jc w:val="center"/>
              <w:rPr>
                <w:rFonts w:ascii="Times New Roman" w:hAnsi="Times New Roman" w:cs="Times New Roman"/>
                <w:b/>
                <w:bCs/>
                <w:sz w:val="20"/>
                <w:szCs w:val="20"/>
              </w:rPr>
            </w:pPr>
            <w:r w:rsidRPr="00820A67">
              <w:rPr>
                <w:rFonts w:ascii="Times New Roman" w:hAnsi="Times New Roman" w:cs="Times New Roman"/>
                <w:b/>
                <w:bCs/>
                <w:sz w:val="20"/>
                <w:szCs w:val="20"/>
              </w:rPr>
              <w:t>9.1%</w:t>
            </w:r>
          </w:p>
        </w:tc>
        <w:tc>
          <w:tcPr>
            <w:tcW w:w="851" w:type="dxa"/>
            <w:shd w:val="clear" w:color="auto" w:fill="auto"/>
            <w:noWrap/>
            <w:vAlign w:val="bottom"/>
            <w:hideMark/>
          </w:tcPr>
          <w:p w:rsidR="00820A67" w:rsidRPr="00820A67" w:rsidRDefault="00820A67" w:rsidP="00820A67">
            <w:pPr>
              <w:spacing w:after="0"/>
              <w:jc w:val="center"/>
              <w:rPr>
                <w:rFonts w:ascii="Times New Roman" w:hAnsi="Times New Roman" w:cs="Times New Roman"/>
                <w:b/>
                <w:bCs/>
                <w:sz w:val="20"/>
                <w:szCs w:val="20"/>
              </w:rPr>
            </w:pPr>
            <w:r w:rsidRPr="00820A67">
              <w:rPr>
                <w:rFonts w:ascii="Times New Roman" w:hAnsi="Times New Roman" w:cs="Times New Roman"/>
                <w:b/>
                <w:bCs/>
                <w:sz w:val="20"/>
                <w:szCs w:val="20"/>
              </w:rPr>
              <w:t>9.2%</w:t>
            </w:r>
          </w:p>
        </w:tc>
        <w:tc>
          <w:tcPr>
            <w:tcW w:w="850" w:type="dxa"/>
            <w:shd w:val="clear" w:color="auto" w:fill="auto"/>
            <w:noWrap/>
            <w:vAlign w:val="bottom"/>
            <w:hideMark/>
          </w:tcPr>
          <w:p w:rsidR="00820A67" w:rsidRPr="00820A67" w:rsidRDefault="00820A67" w:rsidP="00820A67">
            <w:pPr>
              <w:spacing w:after="0"/>
              <w:jc w:val="center"/>
              <w:rPr>
                <w:rFonts w:ascii="Times New Roman" w:hAnsi="Times New Roman" w:cs="Times New Roman"/>
                <w:b/>
                <w:bCs/>
                <w:sz w:val="20"/>
                <w:szCs w:val="20"/>
              </w:rPr>
            </w:pPr>
            <w:r w:rsidRPr="00820A67">
              <w:rPr>
                <w:rFonts w:ascii="Times New Roman" w:hAnsi="Times New Roman" w:cs="Times New Roman"/>
                <w:b/>
                <w:bCs/>
                <w:sz w:val="20"/>
                <w:szCs w:val="20"/>
              </w:rPr>
              <w:t>9.0%</w:t>
            </w:r>
          </w:p>
        </w:tc>
        <w:tc>
          <w:tcPr>
            <w:tcW w:w="850" w:type="dxa"/>
            <w:shd w:val="clear" w:color="auto" w:fill="auto"/>
            <w:noWrap/>
            <w:vAlign w:val="bottom"/>
            <w:hideMark/>
          </w:tcPr>
          <w:p w:rsidR="00820A67" w:rsidRPr="00820A67" w:rsidRDefault="00820A67" w:rsidP="00820A67">
            <w:pPr>
              <w:spacing w:after="0"/>
              <w:jc w:val="center"/>
              <w:rPr>
                <w:rFonts w:ascii="Times New Roman" w:hAnsi="Times New Roman" w:cs="Times New Roman"/>
                <w:b/>
                <w:bCs/>
                <w:sz w:val="20"/>
                <w:szCs w:val="20"/>
              </w:rPr>
            </w:pPr>
            <w:r w:rsidRPr="00820A67">
              <w:rPr>
                <w:rFonts w:ascii="Times New Roman" w:hAnsi="Times New Roman" w:cs="Times New Roman"/>
                <w:b/>
                <w:bCs/>
                <w:sz w:val="20"/>
                <w:szCs w:val="20"/>
              </w:rPr>
              <w:t>9.1%</w:t>
            </w:r>
          </w:p>
        </w:tc>
        <w:tc>
          <w:tcPr>
            <w:tcW w:w="851" w:type="dxa"/>
            <w:shd w:val="clear" w:color="auto" w:fill="auto"/>
            <w:noWrap/>
            <w:vAlign w:val="bottom"/>
            <w:hideMark/>
          </w:tcPr>
          <w:p w:rsidR="00820A67" w:rsidRPr="00820A67" w:rsidRDefault="00820A67" w:rsidP="00820A67">
            <w:pPr>
              <w:spacing w:after="0"/>
              <w:jc w:val="center"/>
              <w:rPr>
                <w:rFonts w:ascii="Times New Roman" w:hAnsi="Times New Roman" w:cs="Times New Roman"/>
                <w:b/>
                <w:bCs/>
                <w:sz w:val="20"/>
                <w:szCs w:val="20"/>
              </w:rPr>
            </w:pPr>
            <w:r w:rsidRPr="00820A67">
              <w:rPr>
                <w:rFonts w:ascii="Times New Roman" w:hAnsi="Times New Roman" w:cs="Times New Roman"/>
                <w:b/>
                <w:bCs/>
                <w:sz w:val="20"/>
                <w:szCs w:val="20"/>
              </w:rPr>
              <w:t>9.2%</w:t>
            </w:r>
          </w:p>
        </w:tc>
        <w:tc>
          <w:tcPr>
            <w:tcW w:w="851" w:type="dxa"/>
            <w:shd w:val="clear" w:color="auto" w:fill="auto"/>
            <w:noWrap/>
            <w:vAlign w:val="bottom"/>
            <w:hideMark/>
          </w:tcPr>
          <w:p w:rsidR="00820A67" w:rsidRPr="00820A67" w:rsidRDefault="00820A67" w:rsidP="00820A67">
            <w:pPr>
              <w:spacing w:after="0"/>
              <w:jc w:val="center"/>
              <w:rPr>
                <w:rFonts w:ascii="Times New Roman" w:hAnsi="Times New Roman" w:cs="Times New Roman"/>
                <w:b/>
                <w:bCs/>
                <w:sz w:val="20"/>
                <w:szCs w:val="20"/>
              </w:rPr>
            </w:pPr>
            <w:r w:rsidRPr="00820A67">
              <w:rPr>
                <w:rFonts w:ascii="Times New Roman" w:hAnsi="Times New Roman" w:cs="Times New Roman"/>
                <w:b/>
                <w:bCs/>
                <w:sz w:val="20"/>
                <w:szCs w:val="20"/>
              </w:rPr>
              <w:t>8.9%</w:t>
            </w:r>
          </w:p>
        </w:tc>
      </w:tr>
      <w:tr w:rsidR="00A97B19" w:rsidRPr="00820A67" w:rsidTr="00966F52">
        <w:trPr>
          <w:trHeight w:val="255"/>
        </w:trPr>
        <w:tc>
          <w:tcPr>
            <w:tcW w:w="1990" w:type="dxa"/>
            <w:shd w:val="clear" w:color="auto" w:fill="auto"/>
            <w:noWrap/>
            <w:vAlign w:val="bottom"/>
            <w:hideMark/>
          </w:tcPr>
          <w:p w:rsidR="00820A67" w:rsidRPr="00820A67" w:rsidRDefault="00820A67" w:rsidP="005B38CF">
            <w:pPr>
              <w:spacing w:after="0"/>
              <w:ind w:right="142" w:firstLine="147"/>
              <w:rPr>
                <w:rFonts w:ascii="Times New Roman" w:hAnsi="Times New Roman" w:cs="Times New Roman"/>
                <w:sz w:val="20"/>
                <w:szCs w:val="20"/>
              </w:rPr>
            </w:pPr>
            <w:r w:rsidRPr="00820A67">
              <w:rPr>
                <w:rFonts w:ascii="Times New Roman" w:hAnsi="Times New Roman" w:cs="Times New Roman"/>
                <w:sz w:val="20"/>
                <w:szCs w:val="20"/>
              </w:rPr>
              <w:t>no tiem:</w:t>
            </w:r>
          </w:p>
        </w:tc>
        <w:tc>
          <w:tcPr>
            <w:tcW w:w="851" w:type="dxa"/>
            <w:shd w:val="clear" w:color="auto" w:fill="auto"/>
            <w:noWrap/>
            <w:vAlign w:val="bottom"/>
            <w:hideMark/>
          </w:tcPr>
          <w:p w:rsidR="00820A67" w:rsidRPr="00820A67" w:rsidRDefault="00820A67" w:rsidP="00820A67">
            <w:pPr>
              <w:spacing w:after="0"/>
              <w:jc w:val="right"/>
              <w:rPr>
                <w:rFonts w:ascii="Times New Roman" w:hAnsi="Times New Roman" w:cs="Times New Roman"/>
                <w:b/>
                <w:bCs/>
                <w:sz w:val="20"/>
                <w:szCs w:val="20"/>
              </w:rPr>
            </w:pPr>
          </w:p>
        </w:tc>
        <w:tc>
          <w:tcPr>
            <w:tcW w:w="708" w:type="dxa"/>
            <w:shd w:val="clear" w:color="auto" w:fill="auto"/>
            <w:noWrap/>
            <w:vAlign w:val="bottom"/>
            <w:hideMark/>
          </w:tcPr>
          <w:p w:rsidR="00820A67" w:rsidRPr="00820A67" w:rsidRDefault="00820A67" w:rsidP="00820A67">
            <w:pPr>
              <w:spacing w:after="0"/>
              <w:jc w:val="right"/>
              <w:rPr>
                <w:rFonts w:ascii="Times New Roman" w:hAnsi="Times New Roman" w:cs="Times New Roman"/>
                <w:b/>
                <w:bCs/>
                <w:sz w:val="20"/>
                <w:szCs w:val="20"/>
              </w:rPr>
            </w:pPr>
          </w:p>
        </w:tc>
        <w:tc>
          <w:tcPr>
            <w:tcW w:w="709" w:type="dxa"/>
            <w:shd w:val="clear" w:color="auto" w:fill="auto"/>
            <w:noWrap/>
            <w:vAlign w:val="bottom"/>
            <w:hideMark/>
          </w:tcPr>
          <w:p w:rsidR="00820A67" w:rsidRPr="00820A67" w:rsidRDefault="00820A67" w:rsidP="00820A67">
            <w:pPr>
              <w:spacing w:after="0"/>
              <w:jc w:val="right"/>
              <w:rPr>
                <w:rFonts w:ascii="Times New Roman" w:hAnsi="Times New Roman" w:cs="Times New Roman"/>
                <w:b/>
                <w:bCs/>
                <w:sz w:val="20"/>
                <w:szCs w:val="20"/>
              </w:rPr>
            </w:pPr>
          </w:p>
        </w:tc>
        <w:tc>
          <w:tcPr>
            <w:tcW w:w="851" w:type="dxa"/>
            <w:shd w:val="clear" w:color="auto" w:fill="auto"/>
            <w:noWrap/>
            <w:vAlign w:val="bottom"/>
            <w:hideMark/>
          </w:tcPr>
          <w:p w:rsidR="00820A67" w:rsidRPr="00820A67" w:rsidRDefault="00820A67" w:rsidP="00820A67">
            <w:pPr>
              <w:spacing w:after="0"/>
              <w:jc w:val="right"/>
              <w:rPr>
                <w:rFonts w:ascii="Times New Roman" w:hAnsi="Times New Roman" w:cs="Times New Roman"/>
                <w:b/>
                <w:bCs/>
                <w:sz w:val="20"/>
                <w:szCs w:val="20"/>
              </w:rPr>
            </w:pPr>
          </w:p>
        </w:tc>
        <w:tc>
          <w:tcPr>
            <w:tcW w:w="850" w:type="dxa"/>
            <w:shd w:val="clear" w:color="auto" w:fill="auto"/>
            <w:noWrap/>
            <w:vAlign w:val="bottom"/>
            <w:hideMark/>
          </w:tcPr>
          <w:p w:rsidR="00820A67" w:rsidRPr="00820A67" w:rsidRDefault="00820A67" w:rsidP="00820A67">
            <w:pPr>
              <w:spacing w:after="0"/>
              <w:jc w:val="right"/>
              <w:rPr>
                <w:rFonts w:ascii="Times New Roman" w:hAnsi="Times New Roman" w:cs="Times New Roman"/>
                <w:b/>
                <w:bCs/>
                <w:sz w:val="20"/>
                <w:szCs w:val="20"/>
              </w:rPr>
            </w:pPr>
          </w:p>
        </w:tc>
        <w:tc>
          <w:tcPr>
            <w:tcW w:w="850" w:type="dxa"/>
            <w:shd w:val="clear" w:color="auto" w:fill="auto"/>
            <w:noWrap/>
            <w:vAlign w:val="bottom"/>
            <w:hideMark/>
          </w:tcPr>
          <w:p w:rsidR="00820A67" w:rsidRPr="00820A67" w:rsidRDefault="00820A67" w:rsidP="00820A67">
            <w:pPr>
              <w:spacing w:after="0"/>
              <w:jc w:val="right"/>
              <w:rPr>
                <w:rFonts w:ascii="Times New Roman" w:hAnsi="Times New Roman" w:cs="Times New Roman"/>
                <w:b/>
                <w:bCs/>
                <w:sz w:val="20"/>
                <w:szCs w:val="20"/>
              </w:rPr>
            </w:pPr>
          </w:p>
        </w:tc>
        <w:tc>
          <w:tcPr>
            <w:tcW w:w="851" w:type="dxa"/>
            <w:shd w:val="clear" w:color="auto" w:fill="auto"/>
            <w:noWrap/>
            <w:vAlign w:val="bottom"/>
            <w:hideMark/>
          </w:tcPr>
          <w:p w:rsidR="00820A67" w:rsidRPr="00820A67" w:rsidRDefault="00820A67" w:rsidP="00820A67">
            <w:pPr>
              <w:spacing w:after="0"/>
              <w:jc w:val="right"/>
              <w:rPr>
                <w:rFonts w:ascii="Times New Roman" w:hAnsi="Times New Roman" w:cs="Times New Roman"/>
                <w:b/>
                <w:bCs/>
                <w:sz w:val="20"/>
                <w:szCs w:val="20"/>
              </w:rPr>
            </w:pPr>
          </w:p>
        </w:tc>
        <w:tc>
          <w:tcPr>
            <w:tcW w:w="851" w:type="dxa"/>
            <w:shd w:val="clear" w:color="auto" w:fill="auto"/>
            <w:noWrap/>
            <w:vAlign w:val="bottom"/>
            <w:hideMark/>
          </w:tcPr>
          <w:p w:rsidR="00820A67" w:rsidRPr="00820A67" w:rsidRDefault="00820A67" w:rsidP="00820A67">
            <w:pPr>
              <w:spacing w:after="0"/>
              <w:jc w:val="right"/>
              <w:rPr>
                <w:rFonts w:ascii="Times New Roman" w:hAnsi="Times New Roman" w:cs="Times New Roman"/>
                <w:b/>
                <w:bCs/>
                <w:sz w:val="20"/>
                <w:szCs w:val="20"/>
              </w:rPr>
            </w:pPr>
            <w:r w:rsidRPr="00820A67">
              <w:rPr>
                <w:rFonts w:ascii="Times New Roman" w:hAnsi="Times New Roman" w:cs="Times New Roman"/>
                <w:b/>
                <w:bCs/>
                <w:sz w:val="20"/>
                <w:szCs w:val="20"/>
              </w:rPr>
              <w:t> </w:t>
            </w:r>
          </w:p>
        </w:tc>
      </w:tr>
      <w:tr w:rsidR="00A97B19" w:rsidRPr="00820A67" w:rsidTr="00966F52">
        <w:trPr>
          <w:trHeight w:val="255"/>
        </w:trPr>
        <w:tc>
          <w:tcPr>
            <w:tcW w:w="1990" w:type="dxa"/>
            <w:shd w:val="clear" w:color="auto" w:fill="auto"/>
            <w:noWrap/>
            <w:vAlign w:val="bottom"/>
            <w:hideMark/>
          </w:tcPr>
          <w:p w:rsidR="00820A67" w:rsidRPr="00820A67" w:rsidRDefault="00820A67" w:rsidP="00966F52">
            <w:pPr>
              <w:spacing w:after="0"/>
              <w:ind w:right="142"/>
              <w:jc w:val="right"/>
              <w:rPr>
                <w:rFonts w:ascii="Times New Roman" w:hAnsi="Times New Roman" w:cs="Times New Roman"/>
                <w:i/>
                <w:iCs/>
                <w:sz w:val="20"/>
                <w:szCs w:val="20"/>
              </w:rPr>
            </w:pPr>
            <w:r w:rsidRPr="00820A67">
              <w:rPr>
                <w:rFonts w:ascii="Times New Roman" w:hAnsi="Times New Roman" w:cs="Times New Roman"/>
                <w:i/>
                <w:iCs/>
                <w:sz w:val="20"/>
                <w:szCs w:val="20"/>
              </w:rPr>
              <w:t>vecuma pensijas</w:t>
            </w:r>
          </w:p>
        </w:tc>
        <w:tc>
          <w:tcPr>
            <w:tcW w:w="851"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8.66%</w:t>
            </w:r>
          </w:p>
        </w:tc>
        <w:tc>
          <w:tcPr>
            <w:tcW w:w="708"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7.33%</w:t>
            </w:r>
          </w:p>
        </w:tc>
        <w:tc>
          <w:tcPr>
            <w:tcW w:w="709"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7.02%</w:t>
            </w:r>
          </w:p>
        </w:tc>
        <w:tc>
          <w:tcPr>
            <w:tcW w:w="851"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6.96%</w:t>
            </w:r>
          </w:p>
        </w:tc>
        <w:tc>
          <w:tcPr>
            <w:tcW w:w="850"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6.72%</w:t>
            </w:r>
          </w:p>
        </w:tc>
        <w:tc>
          <w:tcPr>
            <w:tcW w:w="850"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6.59%</w:t>
            </w:r>
          </w:p>
        </w:tc>
        <w:tc>
          <w:tcPr>
            <w:tcW w:w="851"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6.53%</w:t>
            </w:r>
          </w:p>
        </w:tc>
        <w:tc>
          <w:tcPr>
            <w:tcW w:w="851"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6.32%</w:t>
            </w:r>
          </w:p>
        </w:tc>
      </w:tr>
      <w:tr w:rsidR="00A97B19" w:rsidRPr="00820A67" w:rsidTr="00966F52">
        <w:trPr>
          <w:trHeight w:val="255"/>
        </w:trPr>
        <w:tc>
          <w:tcPr>
            <w:tcW w:w="1990" w:type="dxa"/>
            <w:shd w:val="clear" w:color="auto" w:fill="auto"/>
            <w:noWrap/>
            <w:vAlign w:val="bottom"/>
            <w:hideMark/>
          </w:tcPr>
          <w:p w:rsidR="00820A67" w:rsidRPr="00820A67" w:rsidRDefault="00820A67" w:rsidP="00966F52">
            <w:pPr>
              <w:spacing w:after="0"/>
              <w:ind w:right="142"/>
              <w:jc w:val="right"/>
              <w:rPr>
                <w:rFonts w:ascii="Times New Roman" w:hAnsi="Times New Roman" w:cs="Times New Roman"/>
                <w:i/>
                <w:iCs/>
                <w:sz w:val="20"/>
                <w:szCs w:val="20"/>
              </w:rPr>
            </w:pPr>
            <w:r w:rsidRPr="00820A67">
              <w:rPr>
                <w:rFonts w:ascii="Times New Roman" w:hAnsi="Times New Roman" w:cs="Times New Roman"/>
                <w:i/>
                <w:iCs/>
                <w:sz w:val="20"/>
                <w:szCs w:val="20"/>
              </w:rPr>
              <w:t>pensijas apgādnieka zaudējuma gadījumā</w:t>
            </w:r>
          </w:p>
        </w:tc>
        <w:tc>
          <w:tcPr>
            <w:tcW w:w="851"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0.21%</w:t>
            </w:r>
          </w:p>
        </w:tc>
        <w:tc>
          <w:tcPr>
            <w:tcW w:w="708"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0.18%</w:t>
            </w:r>
          </w:p>
        </w:tc>
        <w:tc>
          <w:tcPr>
            <w:tcW w:w="709"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0.15%</w:t>
            </w:r>
          </w:p>
        </w:tc>
        <w:tc>
          <w:tcPr>
            <w:tcW w:w="851"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0.14%</w:t>
            </w:r>
          </w:p>
        </w:tc>
        <w:tc>
          <w:tcPr>
            <w:tcW w:w="850"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0.13%</w:t>
            </w:r>
          </w:p>
        </w:tc>
        <w:tc>
          <w:tcPr>
            <w:tcW w:w="850"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0.12%</w:t>
            </w:r>
          </w:p>
        </w:tc>
        <w:tc>
          <w:tcPr>
            <w:tcW w:w="851"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0.11%</w:t>
            </w:r>
          </w:p>
        </w:tc>
        <w:tc>
          <w:tcPr>
            <w:tcW w:w="851"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0.12%</w:t>
            </w:r>
          </w:p>
        </w:tc>
      </w:tr>
      <w:tr w:rsidR="00A97B19" w:rsidRPr="00820A67" w:rsidTr="00966F52">
        <w:trPr>
          <w:trHeight w:val="255"/>
        </w:trPr>
        <w:tc>
          <w:tcPr>
            <w:tcW w:w="1990" w:type="dxa"/>
            <w:shd w:val="clear" w:color="auto" w:fill="auto"/>
            <w:noWrap/>
            <w:vAlign w:val="bottom"/>
            <w:hideMark/>
          </w:tcPr>
          <w:p w:rsidR="00820A67" w:rsidRPr="00820A67" w:rsidRDefault="00820A67" w:rsidP="00966F52">
            <w:pPr>
              <w:spacing w:after="0"/>
              <w:ind w:right="142"/>
              <w:jc w:val="right"/>
              <w:rPr>
                <w:rFonts w:ascii="Times New Roman" w:hAnsi="Times New Roman" w:cs="Times New Roman"/>
                <w:i/>
                <w:iCs/>
                <w:sz w:val="20"/>
                <w:szCs w:val="20"/>
              </w:rPr>
            </w:pPr>
            <w:r w:rsidRPr="00820A67">
              <w:rPr>
                <w:rFonts w:ascii="Times New Roman" w:hAnsi="Times New Roman" w:cs="Times New Roman"/>
                <w:i/>
                <w:iCs/>
                <w:sz w:val="20"/>
                <w:szCs w:val="20"/>
              </w:rPr>
              <w:t>bezdarbnieku pabalsti</w:t>
            </w:r>
          </w:p>
        </w:tc>
        <w:tc>
          <w:tcPr>
            <w:tcW w:w="851"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0.70%</w:t>
            </w:r>
          </w:p>
        </w:tc>
        <w:tc>
          <w:tcPr>
            <w:tcW w:w="708"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0.31%</w:t>
            </w:r>
          </w:p>
        </w:tc>
        <w:tc>
          <w:tcPr>
            <w:tcW w:w="709"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0.27%</w:t>
            </w:r>
          </w:p>
        </w:tc>
        <w:tc>
          <w:tcPr>
            <w:tcW w:w="851"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0.33%</w:t>
            </w:r>
          </w:p>
        </w:tc>
        <w:tc>
          <w:tcPr>
            <w:tcW w:w="850"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0.36%</w:t>
            </w:r>
          </w:p>
        </w:tc>
        <w:tc>
          <w:tcPr>
            <w:tcW w:w="850"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0.42%</w:t>
            </w:r>
          </w:p>
        </w:tc>
        <w:tc>
          <w:tcPr>
            <w:tcW w:w="851"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0.47%</w:t>
            </w:r>
          </w:p>
        </w:tc>
        <w:tc>
          <w:tcPr>
            <w:tcW w:w="851"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0.42%</w:t>
            </w:r>
          </w:p>
        </w:tc>
      </w:tr>
      <w:tr w:rsidR="00A97B19" w:rsidRPr="00820A67" w:rsidTr="00966F52">
        <w:trPr>
          <w:trHeight w:val="255"/>
        </w:trPr>
        <w:tc>
          <w:tcPr>
            <w:tcW w:w="1990" w:type="dxa"/>
            <w:shd w:val="clear" w:color="auto" w:fill="auto"/>
            <w:noWrap/>
            <w:vAlign w:val="bottom"/>
            <w:hideMark/>
          </w:tcPr>
          <w:p w:rsidR="00820A67" w:rsidRPr="00820A67" w:rsidRDefault="00820A67" w:rsidP="00966F52">
            <w:pPr>
              <w:spacing w:after="0"/>
              <w:ind w:right="142"/>
              <w:jc w:val="right"/>
              <w:rPr>
                <w:rFonts w:ascii="Times New Roman" w:hAnsi="Times New Roman" w:cs="Times New Roman"/>
                <w:i/>
                <w:iCs/>
                <w:sz w:val="20"/>
                <w:szCs w:val="20"/>
              </w:rPr>
            </w:pPr>
            <w:r w:rsidRPr="00820A67">
              <w:rPr>
                <w:rFonts w:ascii="Times New Roman" w:hAnsi="Times New Roman" w:cs="Times New Roman"/>
                <w:i/>
                <w:iCs/>
                <w:sz w:val="20"/>
                <w:szCs w:val="20"/>
              </w:rPr>
              <w:t>pabalsti sakarā ar negadījumu darbā</w:t>
            </w:r>
          </w:p>
        </w:tc>
        <w:tc>
          <w:tcPr>
            <w:tcW w:w="851"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0.10%</w:t>
            </w:r>
          </w:p>
        </w:tc>
        <w:tc>
          <w:tcPr>
            <w:tcW w:w="708"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0.10%</w:t>
            </w:r>
          </w:p>
        </w:tc>
        <w:tc>
          <w:tcPr>
            <w:tcW w:w="709"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0.10%</w:t>
            </w:r>
          </w:p>
        </w:tc>
        <w:tc>
          <w:tcPr>
            <w:tcW w:w="851"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0.10%</w:t>
            </w:r>
          </w:p>
        </w:tc>
        <w:tc>
          <w:tcPr>
            <w:tcW w:w="850"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0.11%</w:t>
            </w:r>
          </w:p>
        </w:tc>
        <w:tc>
          <w:tcPr>
            <w:tcW w:w="850"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0.12%</w:t>
            </w:r>
          </w:p>
        </w:tc>
        <w:tc>
          <w:tcPr>
            <w:tcW w:w="851"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0.13%</w:t>
            </w:r>
          </w:p>
        </w:tc>
        <w:tc>
          <w:tcPr>
            <w:tcW w:w="851"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0.14%</w:t>
            </w:r>
          </w:p>
        </w:tc>
      </w:tr>
      <w:tr w:rsidR="00A97B19" w:rsidRPr="00820A67" w:rsidTr="00966F52">
        <w:trPr>
          <w:trHeight w:val="255"/>
        </w:trPr>
        <w:tc>
          <w:tcPr>
            <w:tcW w:w="1990" w:type="dxa"/>
            <w:shd w:val="clear" w:color="auto" w:fill="auto"/>
            <w:noWrap/>
            <w:vAlign w:val="bottom"/>
            <w:hideMark/>
          </w:tcPr>
          <w:p w:rsidR="00820A67" w:rsidRPr="00820A67" w:rsidRDefault="00820A67" w:rsidP="00966F52">
            <w:pPr>
              <w:spacing w:after="0"/>
              <w:ind w:right="142"/>
              <w:jc w:val="right"/>
              <w:rPr>
                <w:rFonts w:ascii="Times New Roman" w:hAnsi="Times New Roman" w:cs="Times New Roman"/>
                <w:i/>
                <w:iCs/>
                <w:sz w:val="20"/>
                <w:szCs w:val="20"/>
              </w:rPr>
            </w:pPr>
            <w:r w:rsidRPr="00820A67">
              <w:rPr>
                <w:rFonts w:ascii="Times New Roman" w:hAnsi="Times New Roman" w:cs="Times New Roman"/>
                <w:i/>
                <w:iCs/>
                <w:sz w:val="20"/>
                <w:szCs w:val="20"/>
              </w:rPr>
              <w:t>invaliditātes pensijas</w:t>
            </w:r>
          </w:p>
        </w:tc>
        <w:tc>
          <w:tcPr>
            <w:tcW w:w="851"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0.80%</w:t>
            </w:r>
          </w:p>
        </w:tc>
        <w:tc>
          <w:tcPr>
            <w:tcW w:w="708"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0.72%</w:t>
            </w:r>
          </w:p>
        </w:tc>
        <w:tc>
          <w:tcPr>
            <w:tcW w:w="709"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0.66%</w:t>
            </w:r>
          </w:p>
        </w:tc>
        <w:tc>
          <w:tcPr>
            <w:tcW w:w="851"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0.64%</w:t>
            </w:r>
          </w:p>
        </w:tc>
        <w:tc>
          <w:tcPr>
            <w:tcW w:w="850"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0.62%</w:t>
            </w:r>
          </w:p>
        </w:tc>
        <w:tc>
          <w:tcPr>
            <w:tcW w:w="850"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0.61%</w:t>
            </w:r>
          </w:p>
        </w:tc>
        <w:tc>
          <w:tcPr>
            <w:tcW w:w="851"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0.60%</w:t>
            </w:r>
          </w:p>
        </w:tc>
        <w:tc>
          <w:tcPr>
            <w:tcW w:w="851"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0.57%</w:t>
            </w:r>
          </w:p>
        </w:tc>
      </w:tr>
      <w:tr w:rsidR="00A97B19" w:rsidRPr="00820A67" w:rsidTr="00966F52">
        <w:trPr>
          <w:trHeight w:val="255"/>
        </w:trPr>
        <w:tc>
          <w:tcPr>
            <w:tcW w:w="1990" w:type="dxa"/>
            <w:shd w:val="clear" w:color="auto" w:fill="auto"/>
            <w:noWrap/>
            <w:vAlign w:val="bottom"/>
            <w:hideMark/>
          </w:tcPr>
          <w:p w:rsidR="00820A67" w:rsidRPr="00820A67" w:rsidRDefault="00820A67" w:rsidP="00966F52">
            <w:pPr>
              <w:spacing w:after="0"/>
              <w:ind w:right="142"/>
              <w:jc w:val="right"/>
              <w:rPr>
                <w:rFonts w:ascii="Times New Roman" w:hAnsi="Times New Roman" w:cs="Times New Roman"/>
                <w:i/>
                <w:iCs/>
                <w:sz w:val="20"/>
                <w:szCs w:val="20"/>
              </w:rPr>
            </w:pPr>
            <w:r w:rsidRPr="00820A67">
              <w:rPr>
                <w:rFonts w:ascii="Times New Roman" w:hAnsi="Times New Roman" w:cs="Times New Roman"/>
                <w:i/>
                <w:iCs/>
                <w:sz w:val="20"/>
                <w:szCs w:val="20"/>
              </w:rPr>
              <w:t>maternitātes pabalsti</w:t>
            </w:r>
          </w:p>
        </w:tc>
        <w:tc>
          <w:tcPr>
            <w:tcW w:w="851"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0.21%</w:t>
            </w:r>
          </w:p>
        </w:tc>
        <w:tc>
          <w:tcPr>
            <w:tcW w:w="708"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0.12%</w:t>
            </w:r>
          </w:p>
        </w:tc>
        <w:tc>
          <w:tcPr>
            <w:tcW w:w="709"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0.11%</w:t>
            </w:r>
          </w:p>
        </w:tc>
        <w:tc>
          <w:tcPr>
            <w:tcW w:w="851"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0.13%</w:t>
            </w:r>
          </w:p>
        </w:tc>
        <w:tc>
          <w:tcPr>
            <w:tcW w:w="850"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0.15%</w:t>
            </w:r>
          </w:p>
        </w:tc>
        <w:tc>
          <w:tcPr>
            <w:tcW w:w="850"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0.17%</w:t>
            </w:r>
          </w:p>
        </w:tc>
        <w:tc>
          <w:tcPr>
            <w:tcW w:w="851"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0.18%</w:t>
            </w:r>
          </w:p>
        </w:tc>
        <w:tc>
          <w:tcPr>
            <w:tcW w:w="851"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0.17%</w:t>
            </w:r>
          </w:p>
        </w:tc>
      </w:tr>
      <w:tr w:rsidR="00A97B19" w:rsidRPr="00820A67" w:rsidTr="00966F52">
        <w:trPr>
          <w:trHeight w:val="255"/>
        </w:trPr>
        <w:tc>
          <w:tcPr>
            <w:tcW w:w="1990" w:type="dxa"/>
            <w:shd w:val="clear" w:color="auto" w:fill="auto"/>
            <w:noWrap/>
            <w:vAlign w:val="bottom"/>
            <w:hideMark/>
          </w:tcPr>
          <w:p w:rsidR="00820A67" w:rsidRPr="00820A67" w:rsidRDefault="00820A67" w:rsidP="00966F52">
            <w:pPr>
              <w:spacing w:after="0"/>
              <w:ind w:right="142"/>
              <w:jc w:val="right"/>
              <w:rPr>
                <w:rFonts w:ascii="Times New Roman" w:hAnsi="Times New Roman" w:cs="Times New Roman"/>
                <w:i/>
                <w:iCs/>
                <w:sz w:val="20"/>
                <w:szCs w:val="20"/>
              </w:rPr>
            </w:pPr>
            <w:r w:rsidRPr="00820A67">
              <w:rPr>
                <w:rFonts w:ascii="Times New Roman" w:hAnsi="Times New Roman" w:cs="Times New Roman"/>
                <w:i/>
                <w:iCs/>
                <w:sz w:val="20"/>
                <w:szCs w:val="20"/>
              </w:rPr>
              <w:t>paternitātes pabalsti</w:t>
            </w:r>
          </w:p>
        </w:tc>
        <w:tc>
          <w:tcPr>
            <w:tcW w:w="851"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0.01%</w:t>
            </w:r>
          </w:p>
        </w:tc>
        <w:tc>
          <w:tcPr>
            <w:tcW w:w="708"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0.01%</w:t>
            </w:r>
          </w:p>
        </w:tc>
        <w:tc>
          <w:tcPr>
            <w:tcW w:w="709"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0.01%</w:t>
            </w:r>
          </w:p>
        </w:tc>
        <w:tc>
          <w:tcPr>
            <w:tcW w:w="851"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0.01%</w:t>
            </w:r>
          </w:p>
        </w:tc>
        <w:tc>
          <w:tcPr>
            <w:tcW w:w="850"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0.01%</w:t>
            </w:r>
          </w:p>
        </w:tc>
        <w:tc>
          <w:tcPr>
            <w:tcW w:w="850"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0.01%</w:t>
            </w:r>
          </w:p>
        </w:tc>
        <w:tc>
          <w:tcPr>
            <w:tcW w:w="851"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0.01%</w:t>
            </w:r>
          </w:p>
        </w:tc>
        <w:tc>
          <w:tcPr>
            <w:tcW w:w="851"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0.01%</w:t>
            </w:r>
          </w:p>
        </w:tc>
      </w:tr>
      <w:tr w:rsidR="00A97B19" w:rsidRPr="00820A67" w:rsidTr="00966F52">
        <w:trPr>
          <w:trHeight w:val="255"/>
        </w:trPr>
        <w:tc>
          <w:tcPr>
            <w:tcW w:w="1990" w:type="dxa"/>
            <w:shd w:val="clear" w:color="auto" w:fill="auto"/>
            <w:noWrap/>
            <w:vAlign w:val="bottom"/>
            <w:hideMark/>
          </w:tcPr>
          <w:p w:rsidR="00820A67" w:rsidRPr="00820A67" w:rsidRDefault="00820A67" w:rsidP="00966F52">
            <w:pPr>
              <w:spacing w:after="0"/>
              <w:ind w:right="142"/>
              <w:jc w:val="right"/>
              <w:rPr>
                <w:rFonts w:ascii="Times New Roman" w:hAnsi="Times New Roman" w:cs="Times New Roman"/>
                <w:i/>
                <w:iCs/>
                <w:sz w:val="20"/>
                <w:szCs w:val="20"/>
              </w:rPr>
            </w:pPr>
            <w:r w:rsidRPr="00820A67">
              <w:rPr>
                <w:rFonts w:ascii="Times New Roman" w:hAnsi="Times New Roman" w:cs="Times New Roman"/>
                <w:i/>
                <w:iCs/>
                <w:sz w:val="20"/>
                <w:szCs w:val="20"/>
              </w:rPr>
              <w:t>slimības pabalsti</w:t>
            </w:r>
          </w:p>
        </w:tc>
        <w:tc>
          <w:tcPr>
            <w:tcW w:w="851"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0.52%</w:t>
            </w:r>
          </w:p>
        </w:tc>
        <w:tc>
          <w:tcPr>
            <w:tcW w:w="708"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0.37%</w:t>
            </w:r>
          </w:p>
        </w:tc>
        <w:tc>
          <w:tcPr>
            <w:tcW w:w="709"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0.33%</w:t>
            </w:r>
          </w:p>
        </w:tc>
        <w:tc>
          <w:tcPr>
            <w:tcW w:w="851"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0.35%</w:t>
            </w:r>
          </w:p>
        </w:tc>
        <w:tc>
          <w:tcPr>
            <w:tcW w:w="850"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0.35%</w:t>
            </w:r>
          </w:p>
        </w:tc>
        <w:tc>
          <w:tcPr>
            <w:tcW w:w="850"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0.47%</w:t>
            </w:r>
          </w:p>
        </w:tc>
        <w:tc>
          <w:tcPr>
            <w:tcW w:w="851"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0.54%</w:t>
            </w:r>
          </w:p>
        </w:tc>
        <w:tc>
          <w:tcPr>
            <w:tcW w:w="851"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0.54%</w:t>
            </w:r>
          </w:p>
        </w:tc>
      </w:tr>
      <w:tr w:rsidR="00A97B19" w:rsidRPr="00820A67" w:rsidTr="00966F52">
        <w:trPr>
          <w:trHeight w:val="255"/>
        </w:trPr>
        <w:tc>
          <w:tcPr>
            <w:tcW w:w="1990" w:type="dxa"/>
            <w:shd w:val="clear" w:color="auto" w:fill="auto"/>
            <w:noWrap/>
            <w:vAlign w:val="bottom"/>
            <w:hideMark/>
          </w:tcPr>
          <w:p w:rsidR="00820A67" w:rsidRPr="00820A67" w:rsidRDefault="00820A67" w:rsidP="00966F52">
            <w:pPr>
              <w:spacing w:after="0"/>
              <w:ind w:right="142"/>
              <w:jc w:val="right"/>
              <w:rPr>
                <w:rFonts w:ascii="Times New Roman" w:hAnsi="Times New Roman" w:cs="Times New Roman"/>
                <w:i/>
                <w:iCs/>
                <w:sz w:val="20"/>
                <w:szCs w:val="20"/>
              </w:rPr>
            </w:pPr>
            <w:r w:rsidRPr="00820A67">
              <w:rPr>
                <w:rFonts w:ascii="Times New Roman" w:hAnsi="Times New Roman" w:cs="Times New Roman"/>
                <w:i/>
                <w:iCs/>
                <w:sz w:val="20"/>
                <w:szCs w:val="20"/>
              </w:rPr>
              <w:t>vecāku pabalsti</w:t>
            </w:r>
          </w:p>
        </w:tc>
        <w:tc>
          <w:tcPr>
            <w:tcW w:w="851"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0.45%</w:t>
            </w:r>
          </w:p>
        </w:tc>
        <w:tc>
          <w:tcPr>
            <w:tcW w:w="708"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0.26%</w:t>
            </w:r>
          </w:p>
        </w:tc>
        <w:tc>
          <w:tcPr>
            <w:tcW w:w="709"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0.21%</w:t>
            </w:r>
          </w:p>
        </w:tc>
        <w:tc>
          <w:tcPr>
            <w:tcW w:w="851"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0.27%</w:t>
            </w:r>
          </w:p>
        </w:tc>
        <w:tc>
          <w:tcPr>
            <w:tcW w:w="850"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0.30%</w:t>
            </w:r>
          </w:p>
        </w:tc>
        <w:tc>
          <w:tcPr>
            <w:tcW w:w="850"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0.31%</w:t>
            </w:r>
          </w:p>
        </w:tc>
        <w:tc>
          <w:tcPr>
            <w:tcW w:w="851"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0.37%</w:t>
            </w:r>
          </w:p>
        </w:tc>
        <w:tc>
          <w:tcPr>
            <w:tcW w:w="851" w:type="dxa"/>
            <w:shd w:val="clear" w:color="auto" w:fill="auto"/>
            <w:noWrap/>
            <w:vAlign w:val="center"/>
            <w:hideMark/>
          </w:tcPr>
          <w:p w:rsidR="00820A67" w:rsidRPr="00820A67" w:rsidRDefault="00820A67" w:rsidP="00A97B19">
            <w:pPr>
              <w:spacing w:after="0"/>
              <w:jc w:val="center"/>
              <w:rPr>
                <w:rFonts w:ascii="Times New Roman" w:hAnsi="Times New Roman" w:cs="Times New Roman"/>
                <w:i/>
                <w:iCs/>
                <w:sz w:val="20"/>
                <w:szCs w:val="20"/>
              </w:rPr>
            </w:pPr>
            <w:r w:rsidRPr="00820A67">
              <w:rPr>
                <w:rFonts w:ascii="Times New Roman" w:hAnsi="Times New Roman" w:cs="Times New Roman"/>
                <w:i/>
                <w:iCs/>
                <w:sz w:val="20"/>
                <w:szCs w:val="20"/>
              </w:rPr>
              <w:t>0.37%</w:t>
            </w:r>
          </w:p>
        </w:tc>
      </w:tr>
      <w:tr w:rsidR="00A97B19" w:rsidRPr="00820A67" w:rsidTr="00966F52">
        <w:trPr>
          <w:trHeight w:val="300"/>
        </w:trPr>
        <w:tc>
          <w:tcPr>
            <w:tcW w:w="1990" w:type="dxa"/>
            <w:shd w:val="clear" w:color="auto" w:fill="auto"/>
            <w:noWrap/>
            <w:vAlign w:val="bottom"/>
            <w:hideMark/>
          </w:tcPr>
          <w:p w:rsidR="00820A67" w:rsidRPr="00820A67" w:rsidRDefault="00820A67" w:rsidP="005B38CF">
            <w:pPr>
              <w:spacing w:after="0"/>
              <w:ind w:left="147"/>
              <w:rPr>
                <w:rFonts w:ascii="Times New Roman" w:hAnsi="Times New Roman" w:cs="Times New Roman"/>
                <w:b/>
                <w:bCs/>
                <w:sz w:val="20"/>
                <w:szCs w:val="20"/>
              </w:rPr>
            </w:pPr>
            <w:r w:rsidRPr="00820A67">
              <w:rPr>
                <w:rFonts w:ascii="Times New Roman" w:hAnsi="Times New Roman" w:cs="Times New Roman"/>
                <w:b/>
                <w:bCs/>
                <w:sz w:val="20"/>
                <w:szCs w:val="20"/>
              </w:rPr>
              <w:t>finansiālā bilance</w:t>
            </w:r>
          </w:p>
        </w:tc>
        <w:tc>
          <w:tcPr>
            <w:tcW w:w="851" w:type="dxa"/>
            <w:shd w:val="clear" w:color="auto" w:fill="auto"/>
            <w:noWrap/>
            <w:vAlign w:val="center"/>
            <w:hideMark/>
          </w:tcPr>
          <w:p w:rsidR="00820A67" w:rsidRPr="00820A67" w:rsidRDefault="00820A67" w:rsidP="00A97B19">
            <w:pPr>
              <w:spacing w:after="0"/>
              <w:jc w:val="center"/>
              <w:rPr>
                <w:rFonts w:ascii="Times New Roman" w:hAnsi="Times New Roman" w:cs="Times New Roman"/>
                <w:b/>
                <w:bCs/>
                <w:sz w:val="20"/>
                <w:szCs w:val="20"/>
              </w:rPr>
            </w:pPr>
            <w:r w:rsidRPr="00820A67">
              <w:rPr>
                <w:rFonts w:ascii="Times New Roman" w:hAnsi="Times New Roman" w:cs="Times New Roman"/>
                <w:b/>
                <w:bCs/>
                <w:sz w:val="20"/>
                <w:szCs w:val="20"/>
              </w:rPr>
              <w:t>-2.7%</w:t>
            </w:r>
          </w:p>
        </w:tc>
        <w:tc>
          <w:tcPr>
            <w:tcW w:w="708" w:type="dxa"/>
            <w:shd w:val="clear" w:color="auto" w:fill="auto"/>
            <w:noWrap/>
            <w:vAlign w:val="center"/>
            <w:hideMark/>
          </w:tcPr>
          <w:p w:rsidR="00820A67" w:rsidRPr="00820A67" w:rsidRDefault="00820A67" w:rsidP="00A97B19">
            <w:pPr>
              <w:spacing w:after="0"/>
              <w:jc w:val="center"/>
              <w:rPr>
                <w:rFonts w:ascii="Times New Roman" w:hAnsi="Times New Roman" w:cs="Times New Roman"/>
                <w:b/>
                <w:bCs/>
                <w:sz w:val="20"/>
                <w:szCs w:val="20"/>
              </w:rPr>
            </w:pPr>
            <w:r w:rsidRPr="00820A67">
              <w:rPr>
                <w:rFonts w:ascii="Times New Roman" w:hAnsi="Times New Roman" w:cs="Times New Roman"/>
                <w:b/>
                <w:bCs/>
                <w:sz w:val="20"/>
                <w:szCs w:val="20"/>
              </w:rPr>
              <w:t>-0.9%</w:t>
            </w:r>
          </w:p>
        </w:tc>
        <w:tc>
          <w:tcPr>
            <w:tcW w:w="709" w:type="dxa"/>
            <w:shd w:val="clear" w:color="auto" w:fill="auto"/>
            <w:noWrap/>
            <w:vAlign w:val="center"/>
            <w:hideMark/>
          </w:tcPr>
          <w:p w:rsidR="00820A67" w:rsidRPr="00820A67" w:rsidRDefault="00820A67" w:rsidP="00A97B19">
            <w:pPr>
              <w:spacing w:after="0"/>
              <w:jc w:val="center"/>
              <w:rPr>
                <w:rFonts w:ascii="Times New Roman" w:hAnsi="Times New Roman" w:cs="Times New Roman"/>
                <w:b/>
                <w:bCs/>
                <w:sz w:val="20"/>
                <w:szCs w:val="20"/>
              </w:rPr>
            </w:pPr>
            <w:r w:rsidRPr="00820A67">
              <w:rPr>
                <w:rFonts w:ascii="Times New Roman" w:hAnsi="Times New Roman" w:cs="Times New Roman"/>
                <w:b/>
                <w:bCs/>
                <w:sz w:val="20"/>
                <w:szCs w:val="20"/>
              </w:rPr>
              <w:t>-0.3%</w:t>
            </w:r>
          </w:p>
        </w:tc>
        <w:tc>
          <w:tcPr>
            <w:tcW w:w="851" w:type="dxa"/>
            <w:shd w:val="clear" w:color="auto" w:fill="auto"/>
            <w:noWrap/>
            <w:vAlign w:val="center"/>
            <w:hideMark/>
          </w:tcPr>
          <w:p w:rsidR="00820A67" w:rsidRPr="00820A67" w:rsidRDefault="00820A67" w:rsidP="00A97B19">
            <w:pPr>
              <w:spacing w:after="0"/>
              <w:jc w:val="center"/>
              <w:rPr>
                <w:rFonts w:ascii="Times New Roman" w:hAnsi="Times New Roman" w:cs="Times New Roman"/>
                <w:b/>
                <w:bCs/>
                <w:sz w:val="20"/>
                <w:szCs w:val="20"/>
              </w:rPr>
            </w:pPr>
            <w:r w:rsidRPr="00820A67">
              <w:rPr>
                <w:rFonts w:ascii="Times New Roman" w:hAnsi="Times New Roman" w:cs="Times New Roman"/>
                <w:b/>
                <w:bCs/>
                <w:sz w:val="20"/>
                <w:szCs w:val="20"/>
              </w:rPr>
              <w:t>-0.3%</w:t>
            </w:r>
          </w:p>
        </w:tc>
        <w:tc>
          <w:tcPr>
            <w:tcW w:w="850" w:type="dxa"/>
            <w:shd w:val="clear" w:color="auto" w:fill="auto"/>
            <w:noWrap/>
            <w:vAlign w:val="center"/>
            <w:hideMark/>
          </w:tcPr>
          <w:p w:rsidR="00820A67" w:rsidRPr="00820A67" w:rsidRDefault="00820A67" w:rsidP="00A97B19">
            <w:pPr>
              <w:spacing w:after="0"/>
              <w:jc w:val="center"/>
              <w:rPr>
                <w:rFonts w:ascii="Times New Roman" w:hAnsi="Times New Roman" w:cs="Times New Roman"/>
                <w:b/>
                <w:bCs/>
                <w:sz w:val="20"/>
                <w:szCs w:val="20"/>
              </w:rPr>
            </w:pPr>
            <w:r w:rsidRPr="00820A67">
              <w:rPr>
                <w:rFonts w:ascii="Times New Roman" w:hAnsi="Times New Roman" w:cs="Times New Roman"/>
                <w:b/>
                <w:bCs/>
                <w:sz w:val="20"/>
                <w:szCs w:val="20"/>
              </w:rPr>
              <w:t>0.4%</w:t>
            </w:r>
          </w:p>
        </w:tc>
        <w:tc>
          <w:tcPr>
            <w:tcW w:w="850" w:type="dxa"/>
            <w:shd w:val="clear" w:color="auto" w:fill="auto"/>
            <w:noWrap/>
            <w:vAlign w:val="center"/>
            <w:hideMark/>
          </w:tcPr>
          <w:p w:rsidR="00820A67" w:rsidRPr="00820A67" w:rsidRDefault="00820A67" w:rsidP="00A97B19">
            <w:pPr>
              <w:spacing w:after="0"/>
              <w:jc w:val="center"/>
              <w:rPr>
                <w:rFonts w:ascii="Times New Roman" w:hAnsi="Times New Roman" w:cs="Times New Roman"/>
                <w:b/>
                <w:bCs/>
                <w:sz w:val="20"/>
                <w:szCs w:val="20"/>
              </w:rPr>
            </w:pPr>
            <w:r w:rsidRPr="00820A67">
              <w:rPr>
                <w:rFonts w:ascii="Times New Roman" w:hAnsi="Times New Roman" w:cs="Times New Roman"/>
                <w:b/>
                <w:bCs/>
                <w:sz w:val="20"/>
                <w:szCs w:val="20"/>
              </w:rPr>
              <w:t>0.4%</w:t>
            </w:r>
          </w:p>
        </w:tc>
        <w:tc>
          <w:tcPr>
            <w:tcW w:w="851" w:type="dxa"/>
            <w:shd w:val="clear" w:color="auto" w:fill="auto"/>
            <w:noWrap/>
            <w:vAlign w:val="center"/>
            <w:hideMark/>
          </w:tcPr>
          <w:p w:rsidR="00820A67" w:rsidRPr="00820A67" w:rsidRDefault="00820A67" w:rsidP="00A97B19">
            <w:pPr>
              <w:spacing w:after="0"/>
              <w:jc w:val="center"/>
              <w:rPr>
                <w:rFonts w:ascii="Times New Roman" w:hAnsi="Times New Roman" w:cs="Times New Roman"/>
                <w:b/>
                <w:bCs/>
                <w:sz w:val="20"/>
                <w:szCs w:val="20"/>
              </w:rPr>
            </w:pPr>
            <w:r w:rsidRPr="00820A67">
              <w:rPr>
                <w:rFonts w:ascii="Times New Roman" w:hAnsi="Times New Roman" w:cs="Times New Roman"/>
                <w:b/>
                <w:bCs/>
                <w:sz w:val="20"/>
                <w:szCs w:val="20"/>
              </w:rPr>
              <w:t>0.2%</w:t>
            </w:r>
          </w:p>
        </w:tc>
        <w:tc>
          <w:tcPr>
            <w:tcW w:w="851" w:type="dxa"/>
            <w:shd w:val="clear" w:color="auto" w:fill="auto"/>
            <w:noWrap/>
            <w:vAlign w:val="center"/>
            <w:hideMark/>
          </w:tcPr>
          <w:p w:rsidR="00820A67" w:rsidRPr="00820A67" w:rsidRDefault="00820A67" w:rsidP="00A97B19">
            <w:pPr>
              <w:spacing w:after="0"/>
              <w:jc w:val="center"/>
              <w:rPr>
                <w:rFonts w:ascii="Times New Roman" w:hAnsi="Times New Roman" w:cs="Times New Roman"/>
                <w:b/>
                <w:bCs/>
                <w:sz w:val="20"/>
                <w:szCs w:val="20"/>
              </w:rPr>
            </w:pPr>
            <w:r w:rsidRPr="00820A67">
              <w:rPr>
                <w:rFonts w:ascii="Times New Roman" w:hAnsi="Times New Roman" w:cs="Times New Roman"/>
                <w:b/>
                <w:bCs/>
                <w:sz w:val="20"/>
                <w:szCs w:val="20"/>
              </w:rPr>
              <w:t>0.4%</w:t>
            </w:r>
          </w:p>
        </w:tc>
      </w:tr>
      <w:tr w:rsidR="00A97B19" w:rsidRPr="00820A67" w:rsidTr="00966F52">
        <w:trPr>
          <w:trHeight w:val="300"/>
        </w:trPr>
        <w:tc>
          <w:tcPr>
            <w:tcW w:w="1990" w:type="dxa"/>
            <w:shd w:val="clear" w:color="auto" w:fill="auto"/>
            <w:noWrap/>
            <w:vAlign w:val="bottom"/>
            <w:hideMark/>
          </w:tcPr>
          <w:p w:rsidR="00820A67" w:rsidRPr="00820A67" w:rsidRDefault="00820A67" w:rsidP="005B38CF">
            <w:pPr>
              <w:spacing w:after="0"/>
              <w:ind w:left="147"/>
              <w:rPr>
                <w:rFonts w:ascii="Times New Roman" w:hAnsi="Times New Roman" w:cs="Times New Roman"/>
                <w:b/>
                <w:bCs/>
                <w:sz w:val="20"/>
                <w:szCs w:val="20"/>
              </w:rPr>
            </w:pPr>
            <w:r w:rsidRPr="00820A67">
              <w:rPr>
                <w:rFonts w:ascii="Times New Roman" w:hAnsi="Times New Roman" w:cs="Times New Roman"/>
                <w:b/>
                <w:bCs/>
                <w:sz w:val="20"/>
                <w:szCs w:val="20"/>
              </w:rPr>
              <w:t>naudas līdzekļu uzkrājums perioda beigās</w:t>
            </w:r>
          </w:p>
        </w:tc>
        <w:tc>
          <w:tcPr>
            <w:tcW w:w="851" w:type="dxa"/>
            <w:shd w:val="clear" w:color="auto" w:fill="auto"/>
            <w:noWrap/>
            <w:vAlign w:val="center"/>
            <w:hideMark/>
          </w:tcPr>
          <w:p w:rsidR="00820A67" w:rsidRPr="00820A67" w:rsidRDefault="00820A67" w:rsidP="00A97B19">
            <w:pPr>
              <w:spacing w:after="0"/>
              <w:jc w:val="center"/>
              <w:rPr>
                <w:rFonts w:ascii="Times New Roman" w:hAnsi="Times New Roman" w:cs="Times New Roman"/>
                <w:b/>
                <w:bCs/>
                <w:sz w:val="20"/>
                <w:szCs w:val="20"/>
              </w:rPr>
            </w:pPr>
            <w:r w:rsidRPr="00820A67">
              <w:rPr>
                <w:rFonts w:ascii="Times New Roman" w:hAnsi="Times New Roman" w:cs="Times New Roman"/>
                <w:b/>
                <w:bCs/>
                <w:sz w:val="20"/>
                <w:szCs w:val="20"/>
              </w:rPr>
              <w:t>3.2%</w:t>
            </w:r>
          </w:p>
        </w:tc>
        <w:tc>
          <w:tcPr>
            <w:tcW w:w="708" w:type="dxa"/>
            <w:shd w:val="clear" w:color="auto" w:fill="auto"/>
            <w:noWrap/>
            <w:vAlign w:val="center"/>
            <w:hideMark/>
          </w:tcPr>
          <w:p w:rsidR="00820A67" w:rsidRPr="00820A67" w:rsidRDefault="00820A67" w:rsidP="00A97B19">
            <w:pPr>
              <w:spacing w:after="0"/>
              <w:jc w:val="center"/>
              <w:rPr>
                <w:rFonts w:ascii="Times New Roman" w:hAnsi="Times New Roman" w:cs="Times New Roman"/>
                <w:b/>
                <w:bCs/>
                <w:sz w:val="20"/>
                <w:szCs w:val="20"/>
              </w:rPr>
            </w:pPr>
            <w:r w:rsidRPr="00820A67">
              <w:rPr>
                <w:rFonts w:ascii="Times New Roman" w:hAnsi="Times New Roman" w:cs="Times New Roman"/>
                <w:b/>
                <w:bCs/>
                <w:sz w:val="20"/>
                <w:szCs w:val="20"/>
              </w:rPr>
              <w:t>1.9%</w:t>
            </w:r>
          </w:p>
        </w:tc>
        <w:tc>
          <w:tcPr>
            <w:tcW w:w="709" w:type="dxa"/>
            <w:shd w:val="clear" w:color="auto" w:fill="auto"/>
            <w:noWrap/>
            <w:vAlign w:val="center"/>
            <w:hideMark/>
          </w:tcPr>
          <w:p w:rsidR="00820A67" w:rsidRPr="00820A67" w:rsidRDefault="00820A67" w:rsidP="00A97B19">
            <w:pPr>
              <w:spacing w:after="0"/>
              <w:jc w:val="center"/>
              <w:rPr>
                <w:rFonts w:ascii="Times New Roman" w:hAnsi="Times New Roman" w:cs="Times New Roman"/>
                <w:b/>
                <w:bCs/>
                <w:sz w:val="20"/>
                <w:szCs w:val="20"/>
              </w:rPr>
            </w:pPr>
            <w:r w:rsidRPr="00820A67">
              <w:rPr>
                <w:rFonts w:ascii="Times New Roman" w:hAnsi="Times New Roman" w:cs="Times New Roman"/>
                <w:b/>
                <w:bCs/>
                <w:sz w:val="20"/>
                <w:szCs w:val="20"/>
              </w:rPr>
              <w:t>1.5%</w:t>
            </w:r>
          </w:p>
        </w:tc>
        <w:tc>
          <w:tcPr>
            <w:tcW w:w="851" w:type="dxa"/>
            <w:shd w:val="clear" w:color="auto" w:fill="auto"/>
            <w:noWrap/>
            <w:vAlign w:val="center"/>
            <w:hideMark/>
          </w:tcPr>
          <w:p w:rsidR="00820A67" w:rsidRPr="00820A67" w:rsidRDefault="00820A67" w:rsidP="00A97B19">
            <w:pPr>
              <w:spacing w:after="0"/>
              <w:jc w:val="center"/>
              <w:rPr>
                <w:rFonts w:ascii="Times New Roman" w:hAnsi="Times New Roman" w:cs="Times New Roman"/>
                <w:b/>
                <w:bCs/>
                <w:sz w:val="20"/>
                <w:szCs w:val="20"/>
              </w:rPr>
            </w:pPr>
            <w:r w:rsidRPr="00820A67">
              <w:rPr>
                <w:rFonts w:ascii="Times New Roman" w:hAnsi="Times New Roman" w:cs="Times New Roman"/>
                <w:b/>
                <w:bCs/>
                <w:sz w:val="20"/>
                <w:szCs w:val="20"/>
              </w:rPr>
              <w:t>1.2%</w:t>
            </w:r>
          </w:p>
        </w:tc>
        <w:tc>
          <w:tcPr>
            <w:tcW w:w="850" w:type="dxa"/>
            <w:shd w:val="clear" w:color="auto" w:fill="auto"/>
            <w:noWrap/>
            <w:vAlign w:val="center"/>
            <w:hideMark/>
          </w:tcPr>
          <w:p w:rsidR="00820A67" w:rsidRPr="00820A67" w:rsidRDefault="00820A67" w:rsidP="00A97B19">
            <w:pPr>
              <w:spacing w:after="0"/>
              <w:jc w:val="center"/>
              <w:rPr>
                <w:rFonts w:ascii="Times New Roman" w:hAnsi="Times New Roman" w:cs="Times New Roman"/>
                <w:b/>
                <w:bCs/>
                <w:sz w:val="20"/>
                <w:szCs w:val="20"/>
              </w:rPr>
            </w:pPr>
            <w:r w:rsidRPr="00820A67">
              <w:rPr>
                <w:rFonts w:ascii="Times New Roman" w:hAnsi="Times New Roman" w:cs="Times New Roman"/>
                <w:b/>
                <w:bCs/>
                <w:sz w:val="20"/>
                <w:szCs w:val="20"/>
              </w:rPr>
              <w:t>1.6%</w:t>
            </w:r>
          </w:p>
        </w:tc>
        <w:tc>
          <w:tcPr>
            <w:tcW w:w="850" w:type="dxa"/>
            <w:shd w:val="clear" w:color="auto" w:fill="auto"/>
            <w:noWrap/>
            <w:vAlign w:val="center"/>
            <w:hideMark/>
          </w:tcPr>
          <w:p w:rsidR="00820A67" w:rsidRPr="00820A67" w:rsidRDefault="00820A67" w:rsidP="00A97B19">
            <w:pPr>
              <w:spacing w:after="0"/>
              <w:jc w:val="center"/>
              <w:rPr>
                <w:rFonts w:ascii="Times New Roman" w:hAnsi="Times New Roman" w:cs="Times New Roman"/>
                <w:b/>
                <w:bCs/>
                <w:sz w:val="20"/>
                <w:szCs w:val="20"/>
              </w:rPr>
            </w:pPr>
            <w:r w:rsidRPr="00820A67">
              <w:rPr>
                <w:rFonts w:ascii="Times New Roman" w:hAnsi="Times New Roman" w:cs="Times New Roman"/>
                <w:b/>
                <w:bCs/>
                <w:sz w:val="20"/>
                <w:szCs w:val="20"/>
              </w:rPr>
              <w:t>1.9%</w:t>
            </w:r>
          </w:p>
        </w:tc>
        <w:tc>
          <w:tcPr>
            <w:tcW w:w="851" w:type="dxa"/>
            <w:shd w:val="clear" w:color="auto" w:fill="auto"/>
            <w:noWrap/>
            <w:vAlign w:val="center"/>
            <w:hideMark/>
          </w:tcPr>
          <w:p w:rsidR="00820A67" w:rsidRPr="00820A67" w:rsidRDefault="00820A67" w:rsidP="00A97B19">
            <w:pPr>
              <w:spacing w:after="0"/>
              <w:jc w:val="center"/>
              <w:rPr>
                <w:rFonts w:ascii="Times New Roman" w:hAnsi="Times New Roman" w:cs="Times New Roman"/>
                <w:b/>
                <w:bCs/>
                <w:sz w:val="20"/>
                <w:szCs w:val="20"/>
              </w:rPr>
            </w:pPr>
            <w:r w:rsidRPr="00820A67">
              <w:rPr>
                <w:rFonts w:ascii="Times New Roman" w:hAnsi="Times New Roman" w:cs="Times New Roman"/>
                <w:b/>
                <w:bCs/>
                <w:sz w:val="20"/>
                <w:szCs w:val="20"/>
              </w:rPr>
              <w:t>2.0%</w:t>
            </w:r>
          </w:p>
        </w:tc>
        <w:tc>
          <w:tcPr>
            <w:tcW w:w="851" w:type="dxa"/>
            <w:shd w:val="clear" w:color="auto" w:fill="auto"/>
            <w:noWrap/>
            <w:vAlign w:val="center"/>
            <w:hideMark/>
          </w:tcPr>
          <w:p w:rsidR="00820A67" w:rsidRPr="00820A67" w:rsidRDefault="00820A67" w:rsidP="00A97B19">
            <w:pPr>
              <w:spacing w:after="0"/>
              <w:jc w:val="center"/>
              <w:rPr>
                <w:rFonts w:ascii="Times New Roman" w:hAnsi="Times New Roman" w:cs="Times New Roman"/>
                <w:b/>
                <w:bCs/>
                <w:sz w:val="20"/>
                <w:szCs w:val="20"/>
              </w:rPr>
            </w:pPr>
            <w:r w:rsidRPr="00820A67">
              <w:rPr>
                <w:rFonts w:ascii="Times New Roman" w:hAnsi="Times New Roman" w:cs="Times New Roman"/>
                <w:b/>
                <w:bCs/>
                <w:sz w:val="20"/>
                <w:szCs w:val="20"/>
              </w:rPr>
              <w:t>2.3%</w:t>
            </w:r>
          </w:p>
        </w:tc>
      </w:tr>
    </w:tbl>
    <w:p w:rsidR="006F1D75" w:rsidRDefault="006F1D75" w:rsidP="00BE08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Datu avots:</w:t>
      </w:r>
      <w:r w:rsidR="00820A67" w:rsidRPr="00BB2F39">
        <w:rPr>
          <w:rFonts w:ascii="Times New Roman" w:hAnsi="Times New Roman" w:cs="Times New Roman"/>
          <w:sz w:val="24"/>
          <w:szCs w:val="24"/>
        </w:rPr>
        <w:t xml:space="preserve"> </w:t>
      </w:r>
      <w:r w:rsidR="00F11617">
        <w:rPr>
          <w:rFonts w:ascii="Times New Roman" w:hAnsi="Times New Roman" w:cs="Times New Roman"/>
          <w:sz w:val="24"/>
          <w:szCs w:val="24"/>
        </w:rPr>
        <w:t xml:space="preserve">CSP, </w:t>
      </w:r>
      <w:r w:rsidR="00BE0882">
        <w:rPr>
          <w:rFonts w:ascii="Times New Roman" w:hAnsi="Times New Roman" w:cs="Times New Roman"/>
          <w:sz w:val="24"/>
          <w:szCs w:val="24"/>
        </w:rPr>
        <w:t>VSAA</w:t>
      </w:r>
      <w:r w:rsidR="00F11617">
        <w:rPr>
          <w:rFonts w:ascii="Times New Roman" w:hAnsi="Times New Roman" w:cs="Times New Roman"/>
          <w:sz w:val="24"/>
          <w:szCs w:val="24"/>
        </w:rPr>
        <w:t xml:space="preserve"> dati, LM aprēķins</w:t>
      </w:r>
    </w:p>
    <w:p w:rsidR="000A7A3D" w:rsidRDefault="000A7A3D" w:rsidP="004943F3">
      <w:pPr>
        <w:spacing w:after="0" w:line="240" w:lineRule="auto"/>
        <w:ind w:firstLine="567"/>
        <w:jc w:val="both"/>
        <w:rPr>
          <w:rFonts w:ascii="Times New Roman" w:hAnsi="Times New Roman" w:cs="Times New Roman"/>
          <w:sz w:val="24"/>
          <w:szCs w:val="24"/>
        </w:rPr>
      </w:pPr>
    </w:p>
    <w:p w:rsidR="00716631" w:rsidRDefault="003069F5" w:rsidP="004943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E</w:t>
      </w:r>
      <w:r w:rsidR="00716631" w:rsidRPr="00BB2F39">
        <w:rPr>
          <w:rFonts w:ascii="Times New Roman" w:hAnsi="Times New Roman" w:cs="Times New Roman"/>
          <w:sz w:val="24"/>
          <w:szCs w:val="24"/>
        </w:rPr>
        <w:t>konomikas izaugsme</w:t>
      </w:r>
      <w:r>
        <w:rPr>
          <w:rFonts w:ascii="Times New Roman" w:hAnsi="Times New Roman" w:cs="Times New Roman"/>
          <w:sz w:val="24"/>
          <w:szCs w:val="24"/>
        </w:rPr>
        <w:t>s gados</w:t>
      </w:r>
      <w:r w:rsidR="00716631" w:rsidRPr="00BB2F39">
        <w:rPr>
          <w:rFonts w:ascii="Times New Roman" w:hAnsi="Times New Roman" w:cs="Times New Roman"/>
          <w:sz w:val="24"/>
          <w:szCs w:val="24"/>
        </w:rPr>
        <w:t xml:space="preserve"> ir būtiski veidot speciālā budžeta uzkrāto līdzekļu rezervi</w:t>
      </w:r>
      <w:r w:rsidR="000A7A3D">
        <w:rPr>
          <w:rFonts w:ascii="Times New Roman" w:hAnsi="Times New Roman" w:cs="Times New Roman"/>
          <w:sz w:val="24"/>
          <w:szCs w:val="24"/>
        </w:rPr>
        <w:t xml:space="preserve"> (</w:t>
      </w:r>
      <w:r w:rsidR="0001215A">
        <w:rPr>
          <w:rFonts w:ascii="Times New Roman" w:hAnsi="Times New Roman" w:cs="Times New Roman"/>
          <w:sz w:val="24"/>
          <w:szCs w:val="24"/>
        </w:rPr>
        <w:t xml:space="preserve">skatīt </w:t>
      </w:r>
      <w:r w:rsidR="002212B3">
        <w:rPr>
          <w:rFonts w:ascii="Times New Roman" w:hAnsi="Times New Roman" w:cs="Times New Roman"/>
          <w:sz w:val="24"/>
          <w:szCs w:val="24"/>
        </w:rPr>
        <w:t>2.</w:t>
      </w:r>
      <w:r w:rsidR="000A7A3D">
        <w:rPr>
          <w:rFonts w:ascii="Times New Roman" w:hAnsi="Times New Roman" w:cs="Times New Roman"/>
          <w:sz w:val="24"/>
          <w:szCs w:val="24"/>
        </w:rPr>
        <w:t>attēl</w:t>
      </w:r>
      <w:r w:rsidR="0001215A">
        <w:rPr>
          <w:rFonts w:ascii="Times New Roman" w:hAnsi="Times New Roman" w:cs="Times New Roman"/>
          <w:sz w:val="24"/>
          <w:szCs w:val="24"/>
        </w:rPr>
        <w:t>u</w:t>
      </w:r>
      <w:r w:rsidR="000A7A3D">
        <w:rPr>
          <w:rFonts w:ascii="Times New Roman" w:hAnsi="Times New Roman" w:cs="Times New Roman"/>
          <w:sz w:val="24"/>
          <w:szCs w:val="24"/>
        </w:rPr>
        <w:t>)</w:t>
      </w:r>
      <w:r w:rsidR="00716631" w:rsidRPr="00BB2F39">
        <w:rPr>
          <w:rFonts w:ascii="Times New Roman" w:hAnsi="Times New Roman" w:cs="Times New Roman"/>
          <w:sz w:val="24"/>
          <w:szCs w:val="24"/>
        </w:rPr>
        <w:t xml:space="preserve">, kas ir zīmīgi, lai nodrošinātu </w:t>
      </w:r>
      <w:r w:rsidR="00AC143F">
        <w:rPr>
          <w:rFonts w:ascii="Times New Roman" w:hAnsi="Times New Roman" w:cs="Times New Roman"/>
          <w:sz w:val="24"/>
          <w:szCs w:val="24"/>
        </w:rPr>
        <w:t xml:space="preserve">gan finanšu, gan </w:t>
      </w:r>
      <w:r w:rsidR="00716631" w:rsidRPr="00BB2F39">
        <w:rPr>
          <w:rFonts w:ascii="Times New Roman" w:hAnsi="Times New Roman" w:cs="Times New Roman"/>
          <w:sz w:val="24"/>
          <w:szCs w:val="24"/>
        </w:rPr>
        <w:t>sociālo ilgtspēju nākotnē pie gaidāmajām demogrāfiskajām izmaiņām un ierobežotā darbaspēka piedāvājuma.</w:t>
      </w:r>
    </w:p>
    <w:p w:rsidR="00D0333B" w:rsidRDefault="00D0333B" w:rsidP="007A04E7">
      <w:pPr>
        <w:spacing w:after="0" w:line="240" w:lineRule="auto"/>
        <w:ind w:firstLine="567"/>
        <w:jc w:val="right"/>
        <w:rPr>
          <w:rFonts w:ascii="Times New Roman" w:hAnsi="Times New Roman" w:cs="Times New Roman"/>
          <w:sz w:val="24"/>
          <w:szCs w:val="24"/>
        </w:rPr>
      </w:pPr>
    </w:p>
    <w:p w:rsidR="00D06E5A" w:rsidRDefault="001A07D7" w:rsidP="007A04E7">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2</w:t>
      </w:r>
      <w:r w:rsidR="007A04E7">
        <w:rPr>
          <w:rFonts w:ascii="Times New Roman" w:hAnsi="Times New Roman" w:cs="Times New Roman"/>
          <w:sz w:val="24"/>
          <w:szCs w:val="24"/>
        </w:rPr>
        <w:t>.attēls</w:t>
      </w:r>
      <w:r w:rsidR="00D06E5A">
        <w:rPr>
          <w:rFonts w:ascii="Times New Roman" w:hAnsi="Times New Roman" w:cs="Times New Roman"/>
          <w:sz w:val="24"/>
          <w:szCs w:val="24"/>
        </w:rPr>
        <w:t xml:space="preserve"> </w:t>
      </w:r>
    </w:p>
    <w:p w:rsidR="007A04E7" w:rsidRDefault="00AC143F" w:rsidP="007A04E7">
      <w:pPr>
        <w:spacing w:after="0"/>
        <w:jc w:val="both"/>
        <w:rPr>
          <w:rFonts w:ascii="Times New Roman" w:hAnsi="Times New Roman" w:cs="Times New Roman"/>
          <w:sz w:val="24"/>
          <w:szCs w:val="24"/>
        </w:rPr>
      </w:pPr>
      <w:r>
        <w:rPr>
          <w:noProof/>
          <w:lang w:eastAsia="lv-LV"/>
        </w:rPr>
        <w:drawing>
          <wp:inline distT="0" distB="0" distL="0" distR="0" wp14:anchorId="53D1BC24" wp14:editId="302B8D04">
            <wp:extent cx="5190409" cy="2151218"/>
            <wp:effectExtent l="0" t="0" r="0" b="1905"/>
            <wp:docPr id="5" name="Chart 5" title="Speciālā budžeta uzkrātā rezerve gada sākumā, milj.EUR (ņemot vērā "/>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04E7" w:rsidRDefault="007A04E7" w:rsidP="007A04E7">
      <w:pPr>
        <w:spacing w:after="0"/>
        <w:jc w:val="both"/>
        <w:rPr>
          <w:rFonts w:ascii="Times New Roman" w:hAnsi="Times New Roman" w:cs="Times New Roman"/>
          <w:sz w:val="24"/>
          <w:szCs w:val="24"/>
        </w:rPr>
      </w:pPr>
      <w:r>
        <w:rPr>
          <w:rFonts w:ascii="Times New Roman" w:hAnsi="Times New Roman" w:cs="Times New Roman"/>
          <w:sz w:val="24"/>
          <w:szCs w:val="24"/>
        </w:rPr>
        <w:t>Datu avots: VSAA</w:t>
      </w:r>
      <w:r w:rsidR="005F0F4C">
        <w:rPr>
          <w:rFonts w:ascii="Times New Roman" w:hAnsi="Times New Roman" w:cs="Times New Roman"/>
          <w:sz w:val="24"/>
          <w:szCs w:val="24"/>
        </w:rPr>
        <w:t>, no 2019.gada –</w:t>
      </w:r>
      <w:r w:rsidR="00D0333B">
        <w:rPr>
          <w:rFonts w:ascii="Times New Roman" w:hAnsi="Times New Roman" w:cs="Times New Roman"/>
          <w:sz w:val="24"/>
          <w:szCs w:val="24"/>
        </w:rPr>
        <w:t xml:space="preserve"> prognoze.</w:t>
      </w:r>
    </w:p>
    <w:p w:rsidR="004B18B3" w:rsidRDefault="004B18B3" w:rsidP="002613D8">
      <w:pPr>
        <w:spacing w:after="0" w:line="240" w:lineRule="auto"/>
        <w:ind w:firstLine="720"/>
        <w:jc w:val="both"/>
        <w:rPr>
          <w:rFonts w:ascii="Times New Roman" w:hAnsi="Times New Roman" w:cs="Times New Roman"/>
          <w:sz w:val="24"/>
          <w:szCs w:val="24"/>
        </w:rPr>
      </w:pPr>
    </w:p>
    <w:p w:rsidR="009D0BCF" w:rsidRDefault="00AC143F" w:rsidP="002613D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Svarīgs priekšnoteikums speciālā budžeta ilgtspējai ir godprātīga sociālās apdrošināšanas iemaksu veikšana</w:t>
      </w:r>
      <w:r w:rsidR="009D0BCF">
        <w:rPr>
          <w:rFonts w:ascii="Times New Roman" w:hAnsi="Times New Roman" w:cs="Times New Roman"/>
          <w:sz w:val="24"/>
          <w:szCs w:val="24"/>
        </w:rPr>
        <w:t xml:space="preserve">. </w:t>
      </w:r>
      <w:r w:rsidR="009D0BCF" w:rsidRPr="007766C5">
        <w:rPr>
          <w:rFonts w:ascii="Times New Roman" w:hAnsi="Times New Roman" w:cs="Times New Roman"/>
          <w:sz w:val="24"/>
          <w:szCs w:val="24"/>
        </w:rPr>
        <w:t xml:space="preserve">Atbilstoši </w:t>
      </w:r>
      <w:r w:rsidR="00204AB2">
        <w:rPr>
          <w:rFonts w:ascii="Times New Roman" w:hAnsi="Times New Roman" w:cs="Times New Roman"/>
          <w:sz w:val="24"/>
          <w:szCs w:val="24"/>
        </w:rPr>
        <w:t>2.</w:t>
      </w:r>
      <w:r w:rsidR="009D0BCF" w:rsidRPr="007766C5">
        <w:rPr>
          <w:rFonts w:ascii="Times New Roman" w:hAnsi="Times New Roman" w:cs="Times New Roman"/>
          <w:sz w:val="24"/>
          <w:szCs w:val="24"/>
        </w:rPr>
        <w:t>tabulā</w:t>
      </w:r>
      <w:r w:rsidR="009D0BCF">
        <w:rPr>
          <w:rFonts w:ascii="Times New Roman" w:hAnsi="Times New Roman" w:cs="Times New Roman"/>
          <w:sz w:val="24"/>
          <w:szCs w:val="24"/>
        </w:rPr>
        <w:t xml:space="preserve"> sniegtajai informācijai</w:t>
      </w:r>
      <w:r w:rsidR="00592208">
        <w:rPr>
          <w:rFonts w:ascii="Times New Roman" w:hAnsi="Times New Roman" w:cs="Times New Roman"/>
          <w:sz w:val="24"/>
          <w:szCs w:val="24"/>
        </w:rPr>
        <w:t xml:space="preserve"> apmēram trešdaļa no visām sociāli apdrošinātajām personām iemaksas veic no ienākumiem, kas ir mazāki par valstī noteikto minimālo mēneša darba algu. </w:t>
      </w:r>
      <w:r w:rsidR="009D0BCF">
        <w:rPr>
          <w:rFonts w:ascii="Times New Roman" w:hAnsi="Times New Roman" w:cs="Times New Roman"/>
          <w:sz w:val="24"/>
          <w:szCs w:val="24"/>
        </w:rPr>
        <w:t>Tādējādi</w:t>
      </w:r>
      <w:r w:rsidR="009D0BCF" w:rsidRPr="003C4CCF">
        <w:rPr>
          <w:rFonts w:ascii="Times New Roman" w:hAnsi="Times New Roman" w:cs="Times New Roman"/>
          <w:sz w:val="24"/>
          <w:szCs w:val="24"/>
        </w:rPr>
        <w:t xml:space="preserve"> šo personu sociālais nodrošinājums nākotnē būs ļoti zems, </w:t>
      </w:r>
      <w:r w:rsidR="009D0BCF">
        <w:rPr>
          <w:rFonts w:ascii="Times New Roman" w:hAnsi="Times New Roman" w:cs="Times New Roman"/>
          <w:sz w:val="24"/>
          <w:szCs w:val="24"/>
        </w:rPr>
        <w:t>nenopelnot</w:t>
      </w:r>
      <w:r w:rsidR="009D0BCF" w:rsidRPr="003C4CCF">
        <w:rPr>
          <w:rFonts w:ascii="Times New Roman" w:hAnsi="Times New Roman" w:cs="Times New Roman"/>
          <w:sz w:val="24"/>
          <w:szCs w:val="24"/>
        </w:rPr>
        <w:t xml:space="preserve"> sev pat minimālo vecuma pensiju</w:t>
      </w:r>
      <w:r w:rsidR="009D0BCF">
        <w:rPr>
          <w:rFonts w:ascii="Times New Roman" w:hAnsi="Times New Roman" w:cs="Times New Roman"/>
          <w:sz w:val="24"/>
          <w:szCs w:val="24"/>
        </w:rPr>
        <w:t>, kā arī radot papildus slogu</w:t>
      </w:r>
      <w:r w:rsidR="009D0BCF" w:rsidRPr="003C4CCF">
        <w:rPr>
          <w:rFonts w:ascii="Times New Roman" w:hAnsi="Times New Roman" w:cs="Times New Roman"/>
          <w:sz w:val="24"/>
          <w:szCs w:val="24"/>
        </w:rPr>
        <w:t xml:space="preserve"> pārējiem sociālo apdrošināšanas iemaksu veicējiem</w:t>
      </w:r>
      <w:r w:rsidR="009D0BCF">
        <w:rPr>
          <w:rFonts w:ascii="Times New Roman" w:hAnsi="Times New Roman" w:cs="Times New Roman"/>
          <w:sz w:val="24"/>
          <w:szCs w:val="24"/>
        </w:rPr>
        <w:t>.</w:t>
      </w:r>
      <w:r w:rsidR="009D0BCF" w:rsidRPr="003C4CCF">
        <w:rPr>
          <w:rFonts w:ascii="Times New Roman" w:hAnsi="Times New Roman" w:cs="Times New Roman"/>
          <w:sz w:val="24"/>
          <w:szCs w:val="24"/>
        </w:rPr>
        <w:t xml:space="preserve"> </w:t>
      </w:r>
    </w:p>
    <w:p w:rsidR="002613D8" w:rsidRDefault="002613D8" w:rsidP="002613D8">
      <w:pPr>
        <w:spacing w:after="0" w:line="240" w:lineRule="auto"/>
        <w:ind w:firstLine="720"/>
        <w:jc w:val="both"/>
        <w:rPr>
          <w:rFonts w:ascii="Times New Roman" w:hAnsi="Times New Roman" w:cs="Times New Roman"/>
          <w:sz w:val="24"/>
          <w:szCs w:val="24"/>
        </w:rPr>
      </w:pPr>
    </w:p>
    <w:p w:rsidR="002613D8" w:rsidRDefault="0075797B" w:rsidP="0075797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2.tabula</w:t>
      </w:r>
    </w:p>
    <w:tbl>
      <w:tblPr>
        <w:tblW w:w="9214" w:type="dxa"/>
        <w:tblInd w:w="108" w:type="dxa"/>
        <w:tblLook w:val="04A0" w:firstRow="1" w:lastRow="0" w:firstColumn="1" w:lastColumn="0" w:noHBand="0" w:noVBand="1"/>
      </w:tblPr>
      <w:tblGrid>
        <w:gridCol w:w="8364"/>
        <w:gridCol w:w="850"/>
      </w:tblGrid>
      <w:tr w:rsidR="00864A67" w:rsidRPr="00864A67" w:rsidTr="00FA5AE5">
        <w:trPr>
          <w:trHeight w:val="300"/>
        </w:trPr>
        <w:tc>
          <w:tcPr>
            <w:tcW w:w="8364" w:type="dxa"/>
            <w:tcBorders>
              <w:top w:val="nil"/>
              <w:left w:val="nil"/>
              <w:bottom w:val="nil"/>
              <w:right w:val="nil"/>
            </w:tcBorders>
            <w:shd w:val="clear" w:color="auto" w:fill="auto"/>
            <w:noWrap/>
            <w:vAlign w:val="bottom"/>
            <w:hideMark/>
          </w:tcPr>
          <w:p w:rsidR="00864A67" w:rsidRDefault="00205770" w:rsidP="0075797B">
            <w:pPr>
              <w:spacing w:after="0" w:line="240" w:lineRule="auto"/>
              <w:ind w:left="-108"/>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 xml:space="preserve">Obligāti sociāli apdrošinātas </w:t>
            </w:r>
            <w:r w:rsidR="00864A67" w:rsidRPr="00864A67">
              <w:rPr>
                <w:rFonts w:ascii="Times New Roman" w:eastAsia="Times New Roman" w:hAnsi="Times New Roman" w:cs="Times New Roman"/>
                <w:b/>
                <w:bCs/>
                <w:lang w:eastAsia="lv-LV"/>
              </w:rPr>
              <w:t xml:space="preserve">personas </w:t>
            </w:r>
            <w:r w:rsidR="00035071">
              <w:rPr>
                <w:rFonts w:ascii="Times New Roman" w:eastAsia="Times New Roman" w:hAnsi="Times New Roman" w:cs="Times New Roman"/>
                <w:b/>
                <w:bCs/>
                <w:lang w:eastAsia="lv-LV"/>
              </w:rPr>
              <w:t>(darba ņēmēji, pašnodarbinātie)</w:t>
            </w:r>
            <w:r w:rsidR="00864A67" w:rsidRPr="00864A67">
              <w:rPr>
                <w:rFonts w:ascii="Times New Roman" w:eastAsia="Times New Roman" w:hAnsi="Times New Roman" w:cs="Times New Roman"/>
                <w:b/>
                <w:bCs/>
                <w:lang w:eastAsia="lv-LV"/>
              </w:rPr>
              <w:t xml:space="preserve"> ar iemaksu algu līdz minimālajai algai (ieskaitot):</w:t>
            </w:r>
          </w:p>
          <w:p w:rsidR="00614A4C" w:rsidRDefault="00614A4C" w:rsidP="00864A67">
            <w:pPr>
              <w:spacing w:after="0" w:line="240" w:lineRule="auto"/>
              <w:rPr>
                <w:rFonts w:ascii="Times New Roman" w:eastAsia="Times New Roman" w:hAnsi="Times New Roman" w:cs="Times New Roman"/>
                <w:b/>
                <w:bCs/>
                <w:lang w:eastAsia="lv-LV"/>
              </w:rPr>
            </w:pPr>
          </w:p>
          <w:tbl>
            <w:tblPr>
              <w:tblStyle w:val="TableGrid"/>
              <w:tblW w:w="0" w:type="auto"/>
              <w:tblLook w:val="04A0" w:firstRow="1" w:lastRow="0" w:firstColumn="1" w:lastColumn="0" w:noHBand="0" w:noVBand="1"/>
            </w:tblPr>
            <w:tblGrid>
              <w:gridCol w:w="1129"/>
              <w:gridCol w:w="2410"/>
              <w:gridCol w:w="3152"/>
              <w:gridCol w:w="1418"/>
            </w:tblGrid>
            <w:tr w:rsidR="00614A4C" w:rsidRPr="00614A4C" w:rsidTr="001D4BC2">
              <w:tc>
                <w:tcPr>
                  <w:tcW w:w="1129" w:type="dxa"/>
                  <w:vAlign w:val="center"/>
                </w:tcPr>
                <w:p w:rsidR="00614A4C" w:rsidRPr="00E33D74" w:rsidRDefault="00614A4C" w:rsidP="00E33D74">
                  <w:pPr>
                    <w:jc w:val="center"/>
                    <w:rPr>
                      <w:rFonts w:ascii="Times New Roman" w:eastAsia="Times New Roman" w:hAnsi="Times New Roman" w:cs="Times New Roman"/>
                      <w:bCs/>
                      <w:sz w:val="20"/>
                      <w:szCs w:val="20"/>
                      <w:lang w:eastAsia="lv-LV"/>
                    </w:rPr>
                  </w:pPr>
                </w:p>
              </w:tc>
              <w:tc>
                <w:tcPr>
                  <w:tcW w:w="2410" w:type="dxa"/>
                  <w:vAlign w:val="center"/>
                </w:tcPr>
                <w:p w:rsidR="00614A4C" w:rsidRDefault="00614A4C" w:rsidP="00E33D74">
                  <w:pPr>
                    <w:jc w:val="center"/>
                    <w:rPr>
                      <w:rFonts w:ascii="Times New Roman" w:eastAsia="Times New Roman" w:hAnsi="Times New Roman" w:cs="Times New Roman"/>
                      <w:sz w:val="20"/>
                      <w:szCs w:val="20"/>
                      <w:lang w:eastAsia="lv-LV"/>
                    </w:rPr>
                  </w:pPr>
                  <w:r w:rsidRPr="00E33D74">
                    <w:rPr>
                      <w:rFonts w:ascii="Times New Roman" w:eastAsia="Times New Roman" w:hAnsi="Times New Roman" w:cs="Times New Roman"/>
                      <w:sz w:val="20"/>
                      <w:szCs w:val="20"/>
                      <w:lang w:eastAsia="lv-LV"/>
                    </w:rPr>
                    <w:t>Obligāti sociāli apdrošināto personu skaits</w:t>
                  </w:r>
                  <w:r w:rsidR="006B53BC">
                    <w:rPr>
                      <w:rFonts w:ascii="Times New Roman" w:eastAsia="Times New Roman" w:hAnsi="Times New Roman" w:cs="Times New Roman"/>
                      <w:sz w:val="20"/>
                      <w:szCs w:val="20"/>
                      <w:lang w:eastAsia="lv-LV"/>
                    </w:rPr>
                    <w:t>,</w:t>
                  </w:r>
                </w:p>
                <w:p w:rsidR="006B53BC" w:rsidRPr="00E33D74" w:rsidRDefault="006B53BC" w:rsidP="00E33D74">
                  <w:pPr>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sz w:val="20"/>
                      <w:szCs w:val="20"/>
                      <w:lang w:eastAsia="lv-LV"/>
                    </w:rPr>
                    <w:t>tūkst.</w:t>
                  </w:r>
                </w:p>
              </w:tc>
              <w:tc>
                <w:tcPr>
                  <w:tcW w:w="3152" w:type="dxa"/>
                  <w:vAlign w:val="center"/>
                </w:tcPr>
                <w:p w:rsidR="00614A4C" w:rsidRPr="00E33D74" w:rsidRDefault="00614A4C" w:rsidP="00E33D74">
                  <w:pPr>
                    <w:jc w:val="center"/>
                    <w:rPr>
                      <w:rFonts w:ascii="Times New Roman" w:eastAsia="Times New Roman" w:hAnsi="Times New Roman" w:cs="Times New Roman"/>
                      <w:bCs/>
                      <w:sz w:val="20"/>
                      <w:szCs w:val="20"/>
                      <w:lang w:eastAsia="lv-LV"/>
                    </w:rPr>
                  </w:pPr>
                  <w:r w:rsidRPr="00E33D74">
                    <w:rPr>
                      <w:rFonts w:ascii="Times New Roman" w:eastAsia="Times New Roman" w:hAnsi="Times New Roman" w:cs="Times New Roman"/>
                      <w:sz w:val="20"/>
                      <w:szCs w:val="20"/>
                      <w:lang w:eastAsia="lv-LV"/>
                    </w:rPr>
                    <w:t xml:space="preserve">Obligāti sociāli apdrošināto personu skaits </w:t>
                  </w:r>
                  <w:r w:rsidR="00AC5131">
                    <w:rPr>
                      <w:rFonts w:ascii="Times New Roman" w:eastAsia="Times New Roman" w:hAnsi="Times New Roman" w:cs="Times New Roman"/>
                      <w:sz w:val="20"/>
                      <w:szCs w:val="20"/>
                      <w:lang w:eastAsia="lv-LV"/>
                    </w:rPr>
                    <w:t>(tūkst.) ar vidējo</w:t>
                  </w:r>
                  <w:r w:rsidRPr="00E33D74">
                    <w:rPr>
                      <w:rFonts w:ascii="Times New Roman" w:eastAsia="Times New Roman" w:hAnsi="Times New Roman" w:cs="Times New Roman"/>
                      <w:sz w:val="20"/>
                      <w:szCs w:val="20"/>
                      <w:lang w:eastAsia="lv-LV"/>
                    </w:rPr>
                    <w:t xml:space="preserve"> apdrošināšanas iemaksu algu līdz minimālajai algai (ieskaitot)</w:t>
                  </w:r>
                </w:p>
              </w:tc>
              <w:tc>
                <w:tcPr>
                  <w:tcW w:w="1418" w:type="dxa"/>
                  <w:vAlign w:val="center"/>
                </w:tcPr>
                <w:p w:rsidR="00614A4C" w:rsidRPr="00E33D74" w:rsidRDefault="00614A4C" w:rsidP="00E33D74">
                  <w:pPr>
                    <w:jc w:val="center"/>
                    <w:rPr>
                      <w:rFonts w:ascii="Times New Roman" w:eastAsia="Times New Roman" w:hAnsi="Times New Roman" w:cs="Times New Roman"/>
                      <w:sz w:val="20"/>
                      <w:szCs w:val="20"/>
                      <w:lang w:eastAsia="lv-LV"/>
                    </w:rPr>
                  </w:pPr>
                  <w:r w:rsidRPr="00E33D74">
                    <w:rPr>
                      <w:rFonts w:ascii="Times New Roman" w:eastAsia="Times New Roman" w:hAnsi="Times New Roman" w:cs="Times New Roman"/>
                      <w:sz w:val="20"/>
                      <w:szCs w:val="20"/>
                      <w:lang w:eastAsia="lv-LV"/>
                    </w:rPr>
                    <w:t>Īpatsvars</w:t>
                  </w:r>
                  <w:r w:rsidR="00380E25">
                    <w:rPr>
                      <w:rFonts w:ascii="Times New Roman" w:eastAsia="Times New Roman" w:hAnsi="Times New Roman" w:cs="Times New Roman"/>
                      <w:sz w:val="20"/>
                      <w:szCs w:val="20"/>
                      <w:lang w:eastAsia="lv-LV"/>
                    </w:rPr>
                    <w:t xml:space="preserve"> </w:t>
                  </w:r>
                  <w:r w:rsidRPr="00E33D74">
                    <w:rPr>
                      <w:rFonts w:ascii="Times New Roman" w:eastAsia="Times New Roman" w:hAnsi="Times New Roman" w:cs="Times New Roman"/>
                      <w:sz w:val="20"/>
                      <w:szCs w:val="20"/>
                      <w:lang w:eastAsia="lv-LV"/>
                    </w:rPr>
                    <w:t>%</w:t>
                  </w:r>
                </w:p>
              </w:tc>
            </w:tr>
            <w:tr w:rsidR="00614A4C" w:rsidRPr="00614A4C" w:rsidTr="001D4BC2">
              <w:tc>
                <w:tcPr>
                  <w:tcW w:w="1129" w:type="dxa"/>
                  <w:vAlign w:val="center"/>
                </w:tcPr>
                <w:p w:rsidR="00614A4C" w:rsidRPr="00E33D74" w:rsidRDefault="00614A4C" w:rsidP="00E33D74">
                  <w:pPr>
                    <w:jc w:val="center"/>
                    <w:rPr>
                      <w:rFonts w:ascii="Times New Roman" w:eastAsia="Times New Roman" w:hAnsi="Times New Roman" w:cs="Times New Roman"/>
                      <w:bCs/>
                      <w:sz w:val="20"/>
                      <w:szCs w:val="20"/>
                      <w:lang w:eastAsia="lv-LV"/>
                    </w:rPr>
                  </w:pPr>
                  <w:r w:rsidRPr="00E33D74">
                    <w:rPr>
                      <w:rFonts w:ascii="Times New Roman" w:eastAsia="Times New Roman" w:hAnsi="Times New Roman" w:cs="Times New Roman"/>
                      <w:bCs/>
                      <w:sz w:val="20"/>
                      <w:szCs w:val="20"/>
                      <w:lang w:eastAsia="lv-LV"/>
                    </w:rPr>
                    <w:t>2008</w:t>
                  </w:r>
                </w:p>
              </w:tc>
              <w:tc>
                <w:tcPr>
                  <w:tcW w:w="2410" w:type="dxa"/>
                  <w:vAlign w:val="center"/>
                </w:tcPr>
                <w:p w:rsidR="00614A4C" w:rsidRPr="00E33D74" w:rsidRDefault="00614A4C" w:rsidP="006B53BC">
                  <w:pPr>
                    <w:jc w:val="center"/>
                    <w:rPr>
                      <w:rFonts w:ascii="Times New Roman" w:eastAsia="Times New Roman" w:hAnsi="Times New Roman" w:cs="Times New Roman"/>
                      <w:bCs/>
                      <w:sz w:val="20"/>
                      <w:szCs w:val="20"/>
                      <w:lang w:eastAsia="lv-LV"/>
                    </w:rPr>
                  </w:pPr>
                  <w:r w:rsidRPr="00E33D74">
                    <w:rPr>
                      <w:rFonts w:ascii="Times New Roman" w:eastAsia="Times New Roman" w:hAnsi="Times New Roman" w:cs="Times New Roman"/>
                      <w:sz w:val="20"/>
                      <w:szCs w:val="20"/>
                      <w:lang w:eastAsia="lv-LV"/>
                    </w:rPr>
                    <w:t>1</w:t>
                  </w:r>
                  <w:r w:rsidR="006B53BC">
                    <w:rPr>
                      <w:rFonts w:ascii="Times New Roman" w:eastAsia="Times New Roman" w:hAnsi="Times New Roman" w:cs="Times New Roman"/>
                      <w:sz w:val="20"/>
                      <w:szCs w:val="20"/>
                      <w:lang w:eastAsia="lv-LV"/>
                    </w:rPr>
                    <w:t> </w:t>
                  </w:r>
                  <w:r w:rsidRPr="00E33D74">
                    <w:rPr>
                      <w:rFonts w:ascii="Times New Roman" w:eastAsia="Times New Roman" w:hAnsi="Times New Roman" w:cs="Times New Roman"/>
                      <w:sz w:val="20"/>
                      <w:szCs w:val="20"/>
                      <w:lang w:eastAsia="lv-LV"/>
                    </w:rPr>
                    <w:t>121</w:t>
                  </w:r>
                  <w:r w:rsidR="006B53BC">
                    <w:rPr>
                      <w:rFonts w:ascii="Times New Roman" w:eastAsia="Times New Roman" w:hAnsi="Times New Roman" w:cs="Times New Roman"/>
                      <w:sz w:val="20"/>
                      <w:szCs w:val="20"/>
                      <w:lang w:eastAsia="lv-LV"/>
                    </w:rPr>
                    <w:t>,</w:t>
                  </w:r>
                  <w:r w:rsidRPr="00E33D74">
                    <w:rPr>
                      <w:rFonts w:ascii="Times New Roman" w:eastAsia="Times New Roman" w:hAnsi="Times New Roman" w:cs="Times New Roman"/>
                      <w:sz w:val="20"/>
                      <w:szCs w:val="20"/>
                      <w:lang w:eastAsia="lv-LV"/>
                    </w:rPr>
                    <w:t xml:space="preserve"> 3</w:t>
                  </w:r>
                </w:p>
              </w:tc>
              <w:tc>
                <w:tcPr>
                  <w:tcW w:w="3152" w:type="dxa"/>
                  <w:vAlign w:val="center"/>
                </w:tcPr>
                <w:p w:rsidR="00614A4C" w:rsidRPr="00E33D74" w:rsidRDefault="00614A4C" w:rsidP="0019370A">
                  <w:pPr>
                    <w:jc w:val="center"/>
                    <w:rPr>
                      <w:rFonts w:ascii="Times New Roman" w:eastAsia="Times New Roman" w:hAnsi="Times New Roman" w:cs="Times New Roman"/>
                      <w:bCs/>
                      <w:sz w:val="20"/>
                      <w:szCs w:val="20"/>
                      <w:lang w:eastAsia="lv-LV"/>
                    </w:rPr>
                  </w:pPr>
                  <w:r w:rsidRPr="00E33D74">
                    <w:rPr>
                      <w:rFonts w:ascii="Times New Roman" w:eastAsia="Times New Roman" w:hAnsi="Times New Roman" w:cs="Times New Roman"/>
                      <w:sz w:val="20"/>
                      <w:szCs w:val="20"/>
                      <w:lang w:eastAsia="lv-LV"/>
                    </w:rPr>
                    <w:t>265</w:t>
                  </w:r>
                  <w:r w:rsidR="0019370A">
                    <w:rPr>
                      <w:rFonts w:ascii="Times New Roman" w:eastAsia="Times New Roman" w:hAnsi="Times New Roman" w:cs="Times New Roman"/>
                      <w:sz w:val="20"/>
                      <w:szCs w:val="20"/>
                      <w:lang w:eastAsia="lv-LV"/>
                    </w:rPr>
                    <w:t>,</w:t>
                  </w:r>
                  <w:r w:rsidRPr="00E33D74">
                    <w:rPr>
                      <w:rFonts w:ascii="Times New Roman" w:eastAsia="Times New Roman" w:hAnsi="Times New Roman" w:cs="Times New Roman"/>
                      <w:sz w:val="20"/>
                      <w:szCs w:val="20"/>
                      <w:lang w:eastAsia="lv-LV"/>
                    </w:rPr>
                    <w:t>9</w:t>
                  </w:r>
                </w:p>
              </w:tc>
              <w:tc>
                <w:tcPr>
                  <w:tcW w:w="1418" w:type="dxa"/>
                  <w:vAlign w:val="center"/>
                </w:tcPr>
                <w:p w:rsidR="00614A4C" w:rsidRPr="00E33D74" w:rsidRDefault="00614A4C" w:rsidP="00E33D74">
                  <w:pPr>
                    <w:jc w:val="center"/>
                    <w:rPr>
                      <w:rFonts w:ascii="Times New Roman" w:eastAsia="Times New Roman" w:hAnsi="Times New Roman" w:cs="Times New Roman"/>
                      <w:sz w:val="20"/>
                      <w:szCs w:val="20"/>
                      <w:lang w:eastAsia="lv-LV"/>
                    </w:rPr>
                  </w:pPr>
                  <w:r w:rsidRPr="00E33D74">
                    <w:rPr>
                      <w:rFonts w:ascii="Times New Roman" w:eastAsia="Times New Roman" w:hAnsi="Times New Roman" w:cs="Times New Roman"/>
                      <w:sz w:val="20"/>
                      <w:szCs w:val="20"/>
                      <w:lang w:eastAsia="lv-LV"/>
                    </w:rPr>
                    <w:t>24%</w:t>
                  </w:r>
                </w:p>
              </w:tc>
            </w:tr>
            <w:tr w:rsidR="00614A4C" w:rsidRPr="00614A4C" w:rsidTr="001D4BC2">
              <w:tc>
                <w:tcPr>
                  <w:tcW w:w="1129" w:type="dxa"/>
                  <w:vAlign w:val="center"/>
                </w:tcPr>
                <w:p w:rsidR="00614A4C" w:rsidRPr="00E33D74" w:rsidRDefault="00614A4C" w:rsidP="00E33D74">
                  <w:pPr>
                    <w:jc w:val="center"/>
                    <w:rPr>
                      <w:rFonts w:ascii="Times New Roman" w:eastAsia="Times New Roman" w:hAnsi="Times New Roman" w:cs="Times New Roman"/>
                      <w:bCs/>
                      <w:sz w:val="20"/>
                      <w:szCs w:val="20"/>
                      <w:lang w:eastAsia="lv-LV"/>
                    </w:rPr>
                  </w:pPr>
                  <w:r w:rsidRPr="00E33D74">
                    <w:rPr>
                      <w:rFonts w:ascii="Times New Roman" w:eastAsia="Times New Roman" w:hAnsi="Times New Roman" w:cs="Times New Roman"/>
                      <w:bCs/>
                      <w:sz w:val="20"/>
                      <w:szCs w:val="20"/>
                      <w:lang w:eastAsia="lv-LV"/>
                    </w:rPr>
                    <w:t>2009</w:t>
                  </w:r>
                </w:p>
              </w:tc>
              <w:tc>
                <w:tcPr>
                  <w:tcW w:w="2410" w:type="dxa"/>
                  <w:vAlign w:val="center"/>
                </w:tcPr>
                <w:p w:rsidR="00614A4C" w:rsidRPr="00E33D74" w:rsidRDefault="00614A4C" w:rsidP="006B53BC">
                  <w:pPr>
                    <w:jc w:val="center"/>
                    <w:rPr>
                      <w:rFonts w:ascii="Times New Roman" w:eastAsia="Times New Roman" w:hAnsi="Times New Roman" w:cs="Times New Roman"/>
                      <w:bCs/>
                      <w:sz w:val="20"/>
                      <w:szCs w:val="20"/>
                      <w:lang w:eastAsia="lv-LV"/>
                    </w:rPr>
                  </w:pPr>
                  <w:r w:rsidRPr="00E33D74">
                    <w:rPr>
                      <w:rFonts w:ascii="Times New Roman" w:eastAsia="Times New Roman" w:hAnsi="Times New Roman" w:cs="Times New Roman"/>
                      <w:sz w:val="20"/>
                      <w:szCs w:val="20"/>
                      <w:lang w:eastAsia="lv-LV"/>
                    </w:rPr>
                    <w:t>1</w:t>
                  </w:r>
                  <w:r w:rsidR="006B53BC">
                    <w:rPr>
                      <w:rFonts w:ascii="Times New Roman" w:eastAsia="Times New Roman" w:hAnsi="Times New Roman" w:cs="Times New Roman"/>
                      <w:sz w:val="20"/>
                      <w:szCs w:val="20"/>
                      <w:lang w:eastAsia="lv-LV"/>
                    </w:rPr>
                    <w:t> </w:t>
                  </w:r>
                  <w:r w:rsidRPr="00E33D74">
                    <w:rPr>
                      <w:rFonts w:ascii="Times New Roman" w:eastAsia="Times New Roman" w:hAnsi="Times New Roman" w:cs="Times New Roman"/>
                      <w:sz w:val="20"/>
                      <w:szCs w:val="20"/>
                      <w:lang w:eastAsia="lv-LV"/>
                    </w:rPr>
                    <w:t>003</w:t>
                  </w:r>
                  <w:r w:rsidR="006B53BC">
                    <w:rPr>
                      <w:rFonts w:ascii="Times New Roman" w:eastAsia="Times New Roman" w:hAnsi="Times New Roman" w:cs="Times New Roman"/>
                      <w:sz w:val="20"/>
                      <w:szCs w:val="20"/>
                      <w:lang w:eastAsia="lv-LV"/>
                    </w:rPr>
                    <w:t>,</w:t>
                  </w:r>
                  <w:r w:rsidRPr="00E33D74">
                    <w:rPr>
                      <w:rFonts w:ascii="Times New Roman" w:eastAsia="Times New Roman" w:hAnsi="Times New Roman" w:cs="Times New Roman"/>
                      <w:sz w:val="20"/>
                      <w:szCs w:val="20"/>
                      <w:lang w:eastAsia="lv-LV"/>
                    </w:rPr>
                    <w:t xml:space="preserve"> 9</w:t>
                  </w:r>
                </w:p>
              </w:tc>
              <w:tc>
                <w:tcPr>
                  <w:tcW w:w="3152" w:type="dxa"/>
                  <w:vAlign w:val="center"/>
                </w:tcPr>
                <w:p w:rsidR="00614A4C" w:rsidRPr="00E33D74" w:rsidRDefault="00614A4C" w:rsidP="0019370A">
                  <w:pPr>
                    <w:jc w:val="center"/>
                    <w:rPr>
                      <w:rFonts w:ascii="Times New Roman" w:eastAsia="Times New Roman" w:hAnsi="Times New Roman" w:cs="Times New Roman"/>
                      <w:bCs/>
                      <w:sz w:val="20"/>
                      <w:szCs w:val="20"/>
                      <w:lang w:eastAsia="lv-LV"/>
                    </w:rPr>
                  </w:pPr>
                  <w:r w:rsidRPr="00E33D74">
                    <w:rPr>
                      <w:rFonts w:ascii="Times New Roman" w:eastAsia="Times New Roman" w:hAnsi="Times New Roman" w:cs="Times New Roman"/>
                      <w:sz w:val="20"/>
                      <w:szCs w:val="20"/>
                      <w:lang w:eastAsia="lv-LV"/>
                    </w:rPr>
                    <w:t>322</w:t>
                  </w:r>
                  <w:r w:rsidR="0019370A">
                    <w:rPr>
                      <w:rFonts w:ascii="Times New Roman" w:eastAsia="Times New Roman" w:hAnsi="Times New Roman" w:cs="Times New Roman"/>
                      <w:sz w:val="20"/>
                      <w:szCs w:val="20"/>
                      <w:lang w:eastAsia="lv-LV"/>
                    </w:rPr>
                    <w:t>,5</w:t>
                  </w:r>
                </w:p>
              </w:tc>
              <w:tc>
                <w:tcPr>
                  <w:tcW w:w="1418" w:type="dxa"/>
                  <w:vAlign w:val="center"/>
                </w:tcPr>
                <w:p w:rsidR="00614A4C" w:rsidRPr="00E33D74" w:rsidRDefault="00614A4C" w:rsidP="00E33D74">
                  <w:pPr>
                    <w:jc w:val="center"/>
                    <w:rPr>
                      <w:rFonts w:ascii="Times New Roman" w:eastAsia="Times New Roman" w:hAnsi="Times New Roman" w:cs="Times New Roman"/>
                      <w:sz w:val="20"/>
                      <w:szCs w:val="20"/>
                      <w:lang w:eastAsia="lv-LV"/>
                    </w:rPr>
                  </w:pPr>
                  <w:r w:rsidRPr="00E33D74">
                    <w:rPr>
                      <w:rFonts w:ascii="Times New Roman" w:eastAsia="Times New Roman" w:hAnsi="Times New Roman" w:cs="Times New Roman"/>
                      <w:sz w:val="20"/>
                      <w:szCs w:val="20"/>
                      <w:lang w:eastAsia="lv-LV"/>
                    </w:rPr>
                    <w:t>32%</w:t>
                  </w:r>
                </w:p>
              </w:tc>
            </w:tr>
            <w:tr w:rsidR="00614A4C" w:rsidRPr="00614A4C" w:rsidTr="001D4BC2">
              <w:tc>
                <w:tcPr>
                  <w:tcW w:w="1129" w:type="dxa"/>
                  <w:vAlign w:val="center"/>
                </w:tcPr>
                <w:p w:rsidR="00614A4C" w:rsidRPr="00E33D74" w:rsidRDefault="00614A4C" w:rsidP="00E33D74">
                  <w:pPr>
                    <w:jc w:val="center"/>
                    <w:rPr>
                      <w:rFonts w:ascii="Times New Roman" w:eastAsia="Times New Roman" w:hAnsi="Times New Roman" w:cs="Times New Roman"/>
                      <w:bCs/>
                      <w:sz w:val="20"/>
                      <w:szCs w:val="20"/>
                      <w:lang w:eastAsia="lv-LV"/>
                    </w:rPr>
                  </w:pPr>
                  <w:r w:rsidRPr="00E33D74">
                    <w:rPr>
                      <w:rFonts w:ascii="Times New Roman" w:eastAsia="Times New Roman" w:hAnsi="Times New Roman" w:cs="Times New Roman"/>
                      <w:bCs/>
                      <w:sz w:val="20"/>
                      <w:szCs w:val="20"/>
                      <w:lang w:eastAsia="lv-LV"/>
                    </w:rPr>
                    <w:t>2010</w:t>
                  </w:r>
                </w:p>
              </w:tc>
              <w:tc>
                <w:tcPr>
                  <w:tcW w:w="2410" w:type="dxa"/>
                  <w:vAlign w:val="center"/>
                </w:tcPr>
                <w:p w:rsidR="00614A4C" w:rsidRPr="00E33D74" w:rsidRDefault="006B53BC" w:rsidP="006B53BC">
                  <w:pPr>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sz w:val="20"/>
                      <w:szCs w:val="20"/>
                      <w:lang w:eastAsia="lv-LV"/>
                    </w:rPr>
                    <w:t>903,</w:t>
                  </w:r>
                  <w:r w:rsidR="00614A4C" w:rsidRPr="00E33D74">
                    <w:rPr>
                      <w:rFonts w:ascii="Times New Roman" w:eastAsia="Times New Roman" w:hAnsi="Times New Roman" w:cs="Times New Roman"/>
                      <w:sz w:val="20"/>
                      <w:szCs w:val="20"/>
                      <w:lang w:eastAsia="lv-LV"/>
                    </w:rPr>
                    <w:t>6</w:t>
                  </w:r>
                </w:p>
              </w:tc>
              <w:tc>
                <w:tcPr>
                  <w:tcW w:w="3152" w:type="dxa"/>
                  <w:vAlign w:val="center"/>
                </w:tcPr>
                <w:p w:rsidR="00614A4C" w:rsidRPr="00E33D74" w:rsidRDefault="0019370A" w:rsidP="0019370A">
                  <w:pPr>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sz w:val="20"/>
                      <w:szCs w:val="20"/>
                      <w:lang w:eastAsia="lv-LV"/>
                    </w:rPr>
                    <w:t>313,</w:t>
                  </w:r>
                  <w:r w:rsidR="00614A4C" w:rsidRPr="00E33D74">
                    <w:rPr>
                      <w:rFonts w:ascii="Times New Roman" w:eastAsia="Times New Roman" w:hAnsi="Times New Roman" w:cs="Times New Roman"/>
                      <w:sz w:val="20"/>
                      <w:szCs w:val="20"/>
                      <w:lang w:eastAsia="lv-LV"/>
                    </w:rPr>
                    <w:t>1</w:t>
                  </w:r>
                </w:p>
              </w:tc>
              <w:tc>
                <w:tcPr>
                  <w:tcW w:w="1418" w:type="dxa"/>
                  <w:vAlign w:val="center"/>
                </w:tcPr>
                <w:p w:rsidR="00614A4C" w:rsidRPr="00E33D74" w:rsidRDefault="00614A4C" w:rsidP="00E33D74">
                  <w:pPr>
                    <w:jc w:val="center"/>
                    <w:rPr>
                      <w:rFonts w:ascii="Times New Roman" w:eastAsia="Times New Roman" w:hAnsi="Times New Roman" w:cs="Times New Roman"/>
                      <w:sz w:val="20"/>
                      <w:szCs w:val="20"/>
                      <w:lang w:eastAsia="lv-LV"/>
                    </w:rPr>
                  </w:pPr>
                  <w:r w:rsidRPr="00E33D74">
                    <w:rPr>
                      <w:rFonts w:ascii="Times New Roman" w:eastAsia="Times New Roman" w:hAnsi="Times New Roman" w:cs="Times New Roman"/>
                      <w:sz w:val="20"/>
                      <w:szCs w:val="20"/>
                      <w:lang w:eastAsia="lv-LV"/>
                    </w:rPr>
                    <w:t>35%</w:t>
                  </w:r>
                </w:p>
              </w:tc>
            </w:tr>
            <w:tr w:rsidR="00614A4C" w:rsidRPr="00614A4C" w:rsidTr="001D4BC2">
              <w:tc>
                <w:tcPr>
                  <w:tcW w:w="1129" w:type="dxa"/>
                  <w:vAlign w:val="center"/>
                </w:tcPr>
                <w:p w:rsidR="00614A4C" w:rsidRPr="00E33D74" w:rsidRDefault="00614A4C" w:rsidP="00E33D74">
                  <w:pPr>
                    <w:jc w:val="center"/>
                    <w:rPr>
                      <w:rFonts w:ascii="Times New Roman" w:eastAsia="Times New Roman" w:hAnsi="Times New Roman" w:cs="Times New Roman"/>
                      <w:bCs/>
                      <w:sz w:val="20"/>
                      <w:szCs w:val="20"/>
                      <w:lang w:eastAsia="lv-LV"/>
                    </w:rPr>
                  </w:pPr>
                  <w:r w:rsidRPr="00E33D74">
                    <w:rPr>
                      <w:rFonts w:ascii="Times New Roman" w:eastAsia="Times New Roman" w:hAnsi="Times New Roman" w:cs="Times New Roman"/>
                      <w:bCs/>
                      <w:sz w:val="20"/>
                      <w:szCs w:val="20"/>
                      <w:lang w:eastAsia="lv-LV"/>
                    </w:rPr>
                    <w:t>2011</w:t>
                  </w:r>
                </w:p>
              </w:tc>
              <w:tc>
                <w:tcPr>
                  <w:tcW w:w="2410" w:type="dxa"/>
                  <w:vAlign w:val="center"/>
                </w:tcPr>
                <w:p w:rsidR="00614A4C" w:rsidRPr="00E33D74" w:rsidRDefault="006B53BC" w:rsidP="00E33D74">
                  <w:pPr>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sz w:val="20"/>
                      <w:szCs w:val="20"/>
                      <w:lang w:eastAsia="lv-LV"/>
                    </w:rPr>
                    <w:t>929,3</w:t>
                  </w:r>
                </w:p>
              </w:tc>
              <w:tc>
                <w:tcPr>
                  <w:tcW w:w="3152" w:type="dxa"/>
                  <w:vAlign w:val="center"/>
                </w:tcPr>
                <w:p w:rsidR="00614A4C" w:rsidRPr="00E33D74" w:rsidRDefault="00614A4C" w:rsidP="0019370A">
                  <w:pPr>
                    <w:jc w:val="center"/>
                    <w:rPr>
                      <w:rFonts w:ascii="Times New Roman" w:eastAsia="Times New Roman" w:hAnsi="Times New Roman" w:cs="Times New Roman"/>
                      <w:bCs/>
                      <w:sz w:val="20"/>
                      <w:szCs w:val="20"/>
                      <w:lang w:eastAsia="lv-LV"/>
                    </w:rPr>
                  </w:pPr>
                  <w:r w:rsidRPr="00E33D74">
                    <w:rPr>
                      <w:rFonts w:ascii="Times New Roman" w:eastAsia="Times New Roman" w:hAnsi="Times New Roman" w:cs="Times New Roman"/>
                      <w:sz w:val="20"/>
                      <w:szCs w:val="20"/>
                      <w:lang w:eastAsia="lv-LV"/>
                    </w:rPr>
                    <w:t>347</w:t>
                  </w:r>
                  <w:r w:rsidR="0019370A">
                    <w:rPr>
                      <w:rFonts w:ascii="Times New Roman" w:eastAsia="Times New Roman" w:hAnsi="Times New Roman" w:cs="Times New Roman"/>
                      <w:sz w:val="20"/>
                      <w:szCs w:val="20"/>
                      <w:lang w:eastAsia="lv-LV"/>
                    </w:rPr>
                    <w:t>,1</w:t>
                  </w:r>
                </w:p>
              </w:tc>
              <w:tc>
                <w:tcPr>
                  <w:tcW w:w="1418" w:type="dxa"/>
                  <w:vAlign w:val="center"/>
                </w:tcPr>
                <w:p w:rsidR="00614A4C" w:rsidRPr="00E33D74" w:rsidRDefault="00614A4C" w:rsidP="00E33D74">
                  <w:pPr>
                    <w:jc w:val="center"/>
                    <w:rPr>
                      <w:rFonts w:ascii="Times New Roman" w:eastAsia="Times New Roman" w:hAnsi="Times New Roman" w:cs="Times New Roman"/>
                      <w:sz w:val="20"/>
                      <w:szCs w:val="20"/>
                      <w:lang w:eastAsia="lv-LV"/>
                    </w:rPr>
                  </w:pPr>
                  <w:r w:rsidRPr="00E33D74">
                    <w:rPr>
                      <w:rFonts w:ascii="Times New Roman" w:eastAsia="Times New Roman" w:hAnsi="Times New Roman" w:cs="Times New Roman"/>
                      <w:sz w:val="20"/>
                      <w:szCs w:val="20"/>
                      <w:lang w:eastAsia="lv-LV"/>
                    </w:rPr>
                    <w:t>37%</w:t>
                  </w:r>
                </w:p>
              </w:tc>
            </w:tr>
            <w:tr w:rsidR="00614A4C" w:rsidRPr="00614A4C" w:rsidTr="001D4BC2">
              <w:tc>
                <w:tcPr>
                  <w:tcW w:w="1129" w:type="dxa"/>
                  <w:vAlign w:val="center"/>
                </w:tcPr>
                <w:p w:rsidR="00614A4C" w:rsidRPr="00E33D74" w:rsidRDefault="00614A4C" w:rsidP="00E33D74">
                  <w:pPr>
                    <w:jc w:val="center"/>
                    <w:rPr>
                      <w:rFonts w:ascii="Times New Roman" w:eastAsia="Times New Roman" w:hAnsi="Times New Roman" w:cs="Times New Roman"/>
                      <w:bCs/>
                      <w:sz w:val="20"/>
                      <w:szCs w:val="20"/>
                      <w:lang w:eastAsia="lv-LV"/>
                    </w:rPr>
                  </w:pPr>
                  <w:r w:rsidRPr="00E33D74">
                    <w:rPr>
                      <w:rFonts w:ascii="Times New Roman" w:eastAsia="Times New Roman" w:hAnsi="Times New Roman" w:cs="Times New Roman"/>
                      <w:bCs/>
                      <w:sz w:val="20"/>
                      <w:szCs w:val="20"/>
                      <w:lang w:eastAsia="lv-LV"/>
                    </w:rPr>
                    <w:t>2012</w:t>
                  </w:r>
                </w:p>
              </w:tc>
              <w:tc>
                <w:tcPr>
                  <w:tcW w:w="2410" w:type="dxa"/>
                  <w:vAlign w:val="center"/>
                </w:tcPr>
                <w:p w:rsidR="00614A4C" w:rsidRPr="00E33D74" w:rsidRDefault="006B53BC" w:rsidP="00E33D74">
                  <w:pPr>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sz w:val="20"/>
                      <w:szCs w:val="20"/>
                      <w:lang w:eastAsia="lv-LV"/>
                    </w:rPr>
                    <w:t>954,5</w:t>
                  </w:r>
                </w:p>
              </w:tc>
              <w:tc>
                <w:tcPr>
                  <w:tcW w:w="3152" w:type="dxa"/>
                  <w:vAlign w:val="center"/>
                </w:tcPr>
                <w:p w:rsidR="00614A4C" w:rsidRPr="00E33D74" w:rsidRDefault="0019370A" w:rsidP="0019370A">
                  <w:pPr>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sz w:val="20"/>
                      <w:szCs w:val="20"/>
                      <w:lang w:eastAsia="lv-LV"/>
                    </w:rPr>
                    <w:t>345,</w:t>
                  </w:r>
                  <w:r w:rsidR="00614A4C" w:rsidRPr="00E33D74">
                    <w:rPr>
                      <w:rFonts w:ascii="Times New Roman" w:eastAsia="Times New Roman" w:hAnsi="Times New Roman" w:cs="Times New Roman"/>
                      <w:sz w:val="20"/>
                      <w:szCs w:val="20"/>
                      <w:lang w:eastAsia="lv-LV"/>
                    </w:rPr>
                    <w:t>4</w:t>
                  </w:r>
                </w:p>
              </w:tc>
              <w:tc>
                <w:tcPr>
                  <w:tcW w:w="1418" w:type="dxa"/>
                  <w:vAlign w:val="center"/>
                </w:tcPr>
                <w:p w:rsidR="00614A4C" w:rsidRPr="00E33D74" w:rsidRDefault="00614A4C" w:rsidP="00E33D74">
                  <w:pPr>
                    <w:jc w:val="center"/>
                    <w:rPr>
                      <w:rFonts w:ascii="Times New Roman" w:eastAsia="Times New Roman" w:hAnsi="Times New Roman" w:cs="Times New Roman"/>
                      <w:sz w:val="20"/>
                      <w:szCs w:val="20"/>
                      <w:lang w:eastAsia="lv-LV"/>
                    </w:rPr>
                  </w:pPr>
                  <w:r w:rsidRPr="00E33D74">
                    <w:rPr>
                      <w:rFonts w:ascii="Times New Roman" w:eastAsia="Times New Roman" w:hAnsi="Times New Roman" w:cs="Times New Roman"/>
                      <w:sz w:val="20"/>
                      <w:szCs w:val="20"/>
                      <w:lang w:eastAsia="lv-LV"/>
                    </w:rPr>
                    <w:t>36%</w:t>
                  </w:r>
                </w:p>
              </w:tc>
            </w:tr>
            <w:tr w:rsidR="00614A4C" w:rsidRPr="00614A4C" w:rsidTr="001D4BC2">
              <w:tc>
                <w:tcPr>
                  <w:tcW w:w="1129" w:type="dxa"/>
                  <w:vAlign w:val="center"/>
                </w:tcPr>
                <w:p w:rsidR="00614A4C" w:rsidRPr="00E33D74" w:rsidRDefault="00614A4C" w:rsidP="00E33D74">
                  <w:pPr>
                    <w:jc w:val="center"/>
                    <w:rPr>
                      <w:rFonts w:ascii="Times New Roman" w:eastAsia="Times New Roman" w:hAnsi="Times New Roman" w:cs="Times New Roman"/>
                      <w:bCs/>
                      <w:sz w:val="20"/>
                      <w:szCs w:val="20"/>
                      <w:lang w:eastAsia="lv-LV"/>
                    </w:rPr>
                  </w:pPr>
                  <w:r w:rsidRPr="00E33D74">
                    <w:rPr>
                      <w:rFonts w:ascii="Times New Roman" w:eastAsia="Times New Roman" w:hAnsi="Times New Roman" w:cs="Times New Roman"/>
                      <w:bCs/>
                      <w:sz w:val="20"/>
                      <w:szCs w:val="20"/>
                      <w:lang w:eastAsia="lv-LV"/>
                    </w:rPr>
                    <w:t>2013</w:t>
                  </w:r>
                </w:p>
              </w:tc>
              <w:tc>
                <w:tcPr>
                  <w:tcW w:w="2410" w:type="dxa"/>
                  <w:vAlign w:val="center"/>
                </w:tcPr>
                <w:p w:rsidR="00614A4C" w:rsidRPr="00E33D74" w:rsidRDefault="006B53BC" w:rsidP="00E33D74">
                  <w:pPr>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sz w:val="20"/>
                      <w:szCs w:val="20"/>
                      <w:lang w:eastAsia="lv-LV"/>
                    </w:rPr>
                    <w:t>978,4</w:t>
                  </w:r>
                </w:p>
              </w:tc>
              <w:tc>
                <w:tcPr>
                  <w:tcW w:w="3152" w:type="dxa"/>
                  <w:vAlign w:val="center"/>
                </w:tcPr>
                <w:p w:rsidR="00614A4C" w:rsidRPr="00E33D74" w:rsidRDefault="0019370A" w:rsidP="0019370A">
                  <w:pPr>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sz w:val="20"/>
                      <w:szCs w:val="20"/>
                      <w:lang w:eastAsia="lv-LV"/>
                    </w:rPr>
                    <w:t>335,</w:t>
                  </w:r>
                  <w:r w:rsidR="00614A4C" w:rsidRPr="00E33D74">
                    <w:rPr>
                      <w:rFonts w:ascii="Times New Roman" w:eastAsia="Times New Roman" w:hAnsi="Times New Roman" w:cs="Times New Roman"/>
                      <w:sz w:val="20"/>
                      <w:szCs w:val="20"/>
                      <w:lang w:eastAsia="lv-LV"/>
                    </w:rPr>
                    <w:t>8</w:t>
                  </w:r>
                </w:p>
              </w:tc>
              <w:tc>
                <w:tcPr>
                  <w:tcW w:w="1418" w:type="dxa"/>
                  <w:vAlign w:val="center"/>
                </w:tcPr>
                <w:p w:rsidR="00614A4C" w:rsidRPr="00E33D74" w:rsidRDefault="00614A4C" w:rsidP="00E33D74">
                  <w:pPr>
                    <w:jc w:val="center"/>
                    <w:rPr>
                      <w:rFonts w:ascii="Times New Roman" w:eastAsia="Times New Roman" w:hAnsi="Times New Roman" w:cs="Times New Roman"/>
                      <w:sz w:val="20"/>
                      <w:szCs w:val="20"/>
                      <w:lang w:eastAsia="lv-LV"/>
                    </w:rPr>
                  </w:pPr>
                  <w:r w:rsidRPr="00E33D74">
                    <w:rPr>
                      <w:rFonts w:ascii="Times New Roman" w:eastAsia="Times New Roman" w:hAnsi="Times New Roman" w:cs="Times New Roman"/>
                      <w:sz w:val="20"/>
                      <w:szCs w:val="20"/>
                      <w:lang w:eastAsia="lv-LV"/>
                    </w:rPr>
                    <w:t>34%</w:t>
                  </w:r>
                </w:p>
              </w:tc>
            </w:tr>
            <w:tr w:rsidR="00614A4C" w:rsidRPr="00614A4C" w:rsidTr="001D4BC2">
              <w:tc>
                <w:tcPr>
                  <w:tcW w:w="1129" w:type="dxa"/>
                  <w:vAlign w:val="center"/>
                </w:tcPr>
                <w:p w:rsidR="00614A4C" w:rsidRPr="00E33D74" w:rsidRDefault="00614A4C" w:rsidP="00E33D74">
                  <w:pPr>
                    <w:jc w:val="center"/>
                    <w:rPr>
                      <w:rFonts w:ascii="Times New Roman" w:eastAsia="Times New Roman" w:hAnsi="Times New Roman" w:cs="Times New Roman"/>
                      <w:bCs/>
                      <w:sz w:val="20"/>
                      <w:szCs w:val="20"/>
                      <w:lang w:eastAsia="lv-LV"/>
                    </w:rPr>
                  </w:pPr>
                  <w:r w:rsidRPr="00E33D74">
                    <w:rPr>
                      <w:rFonts w:ascii="Times New Roman" w:eastAsia="Times New Roman" w:hAnsi="Times New Roman" w:cs="Times New Roman"/>
                      <w:bCs/>
                      <w:sz w:val="20"/>
                      <w:szCs w:val="20"/>
                      <w:lang w:eastAsia="lv-LV"/>
                    </w:rPr>
                    <w:t>2014</w:t>
                  </w:r>
                </w:p>
              </w:tc>
              <w:tc>
                <w:tcPr>
                  <w:tcW w:w="2410" w:type="dxa"/>
                  <w:vAlign w:val="center"/>
                </w:tcPr>
                <w:p w:rsidR="00614A4C" w:rsidRPr="00E33D74" w:rsidRDefault="006B53BC" w:rsidP="00E33D74">
                  <w:pPr>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sz w:val="20"/>
                      <w:szCs w:val="20"/>
                      <w:lang w:eastAsia="lv-LV"/>
                    </w:rPr>
                    <w:t>992,2</w:t>
                  </w:r>
                </w:p>
              </w:tc>
              <w:tc>
                <w:tcPr>
                  <w:tcW w:w="3152" w:type="dxa"/>
                  <w:vAlign w:val="center"/>
                </w:tcPr>
                <w:p w:rsidR="00614A4C" w:rsidRPr="00E33D74" w:rsidRDefault="0019370A" w:rsidP="00E33D74">
                  <w:pPr>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sz w:val="20"/>
                      <w:szCs w:val="20"/>
                      <w:lang w:eastAsia="lv-LV"/>
                    </w:rPr>
                    <w:t>345,7</w:t>
                  </w:r>
                </w:p>
              </w:tc>
              <w:tc>
                <w:tcPr>
                  <w:tcW w:w="1418" w:type="dxa"/>
                  <w:vAlign w:val="center"/>
                </w:tcPr>
                <w:p w:rsidR="00614A4C" w:rsidRPr="00E33D74" w:rsidRDefault="00614A4C" w:rsidP="00E33D74">
                  <w:pPr>
                    <w:jc w:val="center"/>
                    <w:rPr>
                      <w:rFonts w:ascii="Times New Roman" w:eastAsia="Times New Roman" w:hAnsi="Times New Roman" w:cs="Times New Roman"/>
                      <w:sz w:val="20"/>
                      <w:szCs w:val="20"/>
                      <w:lang w:eastAsia="lv-LV"/>
                    </w:rPr>
                  </w:pPr>
                  <w:r w:rsidRPr="00E33D74">
                    <w:rPr>
                      <w:rFonts w:ascii="Times New Roman" w:eastAsia="Times New Roman" w:hAnsi="Times New Roman" w:cs="Times New Roman"/>
                      <w:sz w:val="20"/>
                      <w:szCs w:val="20"/>
                      <w:lang w:eastAsia="lv-LV"/>
                    </w:rPr>
                    <w:t>35%</w:t>
                  </w:r>
                </w:p>
              </w:tc>
            </w:tr>
            <w:tr w:rsidR="00614A4C" w:rsidRPr="00614A4C" w:rsidTr="001D4BC2">
              <w:tc>
                <w:tcPr>
                  <w:tcW w:w="1129" w:type="dxa"/>
                  <w:vAlign w:val="center"/>
                </w:tcPr>
                <w:p w:rsidR="00614A4C" w:rsidRPr="00E33D74" w:rsidRDefault="00614A4C" w:rsidP="00E33D74">
                  <w:pPr>
                    <w:jc w:val="center"/>
                    <w:rPr>
                      <w:rFonts w:ascii="Times New Roman" w:eastAsia="Times New Roman" w:hAnsi="Times New Roman" w:cs="Times New Roman"/>
                      <w:bCs/>
                      <w:sz w:val="20"/>
                      <w:szCs w:val="20"/>
                      <w:lang w:eastAsia="lv-LV"/>
                    </w:rPr>
                  </w:pPr>
                  <w:r w:rsidRPr="00E33D74">
                    <w:rPr>
                      <w:rFonts w:ascii="Times New Roman" w:eastAsia="Times New Roman" w:hAnsi="Times New Roman" w:cs="Times New Roman"/>
                      <w:bCs/>
                      <w:sz w:val="20"/>
                      <w:szCs w:val="20"/>
                      <w:lang w:eastAsia="lv-LV"/>
                    </w:rPr>
                    <w:t>2015</w:t>
                  </w:r>
                </w:p>
              </w:tc>
              <w:tc>
                <w:tcPr>
                  <w:tcW w:w="2410" w:type="dxa"/>
                  <w:vAlign w:val="center"/>
                </w:tcPr>
                <w:p w:rsidR="00614A4C" w:rsidRPr="00E33D74" w:rsidRDefault="006B53BC" w:rsidP="00E33D74">
                  <w:pPr>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sz w:val="20"/>
                      <w:szCs w:val="20"/>
                      <w:lang w:eastAsia="lv-LV"/>
                    </w:rPr>
                    <w:t>994,9</w:t>
                  </w:r>
                </w:p>
              </w:tc>
              <w:tc>
                <w:tcPr>
                  <w:tcW w:w="3152" w:type="dxa"/>
                  <w:vAlign w:val="center"/>
                </w:tcPr>
                <w:p w:rsidR="00614A4C" w:rsidRPr="00E33D74" w:rsidRDefault="0019370A" w:rsidP="00E33D74">
                  <w:pPr>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sz w:val="20"/>
                      <w:szCs w:val="20"/>
                      <w:lang w:eastAsia="lv-LV"/>
                    </w:rPr>
                    <w:t>353,8</w:t>
                  </w:r>
                </w:p>
              </w:tc>
              <w:tc>
                <w:tcPr>
                  <w:tcW w:w="1418" w:type="dxa"/>
                  <w:vAlign w:val="center"/>
                </w:tcPr>
                <w:p w:rsidR="00614A4C" w:rsidRPr="00E33D74" w:rsidRDefault="00614A4C" w:rsidP="00E33D74">
                  <w:pPr>
                    <w:jc w:val="center"/>
                    <w:rPr>
                      <w:rFonts w:ascii="Times New Roman" w:eastAsia="Times New Roman" w:hAnsi="Times New Roman" w:cs="Times New Roman"/>
                      <w:sz w:val="20"/>
                      <w:szCs w:val="20"/>
                      <w:lang w:eastAsia="lv-LV"/>
                    </w:rPr>
                  </w:pPr>
                  <w:r w:rsidRPr="00E33D74">
                    <w:rPr>
                      <w:rFonts w:ascii="Times New Roman" w:eastAsia="Times New Roman" w:hAnsi="Times New Roman" w:cs="Times New Roman"/>
                      <w:sz w:val="20"/>
                      <w:szCs w:val="20"/>
                      <w:lang w:eastAsia="lv-LV"/>
                    </w:rPr>
                    <w:t>36%</w:t>
                  </w:r>
                </w:p>
              </w:tc>
            </w:tr>
            <w:tr w:rsidR="00614A4C" w:rsidRPr="00614A4C" w:rsidTr="001D4BC2">
              <w:tc>
                <w:tcPr>
                  <w:tcW w:w="1129" w:type="dxa"/>
                  <w:vAlign w:val="center"/>
                </w:tcPr>
                <w:p w:rsidR="00614A4C" w:rsidRPr="00E33D74" w:rsidRDefault="00614A4C" w:rsidP="00E33D74">
                  <w:pPr>
                    <w:jc w:val="center"/>
                    <w:rPr>
                      <w:rFonts w:ascii="Times New Roman" w:eastAsia="Times New Roman" w:hAnsi="Times New Roman" w:cs="Times New Roman"/>
                      <w:bCs/>
                      <w:sz w:val="20"/>
                      <w:szCs w:val="20"/>
                      <w:lang w:eastAsia="lv-LV"/>
                    </w:rPr>
                  </w:pPr>
                  <w:r w:rsidRPr="00E33D74">
                    <w:rPr>
                      <w:rFonts w:ascii="Times New Roman" w:eastAsia="Times New Roman" w:hAnsi="Times New Roman" w:cs="Times New Roman"/>
                      <w:bCs/>
                      <w:sz w:val="20"/>
                      <w:szCs w:val="20"/>
                      <w:lang w:eastAsia="lv-LV"/>
                    </w:rPr>
                    <w:t>2016</w:t>
                  </w:r>
                </w:p>
              </w:tc>
              <w:tc>
                <w:tcPr>
                  <w:tcW w:w="2410" w:type="dxa"/>
                  <w:vAlign w:val="center"/>
                </w:tcPr>
                <w:p w:rsidR="00614A4C" w:rsidRPr="00E33D74" w:rsidRDefault="006B53BC" w:rsidP="00E33D74">
                  <w:pPr>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sz w:val="20"/>
                      <w:szCs w:val="20"/>
                      <w:lang w:eastAsia="lv-LV"/>
                    </w:rPr>
                    <w:t>998,3</w:t>
                  </w:r>
                </w:p>
              </w:tc>
              <w:tc>
                <w:tcPr>
                  <w:tcW w:w="3152" w:type="dxa"/>
                  <w:vAlign w:val="center"/>
                </w:tcPr>
                <w:p w:rsidR="00614A4C" w:rsidRPr="00E33D74" w:rsidRDefault="0019370A" w:rsidP="00E33D74">
                  <w:pPr>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sz w:val="20"/>
                      <w:szCs w:val="20"/>
                      <w:lang w:eastAsia="lv-LV"/>
                    </w:rPr>
                    <w:t>342,1</w:t>
                  </w:r>
                </w:p>
              </w:tc>
              <w:tc>
                <w:tcPr>
                  <w:tcW w:w="1418" w:type="dxa"/>
                  <w:vAlign w:val="center"/>
                </w:tcPr>
                <w:p w:rsidR="00614A4C" w:rsidRPr="00E33D74" w:rsidRDefault="00614A4C" w:rsidP="00E33D74">
                  <w:pPr>
                    <w:jc w:val="center"/>
                    <w:rPr>
                      <w:rFonts w:ascii="Times New Roman" w:eastAsia="Times New Roman" w:hAnsi="Times New Roman" w:cs="Times New Roman"/>
                      <w:sz w:val="20"/>
                      <w:szCs w:val="20"/>
                      <w:lang w:eastAsia="lv-LV"/>
                    </w:rPr>
                  </w:pPr>
                  <w:r w:rsidRPr="00E33D74">
                    <w:rPr>
                      <w:rFonts w:ascii="Times New Roman" w:eastAsia="Times New Roman" w:hAnsi="Times New Roman" w:cs="Times New Roman"/>
                      <w:sz w:val="20"/>
                      <w:szCs w:val="20"/>
                      <w:lang w:eastAsia="lv-LV"/>
                    </w:rPr>
                    <w:t>34%</w:t>
                  </w:r>
                </w:p>
              </w:tc>
            </w:tr>
            <w:tr w:rsidR="00614A4C" w:rsidRPr="00614A4C" w:rsidTr="001D4BC2">
              <w:tc>
                <w:tcPr>
                  <w:tcW w:w="1129" w:type="dxa"/>
                  <w:vAlign w:val="center"/>
                </w:tcPr>
                <w:p w:rsidR="00614A4C" w:rsidRPr="00E33D74" w:rsidRDefault="00614A4C" w:rsidP="00E33D74">
                  <w:pPr>
                    <w:jc w:val="center"/>
                    <w:rPr>
                      <w:rFonts w:ascii="Times New Roman" w:eastAsia="Times New Roman" w:hAnsi="Times New Roman" w:cs="Times New Roman"/>
                      <w:bCs/>
                      <w:sz w:val="20"/>
                      <w:szCs w:val="20"/>
                      <w:lang w:eastAsia="lv-LV"/>
                    </w:rPr>
                  </w:pPr>
                  <w:r w:rsidRPr="00E33D74">
                    <w:rPr>
                      <w:rFonts w:ascii="Times New Roman" w:eastAsia="Times New Roman" w:hAnsi="Times New Roman" w:cs="Times New Roman"/>
                      <w:bCs/>
                      <w:sz w:val="20"/>
                      <w:szCs w:val="20"/>
                      <w:lang w:eastAsia="lv-LV"/>
                    </w:rPr>
                    <w:t>2017</w:t>
                  </w:r>
                </w:p>
              </w:tc>
              <w:tc>
                <w:tcPr>
                  <w:tcW w:w="2410" w:type="dxa"/>
                  <w:vAlign w:val="center"/>
                </w:tcPr>
                <w:p w:rsidR="00614A4C" w:rsidRPr="00E33D74" w:rsidRDefault="006B53BC" w:rsidP="00E33D74">
                  <w:pPr>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sz w:val="20"/>
                      <w:szCs w:val="20"/>
                      <w:lang w:eastAsia="lv-LV"/>
                    </w:rPr>
                    <w:t>998,7</w:t>
                  </w:r>
                </w:p>
              </w:tc>
              <w:tc>
                <w:tcPr>
                  <w:tcW w:w="3152" w:type="dxa"/>
                  <w:vAlign w:val="center"/>
                </w:tcPr>
                <w:p w:rsidR="00614A4C" w:rsidRPr="00E33D74" w:rsidRDefault="0019370A" w:rsidP="00E33D74">
                  <w:pPr>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sz w:val="20"/>
                      <w:szCs w:val="20"/>
                      <w:lang w:eastAsia="lv-LV"/>
                    </w:rPr>
                    <w:t>315,3</w:t>
                  </w:r>
                </w:p>
              </w:tc>
              <w:tc>
                <w:tcPr>
                  <w:tcW w:w="1418" w:type="dxa"/>
                  <w:vAlign w:val="center"/>
                </w:tcPr>
                <w:p w:rsidR="00614A4C" w:rsidRPr="00E33D74" w:rsidRDefault="00614A4C" w:rsidP="00E33D74">
                  <w:pPr>
                    <w:jc w:val="center"/>
                    <w:rPr>
                      <w:rFonts w:ascii="Times New Roman" w:eastAsia="Times New Roman" w:hAnsi="Times New Roman" w:cs="Times New Roman"/>
                      <w:sz w:val="20"/>
                      <w:szCs w:val="20"/>
                      <w:lang w:eastAsia="lv-LV"/>
                    </w:rPr>
                  </w:pPr>
                  <w:r w:rsidRPr="00E33D74">
                    <w:rPr>
                      <w:rFonts w:ascii="Times New Roman" w:eastAsia="Times New Roman" w:hAnsi="Times New Roman" w:cs="Times New Roman"/>
                      <w:sz w:val="20"/>
                      <w:szCs w:val="20"/>
                      <w:lang w:eastAsia="lv-LV"/>
                    </w:rPr>
                    <w:t>32%</w:t>
                  </w:r>
                </w:p>
              </w:tc>
            </w:tr>
          </w:tbl>
          <w:p w:rsidR="00614A4C" w:rsidRPr="00864A67" w:rsidRDefault="00614A4C" w:rsidP="00614A4C">
            <w:pPr>
              <w:spacing w:after="0" w:line="240" w:lineRule="auto"/>
              <w:ind w:left="601"/>
              <w:rPr>
                <w:rFonts w:ascii="Times New Roman" w:eastAsia="Times New Roman" w:hAnsi="Times New Roman" w:cs="Times New Roman"/>
                <w:b/>
                <w:bCs/>
                <w:lang w:eastAsia="lv-LV"/>
              </w:rPr>
            </w:pPr>
          </w:p>
        </w:tc>
        <w:tc>
          <w:tcPr>
            <w:tcW w:w="850" w:type="dxa"/>
            <w:tcBorders>
              <w:top w:val="nil"/>
              <w:left w:val="nil"/>
              <w:bottom w:val="nil"/>
              <w:right w:val="nil"/>
            </w:tcBorders>
            <w:shd w:val="clear" w:color="auto" w:fill="auto"/>
            <w:noWrap/>
            <w:vAlign w:val="bottom"/>
            <w:hideMark/>
          </w:tcPr>
          <w:p w:rsidR="00864A67" w:rsidRPr="00864A67" w:rsidRDefault="00864A67" w:rsidP="00864A67">
            <w:pPr>
              <w:spacing w:after="0" w:line="240" w:lineRule="auto"/>
              <w:rPr>
                <w:rFonts w:ascii="Times New Roman" w:eastAsia="Times New Roman" w:hAnsi="Times New Roman" w:cs="Times New Roman"/>
                <w:sz w:val="20"/>
                <w:szCs w:val="20"/>
                <w:lang w:eastAsia="lv-LV"/>
              </w:rPr>
            </w:pPr>
          </w:p>
        </w:tc>
      </w:tr>
    </w:tbl>
    <w:p w:rsidR="005C29D4" w:rsidRPr="004C0EF4" w:rsidRDefault="00435D68" w:rsidP="00FA5A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380E25">
        <w:rPr>
          <w:rFonts w:ascii="Times New Roman" w:hAnsi="Times New Roman" w:cs="Times New Roman"/>
          <w:sz w:val="24"/>
          <w:szCs w:val="24"/>
        </w:rPr>
        <w:t xml:space="preserve">atu </w:t>
      </w:r>
      <w:r>
        <w:rPr>
          <w:rFonts w:ascii="Times New Roman" w:hAnsi="Times New Roman" w:cs="Times New Roman"/>
          <w:sz w:val="24"/>
          <w:szCs w:val="24"/>
        </w:rPr>
        <w:t>avots</w:t>
      </w:r>
      <w:r w:rsidR="00380E25">
        <w:rPr>
          <w:rFonts w:ascii="Times New Roman" w:hAnsi="Times New Roman" w:cs="Times New Roman"/>
          <w:sz w:val="24"/>
          <w:szCs w:val="24"/>
        </w:rPr>
        <w:t xml:space="preserve">: </w:t>
      </w:r>
      <w:r w:rsidR="00E326B6">
        <w:rPr>
          <w:rFonts w:ascii="Times New Roman" w:hAnsi="Times New Roman" w:cs="Times New Roman"/>
          <w:sz w:val="24"/>
          <w:szCs w:val="24"/>
        </w:rPr>
        <w:t>VSAA</w:t>
      </w:r>
      <w:r w:rsidR="00C46369">
        <w:rPr>
          <w:rFonts w:ascii="Times New Roman" w:hAnsi="Times New Roman" w:cs="Times New Roman"/>
          <w:sz w:val="24"/>
          <w:szCs w:val="24"/>
        </w:rPr>
        <w:t xml:space="preserve"> dati, LM aprēķins</w:t>
      </w:r>
    </w:p>
    <w:p w:rsidR="00C65B9F" w:rsidRDefault="00C65B9F" w:rsidP="00B80024">
      <w:pPr>
        <w:spacing w:after="0" w:line="240" w:lineRule="auto"/>
        <w:ind w:firstLine="567"/>
        <w:jc w:val="both"/>
        <w:rPr>
          <w:rFonts w:ascii="Times New Roman" w:hAnsi="Times New Roman" w:cs="Times New Roman"/>
          <w:sz w:val="24"/>
          <w:szCs w:val="24"/>
        </w:rPr>
      </w:pPr>
    </w:p>
    <w:p w:rsidR="00F91F8C" w:rsidRDefault="00DB07D7" w:rsidP="00B80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Saskaņā ar VSAA datiem starp </w:t>
      </w:r>
      <w:r w:rsidR="00C65B9F">
        <w:rPr>
          <w:rFonts w:ascii="Times New Roman" w:hAnsi="Times New Roman" w:cs="Times New Roman"/>
          <w:sz w:val="24"/>
          <w:szCs w:val="24"/>
        </w:rPr>
        <w:t>tiem</w:t>
      </w:r>
      <w:r>
        <w:rPr>
          <w:rFonts w:ascii="Times New Roman" w:hAnsi="Times New Roman" w:cs="Times New Roman"/>
          <w:sz w:val="24"/>
          <w:szCs w:val="24"/>
        </w:rPr>
        <w:t xml:space="preserve">, kas sociālās apdrošināšanas iemaksas </w:t>
      </w:r>
      <w:r w:rsidR="00C65B9F">
        <w:rPr>
          <w:rFonts w:ascii="Times New Roman" w:hAnsi="Times New Roman" w:cs="Times New Roman"/>
          <w:sz w:val="24"/>
          <w:szCs w:val="24"/>
        </w:rPr>
        <w:t xml:space="preserve">veic </w:t>
      </w:r>
      <w:r>
        <w:rPr>
          <w:rFonts w:ascii="Times New Roman" w:hAnsi="Times New Roman" w:cs="Times New Roman"/>
          <w:sz w:val="24"/>
          <w:szCs w:val="24"/>
        </w:rPr>
        <w:t xml:space="preserve">līdz minimālās </w:t>
      </w:r>
      <w:r w:rsidR="00785C05">
        <w:rPr>
          <w:rFonts w:ascii="Times New Roman" w:hAnsi="Times New Roman" w:cs="Times New Roman"/>
          <w:sz w:val="24"/>
          <w:szCs w:val="24"/>
        </w:rPr>
        <w:t xml:space="preserve">darba </w:t>
      </w:r>
      <w:r>
        <w:rPr>
          <w:rFonts w:ascii="Times New Roman" w:hAnsi="Times New Roman" w:cs="Times New Roman"/>
          <w:sz w:val="24"/>
          <w:szCs w:val="24"/>
        </w:rPr>
        <w:t>algas apmēr</w:t>
      </w:r>
      <w:r w:rsidR="00785C05">
        <w:rPr>
          <w:rFonts w:ascii="Times New Roman" w:hAnsi="Times New Roman" w:cs="Times New Roman"/>
          <w:sz w:val="24"/>
          <w:szCs w:val="24"/>
        </w:rPr>
        <w:t>a</w:t>
      </w:r>
      <w:r>
        <w:rPr>
          <w:rFonts w:ascii="Times New Roman" w:hAnsi="Times New Roman" w:cs="Times New Roman"/>
          <w:sz w:val="24"/>
          <w:szCs w:val="24"/>
        </w:rPr>
        <w:t xml:space="preserve">m, ir personas, kas </w:t>
      </w:r>
      <w:r w:rsidR="009C3454">
        <w:rPr>
          <w:rFonts w:ascii="Times New Roman" w:hAnsi="Times New Roman" w:cs="Times New Roman"/>
          <w:sz w:val="24"/>
          <w:szCs w:val="24"/>
        </w:rPr>
        <w:t>sociālās apdrošināšanas iemaksas veic</w:t>
      </w:r>
      <w:r>
        <w:rPr>
          <w:rFonts w:ascii="Times New Roman" w:hAnsi="Times New Roman" w:cs="Times New Roman"/>
          <w:sz w:val="24"/>
          <w:szCs w:val="24"/>
        </w:rPr>
        <w:t xml:space="preserve"> mikrouzņēmumu nodok</w:t>
      </w:r>
      <w:r w:rsidR="009C1F47">
        <w:rPr>
          <w:rFonts w:ascii="Times New Roman" w:hAnsi="Times New Roman" w:cs="Times New Roman"/>
          <w:sz w:val="24"/>
          <w:szCs w:val="24"/>
        </w:rPr>
        <w:t>ļa</w:t>
      </w:r>
      <w:r>
        <w:rPr>
          <w:rFonts w:ascii="Times New Roman" w:hAnsi="Times New Roman" w:cs="Times New Roman"/>
          <w:sz w:val="24"/>
          <w:szCs w:val="24"/>
        </w:rPr>
        <w:t xml:space="preserve"> režīmā. </w:t>
      </w:r>
      <w:r w:rsidR="00492728">
        <w:rPr>
          <w:rFonts w:ascii="Times New Roman" w:hAnsi="Times New Roman" w:cs="Times New Roman"/>
          <w:sz w:val="24"/>
          <w:szCs w:val="24"/>
        </w:rPr>
        <w:t>K</w:t>
      </w:r>
      <w:r w:rsidR="00147DFD" w:rsidRPr="00147DFD">
        <w:rPr>
          <w:rFonts w:ascii="Times New Roman" w:hAnsi="Times New Roman" w:cs="Times New Roman"/>
          <w:sz w:val="24"/>
          <w:szCs w:val="24"/>
        </w:rPr>
        <w:t>opš 2011.gada sākuma, kad par mikrouzņēmumu nodokļa maksātājiem varēja reģistrēties ne tikai jaunreģistrētie nodokļu maksātāji, bet arī iepriekšējos periodos reģistrētie nodokļu maksātāji, mikrouzņēmumu nodokļa maksātāju skaits palielinājies 6,5 reizes.</w:t>
      </w:r>
      <w:r w:rsidR="00147DFD">
        <w:rPr>
          <w:rFonts w:ascii="Times New Roman" w:hAnsi="Times New Roman" w:cs="Times New Roman"/>
          <w:sz w:val="24"/>
          <w:szCs w:val="24"/>
        </w:rPr>
        <w:t xml:space="preserve"> </w:t>
      </w:r>
      <w:r w:rsidR="00147DFD" w:rsidRPr="00147DFD">
        <w:rPr>
          <w:rFonts w:ascii="Times New Roman" w:hAnsi="Times New Roman" w:cs="Times New Roman"/>
          <w:sz w:val="24"/>
          <w:szCs w:val="24"/>
        </w:rPr>
        <w:t xml:space="preserve">Personām, par kurām nodokļi tiek maksāti, piemērojot mikrouzņēmumu nodokļa režīmu, ir neliels valsts sociālās apdrošināšanas pakalpojumu apmērs salīdzinājumā ar pakalpojumu apmēru, kas tiek piešķirti personām, kuras veikušas iemaksas vispārējā </w:t>
      </w:r>
      <w:r w:rsidR="00C72C94">
        <w:rPr>
          <w:rFonts w:ascii="Times New Roman" w:hAnsi="Times New Roman" w:cs="Times New Roman"/>
          <w:sz w:val="24"/>
          <w:szCs w:val="24"/>
        </w:rPr>
        <w:t>nodokļu režīmā</w:t>
      </w:r>
      <w:r w:rsidR="00147DFD" w:rsidRPr="00147DFD">
        <w:rPr>
          <w:rFonts w:ascii="Times New Roman" w:hAnsi="Times New Roman" w:cs="Times New Roman"/>
          <w:sz w:val="24"/>
          <w:szCs w:val="24"/>
        </w:rPr>
        <w:t xml:space="preserve">. Vienlaikus mikrouzņēmumu darbinieki salīdzinājumā ar darba ņēmējiem vispārējā </w:t>
      </w:r>
      <w:r w:rsidR="009C1F47">
        <w:rPr>
          <w:rFonts w:ascii="Times New Roman" w:hAnsi="Times New Roman" w:cs="Times New Roman"/>
          <w:sz w:val="24"/>
          <w:szCs w:val="24"/>
        </w:rPr>
        <w:t>nodokļu režīmā</w:t>
      </w:r>
      <w:r w:rsidR="0067478E">
        <w:rPr>
          <w:rFonts w:ascii="Times New Roman" w:hAnsi="Times New Roman" w:cs="Times New Roman"/>
          <w:sz w:val="24"/>
          <w:szCs w:val="24"/>
        </w:rPr>
        <w:t>,</w:t>
      </w:r>
      <w:r w:rsidR="00147DFD" w:rsidRPr="00147DFD">
        <w:rPr>
          <w:rFonts w:ascii="Times New Roman" w:hAnsi="Times New Roman" w:cs="Times New Roman"/>
          <w:sz w:val="24"/>
          <w:szCs w:val="24"/>
        </w:rPr>
        <w:t xml:space="preserve"> nodarbinātības laikā saņem lielākus ienākumus, jo viņu bruto un neto ienākumi neatšķiras. Tomēr mikrouzņēmumu darbinieki brīvprātīgi sociālajai apdrošināšanai pievienojas ļoti reti un īsu periodu pirms pakalpojuma pieprasīšanas. </w:t>
      </w:r>
      <w:r w:rsidR="0067478E">
        <w:rPr>
          <w:rFonts w:ascii="Times New Roman" w:hAnsi="Times New Roman" w:cs="Times New Roman"/>
          <w:sz w:val="24"/>
          <w:szCs w:val="24"/>
        </w:rPr>
        <w:t>Brīvprātīgās iemaksas p</w:t>
      </w:r>
      <w:r w:rsidR="00147DFD" w:rsidRPr="00147DFD">
        <w:rPr>
          <w:rFonts w:ascii="Times New Roman" w:hAnsi="Times New Roman" w:cs="Times New Roman"/>
          <w:sz w:val="24"/>
          <w:szCs w:val="24"/>
        </w:rPr>
        <w:t xml:space="preserve">ārsvarā veic sievietes (4/5 no brīvprātīgajiem), un iemaksu veikšanas periods ir 7-12 mēneši, kas ir arī periods, par kādu tiek rēķināta vidējā </w:t>
      </w:r>
      <w:r w:rsidR="0071655D">
        <w:rPr>
          <w:rFonts w:ascii="Times New Roman" w:hAnsi="Times New Roman" w:cs="Times New Roman"/>
          <w:sz w:val="24"/>
          <w:szCs w:val="24"/>
        </w:rPr>
        <w:t xml:space="preserve">apdrošināšanas </w:t>
      </w:r>
      <w:r w:rsidR="00147DFD" w:rsidRPr="00147DFD">
        <w:rPr>
          <w:rFonts w:ascii="Times New Roman" w:hAnsi="Times New Roman" w:cs="Times New Roman"/>
          <w:sz w:val="24"/>
          <w:szCs w:val="24"/>
        </w:rPr>
        <w:t>iemaksu alga, aprēķinot sociālās apdrošināšanas pakalpojumus.</w:t>
      </w:r>
    </w:p>
    <w:p w:rsidR="00A50381" w:rsidRDefault="00B15798" w:rsidP="00B1579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Jāņem vērā tas,</w:t>
      </w:r>
      <w:r w:rsidR="00623228">
        <w:rPr>
          <w:rFonts w:ascii="Times New Roman" w:hAnsi="Times New Roman" w:cs="Times New Roman"/>
          <w:sz w:val="24"/>
          <w:szCs w:val="24"/>
        </w:rPr>
        <w:t xml:space="preserve"> </w:t>
      </w:r>
      <w:r w:rsidR="00BD27C9">
        <w:rPr>
          <w:rFonts w:ascii="Times New Roman" w:hAnsi="Times New Roman" w:cs="Times New Roman"/>
          <w:sz w:val="24"/>
          <w:szCs w:val="24"/>
        </w:rPr>
        <w:t xml:space="preserve">ka </w:t>
      </w:r>
      <w:r w:rsidR="00F25936">
        <w:rPr>
          <w:rFonts w:ascii="Times New Roman" w:hAnsi="Times New Roman" w:cs="Times New Roman"/>
          <w:sz w:val="24"/>
          <w:szCs w:val="24"/>
        </w:rPr>
        <w:t xml:space="preserve">arī </w:t>
      </w:r>
      <w:r w:rsidR="00623228">
        <w:rPr>
          <w:rFonts w:ascii="Times New Roman" w:hAnsi="Times New Roman" w:cs="Times New Roman"/>
          <w:sz w:val="24"/>
          <w:szCs w:val="24"/>
        </w:rPr>
        <w:t>ē</w:t>
      </w:r>
      <w:r w:rsidR="00370659" w:rsidRPr="00FC34FF">
        <w:rPr>
          <w:rFonts w:ascii="Times New Roman" w:hAnsi="Times New Roman" w:cs="Times New Roman"/>
          <w:sz w:val="24"/>
          <w:szCs w:val="24"/>
        </w:rPr>
        <w:t xml:space="preserve">nu ekonomika rada nevienlīdzīgu konkurenci, kropļo tirgu, kā arī negatīvi ietekmē statistikas datus, kas politikas veidotājiem var sniegt maldīgu priekšstatu par norisēm tautsaimniecībā. Ēnu ekonomika negatīvi ietekmē nodokļu iekasēšanu un samazina valsts budžeta ieņēmumus, kas attiecīgi samazina valsts rīcībā esošo naudas apjomu, ko būtu iespējams izmantot dažādu vajadzību </w:t>
      </w:r>
      <w:r w:rsidR="00370659" w:rsidRPr="00FC34FF">
        <w:rPr>
          <w:rFonts w:ascii="Times New Roman" w:hAnsi="Times New Roman" w:cs="Times New Roman"/>
          <w:sz w:val="24"/>
          <w:szCs w:val="24"/>
        </w:rPr>
        <w:lastRenderedPageBreak/>
        <w:t>finansēšanai.</w:t>
      </w:r>
      <w:r w:rsidR="003527A8" w:rsidRPr="00F70575">
        <w:rPr>
          <w:rFonts w:ascii="Times New Roman" w:hAnsi="Times New Roman" w:cs="Times New Roman"/>
          <w:vertAlign w:val="superscript"/>
        </w:rPr>
        <w:footnoteReference w:id="8"/>
      </w:r>
      <w:r w:rsidR="00322E96" w:rsidRPr="00FC34FF">
        <w:rPr>
          <w:rFonts w:ascii="Times New Roman" w:hAnsi="Times New Roman" w:cs="Times New Roman"/>
          <w:sz w:val="24"/>
          <w:szCs w:val="24"/>
        </w:rPr>
        <w:t xml:space="preserve"> </w:t>
      </w:r>
      <w:r w:rsidR="003570EF" w:rsidRPr="00FC34FF">
        <w:rPr>
          <w:rFonts w:ascii="Times New Roman" w:hAnsi="Times New Roman" w:cs="Times New Roman"/>
          <w:sz w:val="24"/>
          <w:szCs w:val="24"/>
        </w:rPr>
        <w:t>Paralēli ēnu ekonomiku veicinošajiem faktoriem svarīga loma ir arī valsts veiktajām darbībām saistībā ar [..] valsts sociālās politikas atbilstību.</w:t>
      </w:r>
      <w:r w:rsidR="00F2493E" w:rsidRPr="00214F47">
        <w:rPr>
          <w:vertAlign w:val="superscript"/>
        </w:rPr>
        <w:footnoteReference w:id="9"/>
      </w:r>
      <w:r w:rsidR="00CD2BF5">
        <w:rPr>
          <w:rFonts w:ascii="Times New Roman" w:hAnsi="Times New Roman" w:cs="Times New Roman"/>
          <w:sz w:val="24"/>
          <w:szCs w:val="24"/>
        </w:rPr>
        <w:t xml:space="preserve"> </w:t>
      </w:r>
      <w:r w:rsidR="00623228">
        <w:rPr>
          <w:rFonts w:ascii="Times New Roman" w:hAnsi="Times New Roman" w:cs="Times New Roman"/>
          <w:sz w:val="24"/>
          <w:szCs w:val="24"/>
        </w:rPr>
        <w:t>Līdz ar to s</w:t>
      </w:r>
      <w:r w:rsidR="006345E3" w:rsidRPr="00FC34FF">
        <w:rPr>
          <w:rFonts w:ascii="Times New Roman" w:hAnsi="Times New Roman" w:cs="Times New Roman"/>
          <w:sz w:val="24"/>
          <w:szCs w:val="24"/>
        </w:rPr>
        <w:t>varīgi ir</w:t>
      </w:r>
      <w:r w:rsidR="00FC5000" w:rsidRPr="00FC34FF">
        <w:rPr>
          <w:rFonts w:ascii="Times New Roman" w:hAnsi="Times New Roman" w:cs="Times New Roman"/>
          <w:sz w:val="24"/>
          <w:szCs w:val="24"/>
        </w:rPr>
        <w:t xml:space="preserve"> </w:t>
      </w:r>
      <w:r w:rsidR="00C110F2" w:rsidRPr="00FC34FF">
        <w:rPr>
          <w:rFonts w:ascii="Times New Roman" w:hAnsi="Times New Roman" w:cs="Times New Roman"/>
          <w:sz w:val="24"/>
          <w:szCs w:val="24"/>
        </w:rPr>
        <w:t>motivēt</w:t>
      </w:r>
      <w:r w:rsidR="00EA6CAE" w:rsidRPr="00FC34FF">
        <w:rPr>
          <w:rFonts w:ascii="Times New Roman" w:hAnsi="Times New Roman" w:cs="Times New Roman"/>
          <w:sz w:val="24"/>
          <w:szCs w:val="24"/>
        </w:rPr>
        <w:t xml:space="preserve"> </w:t>
      </w:r>
      <w:r w:rsidR="00EE0CD1">
        <w:rPr>
          <w:rFonts w:ascii="Times New Roman" w:hAnsi="Times New Roman" w:cs="Times New Roman"/>
          <w:sz w:val="24"/>
          <w:szCs w:val="24"/>
        </w:rPr>
        <w:t>cilvēkus</w:t>
      </w:r>
      <w:r w:rsidR="00EA6CAE" w:rsidRPr="00FC34FF">
        <w:rPr>
          <w:rFonts w:ascii="Times New Roman" w:hAnsi="Times New Roman" w:cs="Times New Roman"/>
          <w:sz w:val="24"/>
          <w:szCs w:val="24"/>
        </w:rPr>
        <w:t xml:space="preserve"> veikt sociālās apdrošināšanas iemaksas </w:t>
      </w:r>
      <w:r w:rsidR="006345E3" w:rsidRPr="00FC34FF">
        <w:rPr>
          <w:rFonts w:ascii="Times New Roman" w:hAnsi="Times New Roman" w:cs="Times New Roman"/>
          <w:sz w:val="24"/>
          <w:szCs w:val="24"/>
        </w:rPr>
        <w:t>no v</w:t>
      </w:r>
      <w:r w:rsidR="00623228">
        <w:rPr>
          <w:rFonts w:ascii="Times New Roman" w:hAnsi="Times New Roman" w:cs="Times New Roman"/>
          <w:sz w:val="24"/>
          <w:szCs w:val="24"/>
        </w:rPr>
        <w:t>isiem darbā gūtajiem ienākumiem.</w:t>
      </w:r>
      <w:r w:rsidR="00A50381">
        <w:rPr>
          <w:rFonts w:ascii="Times New Roman" w:hAnsi="Times New Roman" w:cs="Times New Roman"/>
          <w:sz w:val="24"/>
          <w:szCs w:val="24"/>
        </w:rPr>
        <w:t xml:space="preserve"> </w:t>
      </w:r>
      <w:r w:rsidR="00A50381" w:rsidRPr="00A50381">
        <w:rPr>
          <w:rFonts w:ascii="Times New Roman" w:hAnsi="Times New Roman" w:cs="Times New Roman"/>
          <w:sz w:val="24"/>
          <w:szCs w:val="24"/>
        </w:rPr>
        <w:t xml:space="preserve"> </w:t>
      </w:r>
    </w:p>
    <w:p w:rsidR="005C29D4" w:rsidRPr="005C29D4" w:rsidRDefault="005C29D4" w:rsidP="005C29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64662">
        <w:rPr>
          <w:rFonts w:ascii="Times New Roman" w:hAnsi="Times New Roman" w:cs="Times New Roman"/>
          <w:sz w:val="24"/>
          <w:szCs w:val="24"/>
        </w:rPr>
        <w:t>Ieviešot</w:t>
      </w:r>
      <w:r w:rsidR="003B351A">
        <w:rPr>
          <w:rFonts w:ascii="Times New Roman" w:hAnsi="Times New Roman" w:cs="Times New Roman"/>
          <w:sz w:val="24"/>
          <w:szCs w:val="24"/>
        </w:rPr>
        <w:t xml:space="preserve"> vecāku-pensionāru pensijas palielinājums </w:t>
      </w:r>
      <w:r w:rsidR="00923EE7">
        <w:rPr>
          <w:rFonts w:ascii="Times New Roman" w:hAnsi="Times New Roman" w:cs="Times New Roman"/>
          <w:sz w:val="24"/>
          <w:szCs w:val="24"/>
        </w:rPr>
        <w:t>būs</w:t>
      </w:r>
      <w:r w:rsidR="003B351A">
        <w:rPr>
          <w:rFonts w:ascii="Times New Roman" w:hAnsi="Times New Roman" w:cs="Times New Roman"/>
          <w:sz w:val="24"/>
          <w:szCs w:val="24"/>
        </w:rPr>
        <w:t xml:space="preserve"> tieši atkarīgs no</w:t>
      </w:r>
      <w:r w:rsidR="00E64662">
        <w:rPr>
          <w:rFonts w:ascii="Times New Roman" w:hAnsi="Times New Roman" w:cs="Times New Roman"/>
          <w:sz w:val="24"/>
          <w:szCs w:val="24"/>
        </w:rPr>
        <w:t xml:space="preserve"> viņu</w:t>
      </w:r>
      <w:r w:rsidR="003B351A">
        <w:rPr>
          <w:rFonts w:ascii="Times New Roman" w:hAnsi="Times New Roman" w:cs="Times New Roman"/>
          <w:sz w:val="24"/>
          <w:szCs w:val="24"/>
        </w:rPr>
        <w:t xml:space="preserve"> bērnu-</w:t>
      </w:r>
      <w:r w:rsidR="00923EE7">
        <w:rPr>
          <w:rFonts w:ascii="Times New Roman" w:hAnsi="Times New Roman" w:cs="Times New Roman"/>
          <w:sz w:val="24"/>
          <w:szCs w:val="24"/>
        </w:rPr>
        <w:t>iemaksu veicēj</w:t>
      </w:r>
      <w:r w:rsidR="003B351A">
        <w:rPr>
          <w:rFonts w:ascii="Times New Roman" w:hAnsi="Times New Roman" w:cs="Times New Roman"/>
          <w:sz w:val="24"/>
          <w:szCs w:val="24"/>
        </w:rPr>
        <w:t xml:space="preserve">u veiktajām sociālās apdrošināšanas iemaksām, tas </w:t>
      </w:r>
      <w:r w:rsidR="00E64662">
        <w:rPr>
          <w:rFonts w:ascii="Times New Roman" w:hAnsi="Times New Roman" w:cs="Times New Roman"/>
          <w:sz w:val="24"/>
          <w:szCs w:val="24"/>
        </w:rPr>
        <w:t>motivēs</w:t>
      </w:r>
      <w:r w:rsidR="003B351A">
        <w:rPr>
          <w:rFonts w:ascii="Times New Roman" w:hAnsi="Times New Roman" w:cs="Times New Roman"/>
          <w:sz w:val="24"/>
          <w:szCs w:val="24"/>
        </w:rPr>
        <w:t xml:space="preserve"> personas veikt sociālās apdrošināšanas iemaksas no visiem darbā gūtajiem ienākumiem.  </w:t>
      </w:r>
    </w:p>
    <w:p w:rsidR="001033D9" w:rsidRPr="001033D9" w:rsidRDefault="001033D9" w:rsidP="00B80024">
      <w:pPr>
        <w:spacing w:after="0" w:line="240" w:lineRule="auto"/>
        <w:ind w:firstLine="567"/>
        <w:jc w:val="both"/>
        <w:rPr>
          <w:rFonts w:ascii="Times New Roman" w:hAnsi="Times New Roman" w:cs="Times New Roman"/>
          <w:sz w:val="24"/>
          <w:szCs w:val="24"/>
        </w:rPr>
      </w:pPr>
    </w:p>
    <w:p w:rsidR="00932665" w:rsidRPr="001033D9" w:rsidRDefault="00932665" w:rsidP="00B80024">
      <w:pPr>
        <w:spacing w:after="0" w:line="240" w:lineRule="auto"/>
        <w:ind w:firstLine="567"/>
        <w:jc w:val="both"/>
        <w:rPr>
          <w:rFonts w:ascii="Times New Roman" w:hAnsi="Times New Roman" w:cs="Times New Roman"/>
          <w:b/>
          <w:i/>
          <w:sz w:val="24"/>
          <w:szCs w:val="24"/>
        </w:rPr>
      </w:pPr>
      <w:r w:rsidRPr="001033D9">
        <w:rPr>
          <w:rFonts w:ascii="Times New Roman" w:hAnsi="Times New Roman" w:cs="Times New Roman"/>
          <w:b/>
          <w:i/>
          <w:sz w:val="24"/>
          <w:szCs w:val="24"/>
        </w:rPr>
        <w:t>R</w:t>
      </w:r>
      <w:r w:rsidR="00452ACB" w:rsidRPr="001033D9">
        <w:rPr>
          <w:rFonts w:ascii="Times New Roman" w:hAnsi="Times New Roman" w:cs="Times New Roman"/>
          <w:b/>
          <w:i/>
          <w:sz w:val="24"/>
          <w:szCs w:val="24"/>
        </w:rPr>
        <w:t>isinājums</w:t>
      </w:r>
    </w:p>
    <w:p w:rsidR="00F33FC1" w:rsidRPr="00F33FC1" w:rsidRDefault="00F33FC1" w:rsidP="00B80024">
      <w:pPr>
        <w:spacing w:after="0" w:line="240" w:lineRule="auto"/>
        <w:ind w:firstLine="567"/>
        <w:jc w:val="both"/>
        <w:rPr>
          <w:rFonts w:ascii="Times New Roman" w:hAnsi="Times New Roman" w:cs="Times New Roman"/>
          <w:sz w:val="24"/>
          <w:szCs w:val="24"/>
        </w:rPr>
      </w:pPr>
    </w:p>
    <w:p w:rsidR="005D5EC6" w:rsidRPr="00FC34FF" w:rsidRDefault="00932665" w:rsidP="00B80024">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V</w:t>
      </w:r>
      <w:r w:rsidR="009E1118" w:rsidRPr="00FC34FF">
        <w:rPr>
          <w:rFonts w:ascii="Times New Roman" w:hAnsi="Times New Roman" w:cs="Times New Roman"/>
          <w:b/>
          <w:sz w:val="24"/>
          <w:szCs w:val="24"/>
        </w:rPr>
        <w:t>e</w:t>
      </w:r>
      <w:r w:rsidR="004A6400" w:rsidRPr="00FC34FF">
        <w:rPr>
          <w:rFonts w:ascii="Times New Roman" w:hAnsi="Times New Roman" w:cs="Times New Roman"/>
          <w:b/>
          <w:sz w:val="24"/>
          <w:szCs w:val="24"/>
        </w:rPr>
        <w:t>cāku</w:t>
      </w:r>
      <w:r w:rsidR="009E1118" w:rsidRPr="00FC34FF">
        <w:rPr>
          <w:rFonts w:ascii="Times New Roman" w:hAnsi="Times New Roman" w:cs="Times New Roman"/>
          <w:b/>
          <w:sz w:val="24"/>
          <w:szCs w:val="24"/>
        </w:rPr>
        <w:t>-pensionār</w:t>
      </w:r>
      <w:r w:rsidR="00294D94">
        <w:rPr>
          <w:rFonts w:ascii="Times New Roman" w:hAnsi="Times New Roman" w:cs="Times New Roman"/>
          <w:b/>
          <w:sz w:val="24"/>
          <w:szCs w:val="24"/>
        </w:rPr>
        <w:t>u izmaksājamajai pensijai piešķir</w:t>
      </w:r>
      <w:r w:rsidR="004A6400" w:rsidRPr="00FC34FF">
        <w:rPr>
          <w:rFonts w:ascii="Times New Roman" w:hAnsi="Times New Roman" w:cs="Times New Roman"/>
          <w:b/>
          <w:sz w:val="24"/>
          <w:szCs w:val="24"/>
        </w:rPr>
        <w:t xml:space="preserve"> piemaks</w:t>
      </w:r>
      <w:r w:rsidR="00294D94">
        <w:rPr>
          <w:rFonts w:ascii="Times New Roman" w:hAnsi="Times New Roman" w:cs="Times New Roman"/>
          <w:b/>
          <w:sz w:val="24"/>
          <w:szCs w:val="24"/>
        </w:rPr>
        <w:t>u, kuras apmēram</w:t>
      </w:r>
      <w:r w:rsidR="009E1118" w:rsidRPr="00FC34FF">
        <w:rPr>
          <w:rFonts w:ascii="Times New Roman" w:hAnsi="Times New Roman" w:cs="Times New Roman"/>
          <w:b/>
          <w:sz w:val="24"/>
          <w:szCs w:val="24"/>
        </w:rPr>
        <w:t xml:space="preserve"> novirza 1% punktu no </w:t>
      </w:r>
      <w:r w:rsidR="00BE1DB3">
        <w:rPr>
          <w:rFonts w:ascii="Times New Roman" w:hAnsi="Times New Roman" w:cs="Times New Roman"/>
          <w:b/>
          <w:sz w:val="24"/>
          <w:szCs w:val="24"/>
        </w:rPr>
        <w:t xml:space="preserve">viņu </w:t>
      </w:r>
      <w:r w:rsidR="00850060" w:rsidRPr="00FC34FF">
        <w:rPr>
          <w:rFonts w:ascii="Times New Roman" w:hAnsi="Times New Roman" w:cs="Times New Roman"/>
          <w:b/>
          <w:sz w:val="24"/>
          <w:szCs w:val="24"/>
        </w:rPr>
        <w:t>bērnu veiktajām s</w:t>
      </w:r>
      <w:r w:rsidR="00267CEA" w:rsidRPr="00FC34FF">
        <w:rPr>
          <w:rFonts w:ascii="Times New Roman" w:hAnsi="Times New Roman" w:cs="Times New Roman"/>
          <w:b/>
          <w:sz w:val="24"/>
          <w:szCs w:val="24"/>
        </w:rPr>
        <w:t>ociālās apdrošināšanas iemaksām</w:t>
      </w:r>
      <w:r w:rsidR="00285E38">
        <w:rPr>
          <w:rFonts w:ascii="Times New Roman" w:hAnsi="Times New Roman" w:cs="Times New Roman"/>
          <w:b/>
          <w:sz w:val="24"/>
          <w:szCs w:val="24"/>
        </w:rPr>
        <w:t xml:space="preserve"> pensiju apdrošināšanai</w:t>
      </w:r>
      <w:r w:rsidR="00267CEA" w:rsidRPr="00FC34FF">
        <w:rPr>
          <w:rFonts w:ascii="Times New Roman" w:hAnsi="Times New Roman" w:cs="Times New Roman"/>
          <w:b/>
          <w:sz w:val="24"/>
          <w:szCs w:val="24"/>
        </w:rPr>
        <w:t>.</w:t>
      </w:r>
    </w:p>
    <w:p w:rsidR="00267CEA" w:rsidRDefault="00B76510" w:rsidP="00B80024">
      <w:pPr>
        <w:spacing w:after="0" w:line="240" w:lineRule="auto"/>
        <w:ind w:firstLine="567"/>
        <w:jc w:val="both"/>
        <w:rPr>
          <w:rFonts w:ascii="Times New Roman" w:hAnsi="Times New Roman" w:cs="Times New Roman"/>
          <w:sz w:val="24"/>
          <w:szCs w:val="24"/>
        </w:rPr>
      </w:pPr>
      <w:r w:rsidRPr="00FC34FF">
        <w:rPr>
          <w:rFonts w:ascii="Times New Roman" w:hAnsi="Times New Roman" w:cs="Times New Roman"/>
          <w:sz w:val="24"/>
          <w:szCs w:val="24"/>
        </w:rPr>
        <w:t xml:space="preserve">Risinājums paredz novirzīt 1% punktu no </w:t>
      </w:r>
      <w:r w:rsidR="00691502">
        <w:rPr>
          <w:rFonts w:ascii="Times New Roman" w:hAnsi="Times New Roman" w:cs="Times New Roman"/>
          <w:sz w:val="24"/>
          <w:szCs w:val="24"/>
        </w:rPr>
        <w:t>sociālās apdrošināšanas iemaksām pensiju apdrošināšanai</w:t>
      </w:r>
      <w:r w:rsidR="00B82CFE">
        <w:rPr>
          <w:rFonts w:ascii="Times New Roman" w:hAnsi="Times New Roman" w:cs="Times New Roman"/>
          <w:sz w:val="24"/>
          <w:szCs w:val="24"/>
        </w:rPr>
        <w:t>.</w:t>
      </w:r>
      <w:r w:rsidR="00691502">
        <w:rPr>
          <w:rFonts w:ascii="Times New Roman" w:hAnsi="Times New Roman" w:cs="Times New Roman"/>
          <w:sz w:val="24"/>
          <w:szCs w:val="24"/>
        </w:rPr>
        <w:t xml:space="preserve"> </w:t>
      </w:r>
      <w:r w:rsidR="003E2BA7">
        <w:rPr>
          <w:rFonts w:ascii="Times New Roman" w:hAnsi="Times New Roman" w:cs="Times New Roman"/>
          <w:sz w:val="24"/>
          <w:szCs w:val="24"/>
        </w:rPr>
        <w:t>Rezultātā</w:t>
      </w:r>
      <w:r w:rsidR="00985CB6" w:rsidRPr="00FC34FF">
        <w:rPr>
          <w:rFonts w:ascii="Times New Roman" w:hAnsi="Times New Roman" w:cs="Times New Roman"/>
          <w:sz w:val="24"/>
          <w:szCs w:val="24"/>
        </w:rPr>
        <w:t xml:space="preserve"> par katru bērnu</w:t>
      </w:r>
      <w:r w:rsidR="003E2BA7">
        <w:rPr>
          <w:rFonts w:ascii="Times New Roman" w:hAnsi="Times New Roman" w:cs="Times New Roman"/>
          <w:sz w:val="24"/>
          <w:szCs w:val="24"/>
        </w:rPr>
        <w:t>-</w:t>
      </w:r>
      <w:r w:rsidR="00B82CFE">
        <w:rPr>
          <w:rFonts w:ascii="Times New Roman" w:hAnsi="Times New Roman" w:cs="Times New Roman"/>
          <w:sz w:val="24"/>
          <w:szCs w:val="24"/>
        </w:rPr>
        <w:t>iemaksu veicēju viņa</w:t>
      </w:r>
      <w:r w:rsidR="00985CB6" w:rsidRPr="00FC34FF">
        <w:rPr>
          <w:rFonts w:ascii="Times New Roman" w:hAnsi="Times New Roman" w:cs="Times New Roman"/>
          <w:sz w:val="24"/>
          <w:szCs w:val="24"/>
        </w:rPr>
        <w:t xml:space="preserve"> vecāks-pensionārs </w:t>
      </w:r>
      <w:r w:rsidR="003E2BA7">
        <w:rPr>
          <w:rFonts w:ascii="Times New Roman" w:hAnsi="Times New Roman" w:cs="Times New Roman"/>
          <w:sz w:val="24"/>
          <w:szCs w:val="24"/>
        </w:rPr>
        <w:t>par iepriekšējo kalendāro gadu</w:t>
      </w:r>
      <w:r w:rsidR="00985CB6" w:rsidRPr="00FC34FF">
        <w:rPr>
          <w:rFonts w:ascii="Times New Roman" w:hAnsi="Times New Roman" w:cs="Times New Roman"/>
          <w:sz w:val="24"/>
          <w:szCs w:val="24"/>
        </w:rPr>
        <w:t xml:space="preserve"> saņem </w:t>
      </w:r>
      <w:r w:rsidRPr="00FC34FF">
        <w:rPr>
          <w:rFonts w:ascii="Times New Roman" w:hAnsi="Times New Roman" w:cs="Times New Roman"/>
          <w:sz w:val="24"/>
          <w:szCs w:val="24"/>
        </w:rPr>
        <w:t>atbilstošu</w:t>
      </w:r>
      <w:r w:rsidR="00985CB6" w:rsidRPr="00FC34FF">
        <w:rPr>
          <w:rFonts w:ascii="Times New Roman" w:hAnsi="Times New Roman" w:cs="Times New Roman"/>
          <w:sz w:val="24"/>
          <w:szCs w:val="24"/>
        </w:rPr>
        <w:t xml:space="preserve"> pie</w:t>
      </w:r>
      <w:r w:rsidR="007E16A9">
        <w:rPr>
          <w:rFonts w:ascii="Times New Roman" w:hAnsi="Times New Roman" w:cs="Times New Roman"/>
          <w:sz w:val="24"/>
          <w:szCs w:val="24"/>
        </w:rPr>
        <w:t>maksu</w:t>
      </w:r>
      <w:r w:rsidR="00096B15">
        <w:rPr>
          <w:rFonts w:ascii="Times New Roman" w:hAnsi="Times New Roman" w:cs="Times New Roman"/>
          <w:sz w:val="24"/>
          <w:szCs w:val="24"/>
        </w:rPr>
        <w:t xml:space="preserve">, kas aprēķināta no </w:t>
      </w:r>
      <w:r w:rsidR="00BD10F6">
        <w:rPr>
          <w:rFonts w:ascii="Times New Roman" w:hAnsi="Times New Roman" w:cs="Times New Roman"/>
          <w:sz w:val="24"/>
          <w:szCs w:val="24"/>
        </w:rPr>
        <w:t>viņu bērnu</w:t>
      </w:r>
      <w:r w:rsidR="00096B15">
        <w:rPr>
          <w:rFonts w:ascii="Times New Roman" w:hAnsi="Times New Roman" w:cs="Times New Roman"/>
          <w:sz w:val="24"/>
          <w:szCs w:val="24"/>
        </w:rPr>
        <w:t xml:space="preserve"> veiktajām sociālās apdrošināšanas iemaksām </w:t>
      </w:r>
      <w:r w:rsidR="008C51F9">
        <w:rPr>
          <w:rFonts w:ascii="Times New Roman" w:hAnsi="Times New Roman" w:cs="Times New Roman"/>
          <w:sz w:val="24"/>
          <w:szCs w:val="24"/>
        </w:rPr>
        <w:t>iepriekšējā kalendārajā gadā</w:t>
      </w:r>
      <w:r w:rsidR="007E16A9">
        <w:rPr>
          <w:rFonts w:ascii="Times New Roman" w:hAnsi="Times New Roman" w:cs="Times New Roman"/>
          <w:sz w:val="24"/>
          <w:szCs w:val="24"/>
        </w:rPr>
        <w:t>.</w:t>
      </w:r>
      <w:r w:rsidR="00E512AC" w:rsidRPr="00FC34FF">
        <w:rPr>
          <w:rFonts w:ascii="Times New Roman" w:hAnsi="Times New Roman" w:cs="Times New Roman"/>
          <w:sz w:val="24"/>
          <w:szCs w:val="24"/>
        </w:rPr>
        <w:t xml:space="preserve"> </w:t>
      </w:r>
      <w:r w:rsidR="00B15CF9">
        <w:rPr>
          <w:rFonts w:ascii="Times New Roman" w:hAnsi="Times New Roman" w:cs="Times New Roman"/>
          <w:sz w:val="24"/>
          <w:szCs w:val="24"/>
        </w:rPr>
        <w:t>Piemaksa pie pensijas</w:t>
      </w:r>
      <w:r w:rsidR="00E512AC" w:rsidRPr="00FC34FF">
        <w:rPr>
          <w:rFonts w:ascii="Times New Roman" w:hAnsi="Times New Roman" w:cs="Times New Roman"/>
          <w:sz w:val="24"/>
          <w:szCs w:val="24"/>
        </w:rPr>
        <w:t xml:space="preserve"> tiek novirzīt</w:t>
      </w:r>
      <w:r w:rsidR="00B15CF9">
        <w:rPr>
          <w:rFonts w:ascii="Times New Roman" w:hAnsi="Times New Roman" w:cs="Times New Roman"/>
          <w:sz w:val="24"/>
          <w:szCs w:val="24"/>
        </w:rPr>
        <w:t>a</w:t>
      </w:r>
      <w:r w:rsidR="00E512AC" w:rsidRPr="00FC34FF">
        <w:rPr>
          <w:rFonts w:ascii="Times New Roman" w:hAnsi="Times New Roman" w:cs="Times New Roman"/>
          <w:sz w:val="24"/>
          <w:szCs w:val="24"/>
        </w:rPr>
        <w:t xml:space="preserve"> no </w:t>
      </w:r>
      <w:r w:rsidR="0037776F">
        <w:rPr>
          <w:rFonts w:ascii="Times New Roman" w:hAnsi="Times New Roman" w:cs="Times New Roman"/>
          <w:sz w:val="24"/>
          <w:szCs w:val="24"/>
        </w:rPr>
        <w:t>t</w:t>
      </w:r>
      <w:r w:rsidR="00E512AC" w:rsidRPr="00FC34FF">
        <w:rPr>
          <w:rFonts w:ascii="Times New Roman" w:hAnsi="Times New Roman" w:cs="Times New Roman"/>
          <w:sz w:val="24"/>
          <w:szCs w:val="24"/>
        </w:rPr>
        <w:t>iem</w:t>
      </w:r>
      <w:r w:rsidR="00FE2156" w:rsidRPr="00FC34FF">
        <w:rPr>
          <w:rFonts w:ascii="Times New Roman" w:hAnsi="Times New Roman" w:cs="Times New Roman"/>
          <w:sz w:val="24"/>
          <w:szCs w:val="24"/>
        </w:rPr>
        <w:t xml:space="preserve"> darba ņēmējiem un pašnodarbinātajiem, kuri </w:t>
      </w:r>
      <w:r w:rsidR="007E16A9">
        <w:rPr>
          <w:rFonts w:ascii="Times New Roman" w:hAnsi="Times New Roman" w:cs="Times New Roman"/>
          <w:sz w:val="24"/>
          <w:szCs w:val="24"/>
        </w:rPr>
        <w:t>par iepriekšējo kalendāro gadu</w:t>
      </w:r>
      <w:r w:rsidR="00FE2156" w:rsidRPr="00FC34FF">
        <w:rPr>
          <w:rFonts w:ascii="Times New Roman" w:hAnsi="Times New Roman" w:cs="Times New Roman"/>
          <w:sz w:val="24"/>
          <w:szCs w:val="24"/>
        </w:rPr>
        <w:t xml:space="preserve"> </w:t>
      </w:r>
      <w:r w:rsidR="00CE1054" w:rsidRPr="00FC34FF">
        <w:rPr>
          <w:rFonts w:ascii="Times New Roman" w:hAnsi="Times New Roman" w:cs="Times New Roman"/>
          <w:sz w:val="24"/>
          <w:szCs w:val="24"/>
        </w:rPr>
        <w:t>vei</w:t>
      </w:r>
      <w:r w:rsidR="00CE1054">
        <w:rPr>
          <w:rFonts w:ascii="Times New Roman" w:hAnsi="Times New Roman" w:cs="Times New Roman"/>
          <w:sz w:val="24"/>
          <w:szCs w:val="24"/>
        </w:rPr>
        <w:t xml:space="preserve">kuši </w:t>
      </w:r>
      <w:r w:rsidR="00FE2156" w:rsidRPr="00FC34FF">
        <w:rPr>
          <w:rFonts w:ascii="Times New Roman" w:hAnsi="Times New Roman" w:cs="Times New Roman"/>
          <w:sz w:val="24"/>
          <w:szCs w:val="24"/>
        </w:rPr>
        <w:t>sociālās apdrošināšanas iemaksas vismaz minimālās algas apmērā</w:t>
      </w:r>
      <w:r w:rsidR="00FE0A99">
        <w:rPr>
          <w:rFonts w:ascii="Times New Roman" w:hAnsi="Times New Roman" w:cs="Times New Roman"/>
          <w:sz w:val="24"/>
          <w:szCs w:val="24"/>
        </w:rPr>
        <w:t xml:space="preserve"> vismaz sešus mēnešus</w:t>
      </w:r>
      <w:r w:rsidR="00631F0A">
        <w:rPr>
          <w:rFonts w:ascii="Times New Roman" w:hAnsi="Times New Roman" w:cs="Times New Roman"/>
          <w:sz w:val="24"/>
          <w:szCs w:val="24"/>
        </w:rPr>
        <w:t xml:space="preserve">, neņemot vērā periodus, </w:t>
      </w:r>
      <w:r w:rsidR="00E535B5">
        <w:rPr>
          <w:rFonts w:ascii="Times New Roman" w:hAnsi="Times New Roman" w:cs="Times New Roman"/>
          <w:sz w:val="24"/>
          <w:szCs w:val="24"/>
        </w:rPr>
        <w:t>kuros</w:t>
      </w:r>
      <w:r w:rsidR="00631F0A">
        <w:rPr>
          <w:rFonts w:ascii="Times New Roman" w:hAnsi="Times New Roman" w:cs="Times New Roman"/>
          <w:sz w:val="24"/>
          <w:szCs w:val="24"/>
        </w:rPr>
        <w:t xml:space="preserve"> bērnus-</w:t>
      </w:r>
      <w:r w:rsidR="006A0C6D">
        <w:rPr>
          <w:rFonts w:ascii="Times New Roman" w:hAnsi="Times New Roman" w:cs="Times New Roman"/>
          <w:sz w:val="24"/>
          <w:szCs w:val="24"/>
        </w:rPr>
        <w:t>iemaksu veicējus</w:t>
      </w:r>
      <w:r w:rsidR="00631F0A">
        <w:rPr>
          <w:rFonts w:ascii="Times New Roman" w:hAnsi="Times New Roman" w:cs="Times New Roman"/>
          <w:sz w:val="24"/>
          <w:szCs w:val="24"/>
        </w:rPr>
        <w:t xml:space="preserve"> sociāli apdrošinājusi valsts. </w:t>
      </w:r>
    </w:p>
    <w:p w:rsidR="00A55F51" w:rsidRPr="00A55F51" w:rsidRDefault="00A55F51" w:rsidP="00B80024">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Piemaksa – </w:t>
      </w:r>
      <w:r>
        <w:rPr>
          <w:rFonts w:ascii="Times New Roman" w:hAnsi="Times New Roman" w:cs="Times New Roman"/>
          <w:sz w:val="24"/>
          <w:szCs w:val="24"/>
        </w:rPr>
        <w:t xml:space="preserve">piemaksa pie pensijas vecākiem-pensionāriem (labuma guvējiem) 1% punkta apmērā no </w:t>
      </w:r>
      <w:r w:rsidR="00BD10F6">
        <w:rPr>
          <w:rFonts w:ascii="Times New Roman" w:hAnsi="Times New Roman" w:cs="Times New Roman"/>
          <w:sz w:val="24"/>
          <w:szCs w:val="24"/>
        </w:rPr>
        <w:t xml:space="preserve">viņu </w:t>
      </w:r>
      <w:r>
        <w:rPr>
          <w:rFonts w:ascii="Times New Roman" w:hAnsi="Times New Roman" w:cs="Times New Roman"/>
          <w:sz w:val="24"/>
          <w:szCs w:val="24"/>
        </w:rPr>
        <w:t>bērnu-</w:t>
      </w:r>
      <w:r w:rsidR="007362E6">
        <w:rPr>
          <w:rFonts w:ascii="Times New Roman" w:hAnsi="Times New Roman" w:cs="Times New Roman"/>
          <w:sz w:val="24"/>
          <w:szCs w:val="24"/>
        </w:rPr>
        <w:t>iemaksu veicēja</w:t>
      </w:r>
      <w:r w:rsidR="003F6C12">
        <w:rPr>
          <w:rFonts w:ascii="Times New Roman" w:hAnsi="Times New Roman" w:cs="Times New Roman"/>
          <w:sz w:val="24"/>
          <w:szCs w:val="24"/>
        </w:rPr>
        <w:t xml:space="preserve"> </w:t>
      </w:r>
      <w:r w:rsidR="00B40091">
        <w:rPr>
          <w:rFonts w:ascii="Times New Roman" w:hAnsi="Times New Roman" w:cs="Times New Roman"/>
          <w:sz w:val="24"/>
          <w:szCs w:val="24"/>
        </w:rPr>
        <w:t>sociālās apdrošināšanas iemaks</w:t>
      </w:r>
      <w:r w:rsidR="003F6C12">
        <w:rPr>
          <w:rFonts w:ascii="Times New Roman" w:hAnsi="Times New Roman" w:cs="Times New Roman"/>
          <w:sz w:val="24"/>
          <w:szCs w:val="24"/>
        </w:rPr>
        <w:t>ām</w:t>
      </w:r>
      <w:r>
        <w:rPr>
          <w:rFonts w:ascii="Times New Roman" w:hAnsi="Times New Roman" w:cs="Times New Roman"/>
          <w:sz w:val="24"/>
          <w:szCs w:val="24"/>
        </w:rPr>
        <w:t xml:space="preserve"> pensiju apdrošināšanai. </w:t>
      </w:r>
    </w:p>
    <w:p w:rsidR="005C1431" w:rsidRDefault="005C1431" w:rsidP="00B80024">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Labuma guvējs</w:t>
      </w:r>
      <w:r w:rsidR="007D404D">
        <w:rPr>
          <w:rFonts w:ascii="Times New Roman" w:hAnsi="Times New Roman" w:cs="Times New Roman"/>
          <w:i/>
          <w:sz w:val="24"/>
          <w:szCs w:val="24"/>
        </w:rPr>
        <w:t xml:space="preserve"> (piemaksas saņēmējs)</w:t>
      </w:r>
      <w:r>
        <w:rPr>
          <w:rFonts w:ascii="Times New Roman" w:hAnsi="Times New Roman" w:cs="Times New Roman"/>
          <w:i/>
          <w:sz w:val="24"/>
          <w:szCs w:val="24"/>
        </w:rPr>
        <w:t xml:space="preserve"> – </w:t>
      </w:r>
      <w:r>
        <w:rPr>
          <w:rFonts w:ascii="Times New Roman" w:hAnsi="Times New Roman" w:cs="Times New Roman"/>
          <w:sz w:val="24"/>
          <w:szCs w:val="24"/>
        </w:rPr>
        <w:t xml:space="preserve">Latvijas vecuma pensijas saņēmējs vai </w:t>
      </w:r>
      <w:r w:rsidR="007C4239">
        <w:rPr>
          <w:rFonts w:ascii="Times New Roman" w:hAnsi="Times New Roman" w:cs="Times New Roman"/>
          <w:sz w:val="24"/>
          <w:szCs w:val="24"/>
        </w:rPr>
        <w:t xml:space="preserve">invaliditātes pensijas saņēmējs (tikai gadījumos, </w:t>
      </w:r>
      <w:r>
        <w:rPr>
          <w:rFonts w:ascii="Times New Roman" w:hAnsi="Times New Roman" w:cs="Times New Roman"/>
          <w:sz w:val="24"/>
          <w:szCs w:val="24"/>
        </w:rPr>
        <w:t>saskaņā ar likum</w:t>
      </w:r>
      <w:r w:rsidR="007D0A11">
        <w:rPr>
          <w:rFonts w:ascii="Times New Roman" w:hAnsi="Times New Roman" w:cs="Times New Roman"/>
          <w:sz w:val="24"/>
          <w:szCs w:val="24"/>
        </w:rPr>
        <w:t>a</w:t>
      </w:r>
      <w:r>
        <w:rPr>
          <w:rFonts w:ascii="Times New Roman" w:hAnsi="Times New Roman" w:cs="Times New Roman"/>
          <w:sz w:val="24"/>
          <w:szCs w:val="24"/>
        </w:rPr>
        <w:t xml:space="preserve"> „Par valsts pensijām”</w:t>
      </w:r>
      <w:r w:rsidR="007D0A11">
        <w:rPr>
          <w:rFonts w:ascii="Times New Roman" w:hAnsi="Times New Roman" w:cs="Times New Roman"/>
          <w:sz w:val="24"/>
          <w:szCs w:val="24"/>
        </w:rPr>
        <w:t xml:space="preserve"> pārejas noteikumu 16.punktu</w:t>
      </w:r>
      <w:r w:rsidR="007C4239">
        <w:rPr>
          <w:rFonts w:ascii="Times New Roman" w:hAnsi="Times New Roman" w:cs="Times New Roman"/>
          <w:sz w:val="24"/>
          <w:szCs w:val="24"/>
        </w:rPr>
        <w:t xml:space="preserve">), kura bērni ir veikuši sociālās apdrošināšanas iemaksas pensiju apdrošināšanai Latvijā. </w:t>
      </w:r>
      <w:r w:rsidR="00B82EE7">
        <w:rPr>
          <w:rFonts w:ascii="Times New Roman" w:hAnsi="Times New Roman" w:cs="Times New Roman"/>
          <w:sz w:val="24"/>
          <w:szCs w:val="24"/>
        </w:rPr>
        <w:t>L</w:t>
      </w:r>
      <w:r w:rsidR="0085729F">
        <w:rPr>
          <w:rFonts w:ascii="Times New Roman" w:hAnsi="Times New Roman" w:cs="Times New Roman"/>
          <w:sz w:val="24"/>
          <w:szCs w:val="24"/>
        </w:rPr>
        <w:t>abuma guvējs var būt tikai bioloģisk</w:t>
      </w:r>
      <w:r w:rsidR="00E63778">
        <w:rPr>
          <w:rFonts w:ascii="Times New Roman" w:hAnsi="Times New Roman" w:cs="Times New Roman"/>
          <w:sz w:val="24"/>
          <w:szCs w:val="24"/>
        </w:rPr>
        <w:t>ais/-ie</w:t>
      </w:r>
      <w:r w:rsidR="0085729F">
        <w:rPr>
          <w:rFonts w:ascii="Times New Roman" w:hAnsi="Times New Roman" w:cs="Times New Roman"/>
          <w:sz w:val="24"/>
          <w:szCs w:val="24"/>
        </w:rPr>
        <w:t xml:space="preserve"> vecāk</w:t>
      </w:r>
      <w:r w:rsidR="00E63778">
        <w:rPr>
          <w:rFonts w:ascii="Times New Roman" w:hAnsi="Times New Roman" w:cs="Times New Roman"/>
          <w:sz w:val="24"/>
          <w:szCs w:val="24"/>
        </w:rPr>
        <w:t>s/-i</w:t>
      </w:r>
      <w:r w:rsidR="0085729F">
        <w:rPr>
          <w:rFonts w:ascii="Times New Roman" w:hAnsi="Times New Roman" w:cs="Times New Roman"/>
          <w:sz w:val="24"/>
          <w:szCs w:val="24"/>
        </w:rPr>
        <w:t xml:space="preserve"> (adoptētāj</w:t>
      </w:r>
      <w:r w:rsidR="00E63778">
        <w:rPr>
          <w:rFonts w:ascii="Times New Roman" w:hAnsi="Times New Roman" w:cs="Times New Roman"/>
          <w:sz w:val="24"/>
          <w:szCs w:val="24"/>
        </w:rPr>
        <w:t>s/-i</w:t>
      </w:r>
      <w:r w:rsidR="0085729F">
        <w:rPr>
          <w:rFonts w:ascii="Times New Roman" w:hAnsi="Times New Roman" w:cs="Times New Roman"/>
          <w:sz w:val="24"/>
          <w:szCs w:val="24"/>
        </w:rPr>
        <w:t xml:space="preserve">). </w:t>
      </w:r>
    </w:p>
    <w:p w:rsidR="00A55F51" w:rsidRDefault="00071482" w:rsidP="00B80024">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Sociāl</w:t>
      </w:r>
      <w:r w:rsidR="00AC219F">
        <w:rPr>
          <w:rFonts w:ascii="Times New Roman" w:hAnsi="Times New Roman" w:cs="Times New Roman"/>
          <w:i/>
          <w:sz w:val="24"/>
          <w:szCs w:val="24"/>
        </w:rPr>
        <w:t>ās</w:t>
      </w:r>
      <w:r>
        <w:rPr>
          <w:rFonts w:ascii="Times New Roman" w:hAnsi="Times New Roman" w:cs="Times New Roman"/>
          <w:i/>
          <w:sz w:val="24"/>
          <w:szCs w:val="24"/>
        </w:rPr>
        <w:t xml:space="preserve"> apdrošināšanas iemaksu veicējs</w:t>
      </w:r>
      <w:r w:rsidR="00AC219F">
        <w:rPr>
          <w:rFonts w:ascii="Times New Roman" w:hAnsi="Times New Roman" w:cs="Times New Roman"/>
          <w:i/>
          <w:sz w:val="24"/>
          <w:szCs w:val="24"/>
        </w:rPr>
        <w:t xml:space="preserve"> (</w:t>
      </w:r>
      <w:r w:rsidR="00E415CA">
        <w:rPr>
          <w:rFonts w:ascii="Times New Roman" w:hAnsi="Times New Roman" w:cs="Times New Roman"/>
          <w:i/>
          <w:sz w:val="24"/>
          <w:szCs w:val="24"/>
        </w:rPr>
        <w:t xml:space="preserve">turpmāk – </w:t>
      </w:r>
      <w:r w:rsidR="00F604A3">
        <w:rPr>
          <w:rFonts w:ascii="Times New Roman" w:hAnsi="Times New Roman" w:cs="Times New Roman"/>
          <w:i/>
          <w:sz w:val="24"/>
          <w:szCs w:val="24"/>
        </w:rPr>
        <w:t>bērns-</w:t>
      </w:r>
      <w:r w:rsidR="00F17458">
        <w:rPr>
          <w:rFonts w:ascii="Times New Roman" w:hAnsi="Times New Roman" w:cs="Times New Roman"/>
          <w:i/>
          <w:sz w:val="24"/>
          <w:szCs w:val="24"/>
        </w:rPr>
        <w:t>iemaksu</w:t>
      </w:r>
      <w:r w:rsidR="00824133">
        <w:rPr>
          <w:rFonts w:ascii="Times New Roman" w:hAnsi="Times New Roman" w:cs="Times New Roman"/>
          <w:i/>
          <w:sz w:val="24"/>
          <w:szCs w:val="24"/>
        </w:rPr>
        <w:t xml:space="preserve"> </w:t>
      </w:r>
      <w:r w:rsidR="00F17458">
        <w:rPr>
          <w:rFonts w:ascii="Times New Roman" w:hAnsi="Times New Roman" w:cs="Times New Roman"/>
          <w:i/>
          <w:sz w:val="24"/>
          <w:szCs w:val="24"/>
        </w:rPr>
        <w:t>veicējs</w:t>
      </w:r>
      <w:r w:rsidR="00AC219F">
        <w:rPr>
          <w:rFonts w:ascii="Times New Roman" w:hAnsi="Times New Roman" w:cs="Times New Roman"/>
          <w:i/>
          <w:sz w:val="24"/>
          <w:szCs w:val="24"/>
        </w:rPr>
        <w:t>)</w:t>
      </w:r>
      <w:r>
        <w:rPr>
          <w:rFonts w:ascii="Times New Roman" w:hAnsi="Times New Roman" w:cs="Times New Roman"/>
          <w:i/>
          <w:sz w:val="24"/>
          <w:szCs w:val="24"/>
        </w:rPr>
        <w:t xml:space="preserve">, kuru vecākiem piemaksa nodrošināma </w:t>
      </w:r>
      <w:r w:rsidR="00750D23">
        <w:rPr>
          <w:rFonts w:ascii="Times New Roman" w:hAnsi="Times New Roman" w:cs="Times New Roman"/>
          <w:i/>
          <w:sz w:val="24"/>
          <w:szCs w:val="24"/>
        </w:rPr>
        <w:t>–</w:t>
      </w:r>
      <w:r>
        <w:rPr>
          <w:rFonts w:ascii="Times New Roman" w:hAnsi="Times New Roman" w:cs="Times New Roman"/>
          <w:i/>
          <w:sz w:val="24"/>
          <w:szCs w:val="24"/>
        </w:rPr>
        <w:t xml:space="preserve"> </w:t>
      </w:r>
      <w:r w:rsidR="00750D23">
        <w:rPr>
          <w:rFonts w:ascii="Times New Roman" w:hAnsi="Times New Roman" w:cs="Times New Roman"/>
          <w:sz w:val="24"/>
          <w:szCs w:val="24"/>
        </w:rPr>
        <w:t xml:space="preserve">personas (darba ņēmēji un pašnodarbinātās personas), kas </w:t>
      </w:r>
      <w:r w:rsidR="00E21131">
        <w:rPr>
          <w:rFonts w:ascii="Times New Roman" w:hAnsi="Times New Roman" w:cs="Times New Roman"/>
          <w:sz w:val="24"/>
          <w:szCs w:val="24"/>
        </w:rPr>
        <w:t xml:space="preserve">vispārējā nodokļu režīma ietvaros </w:t>
      </w:r>
      <w:r w:rsidR="00750D23">
        <w:rPr>
          <w:rFonts w:ascii="Times New Roman" w:hAnsi="Times New Roman" w:cs="Times New Roman"/>
          <w:sz w:val="24"/>
          <w:szCs w:val="24"/>
        </w:rPr>
        <w:t xml:space="preserve">veic sociālās apdrošināšanas iemaksas vismaz no minimālās </w:t>
      </w:r>
      <w:r w:rsidR="00FD2204">
        <w:rPr>
          <w:rFonts w:ascii="Times New Roman" w:hAnsi="Times New Roman" w:cs="Times New Roman"/>
          <w:sz w:val="24"/>
          <w:szCs w:val="24"/>
        </w:rPr>
        <w:t xml:space="preserve">darba </w:t>
      </w:r>
      <w:r w:rsidR="00750D23">
        <w:rPr>
          <w:rFonts w:ascii="Times New Roman" w:hAnsi="Times New Roman" w:cs="Times New Roman"/>
          <w:sz w:val="24"/>
          <w:szCs w:val="24"/>
        </w:rPr>
        <w:t>algas apmēra</w:t>
      </w:r>
      <w:r w:rsidR="00E21131">
        <w:rPr>
          <w:rFonts w:ascii="Times New Roman" w:hAnsi="Times New Roman" w:cs="Times New Roman"/>
          <w:sz w:val="24"/>
          <w:szCs w:val="24"/>
        </w:rPr>
        <w:t>,</w:t>
      </w:r>
      <w:r w:rsidR="00750D23">
        <w:rPr>
          <w:rFonts w:ascii="Times New Roman" w:hAnsi="Times New Roman" w:cs="Times New Roman"/>
          <w:sz w:val="24"/>
          <w:szCs w:val="24"/>
        </w:rPr>
        <w:t xml:space="preserve"> un vismaz sešu mēnešu apmērā, skatot iepriekšējo kalendāro gadu</w:t>
      </w:r>
      <w:r w:rsidR="006C2A53">
        <w:rPr>
          <w:rFonts w:ascii="Times New Roman" w:hAnsi="Times New Roman" w:cs="Times New Roman"/>
          <w:sz w:val="24"/>
          <w:szCs w:val="24"/>
        </w:rPr>
        <w:t xml:space="preserve">. </w:t>
      </w:r>
    </w:p>
    <w:p w:rsidR="006709EA" w:rsidRDefault="009A5E6D" w:rsidP="00B80024">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P</w:t>
      </w:r>
      <w:r w:rsidR="006709EA">
        <w:rPr>
          <w:rFonts w:ascii="Times New Roman" w:hAnsi="Times New Roman" w:cs="Times New Roman"/>
          <w:i/>
          <w:sz w:val="24"/>
          <w:szCs w:val="24"/>
        </w:rPr>
        <w:t>roces</w:t>
      </w:r>
      <w:r>
        <w:rPr>
          <w:rFonts w:ascii="Times New Roman" w:hAnsi="Times New Roman" w:cs="Times New Roman"/>
          <w:i/>
          <w:sz w:val="24"/>
          <w:szCs w:val="24"/>
        </w:rPr>
        <w:t>a apraksts</w:t>
      </w:r>
      <w:r w:rsidR="006709EA">
        <w:rPr>
          <w:rFonts w:ascii="Times New Roman" w:hAnsi="Times New Roman" w:cs="Times New Roman"/>
          <w:i/>
          <w:sz w:val="24"/>
          <w:szCs w:val="24"/>
        </w:rPr>
        <w:t xml:space="preserve"> </w:t>
      </w:r>
      <w:r w:rsidR="00AC219F">
        <w:rPr>
          <w:rFonts w:ascii="Times New Roman" w:hAnsi="Times New Roman" w:cs="Times New Roman"/>
          <w:i/>
          <w:sz w:val="24"/>
          <w:szCs w:val="24"/>
        </w:rPr>
        <w:t>–</w:t>
      </w:r>
      <w:r w:rsidR="006709EA">
        <w:rPr>
          <w:rFonts w:ascii="Times New Roman" w:hAnsi="Times New Roman" w:cs="Times New Roman"/>
          <w:i/>
          <w:sz w:val="24"/>
          <w:szCs w:val="24"/>
        </w:rPr>
        <w:t xml:space="preserve"> </w:t>
      </w:r>
      <w:r w:rsidR="00B40091">
        <w:rPr>
          <w:rFonts w:ascii="Times New Roman" w:hAnsi="Times New Roman" w:cs="Times New Roman"/>
          <w:sz w:val="24"/>
          <w:szCs w:val="24"/>
        </w:rPr>
        <w:t>piemaksa</w:t>
      </w:r>
      <w:r w:rsidR="00AC219F">
        <w:rPr>
          <w:rFonts w:ascii="Times New Roman" w:hAnsi="Times New Roman" w:cs="Times New Roman"/>
          <w:sz w:val="24"/>
          <w:szCs w:val="24"/>
        </w:rPr>
        <w:t xml:space="preserve"> tiek piešķirta </w:t>
      </w:r>
      <w:r w:rsidR="00EE0CD1">
        <w:rPr>
          <w:rFonts w:ascii="Times New Roman" w:hAnsi="Times New Roman" w:cs="Times New Roman"/>
          <w:sz w:val="24"/>
          <w:szCs w:val="24"/>
        </w:rPr>
        <w:t>bērna-</w:t>
      </w:r>
      <w:r w:rsidR="00E415CA">
        <w:rPr>
          <w:rFonts w:ascii="Times New Roman" w:hAnsi="Times New Roman" w:cs="Times New Roman"/>
          <w:sz w:val="24"/>
          <w:szCs w:val="24"/>
        </w:rPr>
        <w:t>iemaksu veicē</w:t>
      </w:r>
      <w:r w:rsidR="00824133">
        <w:rPr>
          <w:rFonts w:ascii="Times New Roman" w:hAnsi="Times New Roman" w:cs="Times New Roman"/>
          <w:sz w:val="24"/>
          <w:szCs w:val="24"/>
        </w:rPr>
        <w:t>ja</w:t>
      </w:r>
      <w:r w:rsidR="00AC219F">
        <w:rPr>
          <w:rFonts w:ascii="Times New Roman" w:hAnsi="Times New Roman" w:cs="Times New Roman"/>
          <w:sz w:val="24"/>
          <w:szCs w:val="24"/>
        </w:rPr>
        <w:t xml:space="preserve"> vecākiem (adoptētājiem), pamatojoties uz </w:t>
      </w:r>
      <w:r w:rsidR="00F77317">
        <w:rPr>
          <w:rFonts w:ascii="Times New Roman" w:hAnsi="Times New Roman" w:cs="Times New Roman"/>
          <w:sz w:val="24"/>
          <w:szCs w:val="24"/>
        </w:rPr>
        <w:t>bērna-</w:t>
      </w:r>
      <w:r w:rsidR="00E415CA">
        <w:rPr>
          <w:rFonts w:ascii="Times New Roman" w:hAnsi="Times New Roman" w:cs="Times New Roman"/>
          <w:sz w:val="24"/>
          <w:szCs w:val="24"/>
        </w:rPr>
        <w:t>iemaksu</w:t>
      </w:r>
      <w:r w:rsidR="00824133">
        <w:rPr>
          <w:rFonts w:ascii="Times New Roman" w:hAnsi="Times New Roman" w:cs="Times New Roman"/>
          <w:sz w:val="24"/>
          <w:szCs w:val="24"/>
        </w:rPr>
        <w:t xml:space="preserve"> </w:t>
      </w:r>
      <w:r w:rsidR="00E415CA">
        <w:rPr>
          <w:rFonts w:ascii="Times New Roman" w:hAnsi="Times New Roman" w:cs="Times New Roman"/>
          <w:sz w:val="24"/>
          <w:szCs w:val="24"/>
        </w:rPr>
        <w:t>veicē</w:t>
      </w:r>
      <w:r w:rsidR="00824133">
        <w:rPr>
          <w:rFonts w:ascii="Times New Roman" w:hAnsi="Times New Roman" w:cs="Times New Roman"/>
          <w:sz w:val="24"/>
          <w:szCs w:val="24"/>
        </w:rPr>
        <w:t>ja</w:t>
      </w:r>
      <w:r w:rsidR="00AC219F">
        <w:rPr>
          <w:rFonts w:ascii="Times New Roman" w:hAnsi="Times New Roman" w:cs="Times New Roman"/>
          <w:sz w:val="24"/>
          <w:szCs w:val="24"/>
        </w:rPr>
        <w:t xml:space="preserve"> iesniegumu, kurā norādīts labuma guvējs vai guvēji.</w:t>
      </w:r>
      <w:r w:rsidR="009034CD">
        <w:rPr>
          <w:rFonts w:ascii="Times New Roman" w:hAnsi="Times New Roman" w:cs="Times New Roman"/>
          <w:sz w:val="24"/>
          <w:szCs w:val="24"/>
        </w:rPr>
        <w:t xml:space="preserve"> Piemaksas piešķiršanu un izmaksu nodrošina VSAA. </w:t>
      </w:r>
      <w:r w:rsidR="003B5DEC">
        <w:rPr>
          <w:rFonts w:ascii="Times New Roman" w:hAnsi="Times New Roman" w:cs="Times New Roman"/>
          <w:sz w:val="24"/>
          <w:szCs w:val="24"/>
        </w:rPr>
        <w:t>VSAA piemaksu piešķir un izmaksā reizi gadā, ņemot vērā</w:t>
      </w:r>
      <w:r w:rsidR="00AC219F">
        <w:rPr>
          <w:rFonts w:ascii="Times New Roman" w:hAnsi="Times New Roman" w:cs="Times New Roman"/>
          <w:sz w:val="24"/>
          <w:szCs w:val="24"/>
        </w:rPr>
        <w:t xml:space="preserve"> </w:t>
      </w:r>
      <w:r w:rsidR="000C1764">
        <w:rPr>
          <w:rFonts w:ascii="Times New Roman" w:hAnsi="Times New Roman" w:cs="Times New Roman"/>
          <w:sz w:val="24"/>
          <w:szCs w:val="24"/>
        </w:rPr>
        <w:t>bērna-iemaksu veicēja</w:t>
      </w:r>
      <w:r w:rsidR="00F77317">
        <w:rPr>
          <w:rFonts w:ascii="Times New Roman" w:hAnsi="Times New Roman" w:cs="Times New Roman"/>
          <w:sz w:val="24"/>
          <w:szCs w:val="24"/>
        </w:rPr>
        <w:t xml:space="preserve"> </w:t>
      </w:r>
      <w:r w:rsidR="003B5DEC">
        <w:rPr>
          <w:rFonts w:ascii="Times New Roman" w:hAnsi="Times New Roman" w:cs="Times New Roman"/>
          <w:sz w:val="24"/>
          <w:szCs w:val="24"/>
        </w:rPr>
        <w:t xml:space="preserve">sociālās apdrošināšanas iemaksas par iepriekšējo kalendāro gadu. </w:t>
      </w:r>
      <w:r w:rsidR="00871E2E">
        <w:rPr>
          <w:rFonts w:ascii="Times New Roman" w:hAnsi="Times New Roman" w:cs="Times New Roman"/>
          <w:sz w:val="24"/>
          <w:szCs w:val="24"/>
        </w:rPr>
        <w:t xml:space="preserve">Labuma guvējam izmaksā </w:t>
      </w:r>
      <w:r w:rsidR="00FF0CF7">
        <w:rPr>
          <w:rFonts w:ascii="Times New Roman" w:hAnsi="Times New Roman" w:cs="Times New Roman"/>
          <w:sz w:val="24"/>
          <w:szCs w:val="24"/>
        </w:rPr>
        <w:t>atsevišķu piemaksu par katru no</w:t>
      </w:r>
      <w:r w:rsidR="00BA4D40">
        <w:rPr>
          <w:rFonts w:ascii="Times New Roman" w:hAnsi="Times New Roman" w:cs="Times New Roman"/>
          <w:sz w:val="24"/>
          <w:szCs w:val="24"/>
        </w:rPr>
        <w:t xml:space="preserve"> </w:t>
      </w:r>
      <w:r w:rsidR="000C1764">
        <w:rPr>
          <w:rFonts w:ascii="Times New Roman" w:hAnsi="Times New Roman" w:cs="Times New Roman"/>
          <w:sz w:val="24"/>
          <w:szCs w:val="24"/>
        </w:rPr>
        <w:t>bērniem-</w:t>
      </w:r>
      <w:r w:rsidR="003075FC">
        <w:rPr>
          <w:rFonts w:ascii="Times New Roman" w:hAnsi="Times New Roman" w:cs="Times New Roman"/>
          <w:sz w:val="24"/>
          <w:szCs w:val="24"/>
        </w:rPr>
        <w:t>iemaksu veicē</w:t>
      </w:r>
      <w:r w:rsidR="00E81788">
        <w:rPr>
          <w:rFonts w:ascii="Times New Roman" w:hAnsi="Times New Roman" w:cs="Times New Roman"/>
          <w:sz w:val="24"/>
          <w:szCs w:val="24"/>
        </w:rPr>
        <w:t>jiem</w:t>
      </w:r>
      <w:r w:rsidR="00BA4D40">
        <w:rPr>
          <w:rFonts w:ascii="Times New Roman" w:hAnsi="Times New Roman" w:cs="Times New Roman"/>
          <w:sz w:val="24"/>
          <w:szCs w:val="24"/>
        </w:rPr>
        <w:t xml:space="preserve">. </w:t>
      </w:r>
      <w:r w:rsidR="000C1764">
        <w:rPr>
          <w:rFonts w:ascii="Times New Roman" w:hAnsi="Times New Roman" w:cs="Times New Roman"/>
          <w:sz w:val="24"/>
          <w:szCs w:val="24"/>
        </w:rPr>
        <w:t xml:space="preserve">Attiecīgais </w:t>
      </w:r>
      <w:r w:rsidR="0085729F">
        <w:rPr>
          <w:rFonts w:ascii="Times New Roman" w:hAnsi="Times New Roman" w:cs="Times New Roman"/>
          <w:sz w:val="24"/>
          <w:szCs w:val="24"/>
        </w:rPr>
        <w:t>bērns-</w:t>
      </w:r>
      <w:r w:rsidR="00E415CA">
        <w:rPr>
          <w:rFonts w:ascii="Times New Roman" w:hAnsi="Times New Roman" w:cs="Times New Roman"/>
          <w:sz w:val="24"/>
          <w:szCs w:val="24"/>
        </w:rPr>
        <w:t>iemaks</w:t>
      </w:r>
      <w:r w:rsidR="00E81788">
        <w:rPr>
          <w:rFonts w:ascii="Times New Roman" w:hAnsi="Times New Roman" w:cs="Times New Roman"/>
          <w:sz w:val="24"/>
          <w:szCs w:val="24"/>
        </w:rPr>
        <w:t xml:space="preserve">u </w:t>
      </w:r>
      <w:r w:rsidR="00E415CA">
        <w:rPr>
          <w:rFonts w:ascii="Times New Roman" w:hAnsi="Times New Roman" w:cs="Times New Roman"/>
          <w:sz w:val="24"/>
          <w:szCs w:val="24"/>
        </w:rPr>
        <w:t>veicē</w:t>
      </w:r>
      <w:r w:rsidR="00E81788">
        <w:rPr>
          <w:rFonts w:ascii="Times New Roman" w:hAnsi="Times New Roman" w:cs="Times New Roman"/>
          <w:sz w:val="24"/>
          <w:szCs w:val="24"/>
        </w:rPr>
        <w:t>js</w:t>
      </w:r>
      <w:r w:rsidR="00D244C4">
        <w:rPr>
          <w:rFonts w:ascii="Times New Roman" w:hAnsi="Times New Roman" w:cs="Times New Roman"/>
          <w:sz w:val="24"/>
          <w:szCs w:val="24"/>
        </w:rPr>
        <w:t xml:space="preserve"> par labuma guvēju var norādīt vienu no vecākiem vai abus </w:t>
      </w:r>
      <w:r w:rsidR="0045157D">
        <w:rPr>
          <w:rFonts w:ascii="Times New Roman" w:hAnsi="Times New Roman" w:cs="Times New Roman"/>
          <w:sz w:val="24"/>
          <w:szCs w:val="24"/>
        </w:rPr>
        <w:t xml:space="preserve">vecākus </w:t>
      </w:r>
      <w:r w:rsidR="005F3255">
        <w:rPr>
          <w:rFonts w:ascii="Times New Roman" w:hAnsi="Times New Roman" w:cs="Times New Roman"/>
          <w:sz w:val="24"/>
          <w:szCs w:val="24"/>
        </w:rPr>
        <w:t xml:space="preserve">reizē. Tiek paredzēta iespēja </w:t>
      </w:r>
      <w:r w:rsidR="0042736F">
        <w:rPr>
          <w:rFonts w:ascii="Times New Roman" w:hAnsi="Times New Roman" w:cs="Times New Roman"/>
          <w:sz w:val="24"/>
          <w:szCs w:val="24"/>
        </w:rPr>
        <w:t>bērnam-</w:t>
      </w:r>
      <w:r w:rsidR="00E415CA">
        <w:rPr>
          <w:rFonts w:ascii="Times New Roman" w:hAnsi="Times New Roman" w:cs="Times New Roman"/>
          <w:sz w:val="24"/>
          <w:szCs w:val="24"/>
        </w:rPr>
        <w:t>iemaksu</w:t>
      </w:r>
      <w:r w:rsidR="007D2831">
        <w:rPr>
          <w:rFonts w:ascii="Times New Roman" w:hAnsi="Times New Roman" w:cs="Times New Roman"/>
          <w:sz w:val="24"/>
          <w:szCs w:val="24"/>
        </w:rPr>
        <w:t xml:space="preserve"> </w:t>
      </w:r>
      <w:r w:rsidR="00E415CA">
        <w:rPr>
          <w:rFonts w:ascii="Times New Roman" w:hAnsi="Times New Roman" w:cs="Times New Roman"/>
          <w:sz w:val="24"/>
          <w:szCs w:val="24"/>
        </w:rPr>
        <w:t>veicē</w:t>
      </w:r>
      <w:r w:rsidR="007D2831">
        <w:rPr>
          <w:rFonts w:ascii="Times New Roman" w:hAnsi="Times New Roman" w:cs="Times New Roman"/>
          <w:sz w:val="24"/>
          <w:szCs w:val="24"/>
        </w:rPr>
        <w:t>jam</w:t>
      </w:r>
      <w:r w:rsidR="005F3255">
        <w:rPr>
          <w:rFonts w:ascii="Times New Roman" w:hAnsi="Times New Roman" w:cs="Times New Roman"/>
          <w:sz w:val="24"/>
          <w:szCs w:val="24"/>
        </w:rPr>
        <w:t xml:space="preserve"> neizvēlēties labuma guvēju – tad piemaksa netiek izmaksāta nevienam no vecākiem</w:t>
      </w:r>
      <w:r w:rsidR="00D244C4">
        <w:rPr>
          <w:rFonts w:ascii="Times New Roman" w:hAnsi="Times New Roman" w:cs="Times New Roman"/>
          <w:sz w:val="24"/>
          <w:szCs w:val="24"/>
        </w:rPr>
        <w:t xml:space="preserve">. </w:t>
      </w:r>
      <w:r w:rsidR="00333519">
        <w:rPr>
          <w:rFonts w:ascii="Times New Roman" w:hAnsi="Times New Roman" w:cs="Times New Roman"/>
          <w:sz w:val="24"/>
          <w:szCs w:val="24"/>
        </w:rPr>
        <w:t>Pastāv iespēja</w:t>
      </w:r>
      <w:r w:rsidR="00992096">
        <w:rPr>
          <w:rFonts w:ascii="Times New Roman" w:hAnsi="Times New Roman" w:cs="Times New Roman"/>
          <w:sz w:val="24"/>
          <w:szCs w:val="24"/>
        </w:rPr>
        <w:t xml:space="preserve"> arī </w:t>
      </w:r>
      <w:r w:rsidR="00992096">
        <w:rPr>
          <w:rFonts w:ascii="Times New Roman" w:hAnsi="Times New Roman" w:cs="Times New Roman"/>
          <w:sz w:val="24"/>
          <w:szCs w:val="24"/>
        </w:rPr>
        <w:lastRenderedPageBreak/>
        <w:t xml:space="preserve">labuma guvējam atteikties no piemaksas. </w:t>
      </w:r>
      <w:r w:rsidR="00E3087B">
        <w:rPr>
          <w:rFonts w:ascii="Times New Roman" w:hAnsi="Times New Roman" w:cs="Times New Roman"/>
          <w:sz w:val="24"/>
          <w:szCs w:val="24"/>
        </w:rPr>
        <w:t xml:space="preserve">Piemaksas labuma guvēju drīkst mainīt ne biežāk kā reizi gadā. </w:t>
      </w:r>
    </w:p>
    <w:p w:rsidR="00FB74E0" w:rsidRPr="00FC34FF" w:rsidRDefault="00BB60D1" w:rsidP="00C20D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Darba grupas ietvaros eksperti diskutēja par piedāvātā risinājuma praktisko darbību</w:t>
      </w:r>
      <w:r w:rsidR="00DC3B21">
        <w:rPr>
          <w:rFonts w:ascii="Times New Roman" w:hAnsi="Times New Roman" w:cs="Times New Roman"/>
          <w:sz w:val="24"/>
          <w:szCs w:val="24"/>
        </w:rPr>
        <w:t>, piemērošanu</w:t>
      </w:r>
      <w:r>
        <w:rPr>
          <w:rFonts w:ascii="Times New Roman" w:hAnsi="Times New Roman" w:cs="Times New Roman"/>
          <w:sz w:val="24"/>
          <w:szCs w:val="24"/>
        </w:rPr>
        <w:t xml:space="preserve"> un par</w:t>
      </w:r>
      <w:r w:rsidR="00DC3B21">
        <w:rPr>
          <w:rFonts w:ascii="Times New Roman" w:hAnsi="Times New Roman" w:cs="Times New Roman"/>
          <w:sz w:val="24"/>
          <w:szCs w:val="24"/>
        </w:rPr>
        <w:t>edzamajiem risk</w:t>
      </w:r>
      <w:r w:rsidR="003137FB">
        <w:rPr>
          <w:rFonts w:ascii="Times New Roman" w:hAnsi="Times New Roman" w:cs="Times New Roman"/>
          <w:sz w:val="24"/>
          <w:szCs w:val="24"/>
        </w:rPr>
        <w:t>iem.</w:t>
      </w:r>
      <w:r>
        <w:rPr>
          <w:rFonts w:ascii="Times New Roman" w:hAnsi="Times New Roman" w:cs="Times New Roman"/>
          <w:sz w:val="24"/>
          <w:szCs w:val="24"/>
        </w:rPr>
        <w:t xml:space="preserve"> </w:t>
      </w:r>
      <w:r w:rsidR="00DC3B21">
        <w:rPr>
          <w:rFonts w:ascii="Times New Roman" w:hAnsi="Times New Roman" w:cs="Times New Roman"/>
          <w:sz w:val="24"/>
          <w:szCs w:val="24"/>
        </w:rPr>
        <w:t>R</w:t>
      </w:r>
      <w:r>
        <w:rPr>
          <w:rFonts w:ascii="Times New Roman" w:hAnsi="Times New Roman" w:cs="Times New Roman"/>
          <w:sz w:val="24"/>
          <w:szCs w:val="24"/>
        </w:rPr>
        <w:t>ezultātā tika identific</w:t>
      </w:r>
      <w:r w:rsidR="00DC3B21">
        <w:rPr>
          <w:rFonts w:ascii="Times New Roman" w:hAnsi="Times New Roman" w:cs="Times New Roman"/>
          <w:sz w:val="24"/>
          <w:szCs w:val="24"/>
        </w:rPr>
        <w:t>ēti</w:t>
      </w:r>
      <w:r>
        <w:rPr>
          <w:rFonts w:ascii="Times New Roman" w:hAnsi="Times New Roman" w:cs="Times New Roman"/>
          <w:sz w:val="24"/>
          <w:szCs w:val="24"/>
        </w:rPr>
        <w:t xml:space="preserve"> vairāk</w:t>
      </w:r>
      <w:r w:rsidR="00DC3B21">
        <w:rPr>
          <w:rFonts w:ascii="Times New Roman" w:hAnsi="Times New Roman" w:cs="Times New Roman"/>
          <w:sz w:val="24"/>
          <w:szCs w:val="24"/>
        </w:rPr>
        <w:t xml:space="preserve">i aspekti, kas jāņem vērā, un kuri </w:t>
      </w:r>
      <w:r w:rsidR="00452ACB" w:rsidRPr="00FC34FF">
        <w:rPr>
          <w:rFonts w:ascii="Times New Roman" w:hAnsi="Times New Roman" w:cs="Times New Roman"/>
          <w:sz w:val="24"/>
          <w:szCs w:val="24"/>
        </w:rPr>
        <w:t xml:space="preserve">atainoti </w:t>
      </w:r>
      <w:r w:rsidR="002047A7">
        <w:rPr>
          <w:rFonts w:ascii="Times New Roman" w:hAnsi="Times New Roman" w:cs="Times New Roman"/>
          <w:sz w:val="24"/>
          <w:szCs w:val="24"/>
        </w:rPr>
        <w:t>p</w:t>
      </w:r>
      <w:r w:rsidR="00AF13AC">
        <w:rPr>
          <w:rFonts w:ascii="Times New Roman" w:hAnsi="Times New Roman" w:cs="Times New Roman"/>
          <w:sz w:val="24"/>
          <w:szCs w:val="24"/>
        </w:rPr>
        <w:t>ielikumā</w:t>
      </w:r>
      <w:r w:rsidR="00452ACB" w:rsidRPr="00FC34FF">
        <w:rPr>
          <w:rFonts w:ascii="Times New Roman" w:hAnsi="Times New Roman" w:cs="Times New Roman"/>
          <w:sz w:val="24"/>
          <w:szCs w:val="24"/>
        </w:rPr>
        <w:t>.</w:t>
      </w:r>
    </w:p>
    <w:p w:rsidR="00D5505A" w:rsidRDefault="00E415CA" w:rsidP="009A7D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Risinājuma izmaksu aprēķins </w:t>
      </w:r>
      <w:r w:rsidR="00D45E48">
        <w:rPr>
          <w:rFonts w:ascii="Times New Roman" w:hAnsi="Times New Roman" w:cs="Times New Roman"/>
          <w:sz w:val="24"/>
          <w:szCs w:val="24"/>
        </w:rPr>
        <w:t xml:space="preserve">(skatīt </w:t>
      </w:r>
      <w:r w:rsidR="0047262D">
        <w:rPr>
          <w:rFonts w:ascii="Times New Roman" w:hAnsi="Times New Roman" w:cs="Times New Roman"/>
          <w:sz w:val="24"/>
          <w:szCs w:val="24"/>
        </w:rPr>
        <w:t>3.</w:t>
      </w:r>
      <w:r w:rsidR="00D45E48">
        <w:rPr>
          <w:rFonts w:ascii="Times New Roman" w:hAnsi="Times New Roman" w:cs="Times New Roman"/>
          <w:sz w:val="24"/>
          <w:szCs w:val="24"/>
        </w:rPr>
        <w:t xml:space="preserve">tabulu) </w:t>
      </w:r>
      <w:r>
        <w:rPr>
          <w:rFonts w:ascii="Times New Roman" w:hAnsi="Times New Roman" w:cs="Times New Roman"/>
          <w:sz w:val="24"/>
          <w:szCs w:val="24"/>
        </w:rPr>
        <w:t>balstās uz datiem par darba ņēmējiem darbspējīgā vecumā, kuri maksā sociālās apdrošināšanas iemaksu likmi 34.05% apmērā vispārējā nodokļu režīma ietvaros.</w:t>
      </w:r>
      <w:r w:rsidR="00CA59A8">
        <w:rPr>
          <w:rFonts w:ascii="Times New Roman" w:hAnsi="Times New Roman" w:cs="Times New Roman"/>
          <w:sz w:val="24"/>
          <w:szCs w:val="24"/>
        </w:rPr>
        <w:t xml:space="preserve"> Saskaņā ar 2011.gada Centrālās statistikas pārvaldes tautas skaitīšanas datiem pēc ģimenes status</w:t>
      </w:r>
      <w:r w:rsidR="00FA0FE0">
        <w:rPr>
          <w:rFonts w:ascii="Times New Roman" w:hAnsi="Times New Roman" w:cs="Times New Roman"/>
          <w:sz w:val="24"/>
          <w:szCs w:val="24"/>
        </w:rPr>
        <w:t>a</w:t>
      </w:r>
      <w:r w:rsidR="00CA59A8">
        <w:rPr>
          <w:rFonts w:ascii="Times New Roman" w:hAnsi="Times New Roman" w:cs="Times New Roman"/>
          <w:sz w:val="24"/>
          <w:szCs w:val="24"/>
        </w:rPr>
        <w:t xml:space="preserve"> Latvijā 30.5% no visiem iedzīvotājiem ir dēli vai meitas. </w:t>
      </w:r>
      <w:r w:rsidR="00187CA6">
        <w:rPr>
          <w:rFonts w:ascii="Times New Roman" w:hAnsi="Times New Roman" w:cs="Times New Roman"/>
          <w:sz w:val="24"/>
          <w:szCs w:val="24"/>
        </w:rPr>
        <w:t>Pieņem</w:t>
      </w:r>
      <w:r w:rsidR="00D73461">
        <w:rPr>
          <w:rFonts w:ascii="Times New Roman" w:hAnsi="Times New Roman" w:cs="Times New Roman"/>
          <w:sz w:val="24"/>
          <w:szCs w:val="24"/>
        </w:rPr>
        <w:t xml:space="preserve">, ka šī proporcija </w:t>
      </w:r>
      <w:r w:rsidR="00FA0FE0">
        <w:rPr>
          <w:rFonts w:ascii="Times New Roman" w:hAnsi="Times New Roman" w:cs="Times New Roman"/>
          <w:sz w:val="24"/>
          <w:szCs w:val="24"/>
        </w:rPr>
        <w:t>paliek</w:t>
      </w:r>
      <w:r w:rsidR="00D73461">
        <w:rPr>
          <w:rFonts w:ascii="Times New Roman" w:hAnsi="Times New Roman" w:cs="Times New Roman"/>
          <w:sz w:val="24"/>
          <w:szCs w:val="24"/>
        </w:rPr>
        <w:t xml:space="preserve"> nemain</w:t>
      </w:r>
      <w:r w:rsidR="00FC1E10">
        <w:rPr>
          <w:rFonts w:ascii="Times New Roman" w:hAnsi="Times New Roman" w:cs="Times New Roman"/>
          <w:sz w:val="24"/>
          <w:szCs w:val="24"/>
        </w:rPr>
        <w:t xml:space="preserve">īga. </w:t>
      </w:r>
      <w:r w:rsidR="00D45E48">
        <w:rPr>
          <w:rFonts w:ascii="Times New Roman" w:hAnsi="Times New Roman" w:cs="Times New Roman"/>
          <w:sz w:val="24"/>
          <w:szCs w:val="24"/>
        </w:rPr>
        <w:t xml:space="preserve">Ņemot vērā vidējo </w:t>
      </w:r>
      <w:r w:rsidR="0017247D">
        <w:rPr>
          <w:rFonts w:ascii="Times New Roman" w:hAnsi="Times New Roman" w:cs="Times New Roman"/>
          <w:sz w:val="24"/>
          <w:szCs w:val="24"/>
        </w:rPr>
        <w:t xml:space="preserve">apdrošināšanas </w:t>
      </w:r>
      <w:r w:rsidR="00D45E48">
        <w:rPr>
          <w:rFonts w:ascii="Times New Roman" w:hAnsi="Times New Roman" w:cs="Times New Roman"/>
          <w:sz w:val="24"/>
          <w:szCs w:val="24"/>
        </w:rPr>
        <w:t>iemaksu algu darba ņēmējam (šobrīd pieejamie dati), ja 1% no šo bērnu-iemaksu veicēju algas tiek tiešās solidaritātes ietvaros novirzīts vecākiem-pensionāriem, pensiju speciālā bu</w:t>
      </w:r>
      <w:r w:rsidR="00DD72B1">
        <w:rPr>
          <w:rFonts w:ascii="Times New Roman" w:hAnsi="Times New Roman" w:cs="Times New Roman"/>
          <w:sz w:val="24"/>
          <w:szCs w:val="24"/>
        </w:rPr>
        <w:t>džeta ieņēmumi samazinās</w:t>
      </w:r>
      <w:r w:rsidR="00DF031D">
        <w:rPr>
          <w:rFonts w:ascii="Times New Roman" w:hAnsi="Times New Roman" w:cs="Times New Roman"/>
          <w:sz w:val="24"/>
          <w:szCs w:val="24"/>
        </w:rPr>
        <w:t>ies</w:t>
      </w:r>
      <w:r w:rsidR="00DD72B1">
        <w:rPr>
          <w:rFonts w:ascii="Times New Roman" w:hAnsi="Times New Roman" w:cs="Times New Roman"/>
          <w:sz w:val="24"/>
          <w:szCs w:val="24"/>
        </w:rPr>
        <w:t xml:space="preserve"> par 24,</w:t>
      </w:r>
      <w:r w:rsidR="00D45E48">
        <w:rPr>
          <w:rFonts w:ascii="Times New Roman" w:hAnsi="Times New Roman" w:cs="Times New Roman"/>
          <w:sz w:val="24"/>
          <w:szCs w:val="24"/>
        </w:rPr>
        <w:t xml:space="preserve">6 milj. </w:t>
      </w:r>
      <w:r w:rsidR="00662DB4">
        <w:rPr>
          <w:rFonts w:ascii="Times New Roman" w:hAnsi="Times New Roman" w:cs="Times New Roman"/>
          <w:sz w:val="24"/>
          <w:szCs w:val="24"/>
        </w:rPr>
        <w:t>e</w:t>
      </w:r>
      <w:r w:rsidR="00D45E48">
        <w:rPr>
          <w:rFonts w:ascii="Times New Roman" w:hAnsi="Times New Roman" w:cs="Times New Roman"/>
          <w:sz w:val="24"/>
          <w:szCs w:val="24"/>
        </w:rPr>
        <w:t>uro gad</w:t>
      </w:r>
      <w:r w:rsidR="006406E8">
        <w:rPr>
          <w:rFonts w:ascii="Times New Roman" w:hAnsi="Times New Roman" w:cs="Times New Roman"/>
          <w:sz w:val="24"/>
          <w:szCs w:val="24"/>
        </w:rPr>
        <w:t>ā.</w:t>
      </w:r>
    </w:p>
    <w:p w:rsidR="002C23C1" w:rsidRPr="00E415CA" w:rsidRDefault="002C23C1" w:rsidP="009A7D15">
      <w:pPr>
        <w:spacing w:after="0" w:line="240" w:lineRule="auto"/>
        <w:ind w:firstLine="567"/>
        <w:jc w:val="both"/>
        <w:rPr>
          <w:rFonts w:ascii="Times New Roman" w:hAnsi="Times New Roman" w:cs="Times New Roman"/>
          <w:sz w:val="24"/>
          <w:szCs w:val="24"/>
        </w:rPr>
      </w:pPr>
    </w:p>
    <w:p w:rsidR="002A38CA" w:rsidRPr="002A38CA" w:rsidRDefault="0038486C" w:rsidP="0038486C">
      <w:pPr>
        <w:spacing w:after="0"/>
        <w:jc w:val="right"/>
        <w:rPr>
          <w:rFonts w:ascii="Times New Roman" w:hAnsi="Times New Roman" w:cs="Times New Roman"/>
          <w:sz w:val="24"/>
          <w:szCs w:val="24"/>
        </w:rPr>
      </w:pPr>
      <w:r>
        <w:rPr>
          <w:rFonts w:ascii="Times New Roman" w:hAnsi="Times New Roman" w:cs="Times New Roman"/>
          <w:sz w:val="24"/>
          <w:szCs w:val="24"/>
        </w:rPr>
        <w:t>3.tabula</w:t>
      </w:r>
    </w:p>
    <w:p w:rsidR="00FC21E2" w:rsidRDefault="002047A7" w:rsidP="0038486C">
      <w:pPr>
        <w:spacing w:after="0"/>
        <w:jc w:val="center"/>
        <w:rPr>
          <w:rFonts w:ascii="Times New Roman" w:hAnsi="Times New Roman" w:cs="Times New Roman"/>
          <w:b/>
          <w:sz w:val="24"/>
          <w:szCs w:val="24"/>
        </w:rPr>
      </w:pPr>
      <w:r>
        <w:rPr>
          <w:rFonts w:ascii="Times New Roman" w:hAnsi="Times New Roman" w:cs="Times New Roman"/>
          <w:b/>
          <w:sz w:val="24"/>
          <w:szCs w:val="24"/>
        </w:rPr>
        <w:t>Piedāvātā risinājuma i</w:t>
      </w:r>
      <w:r w:rsidR="00FC21E2">
        <w:rPr>
          <w:rFonts w:ascii="Times New Roman" w:hAnsi="Times New Roman" w:cs="Times New Roman"/>
          <w:b/>
          <w:sz w:val="24"/>
          <w:szCs w:val="24"/>
        </w:rPr>
        <w:t>zmaksu aprēķins</w:t>
      </w:r>
      <w:r>
        <w:rPr>
          <w:rFonts w:ascii="Times New Roman" w:hAnsi="Times New Roman" w:cs="Times New Roman"/>
          <w:b/>
          <w:sz w:val="24"/>
          <w:szCs w:val="24"/>
        </w:rPr>
        <w:t xml:space="preserve"> 2020.gadam</w:t>
      </w:r>
    </w:p>
    <w:p w:rsidR="0038486C" w:rsidRDefault="0038486C" w:rsidP="0038486C">
      <w:pPr>
        <w:spacing w:after="0"/>
        <w:jc w:val="center"/>
        <w:rPr>
          <w:rFonts w:ascii="Times New Roman" w:hAnsi="Times New Roman" w:cs="Times New Roman"/>
          <w:b/>
          <w:sz w:val="24"/>
          <w:szCs w:val="24"/>
        </w:rPr>
      </w:pPr>
    </w:p>
    <w:tbl>
      <w:tblPr>
        <w:tblStyle w:val="TableGrid"/>
        <w:tblW w:w="0" w:type="auto"/>
        <w:tblInd w:w="1384" w:type="dxa"/>
        <w:tblLook w:val="04A0" w:firstRow="1" w:lastRow="0" w:firstColumn="1" w:lastColumn="0" w:noHBand="0" w:noVBand="1"/>
      </w:tblPr>
      <w:tblGrid>
        <w:gridCol w:w="4261"/>
        <w:gridCol w:w="1234"/>
      </w:tblGrid>
      <w:tr w:rsidR="0083017E" w:rsidTr="00041642">
        <w:tc>
          <w:tcPr>
            <w:tcW w:w="4261" w:type="dxa"/>
            <w:vAlign w:val="center"/>
          </w:tcPr>
          <w:p w:rsidR="0083017E" w:rsidRDefault="0083017E" w:rsidP="00E415CA">
            <w:pPr>
              <w:rPr>
                <w:rFonts w:ascii="Times New Roman" w:hAnsi="Times New Roman" w:cs="Times New Roman"/>
                <w:b/>
                <w:sz w:val="24"/>
                <w:szCs w:val="24"/>
              </w:rPr>
            </w:pPr>
            <w:r w:rsidRPr="000B658F">
              <w:rPr>
                <w:rFonts w:ascii="Times New Roman" w:hAnsi="Times New Roman" w:cs="Times New Roman"/>
                <w:sz w:val="24"/>
                <w:szCs w:val="24"/>
              </w:rPr>
              <w:t>Darba ņēmēji darbspējīgā vecumā, kas maksā 34.09% likmi, 2017.g.1.pusg.</w:t>
            </w:r>
          </w:p>
        </w:tc>
        <w:tc>
          <w:tcPr>
            <w:tcW w:w="1234" w:type="dxa"/>
            <w:vAlign w:val="center"/>
          </w:tcPr>
          <w:p w:rsidR="0083017E" w:rsidRDefault="0083017E" w:rsidP="008D4A5C">
            <w:pPr>
              <w:rPr>
                <w:rFonts w:ascii="Times New Roman" w:hAnsi="Times New Roman" w:cs="Times New Roman"/>
                <w:b/>
                <w:sz w:val="24"/>
                <w:szCs w:val="24"/>
              </w:rPr>
            </w:pPr>
            <w:r w:rsidRPr="000B658F">
              <w:rPr>
                <w:rFonts w:ascii="Times New Roman" w:hAnsi="Times New Roman" w:cs="Times New Roman"/>
                <w:sz w:val="24"/>
                <w:szCs w:val="24"/>
              </w:rPr>
              <w:t>793 229</w:t>
            </w:r>
          </w:p>
        </w:tc>
      </w:tr>
      <w:tr w:rsidR="0083017E" w:rsidTr="00041642">
        <w:tc>
          <w:tcPr>
            <w:tcW w:w="4261" w:type="dxa"/>
            <w:vAlign w:val="center"/>
          </w:tcPr>
          <w:p w:rsidR="0083017E" w:rsidRDefault="0083017E" w:rsidP="00471B1F">
            <w:pPr>
              <w:rPr>
                <w:rFonts w:ascii="Times New Roman" w:hAnsi="Times New Roman" w:cs="Times New Roman"/>
                <w:b/>
                <w:sz w:val="24"/>
                <w:szCs w:val="24"/>
              </w:rPr>
            </w:pPr>
            <w:r w:rsidRPr="000B658F">
              <w:rPr>
                <w:rFonts w:ascii="Times New Roman" w:hAnsi="Times New Roman" w:cs="Times New Roman"/>
                <w:sz w:val="24"/>
                <w:szCs w:val="24"/>
              </w:rPr>
              <w:t>2011.g.</w:t>
            </w:r>
            <w:r>
              <w:rPr>
                <w:rFonts w:ascii="Times New Roman" w:hAnsi="Times New Roman" w:cs="Times New Roman"/>
                <w:sz w:val="24"/>
                <w:szCs w:val="24"/>
              </w:rPr>
              <w:t xml:space="preserve"> </w:t>
            </w:r>
            <w:r w:rsidRPr="000B658F">
              <w:rPr>
                <w:rFonts w:ascii="Times New Roman" w:hAnsi="Times New Roman" w:cs="Times New Roman"/>
                <w:sz w:val="24"/>
                <w:szCs w:val="24"/>
              </w:rPr>
              <w:t>CS</w:t>
            </w:r>
            <w:r w:rsidR="00F11617">
              <w:rPr>
                <w:rFonts w:ascii="Times New Roman" w:hAnsi="Times New Roman" w:cs="Times New Roman"/>
                <w:sz w:val="24"/>
                <w:szCs w:val="24"/>
              </w:rPr>
              <w:t>P</w:t>
            </w:r>
            <w:r w:rsidRPr="000B658F">
              <w:rPr>
                <w:rFonts w:ascii="Times New Roman" w:hAnsi="Times New Roman" w:cs="Times New Roman"/>
                <w:sz w:val="24"/>
                <w:szCs w:val="24"/>
              </w:rPr>
              <w:t xml:space="preserve"> tautas skaitīšanas dati: dēli </w:t>
            </w:r>
            <w:r w:rsidR="002C23C1">
              <w:rPr>
                <w:rFonts w:ascii="Times New Roman" w:hAnsi="Times New Roman" w:cs="Times New Roman"/>
                <w:sz w:val="24"/>
                <w:szCs w:val="24"/>
              </w:rPr>
              <w:t xml:space="preserve">un </w:t>
            </w:r>
            <w:r w:rsidRPr="000B658F">
              <w:rPr>
                <w:rFonts w:ascii="Times New Roman" w:hAnsi="Times New Roman" w:cs="Times New Roman"/>
                <w:sz w:val="24"/>
                <w:szCs w:val="24"/>
              </w:rPr>
              <w:t xml:space="preserve">meitas </w:t>
            </w:r>
          </w:p>
        </w:tc>
        <w:tc>
          <w:tcPr>
            <w:tcW w:w="1234" w:type="dxa"/>
            <w:vAlign w:val="center"/>
          </w:tcPr>
          <w:p w:rsidR="0083017E" w:rsidRDefault="0083017E" w:rsidP="008D4A5C">
            <w:pPr>
              <w:rPr>
                <w:rFonts w:ascii="Times New Roman" w:hAnsi="Times New Roman" w:cs="Times New Roman"/>
                <w:b/>
                <w:sz w:val="24"/>
                <w:szCs w:val="24"/>
              </w:rPr>
            </w:pPr>
            <w:r w:rsidRPr="000B658F">
              <w:rPr>
                <w:rFonts w:ascii="Times New Roman" w:hAnsi="Times New Roman" w:cs="Times New Roman"/>
                <w:sz w:val="24"/>
                <w:szCs w:val="24"/>
              </w:rPr>
              <w:t>30.5%</w:t>
            </w:r>
          </w:p>
        </w:tc>
      </w:tr>
      <w:tr w:rsidR="0083017E" w:rsidTr="00041642">
        <w:tc>
          <w:tcPr>
            <w:tcW w:w="4261" w:type="dxa"/>
            <w:vAlign w:val="center"/>
          </w:tcPr>
          <w:p w:rsidR="0083017E" w:rsidRDefault="0083017E" w:rsidP="002C23C1">
            <w:pPr>
              <w:rPr>
                <w:rFonts w:ascii="Times New Roman" w:hAnsi="Times New Roman" w:cs="Times New Roman"/>
                <w:b/>
                <w:sz w:val="24"/>
                <w:szCs w:val="24"/>
              </w:rPr>
            </w:pPr>
            <w:r w:rsidRPr="000B658F">
              <w:rPr>
                <w:rFonts w:ascii="Times New Roman" w:hAnsi="Times New Roman" w:cs="Times New Roman"/>
                <w:sz w:val="24"/>
                <w:szCs w:val="24"/>
              </w:rPr>
              <w:t xml:space="preserve">Darba ņēmēji </w:t>
            </w:r>
            <w:r>
              <w:rPr>
                <w:rFonts w:ascii="Times New Roman" w:hAnsi="Times New Roman" w:cs="Times New Roman"/>
                <w:sz w:val="24"/>
                <w:szCs w:val="24"/>
              </w:rPr>
              <w:t>(bērni),</w:t>
            </w:r>
            <w:r w:rsidRPr="000B658F">
              <w:rPr>
                <w:rFonts w:ascii="Times New Roman" w:hAnsi="Times New Roman" w:cs="Times New Roman"/>
                <w:sz w:val="24"/>
                <w:szCs w:val="24"/>
              </w:rPr>
              <w:t xml:space="preserve"> kuriem </w:t>
            </w:r>
            <w:r w:rsidR="002C23C1">
              <w:rPr>
                <w:rFonts w:ascii="Times New Roman" w:hAnsi="Times New Roman" w:cs="Times New Roman"/>
                <w:sz w:val="24"/>
                <w:szCs w:val="24"/>
              </w:rPr>
              <w:t>ir pensionēšanās vecumu</w:t>
            </w:r>
            <w:r w:rsidR="00E565DB">
              <w:rPr>
                <w:rFonts w:ascii="Times New Roman" w:hAnsi="Times New Roman" w:cs="Times New Roman"/>
                <w:sz w:val="24"/>
                <w:szCs w:val="24"/>
              </w:rPr>
              <w:t xml:space="preserve"> sasnieguši</w:t>
            </w:r>
            <w:r w:rsidRPr="000B658F">
              <w:rPr>
                <w:rFonts w:ascii="Times New Roman" w:hAnsi="Times New Roman" w:cs="Times New Roman"/>
                <w:sz w:val="24"/>
                <w:szCs w:val="24"/>
              </w:rPr>
              <w:t xml:space="preserve"> vecāki</w:t>
            </w:r>
          </w:p>
        </w:tc>
        <w:tc>
          <w:tcPr>
            <w:tcW w:w="1234" w:type="dxa"/>
            <w:vAlign w:val="center"/>
          </w:tcPr>
          <w:p w:rsidR="0083017E" w:rsidRDefault="0083017E" w:rsidP="008D4A5C">
            <w:pPr>
              <w:rPr>
                <w:rFonts w:ascii="Times New Roman" w:hAnsi="Times New Roman" w:cs="Times New Roman"/>
                <w:b/>
                <w:sz w:val="24"/>
                <w:szCs w:val="24"/>
              </w:rPr>
            </w:pPr>
            <w:r w:rsidRPr="000B658F">
              <w:rPr>
                <w:rFonts w:ascii="Times New Roman" w:hAnsi="Times New Roman" w:cs="Times New Roman"/>
                <w:sz w:val="24"/>
                <w:szCs w:val="24"/>
              </w:rPr>
              <w:t>241 935</w:t>
            </w:r>
          </w:p>
        </w:tc>
      </w:tr>
      <w:tr w:rsidR="0083017E" w:rsidTr="00041642">
        <w:tc>
          <w:tcPr>
            <w:tcW w:w="4261" w:type="dxa"/>
            <w:vAlign w:val="center"/>
          </w:tcPr>
          <w:p w:rsidR="0083017E" w:rsidRDefault="0083017E" w:rsidP="00CA5BE0">
            <w:pPr>
              <w:rPr>
                <w:rFonts w:ascii="Times New Roman" w:hAnsi="Times New Roman" w:cs="Times New Roman"/>
                <w:b/>
                <w:sz w:val="24"/>
                <w:szCs w:val="24"/>
              </w:rPr>
            </w:pPr>
            <w:r>
              <w:rPr>
                <w:rFonts w:ascii="Times New Roman" w:hAnsi="Times New Roman" w:cs="Times New Roman"/>
                <w:sz w:val="24"/>
                <w:szCs w:val="24"/>
              </w:rPr>
              <w:t xml:space="preserve">Vidējā </w:t>
            </w:r>
            <w:r w:rsidRPr="000B658F">
              <w:rPr>
                <w:rFonts w:ascii="Times New Roman" w:hAnsi="Times New Roman" w:cs="Times New Roman"/>
                <w:sz w:val="24"/>
                <w:szCs w:val="24"/>
              </w:rPr>
              <w:t>iemaksu alga d</w:t>
            </w:r>
            <w:r>
              <w:rPr>
                <w:rFonts w:ascii="Times New Roman" w:hAnsi="Times New Roman" w:cs="Times New Roman"/>
                <w:sz w:val="24"/>
                <w:szCs w:val="24"/>
              </w:rPr>
              <w:t xml:space="preserve">arba </w:t>
            </w:r>
            <w:r w:rsidRPr="000B658F">
              <w:rPr>
                <w:rFonts w:ascii="Times New Roman" w:hAnsi="Times New Roman" w:cs="Times New Roman"/>
                <w:sz w:val="24"/>
                <w:szCs w:val="24"/>
              </w:rPr>
              <w:t>ņ</w:t>
            </w:r>
            <w:r>
              <w:rPr>
                <w:rFonts w:ascii="Times New Roman" w:hAnsi="Times New Roman" w:cs="Times New Roman"/>
                <w:sz w:val="24"/>
                <w:szCs w:val="24"/>
              </w:rPr>
              <w:t>ēmējam</w:t>
            </w:r>
            <w:r w:rsidRPr="000B658F">
              <w:rPr>
                <w:rFonts w:ascii="Times New Roman" w:hAnsi="Times New Roman" w:cs="Times New Roman"/>
                <w:sz w:val="24"/>
                <w:szCs w:val="24"/>
              </w:rPr>
              <w:t xml:space="preserve"> 2017.g.</w:t>
            </w:r>
            <w:r>
              <w:rPr>
                <w:rFonts w:ascii="Times New Roman" w:hAnsi="Times New Roman" w:cs="Times New Roman"/>
                <w:sz w:val="24"/>
                <w:szCs w:val="24"/>
              </w:rPr>
              <w:t xml:space="preserve"> </w:t>
            </w:r>
            <w:r w:rsidRPr="000B658F">
              <w:rPr>
                <w:rFonts w:ascii="Times New Roman" w:hAnsi="Times New Roman" w:cs="Times New Roman"/>
                <w:sz w:val="24"/>
                <w:szCs w:val="24"/>
              </w:rPr>
              <w:t>1.pusg.</w:t>
            </w:r>
            <w:r w:rsidR="00CA5BE0">
              <w:rPr>
                <w:rFonts w:ascii="Times New Roman" w:hAnsi="Times New Roman" w:cs="Times New Roman"/>
                <w:sz w:val="24"/>
                <w:szCs w:val="24"/>
              </w:rPr>
              <w:t xml:space="preserve"> </w:t>
            </w:r>
            <w:r w:rsidR="008D4A5C">
              <w:rPr>
                <w:rFonts w:ascii="Times New Roman" w:hAnsi="Times New Roman" w:cs="Times New Roman"/>
                <w:sz w:val="24"/>
                <w:szCs w:val="24"/>
              </w:rPr>
              <w:t>(euro</w:t>
            </w:r>
            <w:r w:rsidRPr="000B658F">
              <w:rPr>
                <w:rFonts w:ascii="Times New Roman" w:hAnsi="Times New Roman" w:cs="Times New Roman"/>
                <w:sz w:val="24"/>
                <w:szCs w:val="24"/>
              </w:rPr>
              <w:t>)</w:t>
            </w:r>
          </w:p>
        </w:tc>
        <w:tc>
          <w:tcPr>
            <w:tcW w:w="1234" w:type="dxa"/>
            <w:vAlign w:val="center"/>
          </w:tcPr>
          <w:p w:rsidR="0083017E" w:rsidRDefault="0083017E" w:rsidP="008D4A5C">
            <w:pPr>
              <w:rPr>
                <w:rFonts w:ascii="Times New Roman" w:hAnsi="Times New Roman" w:cs="Times New Roman"/>
                <w:b/>
                <w:sz w:val="24"/>
                <w:szCs w:val="24"/>
              </w:rPr>
            </w:pPr>
            <w:r w:rsidRPr="000B658F">
              <w:rPr>
                <w:rFonts w:ascii="Times New Roman" w:hAnsi="Times New Roman" w:cs="Times New Roman"/>
                <w:sz w:val="24"/>
                <w:szCs w:val="24"/>
              </w:rPr>
              <w:t>846.22</w:t>
            </w:r>
          </w:p>
        </w:tc>
      </w:tr>
      <w:tr w:rsidR="0083017E" w:rsidTr="00041642">
        <w:tc>
          <w:tcPr>
            <w:tcW w:w="4261" w:type="dxa"/>
            <w:vAlign w:val="center"/>
          </w:tcPr>
          <w:p w:rsidR="0083017E" w:rsidRDefault="0083017E" w:rsidP="008D4A5C">
            <w:pPr>
              <w:rPr>
                <w:rFonts w:ascii="Times New Roman" w:hAnsi="Times New Roman" w:cs="Times New Roman"/>
                <w:b/>
                <w:sz w:val="24"/>
                <w:szCs w:val="24"/>
              </w:rPr>
            </w:pPr>
            <w:r w:rsidRPr="000B658F">
              <w:rPr>
                <w:rFonts w:ascii="Times New Roman" w:hAnsi="Times New Roman" w:cs="Times New Roman"/>
                <w:sz w:val="24"/>
                <w:szCs w:val="24"/>
              </w:rPr>
              <w:t>1% no d</w:t>
            </w:r>
            <w:r>
              <w:rPr>
                <w:rFonts w:ascii="Times New Roman" w:hAnsi="Times New Roman" w:cs="Times New Roman"/>
                <w:sz w:val="24"/>
                <w:szCs w:val="24"/>
              </w:rPr>
              <w:t xml:space="preserve">arba </w:t>
            </w:r>
            <w:r w:rsidRPr="000B658F">
              <w:rPr>
                <w:rFonts w:ascii="Times New Roman" w:hAnsi="Times New Roman" w:cs="Times New Roman"/>
                <w:sz w:val="24"/>
                <w:szCs w:val="24"/>
              </w:rPr>
              <w:t>ņ</w:t>
            </w:r>
            <w:r>
              <w:rPr>
                <w:rFonts w:ascii="Times New Roman" w:hAnsi="Times New Roman" w:cs="Times New Roman"/>
                <w:sz w:val="24"/>
                <w:szCs w:val="24"/>
              </w:rPr>
              <w:t>ēmēja</w:t>
            </w:r>
            <w:r w:rsidRPr="000B658F">
              <w:rPr>
                <w:rFonts w:ascii="Times New Roman" w:hAnsi="Times New Roman" w:cs="Times New Roman"/>
                <w:sz w:val="24"/>
                <w:szCs w:val="24"/>
              </w:rPr>
              <w:t xml:space="preserve"> iemaksu algas (</w:t>
            </w:r>
            <w:r w:rsidR="008D4A5C">
              <w:rPr>
                <w:rFonts w:ascii="Times New Roman" w:hAnsi="Times New Roman" w:cs="Times New Roman"/>
                <w:sz w:val="24"/>
                <w:szCs w:val="24"/>
              </w:rPr>
              <w:t>euro</w:t>
            </w:r>
            <w:r w:rsidRPr="000B658F">
              <w:rPr>
                <w:rFonts w:ascii="Times New Roman" w:hAnsi="Times New Roman" w:cs="Times New Roman"/>
                <w:sz w:val="24"/>
                <w:szCs w:val="24"/>
              </w:rPr>
              <w:t>/mēn)</w:t>
            </w:r>
          </w:p>
        </w:tc>
        <w:tc>
          <w:tcPr>
            <w:tcW w:w="1234" w:type="dxa"/>
            <w:vAlign w:val="center"/>
          </w:tcPr>
          <w:p w:rsidR="0083017E" w:rsidRDefault="0083017E" w:rsidP="008D4A5C">
            <w:pPr>
              <w:rPr>
                <w:rFonts w:ascii="Times New Roman" w:hAnsi="Times New Roman" w:cs="Times New Roman"/>
                <w:b/>
                <w:sz w:val="24"/>
                <w:szCs w:val="24"/>
              </w:rPr>
            </w:pPr>
            <w:r w:rsidRPr="000B658F">
              <w:rPr>
                <w:rFonts w:ascii="Times New Roman" w:hAnsi="Times New Roman" w:cs="Times New Roman"/>
                <w:sz w:val="24"/>
                <w:szCs w:val="24"/>
              </w:rPr>
              <w:t>8.46</w:t>
            </w:r>
          </w:p>
        </w:tc>
      </w:tr>
      <w:tr w:rsidR="0083017E" w:rsidTr="00041642">
        <w:tc>
          <w:tcPr>
            <w:tcW w:w="4261" w:type="dxa"/>
            <w:vAlign w:val="center"/>
          </w:tcPr>
          <w:p w:rsidR="0083017E" w:rsidRDefault="0083017E" w:rsidP="008D4A5C">
            <w:pPr>
              <w:rPr>
                <w:rFonts w:ascii="Times New Roman" w:hAnsi="Times New Roman" w:cs="Times New Roman"/>
                <w:b/>
                <w:sz w:val="24"/>
                <w:szCs w:val="24"/>
              </w:rPr>
            </w:pPr>
            <w:r>
              <w:rPr>
                <w:rFonts w:ascii="Times New Roman" w:hAnsi="Times New Roman" w:cs="Times New Roman"/>
                <w:sz w:val="24"/>
                <w:szCs w:val="24"/>
              </w:rPr>
              <w:t>Pensiju s</w:t>
            </w:r>
            <w:r w:rsidRPr="000B658F">
              <w:rPr>
                <w:rFonts w:ascii="Times New Roman" w:hAnsi="Times New Roman" w:cs="Times New Roman"/>
                <w:sz w:val="24"/>
                <w:szCs w:val="24"/>
              </w:rPr>
              <w:t>p</w:t>
            </w:r>
            <w:r>
              <w:rPr>
                <w:rFonts w:ascii="Times New Roman" w:hAnsi="Times New Roman" w:cs="Times New Roman"/>
                <w:sz w:val="24"/>
                <w:szCs w:val="24"/>
              </w:rPr>
              <w:t>eciālā budžeta</w:t>
            </w:r>
            <w:r w:rsidRPr="000B658F">
              <w:rPr>
                <w:rFonts w:ascii="Times New Roman" w:hAnsi="Times New Roman" w:cs="Times New Roman"/>
                <w:sz w:val="24"/>
                <w:szCs w:val="24"/>
              </w:rPr>
              <w:t xml:space="preserve"> ieņēmumu samazinājums gadā (milj.</w:t>
            </w:r>
            <w:r w:rsidR="008D4A5C">
              <w:rPr>
                <w:rFonts w:ascii="Times New Roman" w:hAnsi="Times New Roman" w:cs="Times New Roman"/>
                <w:sz w:val="24"/>
                <w:szCs w:val="24"/>
              </w:rPr>
              <w:t xml:space="preserve"> euro</w:t>
            </w:r>
            <w:r w:rsidR="00E04BE1">
              <w:rPr>
                <w:rFonts w:ascii="Times New Roman" w:hAnsi="Times New Roman" w:cs="Times New Roman"/>
                <w:sz w:val="24"/>
                <w:szCs w:val="24"/>
              </w:rPr>
              <w:t>)</w:t>
            </w:r>
          </w:p>
        </w:tc>
        <w:tc>
          <w:tcPr>
            <w:tcW w:w="1234" w:type="dxa"/>
            <w:vAlign w:val="center"/>
          </w:tcPr>
          <w:p w:rsidR="0083017E" w:rsidRDefault="0083017E" w:rsidP="008D4A5C">
            <w:pPr>
              <w:rPr>
                <w:rFonts w:ascii="Times New Roman" w:hAnsi="Times New Roman" w:cs="Times New Roman"/>
                <w:b/>
                <w:sz w:val="24"/>
                <w:szCs w:val="24"/>
              </w:rPr>
            </w:pPr>
            <w:r w:rsidRPr="000B658F">
              <w:rPr>
                <w:rFonts w:ascii="Times New Roman" w:hAnsi="Times New Roman" w:cs="Times New Roman"/>
                <w:b/>
                <w:sz w:val="24"/>
                <w:szCs w:val="24"/>
              </w:rPr>
              <w:t>24.6</w:t>
            </w:r>
          </w:p>
        </w:tc>
      </w:tr>
    </w:tbl>
    <w:p w:rsidR="0083017E" w:rsidRPr="00FC21E2" w:rsidRDefault="0083017E" w:rsidP="00C20DA0">
      <w:pPr>
        <w:spacing w:after="0"/>
        <w:rPr>
          <w:rFonts w:ascii="Times New Roman" w:hAnsi="Times New Roman" w:cs="Times New Roman"/>
          <w:b/>
          <w:sz w:val="24"/>
          <w:szCs w:val="24"/>
        </w:rPr>
      </w:pPr>
    </w:p>
    <w:p w:rsidR="00060899" w:rsidRPr="008A4C46" w:rsidRDefault="00060899" w:rsidP="00060899">
      <w:pPr>
        <w:spacing w:before="12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Saskaņā ar Labklājības ministrijas aprēķiniem (skatīt </w:t>
      </w:r>
      <w:r w:rsidR="0089673C">
        <w:rPr>
          <w:rFonts w:ascii="Times New Roman" w:hAnsi="Times New Roman" w:cs="Times New Roman"/>
          <w:sz w:val="24"/>
          <w:szCs w:val="24"/>
        </w:rPr>
        <w:t>4.</w:t>
      </w:r>
      <w:r>
        <w:rPr>
          <w:rFonts w:ascii="Times New Roman" w:hAnsi="Times New Roman" w:cs="Times New Roman"/>
          <w:sz w:val="24"/>
          <w:szCs w:val="24"/>
        </w:rPr>
        <w:t xml:space="preserve">tabulu), ieviešot piedāvāto risinājumu, vidējā vecuma pensijas piemaksa vidēji uz visiem </w:t>
      </w:r>
      <w:r w:rsidRPr="001A07D7">
        <w:rPr>
          <w:rFonts w:ascii="Times New Roman" w:hAnsi="Times New Roman" w:cs="Times New Roman"/>
          <w:sz w:val="24"/>
          <w:szCs w:val="24"/>
        </w:rPr>
        <w:t>vecuma</w:t>
      </w:r>
      <w:r>
        <w:rPr>
          <w:rFonts w:ascii="Times New Roman" w:hAnsi="Times New Roman" w:cs="Times New Roman"/>
          <w:sz w:val="24"/>
          <w:szCs w:val="24"/>
        </w:rPr>
        <w:t xml:space="preserve"> pensijas saņēmējiem 2020. un 2021.gadā </w:t>
      </w:r>
      <w:r w:rsidR="0003464A">
        <w:rPr>
          <w:rFonts w:ascii="Times New Roman" w:hAnsi="Times New Roman" w:cs="Times New Roman"/>
          <w:sz w:val="24"/>
          <w:szCs w:val="24"/>
        </w:rPr>
        <w:t>būtu</w:t>
      </w:r>
      <w:r>
        <w:rPr>
          <w:rFonts w:ascii="Times New Roman" w:hAnsi="Times New Roman" w:cs="Times New Roman"/>
          <w:sz w:val="24"/>
          <w:szCs w:val="24"/>
        </w:rPr>
        <w:t xml:space="preserve"> 55,8 euro</w:t>
      </w:r>
      <w:r w:rsidR="00BE47D8">
        <w:rPr>
          <w:rFonts w:ascii="Times New Roman" w:hAnsi="Times New Roman" w:cs="Times New Roman"/>
          <w:sz w:val="24"/>
          <w:szCs w:val="24"/>
        </w:rPr>
        <w:t xml:space="preserve"> gadā</w:t>
      </w:r>
      <w:r>
        <w:rPr>
          <w:rFonts w:ascii="Times New Roman" w:hAnsi="Times New Roman" w:cs="Times New Roman"/>
          <w:sz w:val="24"/>
          <w:szCs w:val="24"/>
        </w:rPr>
        <w:t>.</w:t>
      </w:r>
      <w:r w:rsidR="0074766B">
        <w:rPr>
          <w:rFonts w:ascii="Times New Roman" w:hAnsi="Times New Roman" w:cs="Times New Roman"/>
          <w:sz w:val="24"/>
          <w:szCs w:val="24"/>
        </w:rPr>
        <w:t xml:space="preserve"> </w:t>
      </w:r>
    </w:p>
    <w:p w:rsidR="006E6634" w:rsidRDefault="006E6634" w:rsidP="006E6634">
      <w:pPr>
        <w:spacing w:after="0" w:line="240" w:lineRule="auto"/>
        <w:ind w:firstLine="567"/>
        <w:jc w:val="both"/>
        <w:rPr>
          <w:rFonts w:ascii="Times New Roman" w:hAnsi="Times New Roman" w:cs="Times New Roman"/>
          <w:sz w:val="24"/>
          <w:szCs w:val="24"/>
        </w:rPr>
      </w:pPr>
    </w:p>
    <w:p w:rsidR="00776D10" w:rsidRDefault="00041642" w:rsidP="0004164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4.tabula</w:t>
      </w:r>
    </w:p>
    <w:p w:rsidR="006E6634" w:rsidRDefault="006E6634" w:rsidP="006037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Vidējais vecuma pensijas palielinājums</w:t>
      </w:r>
      <w:r w:rsidR="00FF439F">
        <w:rPr>
          <w:rFonts w:ascii="Times New Roman" w:hAnsi="Times New Roman" w:cs="Times New Roman"/>
          <w:b/>
          <w:sz w:val="24"/>
          <w:szCs w:val="24"/>
        </w:rPr>
        <w:t>, gadā</w:t>
      </w:r>
    </w:p>
    <w:p w:rsidR="0087656B" w:rsidRPr="008049F2" w:rsidRDefault="0087656B" w:rsidP="006037AF">
      <w:pPr>
        <w:spacing w:after="0" w:line="240" w:lineRule="auto"/>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3653"/>
        <w:gridCol w:w="1984"/>
        <w:gridCol w:w="2410"/>
      </w:tblGrid>
      <w:tr w:rsidR="006037AF" w:rsidTr="006037AF">
        <w:tc>
          <w:tcPr>
            <w:tcW w:w="3653" w:type="dxa"/>
          </w:tcPr>
          <w:p w:rsidR="006037AF" w:rsidRDefault="006037AF" w:rsidP="006037AF">
            <w:pPr>
              <w:jc w:val="both"/>
              <w:rPr>
                <w:rFonts w:ascii="Times New Roman" w:hAnsi="Times New Roman" w:cs="Times New Roman"/>
                <w:sz w:val="24"/>
                <w:szCs w:val="24"/>
              </w:rPr>
            </w:pPr>
          </w:p>
        </w:tc>
        <w:tc>
          <w:tcPr>
            <w:tcW w:w="1984" w:type="dxa"/>
            <w:vAlign w:val="center"/>
          </w:tcPr>
          <w:p w:rsidR="006037AF" w:rsidRDefault="006037AF" w:rsidP="006037AF">
            <w:pPr>
              <w:jc w:val="center"/>
              <w:rPr>
                <w:rFonts w:ascii="Times New Roman" w:hAnsi="Times New Roman" w:cs="Times New Roman"/>
                <w:sz w:val="24"/>
                <w:szCs w:val="24"/>
              </w:rPr>
            </w:pPr>
            <w:r>
              <w:rPr>
                <w:rFonts w:ascii="Times New Roman" w:hAnsi="Times New Roman" w:cs="Times New Roman"/>
                <w:sz w:val="24"/>
                <w:szCs w:val="24"/>
              </w:rPr>
              <w:t>2020</w:t>
            </w:r>
          </w:p>
        </w:tc>
        <w:tc>
          <w:tcPr>
            <w:tcW w:w="2410" w:type="dxa"/>
            <w:vAlign w:val="center"/>
          </w:tcPr>
          <w:p w:rsidR="006037AF" w:rsidRDefault="006037AF" w:rsidP="006037AF">
            <w:pPr>
              <w:jc w:val="center"/>
              <w:rPr>
                <w:rFonts w:ascii="Times New Roman" w:hAnsi="Times New Roman" w:cs="Times New Roman"/>
                <w:sz w:val="24"/>
                <w:szCs w:val="24"/>
              </w:rPr>
            </w:pPr>
            <w:r>
              <w:rPr>
                <w:rFonts w:ascii="Times New Roman" w:hAnsi="Times New Roman" w:cs="Times New Roman"/>
                <w:sz w:val="24"/>
                <w:szCs w:val="24"/>
              </w:rPr>
              <w:t>2021</w:t>
            </w:r>
          </w:p>
        </w:tc>
      </w:tr>
      <w:tr w:rsidR="006037AF" w:rsidRPr="000E58E3" w:rsidTr="006037AF">
        <w:tc>
          <w:tcPr>
            <w:tcW w:w="3653" w:type="dxa"/>
          </w:tcPr>
          <w:p w:rsidR="006037AF" w:rsidRPr="000E58E3" w:rsidRDefault="006037AF" w:rsidP="00940B8D">
            <w:pPr>
              <w:jc w:val="both"/>
              <w:rPr>
                <w:rFonts w:ascii="Times New Roman" w:hAnsi="Times New Roman" w:cs="Times New Roman"/>
                <w:sz w:val="24"/>
                <w:szCs w:val="24"/>
              </w:rPr>
            </w:pPr>
            <w:r w:rsidRPr="000E58E3">
              <w:rPr>
                <w:rFonts w:ascii="Times New Roman" w:eastAsia="Times New Roman" w:hAnsi="Times New Roman" w:cs="Times New Roman"/>
                <w:color w:val="000000"/>
                <w:sz w:val="24"/>
                <w:szCs w:val="24"/>
                <w:lang w:eastAsia="lv-LV"/>
              </w:rPr>
              <w:t>Plānotais vecuma pensiju saņēmēju skaits (</w:t>
            </w:r>
            <w:r w:rsidR="00940B8D">
              <w:rPr>
                <w:rFonts w:ascii="Times New Roman" w:eastAsia="Times New Roman" w:hAnsi="Times New Roman" w:cs="Times New Roman"/>
                <w:color w:val="000000"/>
                <w:sz w:val="24"/>
                <w:szCs w:val="24"/>
                <w:lang w:eastAsia="lv-LV"/>
              </w:rPr>
              <w:t>2020.gada budžetam</w:t>
            </w:r>
            <w:r w:rsidRPr="000E58E3">
              <w:rPr>
                <w:rFonts w:ascii="Times New Roman" w:eastAsia="Times New Roman" w:hAnsi="Times New Roman" w:cs="Times New Roman"/>
                <w:color w:val="000000"/>
                <w:sz w:val="24"/>
                <w:szCs w:val="24"/>
                <w:lang w:eastAsia="lv-LV"/>
              </w:rPr>
              <w:t>)</w:t>
            </w:r>
          </w:p>
        </w:tc>
        <w:tc>
          <w:tcPr>
            <w:tcW w:w="1984" w:type="dxa"/>
            <w:vAlign w:val="center"/>
          </w:tcPr>
          <w:p w:rsidR="006037AF" w:rsidRPr="000E58E3" w:rsidRDefault="006037AF" w:rsidP="006037AF">
            <w:pPr>
              <w:jc w:val="center"/>
              <w:rPr>
                <w:rFonts w:ascii="Times New Roman" w:hAnsi="Times New Roman" w:cs="Times New Roman"/>
                <w:sz w:val="24"/>
                <w:szCs w:val="24"/>
              </w:rPr>
            </w:pPr>
            <w:r w:rsidRPr="000E58E3">
              <w:rPr>
                <w:rFonts w:ascii="Times New Roman" w:hAnsi="Times New Roman" w:cs="Times New Roman"/>
                <w:sz w:val="24"/>
                <w:szCs w:val="24"/>
              </w:rPr>
              <w:t>440 428</w:t>
            </w:r>
          </w:p>
        </w:tc>
        <w:tc>
          <w:tcPr>
            <w:tcW w:w="2410" w:type="dxa"/>
            <w:vAlign w:val="center"/>
          </w:tcPr>
          <w:p w:rsidR="006037AF" w:rsidRPr="000E58E3" w:rsidRDefault="006037AF" w:rsidP="006037AF">
            <w:pPr>
              <w:jc w:val="center"/>
              <w:rPr>
                <w:rFonts w:ascii="Times New Roman" w:hAnsi="Times New Roman" w:cs="Times New Roman"/>
                <w:sz w:val="24"/>
                <w:szCs w:val="24"/>
              </w:rPr>
            </w:pPr>
            <w:r w:rsidRPr="000E58E3">
              <w:rPr>
                <w:rFonts w:ascii="Times New Roman" w:hAnsi="Times New Roman" w:cs="Times New Roman"/>
                <w:sz w:val="24"/>
                <w:szCs w:val="24"/>
              </w:rPr>
              <w:t>440428</w:t>
            </w:r>
          </w:p>
        </w:tc>
      </w:tr>
      <w:tr w:rsidR="006037AF" w:rsidRPr="000E58E3" w:rsidTr="006037AF">
        <w:tc>
          <w:tcPr>
            <w:tcW w:w="3653" w:type="dxa"/>
          </w:tcPr>
          <w:p w:rsidR="006037AF" w:rsidRPr="000E58E3" w:rsidRDefault="006037AF" w:rsidP="006037AF">
            <w:pPr>
              <w:jc w:val="both"/>
              <w:rPr>
                <w:rFonts w:ascii="Times New Roman" w:hAnsi="Times New Roman" w:cs="Times New Roman"/>
                <w:sz w:val="24"/>
                <w:szCs w:val="24"/>
              </w:rPr>
            </w:pPr>
            <w:r w:rsidRPr="000E58E3">
              <w:rPr>
                <w:rFonts w:ascii="Times New Roman" w:eastAsia="Times New Roman" w:hAnsi="Times New Roman" w:cs="Times New Roman"/>
                <w:color w:val="000000"/>
                <w:sz w:val="24"/>
                <w:szCs w:val="24"/>
                <w:lang w:eastAsia="lv-LV"/>
              </w:rPr>
              <w:t>Vidējā vecuma pensijas piemaksa</w:t>
            </w:r>
            <w:r>
              <w:rPr>
                <w:rFonts w:ascii="Times New Roman" w:eastAsia="Times New Roman" w:hAnsi="Times New Roman" w:cs="Times New Roman"/>
                <w:color w:val="000000"/>
                <w:sz w:val="24"/>
                <w:szCs w:val="24"/>
                <w:lang w:eastAsia="lv-LV"/>
              </w:rPr>
              <w:t xml:space="preserve"> (vidēji </w:t>
            </w:r>
            <w:r w:rsidRPr="000E58E3">
              <w:rPr>
                <w:rFonts w:ascii="Times New Roman" w:eastAsia="Times New Roman" w:hAnsi="Times New Roman" w:cs="Times New Roman"/>
                <w:color w:val="000000"/>
                <w:sz w:val="24"/>
                <w:szCs w:val="24"/>
                <w:lang w:eastAsia="lv-LV"/>
              </w:rPr>
              <w:t>uz visiem vecuma pensijas saņēmējiem), euro/gadā</w:t>
            </w:r>
          </w:p>
        </w:tc>
        <w:tc>
          <w:tcPr>
            <w:tcW w:w="1984" w:type="dxa"/>
            <w:vAlign w:val="center"/>
          </w:tcPr>
          <w:p w:rsidR="006037AF" w:rsidRPr="000E58E3" w:rsidRDefault="006037AF" w:rsidP="006037AF">
            <w:pPr>
              <w:jc w:val="center"/>
              <w:rPr>
                <w:rFonts w:ascii="Times New Roman" w:hAnsi="Times New Roman" w:cs="Times New Roman"/>
                <w:sz w:val="24"/>
                <w:szCs w:val="24"/>
              </w:rPr>
            </w:pPr>
            <w:r w:rsidRPr="000E58E3">
              <w:rPr>
                <w:rFonts w:ascii="Times New Roman" w:hAnsi="Times New Roman" w:cs="Times New Roman"/>
                <w:sz w:val="24"/>
                <w:szCs w:val="24"/>
              </w:rPr>
              <w:t>55,8</w:t>
            </w:r>
          </w:p>
        </w:tc>
        <w:tc>
          <w:tcPr>
            <w:tcW w:w="2410" w:type="dxa"/>
            <w:vAlign w:val="center"/>
          </w:tcPr>
          <w:p w:rsidR="006037AF" w:rsidRPr="000E58E3" w:rsidRDefault="006037AF" w:rsidP="006037AF">
            <w:pPr>
              <w:jc w:val="center"/>
              <w:rPr>
                <w:rFonts w:ascii="Times New Roman" w:hAnsi="Times New Roman" w:cs="Times New Roman"/>
                <w:sz w:val="24"/>
                <w:szCs w:val="24"/>
              </w:rPr>
            </w:pPr>
            <w:r w:rsidRPr="000E58E3">
              <w:rPr>
                <w:rFonts w:ascii="Times New Roman" w:hAnsi="Times New Roman" w:cs="Times New Roman"/>
                <w:sz w:val="24"/>
                <w:szCs w:val="24"/>
              </w:rPr>
              <w:t>55,8</w:t>
            </w:r>
          </w:p>
        </w:tc>
      </w:tr>
    </w:tbl>
    <w:p w:rsidR="00060899" w:rsidRDefault="00060899" w:rsidP="00060899">
      <w:pPr>
        <w:spacing w:after="0" w:line="240" w:lineRule="auto"/>
        <w:ind w:firstLine="567"/>
        <w:jc w:val="both"/>
        <w:rPr>
          <w:rFonts w:ascii="Times New Roman" w:hAnsi="Times New Roman" w:cs="Times New Roman"/>
          <w:sz w:val="24"/>
          <w:szCs w:val="24"/>
        </w:rPr>
      </w:pPr>
    </w:p>
    <w:p w:rsidR="0074766B" w:rsidRDefault="00891092" w:rsidP="0000246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Lai ieviestu Labklājības ministrijas piedāvāto risinājumu, nepieciešami grozījumi likumā „Par valsts sociālo apdrošināšanu”, </w:t>
      </w:r>
      <w:r w:rsidR="0074766B">
        <w:rPr>
          <w:rFonts w:ascii="Times New Roman" w:hAnsi="Times New Roman" w:cs="Times New Roman"/>
          <w:sz w:val="24"/>
          <w:szCs w:val="24"/>
        </w:rPr>
        <w:t xml:space="preserve">paredzot, ka, pamatojoties uz bērna-iemaksu veicēja iesnieguma, kurā norādīts labuma guvējs vai divi labuma guvēji (vecāki-pensionāri), 1% punkts no bērna-iemaksu veicēja samaksātajām </w:t>
      </w:r>
      <w:r w:rsidR="0074766B">
        <w:rPr>
          <w:rFonts w:ascii="Times New Roman" w:hAnsi="Times New Roman" w:cs="Times New Roman"/>
          <w:sz w:val="24"/>
          <w:szCs w:val="24"/>
        </w:rPr>
        <w:lastRenderedPageBreak/>
        <w:t xml:space="preserve">sociālās apdrošināšanas iemaksām iepriekšējā kalendārā gada ietvaros novirzāms vecāku-pensionāru piemaksai pie pensijas. </w:t>
      </w:r>
      <w:r w:rsidR="00002463">
        <w:rPr>
          <w:rFonts w:ascii="Times New Roman" w:hAnsi="Times New Roman" w:cs="Times New Roman"/>
          <w:sz w:val="24"/>
          <w:szCs w:val="24"/>
        </w:rPr>
        <w:t xml:space="preserve">Vienlaikus likumā nepieciešams </w:t>
      </w:r>
      <w:r w:rsidR="003D5FD0">
        <w:rPr>
          <w:rFonts w:ascii="Times New Roman" w:hAnsi="Times New Roman" w:cs="Times New Roman"/>
          <w:sz w:val="24"/>
          <w:szCs w:val="24"/>
        </w:rPr>
        <w:t>deleģējums izdot M</w:t>
      </w:r>
      <w:r w:rsidR="00002463">
        <w:rPr>
          <w:rFonts w:ascii="Times New Roman" w:hAnsi="Times New Roman" w:cs="Times New Roman"/>
          <w:sz w:val="24"/>
          <w:szCs w:val="24"/>
        </w:rPr>
        <w:t xml:space="preserve">inistru kabineta noteikumus, </w:t>
      </w:r>
      <w:r w:rsidR="00673C7D">
        <w:rPr>
          <w:rFonts w:ascii="Times New Roman" w:hAnsi="Times New Roman" w:cs="Times New Roman"/>
          <w:sz w:val="24"/>
          <w:szCs w:val="24"/>
        </w:rPr>
        <w:t>kur detalizēti noteikta kārtība un kritēriji,</w:t>
      </w:r>
      <w:r w:rsidR="00002463">
        <w:rPr>
          <w:rFonts w:ascii="Times New Roman" w:hAnsi="Times New Roman" w:cs="Times New Roman"/>
          <w:sz w:val="24"/>
          <w:szCs w:val="24"/>
        </w:rPr>
        <w:t xml:space="preserve"> pēc kādiem šī piemaksa piešķirama. </w:t>
      </w:r>
    </w:p>
    <w:p w:rsidR="00060899" w:rsidRDefault="00060899" w:rsidP="0006089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Izstrādājot grozījumus likumā „Par valsts sociālo apdrošināšanu”, nosakot piedāvātajā risinājumā paredzēto, likumprojekta anotācijā tiks veikts detalizēts finansiālais aprēķins un pamatojums likumprojekta ietekmei uz speciālā budžeta ieņē</w:t>
      </w:r>
      <w:r w:rsidR="00673C7D">
        <w:rPr>
          <w:rFonts w:ascii="Times New Roman" w:hAnsi="Times New Roman" w:cs="Times New Roman"/>
          <w:sz w:val="24"/>
          <w:szCs w:val="24"/>
        </w:rPr>
        <w:t xml:space="preserve">mumiem sadalījumā pa gadiem, kā ar VSAA administratīvo </w:t>
      </w:r>
      <w:r w:rsidR="0010528D">
        <w:rPr>
          <w:rFonts w:ascii="Times New Roman" w:hAnsi="Times New Roman" w:cs="Times New Roman"/>
          <w:sz w:val="24"/>
          <w:szCs w:val="24"/>
        </w:rPr>
        <w:t xml:space="preserve">un programmatūras pielāgošanas </w:t>
      </w:r>
      <w:r w:rsidR="00673C7D">
        <w:rPr>
          <w:rFonts w:ascii="Times New Roman" w:hAnsi="Times New Roman" w:cs="Times New Roman"/>
          <w:sz w:val="24"/>
          <w:szCs w:val="24"/>
        </w:rPr>
        <w:t>izdevumu aprēķins.</w:t>
      </w:r>
      <w:r>
        <w:rPr>
          <w:rFonts w:ascii="Times New Roman" w:hAnsi="Times New Roman" w:cs="Times New Roman"/>
          <w:sz w:val="24"/>
          <w:szCs w:val="24"/>
        </w:rPr>
        <w:t xml:space="preserve"> </w:t>
      </w:r>
    </w:p>
    <w:p w:rsidR="00B477C6" w:rsidRDefault="00B477C6">
      <w:pPr>
        <w:rPr>
          <w:rFonts w:ascii="Times New Roman" w:hAnsi="Times New Roman" w:cs="Times New Roman"/>
          <w:b/>
          <w:sz w:val="24"/>
          <w:szCs w:val="24"/>
        </w:rPr>
      </w:pPr>
    </w:p>
    <w:p w:rsidR="00B477C6" w:rsidRPr="00B477C6" w:rsidRDefault="00B477C6" w:rsidP="00B477C6">
      <w:pPr>
        <w:pStyle w:val="NormalWeb"/>
        <w:spacing w:before="0" w:beforeAutospacing="0" w:after="0" w:afterAutospacing="0"/>
        <w:ind w:firstLine="720"/>
        <w:jc w:val="both"/>
        <w:rPr>
          <w:sz w:val="28"/>
          <w:szCs w:val="28"/>
        </w:rPr>
      </w:pPr>
    </w:p>
    <w:p w:rsidR="00B477C6" w:rsidRPr="00B477C6" w:rsidRDefault="00B477C6" w:rsidP="00B477C6">
      <w:pPr>
        <w:rPr>
          <w:rFonts w:ascii="Times New Roman" w:hAnsi="Times New Roman" w:cs="Times New Roman"/>
          <w:color w:val="000000"/>
          <w:sz w:val="28"/>
          <w:szCs w:val="28"/>
        </w:rPr>
      </w:pPr>
      <w:r w:rsidRPr="00B477C6">
        <w:rPr>
          <w:rFonts w:ascii="Times New Roman" w:hAnsi="Times New Roman" w:cs="Times New Roman"/>
          <w:color w:val="000000"/>
          <w:sz w:val="28"/>
          <w:szCs w:val="28"/>
        </w:rPr>
        <w:t>Labklājības ministrs</w:t>
      </w:r>
      <w:r w:rsidRPr="00B477C6">
        <w:rPr>
          <w:rFonts w:ascii="Times New Roman" w:hAnsi="Times New Roman" w:cs="Times New Roman"/>
          <w:color w:val="000000"/>
          <w:sz w:val="28"/>
          <w:szCs w:val="28"/>
        </w:rPr>
        <w:tab/>
      </w:r>
      <w:r w:rsidRPr="00B477C6">
        <w:rPr>
          <w:rFonts w:ascii="Times New Roman" w:hAnsi="Times New Roman" w:cs="Times New Roman"/>
          <w:color w:val="000000"/>
          <w:sz w:val="28"/>
          <w:szCs w:val="28"/>
        </w:rPr>
        <w:tab/>
      </w:r>
      <w:r w:rsidRPr="00B477C6">
        <w:rPr>
          <w:rFonts w:ascii="Times New Roman" w:hAnsi="Times New Roman" w:cs="Times New Roman"/>
          <w:color w:val="000000"/>
          <w:sz w:val="28"/>
          <w:szCs w:val="28"/>
        </w:rPr>
        <w:tab/>
      </w:r>
      <w:r w:rsidRPr="00B477C6">
        <w:rPr>
          <w:rFonts w:ascii="Times New Roman" w:hAnsi="Times New Roman" w:cs="Times New Roman"/>
          <w:color w:val="000000"/>
          <w:sz w:val="28"/>
          <w:szCs w:val="28"/>
        </w:rPr>
        <w:tab/>
      </w:r>
      <w:r w:rsidRPr="00B477C6">
        <w:rPr>
          <w:rFonts w:ascii="Times New Roman" w:hAnsi="Times New Roman" w:cs="Times New Roman"/>
          <w:color w:val="000000"/>
          <w:sz w:val="28"/>
          <w:szCs w:val="28"/>
        </w:rPr>
        <w:tab/>
      </w:r>
      <w:r w:rsidRPr="00B477C6">
        <w:rPr>
          <w:rFonts w:ascii="Times New Roman" w:hAnsi="Times New Roman" w:cs="Times New Roman"/>
          <w:color w:val="000000"/>
          <w:sz w:val="28"/>
          <w:szCs w:val="28"/>
        </w:rPr>
        <w:tab/>
      </w:r>
      <w:r w:rsidRPr="00B477C6">
        <w:rPr>
          <w:rFonts w:ascii="Times New Roman" w:hAnsi="Times New Roman" w:cs="Times New Roman"/>
          <w:color w:val="000000"/>
          <w:sz w:val="28"/>
          <w:szCs w:val="28"/>
        </w:rPr>
        <w:tab/>
        <w:t>J.Reirs</w:t>
      </w:r>
    </w:p>
    <w:p w:rsidR="00B477C6" w:rsidRPr="00944F6E" w:rsidRDefault="00B477C6" w:rsidP="00B477C6">
      <w:pPr>
        <w:pStyle w:val="NormalWeb"/>
        <w:spacing w:before="0" w:beforeAutospacing="0" w:after="0" w:afterAutospacing="0"/>
        <w:ind w:firstLine="720"/>
        <w:jc w:val="both"/>
        <w:rPr>
          <w:sz w:val="28"/>
          <w:szCs w:val="28"/>
        </w:rPr>
      </w:pPr>
    </w:p>
    <w:p w:rsidR="00B477C6" w:rsidRPr="00944F6E" w:rsidRDefault="00B477C6" w:rsidP="00B477C6">
      <w:pPr>
        <w:pStyle w:val="NormalWeb"/>
        <w:spacing w:before="0" w:beforeAutospacing="0" w:after="0" w:afterAutospacing="0"/>
        <w:ind w:firstLine="720"/>
        <w:jc w:val="both"/>
        <w:rPr>
          <w:sz w:val="28"/>
          <w:szCs w:val="28"/>
        </w:rPr>
      </w:pPr>
    </w:p>
    <w:p w:rsidR="00B477C6" w:rsidRPr="00944F6E" w:rsidRDefault="00B477C6" w:rsidP="00B477C6">
      <w:pPr>
        <w:pStyle w:val="NormalWeb"/>
        <w:spacing w:before="0" w:beforeAutospacing="0" w:after="0" w:afterAutospacing="0"/>
        <w:ind w:firstLine="720"/>
        <w:jc w:val="both"/>
        <w:rPr>
          <w:sz w:val="28"/>
          <w:szCs w:val="28"/>
        </w:rPr>
      </w:pPr>
    </w:p>
    <w:p w:rsidR="00B477C6" w:rsidRPr="00944F6E" w:rsidRDefault="00B477C6" w:rsidP="00B477C6">
      <w:pPr>
        <w:pStyle w:val="NormalWeb"/>
        <w:spacing w:before="0" w:beforeAutospacing="0" w:after="0" w:afterAutospacing="0"/>
        <w:ind w:firstLine="720"/>
        <w:jc w:val="both"/>
        <w:rPr>
          <w:sz w:val="28"/>
          <w:szCs w:val="28"/>
        </w:rPr>
      </w:pPr>
    </w:p>
    <w:p w:rsidR="00B477C6" w:rsidRPr="00944F6E" w:rsidRDefault="00B477C6" w:rsidP="00B477C6">
      <w:pPr>
        <w:pStyle w:val="NormalWeb"/>
        <w:spacing w:before="0" w:beforeAutospacing="0" w:after="0" w:afterAutospacing="0"/>
        <w:ind w:firstLine="720"/>
        <w:jc w:val="both"/>
        <w:rPr>
          <w:sz w:val="28"/>
          <w:szCs w:val="28"/>
        </w:rPr>
      </w:pPr>
    </w:p>
    <w:p w:rsidR="00B477C6" w:rsidRPr="00944F6E" w:rsidRDefault="00B477C6" w:rsidP="00B477C6">
      <w:pPr>
        <w:pStyle w:val="NormalWeb"/>
        <w:tabs>
          <w:tab w:val="left" w:pos="4123"/>
        </w:tabs>
        <w:spacing w:before="0" w:beforeAutospacing="0" w:after="0" w:afterAutospacing="0"/>
        <w:ind w:firstLine="720"/>
        <w:jc w:val="both"/>
        <w:rPr>
          <w:sz w:val="28"/>
          <w:szCs w:val="28"/>
        </w:rPr>
      </w:pPr>
      <w:r w:rsidRPr="00944F6E">
        <w:rPr>
          <w:sz w:val="28"/>
          <w:szCs w:val="28"/>
        </w:rPr>
        <w:tab/>
      </w:r>
    </w:p>
    <w:p w:rsidR="00B477C6" w:rsidRPr="00944F6E" w:rsidRDefault="00B477C6" w:rsidP="00B477C6">
      <w:pPr>
        <w:pStyle w:val="NormalWeb"/>
        <w:spacing w:before="0" w:beforeAutospacing="0" w:after="0" w:afterAutospacing="0"/>
        <w:ind w:firstLine="720"/>
        <w:jc w:val="both"/>
        <w:rPr>
          <w:sz w:val="28"/>
          <w:szCs w:val="28"/>
        </w:rPr>
      </w:pPr>
    </w:p>
    <w:p w:rsidR="00B477C6" w:rsidRDefault="00B477C6" w:rsidP="00B477C6">
      <w:pPr>
        <w:pStyle w:val="NormalWeb"/>
        <w:spacing w:before="0" w:beforeAutospacing="0" w:after="0" w:afterAutospacing="0"/>
        <w:ind w:firstLine="720"/>
        <w:jc w:val="both"/>
        <w:rPr>
          <w:sz w:val="28"/>
          <w:szCs w:val="28"/>
        </w:rPr>
      </w:pPr>
    </w:p>
    <w:p w:rsidR="001B7A4E" w:rsidRDefault="001B7A4E" w:rsidP="00B477C6">
      <w:pPr>
        <w:pStyle w:val="NormalWeb"/>
        <w:spacing w:before="0" w:beforeAutospacing="0" w:after="0" w:afterAutospacing="0"/>
        <w:ind w:firstLine="720"/>
        <w:jc w:val="both"/>
        <w:rPr>
          <w:sz w:val="28"/>
          <w:szCs w:val="28"/>
        </w:rPr>
      </w:pPr>
    </w:p>
    <w:p w:rsidR="001B7A4E" w:rsidRDefault="001B7A4E" w:rsidP="00B477C6">
      <w:pPr>
        <w:pStyle w:val="NormalWeb"/>
        <w:spacing w:before="0" w:beforeAutospacing="0" w:after="0" w:afterAutospacing="0"/>
        <w:ind w:firstLine="720"/>
        <w:jc w:val="both"/>
        <w:rPr>
          <w:sz w:val="28"/>
          <w:szCs w:val="28"/>
        </w:rPr>
      </w:pPr>
    </w:p>
    <w:p w:rsidR="001B7A4E" w:rsidRDefault="001B7A4E" w:rsidP="00B477C6">
      <w:pPr>
        <w:pStyle w:val="NormalWeb"/>
        <w:spacing w:before="0" w:beforeAutospacing="0" w:after="0" w:afterAutospacing="0"/>
        <w:ind w:firstLine="720"/>
        <w:jc w:val="both"/>
        <w:rPr>
          <w:sz w:val="28"/>
          <w:szCs w:val="28"/>
        </w:rPr>
      </w:pPr>
    </w:p>
    <w:p w:rsidR="001B7A4E" w:rsidRDefault="001B7A4E" w:rsidP="00B477C6">
      <w:pPr>
        <w:pStyle w:val="NormalWeb"/>
        <w:spacing w:before="0" w:beforeAutospacing="0" w:after="0" w:afterAutospacing="0"/>
        <w:ind w:firstLine="720"/>
        <w:jc w:val="both"/>
        <w:rPr>
          <w:sz w:val="28"/>
          <w:szCs w:val="28"/>
        </w:rPr>
      </w:pPr>
    </w:p>
    <w:p w:rsidR="001B7A4E" w:rsidRDefault="001B7A4E" w:rsidP="00B477C6">
      <w:pPr>
        <w:pStyle w:val="NormalWeb"/>
        <w:spacing w:before="0" w:beforeAutospacing="0" w:after="0" w:afterAutospacing="0"/>
        <w:ind w:firstLine="720"/>
        <w:jc w:val="both"/>
        <w:rPr>
          <w:sz w:val="28"/>
          <w:szCs w:val="28"/>
        </w:rPr>
      </w:pPr>
    </w:p>
    <w:p w:rsidR="001B7A4E" w:rsidRDefault="001B7A4E" w:rsidP="00B477C6">
      <w:pPr>
        <w:pStyle w:val="NormalWeb"/>
        <w:spacing w:before="0" w:beforeAutospacing="0" w:after="0" w:afterAutospacing="0"/>
        <w:ind w:firstLine="720"/>
        <w:jc w:val="both"/>
        <w:rPr>
          <w:sz w:val="28"/>
          <w:szCs w:val="28"/>
        </w:rPr>
      </w:pPr>
    </w:p>
    <w:p w:rsidR="001B7A4E" w:rsidRPr="00944F6E" w:rsidRDefault="001B7A4E" w:rsidP="00B477C6">
      <w:pPr>
        <w:pStyle w:val="NormalWeb"/>
        <w:spacing w:before="0" w:beforeAutospacing="0" w:after="0" w:afterAutospacing="0"/>
        <w:ind w:firstLine="720"/>
        <w:jc w:val="both"/>
        <w:rPr>
          <w:sz w:val="28"/>
          <w:szCs w:val="28"/>
        </w:rPr>
      </w:pPr>
    </w:p>
    <w:p w:rsidR="00B477C6" w:rsidRDefault="00B477C6" w:rsidP="00B477C6">
      <w:pPr>
        <w:pStyle w:val="NormalWeb"/>
        <w:spacing w:before="0" w:beforeAutospacing="0" w:after="0" w:afterAutospacing="0"/>
        <w:jc w:val="both"/>
      </w:pPr>
      <w:r>
        <w:t xml:space="preserve">25.06.2018 </w:t>
      </w:r>
      <w:r w:rsidR="006B2591">
        <w:t>15</w:t>
      </w:r>
      <w:r w:rsidR="00191240">
        <w:t>:</w:t>
      </w:r>
      <w:r w:rsidR="006B2591">
        <w:t>02</w:t>
      </w:r>
      <w:bookmarkStart w:id="0" w:name="_GoBack"/>
      <w:bookmarkEnd w:id="0"/>
    </w:p>
    <w:p w:rsidR="00B477C6" w:rsidRPr="00944F6E" w:rsidRDefault="00B477C6" w:rsidP="00B477C6">
      <w:pPr>
        <w:pStyle w:val="NormalWeb"/>
        <w:spacing w:before="0" w:beforeAutospacing="0" w:after="0" w:afterAutospacing="0"/>
        <w:jc w:val="both"/>
      </w:pPr>
      <w:r>
        <w:t>30</w:t>
      </w:r>
      <w:r w:rsidR="00213956">
        <w:t>71</w:t>
      </w:r>
    </w:p>
    <w:p w:rsidR="00B477C6" w:rsidRPr="00944F6E" w:rsidRDefault="00B477C6" w:rsidP="00B477C6">
      <w:pPr>
        <w:pStyle w:val="NormalWeb"/>
        <w:spacing w:before="0" w:beforeAutospacing="0" w:after="0" w:afterAutospacing="0"/>
        <w:jc w:val="both"/>
      </w:pPr>
      <w:r>
        <w:t>L.Ramane</w:t>
      </w:r>
      <w:r w:rsidRPr="00944F6E">
        <w:t>, 67021</w:t>
      </w:r>
      <w:r>
        <w:t>678</w:t>
      </w:r>
    </w:p>
    <w:p w:rsidR="00B477C6" w:rsidRPr="00944F6E" w:rsidRDefault="00B477C6" w:rsidP="00B477C6">
      <w:pPr>
        <w:pStyle w:val="NormalWeb"/>
        <w:spacing w:before="0" w:beforeAutospacing="0" w:after="0" w:afterAutospacing="0"/>
        <w:jc w:val="both"/>
      </w:pPr>
      <w:r>
        <w:t>Liene.Ramane</w:t>
      </w:r>
      <w:r w:rsidRPr="00944F6E">
        <w:t>@lm.gov.lv</w:t>
      </w:r>
    </w:p>
    <w:p w:rsidR="00523084" w:rsidRDefault="00523084">
      <w:pPr>
        <w:rPr>
          <w:rFonts w:ascii="Times New Roman" w:hAnsi="Times New Roman" w:cs="Times New Roman"/>
          <w:b/>
          <w:sz w:val="24"/>
          <w:szCs w:val="24"/>
        </w:rPr>
      </w:pPr>
      <w:r>
        <w:rPr>
          <w:rFonts w:ascii="Times New Roman" w:hAnsi="Times New Roman" w:cs="Times New Roman"/>
          <w:b/>
          <w:sz w:val="24"/>
          <w:szCs w:val="24"/>
        </w:rPr>
        <w:br w:type="page"/>
      </w:r>
    </w:p>
    <w:p w:rsidR="00523084" w:rsidRDefault="00523084" w:rsidP="00FF3747">
      <w:pPr>
        <w:jc w:val="both"/>
        <w:rPr>
          <w:rFonts w:ascii="Times New Roman" w:hAnsi="Times New Roman" w:cs="Times New Roman"/>
          <w:b/>
          <w:sz w:val="24"/>
          <w:szCs w:val="24"/>
        </w:rPr>
      </w:pPr>
    </w:p>
    <w:p w:rsidR="009B67B1" w:rsidRPr="00F14C31" w:rsidRDefault="00523084" w:rsidP="00FF3747">
      <w:pPr>
        <w:jc w:val="both"/>
        <w:rPr>
          <w:rFonts w:ascii="Times New Roman" w:hAnsi="Times New Roman" w:cs="Times New Roman"/>
          <w:b/>
          <w:sz w:val="24"/>
          <w:szCs w:val="24"/>
        </w:rPr>
      </w:pPr>
      <w:r w:rsidRPr="00F14C31">
        <w:rPr>
          <w:rFonts w:ascii="Times New Roman" w:hAnsi="Times New Roman" w:cs="Times New Roman"/>
          <w:b/>
          <w:sz w:val="24"/>
          <w:szCs w:val="24"/>
        </w:rPr>
        <w:t>P</w:t>
      </w:r>
      <w:r w:rsidR="000708F5">
        <w:rPr>
          <w:rFonts w:ascii="Times New Roman" w:hAnsi="Times New Roman" w:cs="Times New Roman"/>
          <w:b/>
          <w:sz w:val="24"/>
          <w:szCs w:val="24"/>
        </w:rPr>
        <w:t>ielikums informatīvajam ziņojumam „Par senioru dzīves kvalitātes uzlabošanu”</w:t>
      </w:r>
    </w:p>
    <w:p w:rsidR="002A38CA" w:rsidRPr="002A38CA" w:rsidRDefault="00201874" w:rsidP="002A38CA">
      <w:pPr>
        <w:spacing w:after="0"/>
        <w:rPr>
          <w:rFonts w:ascii="Times New Roman" w:hAnsi="Times New Roman" w:cs="Times New Roman"/>
          <w:b/>
          <w:sz w:val="24"/>
          <w:szCs w:val="24"/>
        </w:rPr>
      </w:pPr>
      <w:r>
        <w:rPr>
          <w:rFonts w:ascii="Times New Roman" w:hAnsi="Times New Roman" w:cs="Times New Roman"/>
          <w:b/>
          <w:sz w:val="24"/>
          <w:szCs w:val="24"/>
        </w:rPr>
        <w:t>D</w:t>
      </w:r>
      <w:r w:rsidR="00867060" w:rsidRPr="00867060">
        <w:rPr>
          <w:rFonts w:ascii="Times New Roman" w:hAnsi="Times New Roman" w:cs="Times New Roman"/>
          <w:b/>
          <w:sz w:val="24"/>
          <w:szCs w:val="24"/>
        </w:rPr>
        <w:t xml:space="preserve">arba </w:t>
      </w:r>
      <w:r w:rsidR="00867060">
        <w:rPr>
          <w:rFonts w:ascii="Times New Roman" w:hAnsi="Times New Roman" w:cs="Times New Roman"/>
          <w:b/>
          <w:sz w:val="24"/>
          <w:szCs w:val="24"/>
        </w:rPr>
        <w:t xml:space="preserve">grupas </w:t>
      </w:r>
      <w:r>
        <w:rPr>
          <w:rFonts w:ascii="Times New Roman" w:hAnsi="Times New Roman" w:cs="Times New Roman"/>
          <w:b/>
          <w:sz w:val="24"/>
          <w:szCs w:val="24"/>
        </w:rPr>
        <w:t xml:space="preserve">diskusijas </w:t>
      </w:r>
      <w:r w:rsidR="00867060">
        <w:rPr>
          <w:rFonts w:ascii="Times New Roman" w:hAnsi="Times New Roman" w:cs="Times New Roman"/>
          <w:b/>
          <w:sz w:val="24"/>
          <w:szCs w:val="24"/>
        </w:rPr>
        <w:t>rezultāti</w:t>
      </w:r>
    </w:p>
    <w:tbl>
      <w:tblPr>
        <w:tblStyle w:val="TableGrid"/>
        <w:tblW w:w="9781" w:type="dxa"/>
        <w:tblInd w:w="-1168" w:type="dxa"/>
        <w:tblLayout w:type="fixed"/>
        <w:tblLook w:val="04A0" w:firstRow="1" w:lastRow="0" w:firstColumn="1" w:lastColumn="0" w:noHBand="0" w:noVBand="1"/>
      </w:tblPr>
      <w:tblGrid>
        <w:gridCol w:w="1843"/>
        <w:gridCol w:w="1985"/>
        <w:gridCol w:w="3260"/>
        <w:gridCol w:w="2693"/>
      </w:tblGrid>
      <w:tr w:rsidR="00523084" w:rsidRPr="00FC34FF" w:rsidTr="00AC65E8">
        <w:tc>
          <w:tcPr>
            <w:tcW w:w="1843" w:type="dxa"/>
            <w:vMerge w:val="restart"/>
          </w:tcPr>
          <w:p w:rsidR="00523084" w:rsidRPr="00FC34FF" w:rsidRDefault="00523084" w:rsidP="00105CBB">
            <w:pPr>
              <w:jc w:val="right"/>
              <w:rPr>
                <w:rFonts w:ascii="Times New Roman" w:hAnsi="Times New Roman" w:cs="Times New Roman"/>
                <w:b/>
                <w:sz w:val="24"/>
                <w:szCs w:val="24"/>
              </w:rPr>
            </w:pPr>
            <w:r w:rsidRPr="00FC34FF">
              <w:rPr>
                <w:rFonts w:ascii="Times New Roman" w:hAnsi="Times New Roman" w:cs="Times New Roman"/>
                <w:b/>
                <w:sz w:val="24"/>
                <w:szCs w:val="24"/>
              </w:rPr>
              <w:t>Sociālās apdrošināšanas iemaksu veicēji</w:t>
            </w:r>
          </w:p>
        </w:tc>
        <w:tc>
          <w:tcPr>
            <w:tcW w:w="1985" w:type="dxa"/>
          </w:tcPr>
          <w:p w:rsidR="00523084" w:rsidRPr="00FC34FF" w:rsidRDefault="00523084" w:rsidP="00105CBB">
            <w:pPr>
              <w:rPr>
                <w:rFonts w:ascii="Times New Roman" w:hAnsi="Times New Roman" w:cs="Times New Roman"/>
                <w:sz w:val="24"/>
                <w:szCs w:val="24"/>
              </w:rPr>
            </w:pPr>
            <w:r w:rsidRPr="00FC34FF">
              <w:rPr>
                <w:rFonts w:ascii="Times New Roman" w:hAnsi="Times New Roman" w:cs="Times New Roman"/>
                <w:sz w:val="24"/>
                <w:szCs w:val="24"/>
              </w:rPr>
              <w:t xml:space="preserve">1. Personu loks, uz kuriem </w:t>
            </w:r>
            <w:r w:rsidR="00724797">
              <w:rPr>
                <w:rFonts w:ascii="Times New Roman" w:hAnsi="Times New Roman" w:cs="Times New Roman"/>
                <w:sz w:val="24"/>
                <w:szCs w:val="24"/>
              </w:rPr>
              <w:t xml:space="preserve">sociālās apdrošināšanas </w:t>
            </w:r>
            <w:r w:rsidRPr="00FC34FF">
              <w:rPr>
                <w:rFonts w:ascii="Times New Roman" w:hAnsi="Times New Roman" w:cs="Times New Roman"/>
                <w:sz w:val="24"/>
                <w:szCs w:val="24"/>
              </w:rPr>
              <w:t>iemaksu veicējiem attiecināms</w:t>
            </w:r>
          </w:p>
        </w:tc>
        <w:tc>
          <w:tcPr>
            <w:tcW w:w="3260" w:type="dxa"/>
          </w:tcPr>
          <w:p w:rsidR="00523084" w:rsidRPr="00FC34FF" w:rsidRDefault="00523084" w:rsidP="00105CBB">
            <w:pPr>
              <w:rPr>
                <w:rFonts w:ascii="Times New Roman" w:hAnsi="Times New Roman" w:cs="Times New Roman"/>
                <w:sz w:val="24"/>
                <w:szCs w:val="24"/>
              </w:rPr>
            </w:pPr>
            <w:r w:rsidRPr="00FC34FF">
              <w:rPr>
                <w:rFonts w:ascii="Times New Roman" w:hAnsi="Times New Roman" w:cs="Times New Roman"/>
                <w:sz w:val="24"/>
                <w:szCs w:val="24"/>
              </w:rPr>
              <w:t xml:space="preserve">Personas (darba ņēmēji un pašnodarbinātās personas), kas veic sociālās apdrošināšanas iemaksas vismaz </w:t>
            </w:r>
            <w:r>
              <w:rPr>
                <w:rFonts w:ascii="Times New Roman" w:hAnsi="Times New Roman" w:cs="Times New Roman"/>
                <w:sz w:val="24"/>
                <w:szCs w:val="24"/>
              </w:rPr>
              <w:t>no minimālās algas apmēra, skatot iepriekšējo kalendāro gadu (vismaz 6 mēnešu apmērā).</w:t>
            </w:r>
            <w:r w:rsidRPr="00FC34FF">
              <w:rPr>
                <w:rFonts w:ascii="Times New Roman" w:hAnsi="Times New Roman" w:cs="Times New Roman"/>
                <w:sz w:val="24"/>
                <w:szCs w:val="24"/>
              </w:rPr>
              <w:t xml:space="preserve"> </w:t>
            </w:r>
          </w:p>
          <w:p w:rsidR="00523084" w:rsidRPr="00FC34FF" w:rsidRDefault="00523084" w:rsidP="00105CBB">
            <w:pPr>
              <w:rPr>
                <w:rFonts w:ascii="Times New Roman" w:hAnsi="Times New Roman" w:cs="Times New Roman"/>
                <w:sz w:val="24"/>
                <w:szCs w:val="24"/>
              </w:rPr>
            </w:pPr>
            <w:r w:rsidRPr="00FC34FF">
              <w:rPr>
                <w:rFonts w:ascii="Times New Roman" w:hAnsi="Times New Roman" w:cs="Times New Roman"/>
                <w:sz w:val="24"/>
                <w:szCs w:val="24"/>
              </w:rPr>
              <w:t>Netiek ņemti vērā attaisnotie sociālās apdrošināšanas iemaksu neveikšanas periodi, kuru laikā par personu sociālās apdrošināšanas iemaksas veic valsts (skatīt 11.punktu).</w:t>
            </w:r>
          </w:p>
        </w:tc>
        <w:tc>
          <w:tcPr>
            <w:tcW w:w="2693" w:type="dxa"/>
          </w:tcPr>
          <w:p w:rsidR="00523084" w:rsidRPr="00FC34FF" w:rsidRDefault="00523084" w:rsidP="00105CBB">
            <w:pPr>
              <w:tabs>
                <w:tab w:val="left" w:pos="2160"/>
              </w:tabs>
              <w:ind w:right="33"/>
              <w:rPr>
                <w:rFonts w:ascii="Times New Roman" w:hAnsi="Times New Roman" w:cs="Times New Roman"/>
                <w:sz w:val="24"/>
                <w:szCs w:val="24"/>
              </w:rPr>
            </w:pPr>
            <w:r>
              <w:rPr>
                <w:rFonts w:ascii="Times New Roman" w:hAnsi="Times New Roman" w:cs="Times New Roman"/>
                <w:sz w:val="24"/>
                <w:szCs w:val="24"/>
              </w:rPr>
              <w:t>Risks: sociālās apdrošināšanas iemaksu periodu sadrumstalotība var radīt piemērošanas sarežģījumus.</w:t>
            </w:r>
          </w:p>
        </w:tc>
      </w:tr>
      <w:tr w:rsidR="00523084" w:rsidRPr="00FC34FF" w:rsidTr="00AC65E8">
        <w:tc>
          <w:tcPr>
            <w:tcW w:w="1843" w:type="dxa"/>
            <w:vMerge/>
            <w:vAlign w:val="center"/>
          </w:tcPr>
          <w:p w:rsidR="00523084" w:rsidRPr="00FC34FF" w:rsidRDefault="00523084" w:rsidP="00105CBB">
            <w:pPr>
              <w:jc w:val="right"/>
              <w:rPr>
                <w:rFonts w:ascii="Times New Roman" w:hAnsi="Times New Roman" w:cs="Times New Roman"/>
                <w:sz w:val="24"/>
                <w:szCs w:val="24"/>
              </w:rPr>
            </w:pPr>
          </w:p>
        </w:tc>
        <w:tc>
          <w:tcPr>
            <w:tcW w:w="1985" w:type="dxa"/>
          </w:tcPr>
          <w:p w:rsidR="00523084" w:rsidRPr="00FC34FF" w:rsidRDefault="00523084" w:rsidP="00105CBB">
            <w:pPr>
              <w:rPr>
                <w:rFonts w:ascii="Times New Roman" w:hAnsi="Times New Roman" w:cs="Times New Roman"/>
                <w:sz w:val="24"/>
                <w:szCs w:val="24"/>
              </w:rPr>
            </w:pPr>
            <w:r w:rsidRPr="00FC34FF">
              <w:rPr>
                <w:rFonts w:ascii="Times New Roman" w:hAnsi="Times New Roman" w:cs="Times New Roman"/>
                <w:sz w:val="24"/>
                <w:szCs w:val="24"/>
              </w:rPr>
              <w:t xml:space="preserve">2. Kritēriji </w:t>
            </w:r>
            <w:r w:rsidR="00724797">
              <w:rPr>
                <w:rFonts w:ascii="Times New Roman" w:hAnsi="Times New Roman" w:cs="Times New Roman"/>
                <w:sz w:val="24"/>
                <w:szCs w:val="24"/>
              </w:rPr>
              <w:t xml:space="preserve">sociālās apdrošināšanas </w:t>
            </w:r>
            <w:r w:rsidRPr="00FC34FF">
              <w:rPr>
                <w:rFonts w:ascii="Times New Roman" w:hAnsi="Times New Roman" w:cs="Times New Roman"/>
                <w:sz w:val="24"/>
                <w:szCs w:val="24"/>
              </w:rPr>
              <w:t xml:space="preserve">iemaksu minimumam </w:t>
            </w:r>
          </w:p>
        </w:tc>
        <w:tc>
          <w:tcPr>
            <w:tcW w:w="3260" w:type="dxa"/>
          </w:tcPr>
          <w:p w:rsidR="00523084" w:rsidRPr="00FC34FF" w:rsidRDefault="00523084" w:rsidP="00105CBB">
            <w:pPr>
              <w:rPr>
                <w:rFonts w:ascii="Times New Roman" w:hAnsi="Times New Roman" w:cs="Times New Roman"/>
                <w:sz w:val="24"/>
                <w:szCs w:val="24"/>
              </w:rPr>
            </w:pPr>
            <w:r w:rsidRPr="00FC34FF">
              <w:rPr>
                <w:rFonts w:ascii="Times New Roman" w:hAnsi="Times New Roman" w:cs="Times New Roman"/>
                <w:sz w:val="24"/>
                <w:szCs w:val="24"/>
              </w:rPr>
              <w:t xml:space="preserve">Ierobežojumus (kvalifikācijas periodu un iemaksu minimumu) nenosaka. Personai var būt dalīti apdrošināšanas periodi gada laikā (piemēram, slimība, bezdarbs), kā rezultātā saņemot vismaz minimālo algu, faktiski veiktās iemaksas būs mazākas. </w:t>
            </w:r>
          </w:p>
        </w:tc>
        <w:tc>
          <w:tcPr>
            <w:tcW w:w="2693" w:type="dxa"/>
          </w:tcPr>
          <w:p w:rsidR="00523084" w:rsidRPr="00FC34FF" w:rsidRDefault="005B3980" w:rsidP="005C03BE">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 xml:space="preserve">Risks: </w:t>
            </w:r>
            <w:r w:rsidRPr="005B3980">
              <w:rPr>
                <w:rFonts w:ascii="Times New Roman" w:hAnsi="Times New Roman" w:cs="Times New Roman"/>
                <w:sz w:val="24"/>
                <w:szCs w:val="24"/>
              </w:rPr>
              <w:t xml:space="preserve">Ņemot vērā, ka nav atbalstītas </w:t>
            </w:r>
            <w:r w:rsidR="00713023">
              <w:rPr>
                <w:rFonts w:ascii="Times New Roman" w:hAnsi="Times New Roman" w:cs="Times New Roman"/>
                <w:sz w:val="24"/>
                <w:szCs w:val="24"/>
              </w:rPr>
              <w:t>sociālās apdrošināšanas</w:t>
            </w:r>
            <w:r w:rsidRPr="005B3980">
              <w:rPr>
                <w:rFonts w:ascii="Times New Roman" w:hAnsi="Times New Roman" w:cs="Times New Roman"/>
                <w:sz w:val="24"/>
                <w:szCs w:val="24"/>
              </w:rPr>
              <w:t xml:space="preserve"> iemaksas kā prioritārs maksājums attiecībā pret pārējiem likumā „Par nodokļiem un nodevām” minētajiem nodokļiem, tad </w:t>
            </w:r>
            <w:r w:rsidR="001D1448">
              <w:rPr>
                <w:rFonts w:ascii="Times New Roman" w:hAnsi="Times New Roman" w:cs="Times New Roman"/>
                <w:sz w:val="24"/>
                <w:szCs w:val="24"/>
              </w:rPr>
              <w:t>attiecībā uz vienoto nodo</w:t>
            </w:r>
            <w:r w:rsidR="00F11617">
              <w:rPr>
                <w:rFonts w:ascii="Times New Roman" w:hAnsi="Times New Roman" w:cs="Times New Roman"/>
                <w:sz w:val="24"/>
                <w:szCs w:val="24"/>
              </w:rPr>
              <w:t>k</w:t>
            </w:r>
            <w:r w:rsidR="001D1448">
              <w:rPr>
                <w:rFonts w:ascii="Times New Roman" w:hAnsi="Times New Roman" w:cs="Times New Roman"/>
                <w:sz w:val="24"/>
                <w:szCs w:val="24"/>
              </w:rPr>
              <w:t xml:space="preserve">ļu kontu, kas stāsies spēkā no 2021.gada </w:t>
            </w:r>
            <w:r w:rsidR="006023AF">
              <w:rPr>
                <w:rFonts w:ascii="Times New Roman" w:hAnsi="Times New Roman" w:cs="Times New Roman"/>
                <w:sz w:val="24"/>
                <w:szCs w:val="24"/>
              </w:rPr>
              <w:t>būs risks, ka personas (darba ņē</w:t>
            </w:r>
            <w:r w:rsidRPr="005B3980">
              <w:rPr>
                <w:rFonts w:ascii="Times New Roman" w:hAnsi="Times New Roman" w:cs="Times New Roman"/>
                <w:sz w:val="24"/>
                <w:szCs w:val="24"/>
              </w:rPr>
              <w:t xml:space="preserve">mēja un pašnodarbinātā) un darba devēja samaksātās </w:t>
            </w:r>
            <w:r>
              <w:rPr>
                <w:rFonts w:ascii="Times New Roman" w:hAnsi="Times New Roman" w:cs="Times New Roman"/>
                <w:sz w:val="24"/>
                <w:szCs w:val="24"/>
              </w:rPr>
              <w:t>sociālās apdrošināšanas</w:t>
            </w:r>
            <w:r w:rsidRPr="005B3980">
              <w:rPr>
                <w:rFonts w:ascii="Times New Roman" w:hAnsi="Times New Roman" w:cs="Times New Roman"/>
                <w:sz w:val="24"/>
                <w:szCs w:val="24"/>
              </w:rPr>
              <w:t xml:space="preserve"> iem</w:t>
            </w:r>
            <w:r w:rsidR="006023AF">
              <w:rPr>
                <w:rFonts w:ascii="Times New Roman" w:hAnsi="Times New Roman" w:cs="Times New Roman"/>
                <w:sz w:val="24"/>
                <w:szCs w:val="24"/>
              </w:rPr>
              <w:t>ak</w:t>
            </w:r>
            <w:r w:rsidRPr="005B3980">
              <w:rPr>
                <w:rFonts w:ascii="Times New Roman" w:hAnsi="Times New Roman" w:cs="Times New Roman"/>
                <w:sz w:val="24"/>
                <w:szCs w:val="24"/>
              </w:rPr>
              <w:t xml:space="preserve">sas tiks novirzītas citu nodokļu parādu segšanai. </w:t>
            </w:r>
          </w:p>
        </w:tc>
      </w:tr>
      <w:tr w:rsidR="00523084" w:rsidRPr="00FC34FF" w:rsidTr="00AC65E8">
        <w:tc>
          <w:tcPr>
            <w:tcW w:w="1843" w:type="dxa"/>
            <w:vMerge w:val="restart"/>
          </w:tcPr>
          <w:p w:rsidR="00523084" w:rsidRPr="00FC34FF" w:rsidRDefault="00523084" w:rsidP="00105CBB">
            <w:pPr>
              <w:jc w:val="right"/>
              <w:rPr>
                <w:rFonts w:ascii="Times New Roman" w:hAnsi="Times New Roman" w:cs="Times New Roman"/>
                <w:b/>
                <w:sz w:val="24"/>
                <w:szCs w:val="24"/>
              </w:rPr>
            </w:pPr>
            <w:r w:rsidRPr="00FC34FF">
              <w:rPr>
                <w:rFonts w:ascii="Times New Roman" w:hAnsi="Times New Roman" w:cs="Times New Roman"/>
                <w:b/>
                <w:sz w:val="24"/>
                <w:szCs w:val="24"/>
              </w:rPr>
              <w:t>Labuma guvēji</w:t>
            </w:r>
          </w:p>
        </w:tc>
        <w:tc>
          <w:tcPr>
            <w:tcW w:w="1985" w:type="dxa"/>
          </w:tcPr>
          <w:p w:rsidR="00523084" w:rsidRPr="00FC34FF" w:rsidRDefault="00523084" w:rsidP="00105CBB">
            <w:pPr>
              <w:rPr>
                <w:rFonts w:ascii="Times New Roman" w:hAnsi="Times New Roman" w:cs="Times New Roman"/>
                <w:sz w:val="24"/>
                <w:szCs w:val="24"/>
              </w:rPr>
            </w:pPr>
            <w:r w:rsidRPr="00FC34FF">
              <w:rPr>
                <w:rFonts w:ascii="Times New Roman" w:hAnsi="Times New Roman" w:cs="Times New Roman"/>
                <w:sz w:val="24"/>
                <w:szCs w:val="24"/>
              </w:rPr>
              <w:t>3. Personu loks - Latvijas valsts pensijas saņēmējs</w:t>
            </w:r>
          </w:p>
        </w:tc>
        <w:tc>
          <w:tcPr>
            <w:tcW w:w="3260" w:type="dxa"/>
          </w:tcPr>
          <w:p w:rsidR="00523084" w:rsidRPr="00FC34FF" w:rsidRDefault="00523084" w:rsidP="00105CBB">
            <w:pPr>
              <w:rPr>
                <w:rFonts w:ascii="Times New Roman" w:hAnsi="Times New Roman" w:cs="Times New Roman"/>
                <w:sz w:val="24"/>
                <w:szCs w:val="24"/>
              </w:rPr>
            </w:pPr>
            <w:r w:rsidRPr="00FC34FF">
              <w:rPr>
                <w:rFonts w:ascii="Times New Roman" w:hAnsi="Times New Roman" w:cs="Times New Roman"/>
                <w:sz w:val="24"/>
                <w:szCs w:val="24"/>
              </w:rPr>
              <w:t xml:space="preserve">Labuma guvējs ir Latvijas valsts </w:t>
            </w:r>
            <w:r>
              <w:rPr>
                <w:rFonts w:ascii="Times New Roman" w:hAnsi="Times New Roman" w:cs="Times New Roman"/>
                <w:sz w:val="24"/>
                <w:szCs w:val="24"/>
              </w:rPr>
              <w:t xml:space="preserve">vecuma </w:t>
            </w:r>
            <w:r w:rsidRPr="00FC34FF">
              <w:rPr>
                <w:rFonts w:ascii="Times New Roman" w:hAnsi="Times New Roman" w:cs="Times New Roman"/>
                <w:sz w:val="24"/>
                <w:szCs w:val="24"/>
              </w:rPr>
              <w:t>pensijas saņēmējs, neatkarīgi no dzīvesvietas, kura bērni ir faktiski veikuši sociālās apdrošināšanas iemaksas pensiju apdrošināšanai Latvijā.</w:t>
            </w:r>
          </w:p>
          <w:p w:rsidR="00523084" w:rsidRPr="00FC34FF" w:rsidRDefault="00523084" w:rsidP="00105CBB">
            <w:pPr>
              <w:rPr>
                <w:rFonts w:ascii="Times New Roman" w:hAnsi="Times New Roman" w:cs="Times New Roman"/>
                <w:sz w:val="24"/>
                <w:szCs w:val="24"/>
              </w:rPr>
            </w:pPr>
            <w:r w:rsidRPr="00FC34FF">
              <w:rPr>
                <w:rFonts w:ascii="Times New Roman" w:hAnsi="Times New Roman" w:cs="Times New Roman"/>
                <w:sz w:val="24"/>
                <w:szCs w:val="24"/>
              </w:rPr>
              <w:t>Labuma guvējam nav obligāti jādzīvo Latvijā – jāparedz piemaksas eksports.</w:t>
            </w:r>
          </w:p>
          <w:p w:rsidR="00523084" w:rsidRPr="00FC34FF" w:rsidRDefault="00523084" w:rsidP="00105CBB">
            <w:pPr>
              <w:rPr>
                <w:rFonts w:ascii="Times New Roman" w:hAnsi="Times New Roman" w:cs="Times New Roman"/>
                <w:sz w:val="24"/>
                <w:szCs w:val="24"/>
              </w:rPr>
            </w:pPr>
            <w:r w:rsidRPr="00FC34FF">
              <w:rPr>
                <w:rFonts w:ascii="Times New Roman" w:hAnsi="Times New Roman" w:cs="Times New Roman"/>
                <w:sz w:val="24"/>
                <w:szCs w:val="24"/>
              </w:rPr>
              <w:t xml:space="preserve">Labuma guvēja loks neietver </w:t>
            </w:r>
            <w:r w:rsidRPr="00FC34FF">
              <w:rPr>
                <w:rFonts w:ascii="Times New Roman" w:hAnsi="Times New Roman" w:cs="Times New Roman"/>
                <w:sz w:val="24"/>
                <w:szCs w:val="24"/>
              </w:rPr>
              <w:lastRenderedPageBreak/>
              <w:t>sociālā nodrošinājuma pabalsta saņēmējus.</w:t>
            </w:r>
          </w:p>
          <w:p w:rsidR="00523084" w:rsidRPr="00FC34FF" w:rsidRDefault="00523084" w:rsidP="00105CBB">
            <w:pPr>
              <w:rPr>
                <w:rFonts w:ascii="Times New Roman" w:hAnsi="Times New Roman" w:cs="Times New Roman"/>
                <w:sz w:val="24"/>
                <w:szCs w:val="24"/>
              </w:rPr>
            </w:pPr>
            <w:r w:rsidRPr="00FC34FF">
              <w:rPr>
                <w:rFonts w:ascii="Times New Roman" w:hAnsi="Times New Roman" w:cs="Times New Roman"/>
                <w:sz w:val="24"/>
                <w:szCs w:val="24"/>
              </w:rPr>
              <w:t>Labuma guvēja loks neietver citas valsts pensijas saņēmējus, kuri pastāvīgi dzīvo Latvijā.</w:t>
            </w:r>
          </w:p>
        </w:tc>
        <w:tc>
          <w:tcPr>
            <w:tcW w:w="2693" w:type="dxa"/>
          </w:tcPr>
          <w:p w:rsidR="00523084" w:rsidRPr="00FC34FF" w:rsidRDefault="00523084" w:rsidP="00105CBB">
            <w:pPr>
              <w:rPr>
                <w:rFonts w:ascii="Times New Roman" w:hAnsi="Times New Roman" w:cs="Times New Roman"/>
                <w:sz w:val="24"/>
                <w:szCs w:val="24"/>
              </w:rPr>
            </w:pPr>
            <w:r w:rsidRPr="00FC34FF">
              <w:rPr>
                <w:rFonts w:ascii="Times New Roman" w:hAnsi="Times New Roman" w:cs="Times New Roman"/>
                <w:sz w:val="24"/>
                <w:szCs w:val="24"/>
              </w:rPr>
              <w:lastRenderedPageBreak/>
              <w:t xml:space="preserve">Jārisina jautājums, lai piemaksas dēļ </w:t>
            </w:r>
            <w:r>
              <w:rPr>
                <w:rFonts w:ascii="Times New Roman" w:hAnsi="Times New Roman" w:cs="Times New Roman"/>
                <w:sz w:val="24"/>
                <w:szCs w:val="24"/>
              </w:rPr>
              <w:t>labuma guvējs</w:t>
            </w:r>
            <w:r w:rsidRPr="00FC34FF">
              <w:rPr>
                <w:rFonts w:ascii="Times New Roman" w:hAnsi="Times New Roman" w:cs="Times New Roman"/>
                <w:sz w:val="24"/>
                <w:szCs w:val="24"/>
              </w:rPr>
              <w:t xml:space="preserve"> nezaudētu maznodrošinātā statusu un no tā izrietošo atbalstu, līdzīgi kā gadījumā ar ģimenes valsts pabalstu.</w:t>
            </w:r>
          </w:p>
        </w:tc>
      </w:tr>
      <w:tr w:rsidR="00523084" w:rsidRPr="00FC34FF" w:rsidTr="00AC65E8">
        <w:tc>
          <w:tcPr>
            <w:tcW w:w="1843" w:type="dxa"/>
            <w:vMerge/>
            <w:vAlign w:val="center"/>
          </w:tcPr>
          <w:p w:rsidR="00523084" w:rsidRPr="00FC34FF" w:rsidRDefault="00523084" w:rsidP="00105CBB">
            <w:pPr>
              <w:jc w:val="right"/>
              <w:rPr>
                <w:rFonts w:ascii="Times New Roman" w:hAnsi="Times New Roman" w:cs="Times New Roman"/>
                <w:b/>
                <w:sz w:val="24"/>
                <w:szCs w:val="24"/>
              </w:rPr>
            </w:pPr>
          </w:p>
        </w:tc>
        <w:tc>
          <w:tcPr>
            <w:tcW w:w="1985" w:type="dxa"/>
          </w:tcPr>
          <w:p w:rsidR="00523084" w:rsidRPr="00FC34FF" w:rsidRDefault="00523084" w:rsidP="00105CBB">
            <w:pPr>
              <w:rPr>
                <w:rFonts w:ascii="Times New Roman" w:hAnsi="Times New Roman" w:cs="Times New Roman"/>
                <w:sz w:val="24"/>
                <w:szCs w:val="24"/>
              </w:rPr>
            </w:pPr>
            <w:r w:rsidRPr="00FC34FF">
              <w:rPr>
                <w:rFonts w:ascii="Times New Roman" w:hAnsi="Times New Roman" w:cs="Times New Roman"/>
                <w:sz w:val="24"/>
                <w:szCs w:val="24"/>
              </w:rPr>
              <w:t>4. Kas var būt labuma guvēji</w:t>
            </w:r>
          </w:p>
        </w:tc>
        <w:tc>
          <w:tcPr>
            <w:tcW w:w="3260" w:type="dxa"/>
          </w:tcPr>
          <w:p w:rsidR="00523084" w:rsidRPr="00FC34FF" w:rsidRDefault="00523084" w:rsidP="00105CBB">
            <w:pPr>
              <w:rPr>
                <w:rFonts w:ascii="Times New Roman" w:hAnsi="Times New Roman" w:cs="Times New Roman"/>
                <w:sz w:val="24"/>
                <w:szCs w:val="24"/>
              </w:rPr>
            </w:pPr>
            <w:r w:rsidRPr="00FC34FF">
              <w:rPr>
                <w:rFonts w:ascii="Times New Roman" w:hAnsi="Times New Roman" w:cs="Times New Roman"/>
                <w:sz w:val="24"/>
                <w:szCs w:val="24"/>
              </w:rPr>
              <w:t>Labuma guvēji ir bioloģiskie vecāki, tai skaitā adoptētāji.</w:t>
            </w:r>
          </w:p>
        </w:tc>
        <w:tc>
          <w:tcPr>
            <w:tcW w:w="2693" w:type="dxa"/>
          </w:tcPr>
          <w:p w:rsidR="00523084" w:rsidRPr="00FC34FF" w:rsidRDefault="00523084" w:rsidP="00105CBB">
            <w:pPr>
              <w:rPr>
                <w:rFonts w:ascii="Times New Roman" w:hAnsi="Times New Roman" w:cs="Times New Roman"/>
                <w:sz w:val="24"/>
                <w:szCs w:val="24"/>
              </w:rPr>
            </w:pPr>
          </w:p>
        </w:tc>
      </w:tr>
      <w:tr w:rsidR="00523084" w:rsidRPr="00FC34FF" w:rsidTr="00AC65E8">
        <w:tc>
          <w:tcPr>
            <w:tcW w:w="1843" w:type="dxa"/>
            <w:vMerge w:val="restart"/>
          </w:tcPr>
          <w:p w:rsidR="00523084" w:rsidRPr="00FC34FF" w:rsidRDefault="00523084" w:rsidP="00105CBB">
            <w:pPr>
              <w:jc w:val="right"/>
              <w:rPr>
                <w:rFonts w:ascii="Times New Roman" w:hAnsi="Times New Roman" w:cs="Times New Roman"/>
                <w:sz w:val="24"/>
                <w:szCs w:val="24"/>
              </w:rPr>
            </w:pPr>
            <w:r w:rsidRPr="00FC34FF">
              <w:rPr>
                <w:rFonts w:ascii="Times New Roman" w:hAnsi="Times New Roman" w:cs="Times New Roman"/>
                <w:b/>
                <w:sz w:val="24"/>
                <w:szCs w:val="24"/>
              </w:rPr>
              <w:t>Iesniegums</w:t>
            </w:r>
          </w:p>
        </w:tc>
        <w:tc>
          <w:tcPr>
            <w:tcW w:w="1985" w:type="dxa"/>
          </w:tcPr>
          <w:p w:rsidR="00523084" w:rsidRPr="00FC34FF" w:rsidRDefault="00523084" w:rsidP="00B54EE5">
            <w:pPr>
              <w:rPr>
                <w:rFonts w:ascii="Times New Roman" w:hAnsi="Times New Roman" w:cs="Times New Roman"/>
                <w:sz w:val="24"/>
                <w:szCs w:val="24"/>
              </w:rPr>
            </w:pPr>
            <w:r w:rsidRPr="00FC34FF">
              <w:rPr>
                <w:rFonts w:ascii="Times New Roman" w:hAnsi="Times New Roman" w:cs="Times New Roman"/>
                <w:sz w:val="24"/>
                <w:szCs w:val="24"/>
              </w:rPr>
              <w:t xml:space="preserve">5. Iesnieguma iesniedzējs – sociālo apdrošināšanas iemaksu </w:t>
            </w:r>
            <w:r w:rsidR="00B54EE5">
              <w:rPr>
                <w:rFonts w:ascii="Times New Roman" w:hAnsi="Times New Roman" w:cs="Times New Roman"/>
                <w:sz w:val="24"/>
                <w:szCs w:val="24"/>
              </w:rPr>
              <w:t>veicē</w:t>
            </w:r>
            <w:r w:rsidRPr="00FC34FF">
              <w:rPr>
                <w:rFonts w:ascii="Times New Roman" w:hAnsi="Times New Roman" w:cs="Times New Roman"/>
                <w:sz w:val="24"/>
                <w:szCs w:val="24"/>
              </w:rPr>
              <w:t>js</w:t>
            </w:r>
          </w:p>
        </w:tc>
        <w:tc>
          <w:tcPr>
            <w:tcW w:w="3260" w:type="dxa"/>
          </w:tcPr>
          <w:p w:rsidR="00523084" w:rsidRDefault="00523084" w:rsidP="00105CBB">
            <w:pPr>
              <w:rPr>
                <w:rFonts w:ascii="Times New Roman" w:hAnsi="Times New Roman" w:cs="Times New Roman"/>
                <w:sz w:val="24"/>
                <w:szCs w:val="24"/>
              </w:rPr>
            </w:pPr>
            <w:r w:rsidRPr="00FC34FF">
              <w:rPr>
                <w:rFonts w:ascii="Times New Roman" w:hAnsi="Times New Roman" w:cs="Times New Roman"/>
                <w:sz w:val="24"/>
                <w:szCs w:val="24"/>
              </w:rPr>
              <w:t>VSAA aprēķina piemaksas</w:t>
            </w:r>
            <w:r w:rsidR="00724797">
              <w:rPr>
                <w:rFonts w:ascii="Times New Roman" w:hAnsi="Times New Roman" w:cs="Times New Roman"/>
                <w:sz w:val="24"/>
                <w:szCs w:val="24"/>
              </w:rPr>
              <w:t>,</w:t>
            </w:r>
            <w:r w:rsidRPr="00FC34FF">
              <w:rPr>
                <w:rFonts w:ascii="Times New Roman" w:hAnsi="Times New Roman" w:cs="Times New Roman"/>
                <w:sz w:val="24"/>
                <w:szCs w:val="24"/>
              </w:rPr>
              <w:t xml:space="preserve"> pamatojoties uz sociālās apdrošināšanas iemaksu </w:t>
            </w:r>
            <w:r w:rsidR="00724797">
              <w:rPr>
                <w:rFonts w:ascii="Times New Roman" w:hAnsi="Times New Roman" w:cs="Times New Roman"/>
                <w:sz w:val="24"/>
                <w:szCs w:val="24"/>
              </w:rPr>
              <w:t>veicē</w:t>
            </w:r>
            <w:r w:rsidR="00AB2156">
              <w:rPr>
                <w:rFonts w:ascii="Times New Roman" w:hAnsi="Times New Roman" w:cs="Times New Roman"/>
                <w:sz w:val="24"/>
                <w:szCs w:val="24"/>
              </w:rPr>
              <w:t>ja iesniegumu</w:t>
            </w:r>
            <w:r w:rsidRPr="00FC34FF">
              <w:rPr>
                <w:rFonts w:ascii="Times New Roman" w:hAnsi="Times New Roman" w:cs="Times New Roman"/>
                <w:sz w:val="24"/>
                <w:szCs w:val="24"/>
              </w:rPr>
              <w:t xml:space="preserve"> – katram no vecākiem vai vecākam, atbilstoši iesniegumā norādītajam. </w:t>
            </w:r>
          </w:p>
          <w:p w:rsidR="00523084" w:rsidRPr="00FC34FF" w:rsidRDefault="00523084" w:rsidP="00105CBB">
            <w:pPr>
              <w:rPr>
                <w:rFonts w:ascii="Times New Roman" w:hAnsi="Times New Roman" w:cs="Times New Roman"/>
                <w:sz w:val="24"/>
                <w:szCs w:val="24"/>
              </w:rPr>
            </w:pPr>
          </w:p>
        </w:tc>
        <w:tc>
          <w:tcPr>
            <w:tcW w:w="2693" w:type="dxa"/>
          </w:tcPr>
          <w:p w:rsidR="00523084" w:rsidRPr="00FC34FF" w:rsidRDefault="00523084" w:rsidP="00105CBB">
            <w:pPr>
              <w:rPr>
                <w:rFonts w:ascii="Times New Roman" w:hAnsi="Times New Roman" w:cs="Times New Roman"/>
                <w:sz w:val="24"/>
                <w:szCs w:val="24"/>
              </w:rPr>
            </w:pPr>
          </w:p>
        </w:tc>
      </w:tr>
      <w:tr w:rsidR="00523084" w:rsidRPr="00FC34FF" w:rsidTr="00AC65E8">
        <w:tc>
          <w:tcPr>
            <w:tcW w:w="1843" w:type="dxa"/>
            <w:vMerge/>
            <w:vAlign w:val="center"/>
          </w:tcPr>
          <w:p w:rsidR="00523084" w:rsidRPr="00FC34FF" w:rsidRDefault="00523084" w:rsidP="00105CBB">
            <w:pPr>
              <w:jc w:val="right"/>
              <w:rPr>
                <w:rFonts w:ascii="Times New Roman" w:hAnsi="Times New Roman" w:cs="Times New Roman"/>
                <w:sz w:val="24"/>
                <w:szCs w:val="24"/>
              </w:rPr>
            </w:pPr>
          </w:p>
        </w:tc>
        <w:tc>
          <w:tcPr>
            <w:tcW w:w="1985" w:type="dxa"/>
          </w:tcPr>
          <w:p w:rsidR="00523084" w:rsidRPr="00FC34FF" w:rsidRDefault="00523084" w:rsidP="00105CBB">
            <w:pPr>
              <w:rPr>
                <w:rFonts w:ascii="Times New Roman" w:hAnsi="Times New Roman" w:cs="Times New Roman"/>
                <w:sz w:val="24"/>
                <w:szCs w:val="24"/>
              </w:rPr>
            </w:pPr>
            <w:r w:rsidRPr="00FC34FF">
              <w:rPr>
                <w:rFonts w:ascii="Times New Roman" w:hAnsi="Times New Roman" w:cs="Times New Roman"/>
                <w:sz w:val="24"/>
                <w:szCs w:val="24"/>
              </w:rPr>
              <w:t>6. Iesniegums par labuma guvēja noteikšanu/maiņu</w:t>
            </w:r>
          </w:p>
        </w:tc>
        <w:tc>
          <w:tcPr>
            <w:tcW w:w="3260" w:type="dxa"/>
          </w:tcPr>
          <w:p w:rsidR="00523084" w:rsidRPr="00FC34FF" w:rsidRDefault="00523084" w:rsidP="000D3911">
            <w:pPr>
              <w:rPr>
                <w:rFonts w:ascii="Times New Roman" w:hAnsi="Times New Roman" w:cs="Times New Roman"/>
                <w:sz w:val="24"/>
                <w:szCs w:val="24"/>
              </w:rPr>
            </w:pPr>
            <w:r>
              <w:rPr>
                <w:rFonts w:ascii="Times New Roman" w:hAnsi="Times New Roman" w:cs="Times New Roman"/>
                <w:sz w:val="24"/>
                <w:szCs w:val="24"/>
              </w:rPr>
              <w:t>Ja vēlas mainīt labuma guvēju, nepieciešams s</w:t>
            </w:r>
            <w:r w:rsidRPr="00FC34FF">
              <w:rPr>
                <w:rFonts w:ascii="Times New Roman" w:hAnsi="Times New Roman" w:cs="Times New Roman"/>
                <w:sz w:val="24"/>
                <w:szCs w:val="24"/>
              </w:rPr>
              <w:t xml:space="preserve">ociālās apdrošināšanas iemaksu </w:t>
            </w:r>
            <w:r w:rsidR="00AB2156">
              <w:rPr>
                <w:rFonts w:ascii="Times New Roman" w:hAnsi="Times New Roman" w:cs="Times New Roman"/>
                <w:sz w:val="24"/>
                <w:szCs w:val="24"/>
              </w:rPr>
              <w:t>veicēja</w:t>
            </w:r>
            <w:r w:rsidRPr="00FC34FF">
              <w:rPr>
                <w:rFonts w:ascii="Times New Roman" w:hAnsi="Times New Roman" w:cs="Times New Roman"/>
                <w:sz w:val="24"/>
                <w:szCs w:val="24"/>
              </w:rPr>
              <w:t xml:space="preserve"> iesniegums. Šāda maiņa notiek ne biežāk kā reizi gadā. </w:t>
            </w:r>
          </w:p>
        </w:tc>
        <w:tc>
          <w:tcPr>
            <w:tcW w:w="2693" w:type="dxa"/>
          </w:tcPr>
          <w:p w:rsidR="00523084" w:rsidRDefault="00523084" w:rsidP="00105CBB">
            <w:pPr>
              <w:rPr>
                <w:rFonts w:ascii="Times New Roman" w:hAnsi="Times New Roman" w:cs="Times New Roman"/>
                <w:sz w:val="24"/>
                <w:szCs w:val="24"/>
              </w:rPr>
            </w:pPr>
          </w:p>
        </w:tc>
      </w:tr>
      <w:tr w:rsidR="00523084" w:rsidRPr="00FC34FF" w:rsidTr="00AC65E8">
        <w:tc>
          <w:tcPr>
            <w:tcW w:w="1843" w:type="dxa"/>
            <w:vAlign w:val="center"/>
          </w:tcPr>
          <w:p w:rsidR="00523084" w:rsidRPr="00FC34FF" w:rsidRDefault="00523084" w:rsidP="00105CBB">
            <w:pPr>
              <w:jc w:val="right"/>
              <w:rPr>
                <w:rFonts w:ascii="Times New Roman" w:hAnsi="Times New Roman" w:cs="Times New Roman"/>
                <w:sz w:val="24"/>
                <w:szCs w:val="24"/>
              </w:rPr>
            </w:pPr>
          </w:p>
        </w:tc>
        <w:tc>
          <w:tcPr>
            <w:tcW w:w="1985" w:type="dxa"/>
          </w:tcPr>
          <w:p w:rsidR="00523084" w:rsidRPr="00FC34FF" w:rsidRDefault="00523084" w:rsidP="00105CBB">
            <w:pPr>
              <w:rPr>
                <w:rFonts w:ascii="Times New Roman" w:hAnsi="Times New Roman" w:cs="Times New Roman"/>
                <w:sz w:val="24"/>
                <w:szCs w:val="24"/>
              </w:rPr>
            </w:pPr>
            <w:r w:rsidRPr="00FC34FF">
              <w:rPr>
                <w:rFonts w:ascii="Times New Roman" w:hAnsi="Times New Roman" w:cs="Times New Roman"/>
                <w:sz w:val="24"/>
                <w:szCs w:val="24"/>
              </w:rPr>
              <w:t>7. Labuma guvēja atteikšanās no piemaksas</w:t>
            </w:r>
          </w:p>
        </w:tc>
        <w:tc>
          <w:tcPr>
            <w:tcW w:w="3260" w:type="dxa"/>
          </w:tcPr>
          <w:p w:rsidR="00523084" w:rsidRPr="00FC34FF" w:rsidRDefault="00523084" w:rsidP="00105CBB">
            <w:pPr>
              <w:rPr>
                <w:rFonts w:ascii="Times New Roman" w:hAnsi="Times New Roman" w:cs="Times New Roman"/>
                <w:sz w:val="24"/>
                <w:szCs w:val="24"/>
              </w:rPr>
            </w:pPr>
            <w:r w:rsidRPr="00FC34FF">
              <w:rPr>
                <w:rFonts w:ascii="Times New Roman" w:hAnsi="Times New Roman" w:cs="Times New Roman"/>
                <w:sz w:val="24"/>
                <w:szCs w:val="24"/>
              </w:rPr>
              <w:t>Paredzēta iespēja labuma guvējam atteikties no piemaksas, iesniedzot VSAA iesniegumu.</w:t>
            </w:r>
          </w:p>
        </w:tc>
        <w:tc>
          <w:tcPr>
            <w:tcW w:w="2693" w:type="dxa"/>
          </w:tcPr>
          <w:p w:rsidR="00523084" w:rsidRPr="00FC34FF" w:rsidRDefault="00523084" w:rsidP="00105CBB">
            <w:pPr>
              <w:rPr>
                <w:rFonts w:ascii="Times New Roman" w:hAnsi="Times New Roman" w:cs="Times New Roman"/>
                <w:sz w:val="24"/>
                <w:szCs w:val="24"/>
              </w:rPr>
            </w:pPr>
          </w:p>
        </w:tc>
      </w:tr>
      <w:tr w:rsidR="00523084" w:rsidRPr="00FC34FF" w:rsidTr="00AC65E8">
        <w:tc>
          <w:tcPr>
            <w:tcW w:w="1843" w:type="dxa"/>
            <w:vMerge w:val="restart"/>
          </w:tcPr>
          <w:p w:rsidR="00523084" w:rsidRPr="00FC34FF" w:rsidRDefault="00523084" w:rsidP="00105CBB">
            <w:pPr>
              <w:jc w:val="right"/>
              <w:rPr>
                <w:rFonts w:ascii="Times New Roman" w:hAnsi="Times New Roman" w:cs="Times New Roman"/>
                <w:b/>
                <w:sz w:val="24"/>
                <w:szCs w:val="24"/>
              </w:rPr>
            </w:pPr>
            <w:r w:rsidRPr="00FC34FF">
              <w:rPr>
                <w:rFonts w:ascii="Times New Roman" w:hAnsi="Times New Roman" w:cs="Times New Roman"/>
                <w:b/>
                <w:sz w:val="24"/>
                <w:szCs w:val="24"/>
              </w:rPr>
              <w:t>Administratīvais process</w:t>
            </w:r>
          </w:p>
        </w:tc>
        <w:tc>
          <w:tcPr>
            <w:tcW w:w="1985" w:type="dxa"/>
          </w:tcPr>
          <w:p w:rsidR="00523084" w:rsidRPr="00FC34FF" w:rsidRDefault="00523084" w:rsidP="00105CBB">
            <w:pPr>
              <w:rPr>
                <w:rFonts w:ascii="Times New Roman" w:hAnsi="Times New Roman" w:cs="Times New Roman"/>
                <w:sz w:val="24"/>
                <w:szCs w:val="24"/>
              </w:rPr>
            </w:pPr>
            <w:r w:rsidRPr="00FC34FF">
              <w:rPr>
                <w:rFonts w:ascii="Times New Roman" w:hAnsi="Times New Roman" w:cs="Times New Roman"/>
                <w:sz w:val="24"/>
                <w:szCs w:val="24"/>
              </w:rPr>
              <w:t>8. Sociālās apdrošināšanas iemaksu veicēja un labuma guvēja informēšana</w:t>
            </w:r>
          </w:p>
        </w:tc>
        <w:tc>
          <w:tcPr>
            <w:tcW w:w="3260" w:type="dxa"/>
          </w:tcPr>
          <w:p w:rsidR="00523084" w:rsidRPr="00FC34FF" w:rsidRDefault="00523084" w:rsidP="00105CBB">
            <w:pPr>
              <w:rPr>
                <w:rFonts w:ascii="Times New Roman" w:hAnsi="Times New Roman" w:cs="Times New Roman"/>
                <w:sz w:val="24"/>
                <w:szCs w:val="24"/>
              </w:rPr>
            </w:pPr>
            <w:r>
              <w:rPr>
                <w:rFonts w:ascii="Times New Roman" w:hAnsi="Times New Roman" w:cs="Times New Roman"/>
                <w:sz w:val="24"/>
                <w:szCs w:val="24"/>
              </w:rPr>
              <w:t xml:space="preserve">Informēt par sociālās apdrošināšanas iemaksu veicēja tiesībām izvēlēties labuma guvēju, ja kāds no bērna-iemaksu veicēja vecākiem saņem vecuma pensiju. </w:t>
            </w:r>
          </w:p>
        </w:tc>
        <w:tc>
          <w:tcPr>
            <w:tcW w:w="2693" w:type="dxa"/>
          </w:tcPr>
          <w:p w:rsidR="00523084" w:rsidRPr="00FC34FF" w:rsidRDefault="00523084" w:rsidP="00105CBB">
            <w:pPr>
              <w:rPr>
                <w:rFonts w:ascii="Times New Roman" w:hAnsi="Times New Roman" w:cs="Times New Roman"/>
                <w:sz w:val="24"/>
                <w:szCs w:val="24"/>
              </w:rPr>
            </w:pPr>
            <w:r>
              <w:rPr>
                <w:rFonts w:ascii="Times New Roman" w:hAnsi="Times New Roman" w:cs="Times New Roman"/>
                <w:sz w:val="24"/>
                <w:szCs w:val="24"/>
              </w:rPr>
              <w:t>A</w:t>
            </w:r>
            <w:r w:rsidRPr="00FC34FF">
              <w:rPr>
                <w:rFonts w:ascii="Times New Roman" w:hAnsi="Times New Roman" w:cs="Times New Roman"/>
                <w:sz w:val="24"/>
                <w:szCs w:val="24"/>
              </w:rPr>
              <w:t>dministratīvais slogs VSAA papildus informēšanā.</w:t>
            </w:r>
          </w:p>
        </w:tc>
      </w:tr>
      <w:tr w:rsidR="00523084" w:rsidRPr="00FC34FF" w:rsidTr="00AC65E8">
        <w:tc>
          <w:tcPr>
            <w:tcW w:w="1843" w:type="dxa"/>
            <w:vMerge/>
            <w:vAlign w:val="center"/>
          </w:tcPr>
          <w:p w:rsidR="00523084" w:rsidRPr="00FC34FF" w:rsidRDefault="00523084" w:rsidP="00105CBB">
            <w:pPr>
              <w:jc w:val="right"/>
              <w:rPr>
                <w:rFonts w:ascii="Times New Roman" w:hAnsi="Times New Roman" w:cs="Times New Roman"/>
                <w:sz w:val="24"/>
                <w:szCs w:val="24"/>
              </w:rPr>
            </w:pPr>
          </w:p>
        </w:tc>
        <w:tc>
          <w:tcPr>
            <w:tcW w:w="1985" w:type="dxa"/>
          </w:tcPr>
          <w:p w:rsidR="00523084" w:rsidRPr="00FC34FF" w:rsidRDefault="00523084" w:rsidP="00105CBB">
            <w:pPr>
              <w:rPr>
                <w:rFonts w:ascii="Times New Roman" w:hAnsi="Times New Roman" w:cs="Times New Roman"/>
                <w:sz w:val="24"/>
                <w:szCs w:val="24"/>
              </w:rPr>
            </w:pPr>
            <w:r w:rsidRPr="00FC34FF">
              <w:rPr>
                <w:rFonts w:ascii="Times New Roman" w:hAnsi="Times New Roman" w:cs="Times New Roman"/>
                <w:sz w:val="24"/>
                <w:szCs w:val="24"/>
              </w:rPr>
              <w:t>9.VSAA faktiskās rīcības/lēmuma apstrīdēšana</w:t>
            </w:r>
          </w:p>
        </w:tc>
        <w:tc>
          <w:tcPr>
            <w:tcW w:w="3260" w:type="dxa"/>
          </w:tcPr>
          <w:p w:rsidR="00523084" w:rsidRPr="00FC34FF" w:rsidRDefault="00523084" w:rsidP="00105CBB">
            <w:pPr>
              <w:rPr>
                <w:rFonts w:ascii="Times New Roman" w:hAnsi="Times New Roman" w:cs="Times New Roman"/>
                <w:sz w:val="24"/>
                <w:szCs w:val="24"/>
              </w:rPr>
            </w:pPr>
            <w:r>
              <w:rPr>
                <w:rFonts w:ascii="Times New Roman" w:hAnsi="Times New Roman" w:cs="Times New Roman"/>
                <w:sz w:val="24"/>
                <w:szCs w:val="24"/>
              </w:rPr>
              <w:t xml:space="preserve">Lēmuma pieņemšana par katru no labuma guvējiem. </w:t>
            </w:r>
          </w:p>
        </w:tc>
        <w:tc>
          <w:tcPr>
            <w:tcW w:w="2693" w:type="dxa"/>
          </w:tcPr>
          <w:p w:rsidR="00523084" w:rsidRDefault="00523084" w:rsidP="00105CBB">
            <w:pPr>
              <w:rPr>
                <w:rFonts w:ascii="Times New Roman" w:hAnsi="Times New Roman" w:cs="Times New Roman"/>
                <w:sz w:val="24"/>
                <w:szCs w:val="24"/>
              </w:rPr>
            </w:pPr>
            <w:r>
              <w:rPr>
                <w:rFonts w:ascii="Times New Roman" w:hAnsi="Times New Roman" w:cs="Times New Roman"/>
                <w:sz w:val="24"/>
                <w:szCs w:val="24"/>
              </w:rPr>
              <w:t>A</w:t>
            </w:r>
            <w:r w:rsidRPr="00FC34FF">
              <w:rPr>
                <w:rFonts w:ascii="Times New Roman" w:hAnsi="Times New Roman" w:cs="Times New Roman"/>
                <w:sz w:val="24"/>
                <w:szCs w:val="24"/>
              </w:rPr>
              <w:t xml:space="preserve">dministratīvais slogs VSAA </w:t>
            </w:r>
            <w:r>
              <w:rPr>
                <w:rFonts w:ascii="Times New Roman" w:hAnsi="Times New Roman" w:cs="Times New Roman"/>
                <w:sz w:val="24"/>
                <w:szCs w:val="24"/>
              </w:rPr>
              <w:t>sakarā ar potenciālajām</w:t>
            </w:r>
            <w:r w:rsidRPr="00FC34FF">
              <w:rPr>
                <w:rFonts w:ascii="Times New Roman" w:hAnsi="Times New Roman" w:cs="Times New Roman"/>
                <w:sz w:val="24"/>
                <w:szCs w:val="24"/>
              </w:rPr>
              <w:t xml:space="preserve"> pārsūdzībā</w:t>
            </w:r>
            <w:r>
              <w:rPr>
                <w:rFonts w:ascii="Times New Roman" w:hAnsi="Times New Roman" w:cs="Times New Roman"/>
                <w:sz w:val="24"/>
                <w:szCs w:val="24"/>
              </w:rPr>
              <w:t>m</w:t>
            </w:r>
            <w:r w:rsidRPr="00FC34FF">
              <w:rPr>
                <w:rFonts w:ascii="Times New Roman" w:hAnsi="Times New Roman" w:cs="Times New Roman"/>
                <w:sz w:val="24"/>
                <w:szCs w:val="24"/>
              </w:rPr>
              <w:t>.</w:t>
            </w:r>
          </w:p>
        </w:tc>
      </w:tr>
      <w:tr w:rsidR="00523084" w:rsidRPr="00FC34FF" w:rsidTr="00AC65E8">
        <w:tc>
          <w:tcPr>
            <w:tcW w:w="1843" w:type="dxa"/>
          </w:tcPr>
          <w:p w:rsidR="00523084" w:rsidRPr="00FC34FF" w:rsidRDefault="00523084" w:rsidP="00105CBB">
            <w:pPr>
              <w:jc w:val="right"/>
              <w:rPr>
                <w:rFonts w:ascii="Times New Roman" w:hAnsi="Times New Roman" w:cs="Times New Roman"/>
                <w:b/>
                <w:sz w:val="24"/>
                <w:szCs w:val="24"/>
              </w:rPr>
            </w:pPr>
            <w:r w:rsidRPr="00FC34FF">
              <w:rPr>
                <w:rFonts w:ascii="Times New Roman" w:hAnsi="Times New Roman" w:cs="Times New Roman"/>
                <w:b/>
                <w:sz w:val="24"/>
                <w:szCs w:val="24"/>
              </w:rPr>
              <w:t>Aprēķināšana</w:t>
            </w:r>
          </w:p>
        </w:tc>
        <w:tc>
          <w:tcPr>
            <w:tcW w:w="1985" w:type="dxa"/>
          </w:tcPr>
          <w:p w:rsidR="00523084" w:rsidRPr="00FC34FF" w:rsidRDefault="00523084" w:rsidP="00105CBB">
            <w:pPr>
              <w:rPr>
                <w:rFonts w:ascii="Times New Roman" w:hAnsi="Times New Roman" w:cs="Times New Roman"/>
                <w:sz w:val="24"/>
                <w:szCs w:val="24"/>
              </w:rPr>
            </w:pPr>
            <w:r w:rsidRPr="00FC34FF">
              <w:rPr>
                <w:rFonts w:ascii="Times New Roman" w:hAnsi="Times New Roman" w:cs="Times New Roman"/>
                <w:sz w:val="24"/>
                <w:szCs w:val="24"/>
              </w:rPr>
              <w:t>10. Periods, par kuru aprēķina, un datums, uz kuru aprēķina piemaksu</w:t>
            </w:r>
          </w:p>
        </w:tc>
        <w:tc>
          <w:tcPr>
            <w:tcW w:w="3260" w:type="dxa"/>
          </w:tcPr>
          <w:p w:rsidR="00523084" w:rsidRPr="00FC34FF" w:rsidRDefault="00523084" w:rsidP="00105CBB">
            <w:pPr>
              <w:rPr>
                <w:rFonts w:ascii="Times New Roman" w:hAnsi="Times New Roman" w:cs="Times New Roman"/>
                <w:sz w:val="24"/>
                <w:szCs w:val="24"/>
              </w:rPr>
            </w:pPr>
            <w:r>
              <w:rPr>
                <w:rFonts w:ascii="Times New Roman" w:hAnsi="Times New Roman" w:cs="Times New Roman"/>
                <w:sz w:val="24"/>
                <w:szCs w:val="24"/>
              </w:rPr>
              <w:t>Piemaksas a</w:t>
            </w:r>
            <w:r w:rsidRPr="00FC34FF">
              <w:rPr>
                <w:rFonts w:ascii="Times New Roman" w:hAnsi="Times New Roman" w:cs="Times New Roman"/>
                <w:sz w:val="24"/>
                <w:szCs w:val="24"/>
              </w:rPr>
              <w:t>prēķinu veic reizi gadā, noslēdz</w:t>
            </w:r>
            <w:r>
              <w:rPr>
                <w:rFonts w:ascii="Times New Roman" w:hAnsi="Times New Roman" w:cs="Times New Roman"/>
                <w:sz w:val="24"/>
                <w:szCs w:val="24"/>
              </w:rPr>
              <w:t>oties</w:t>
            </w:r>
            <w:r w:rsidRPr="00FC34FF">
              <w:rPr>
                <w:rFonts w:ascii="Times New Roman" w:hAnsi="Times New Roman" w:cs="Times New Roman"/>
                <w:sz w:val="24"/>
                <w:szCs w:val="24"/>
              </w:rPr>
              <w:t xml:space="preserve"> iepriekšējā</w:t>
            </w:r>
            <w:r>
              <w:rPr>
                <w:rFonts w:ascii="Times New Roman" w:hAnsi="Times New Roman" w:cs="Times New Roman"/>
                <w:sz w:val="24"/>
                <w:szCs w:val="24"/>
              </w:rPr>
              <w:t xml:space="preserve"> kalendārā</w:t>
            </w:r>
            <w:r w:rsidRPr="00FC34FF">
              <w:rPr>
                <w:rFonts w:ascii="Times New Roman" w:hAnsi="Times New Roman" w:cs="Times New Roman"/>
                <w:sz w:val="24"/>
                <w:szCs w:val="24"/>
              </w:rPr>
              <w:t xml:space="preserve"> gada </w:t>
            </w:r>
            <w:r>
              <w:rPr>
                <w:rFonts w:ascii="Times New Roman" w:hAnsi="Times New Roman" w:cs="Times New Roman"/>
                <w:sz w:val="24"/>
                <w:szCs w:val="24"/>
              </w:rPr>
              <w:t>iemaksu maksāšanas termiņam.</w:t>
            </w:r>
            <w:r w:rsidRPr="00FC34FF">
              <w:rPr>
                <w:rFonts w:ascii="Times New Roman" w:hAnsi="Times New Roman" w:cs="Times New Roman"/>
                <w:sz w:val="24"/>
                <w:szCs w:val="24"/>
              </w:rPr>
              <w:t xml:space="preserve"> </w:t>
            </w:r>
          </w:p>
        </w:tc>
        <w:tc>
          <w:tcPr>
            <w:tcW w:w="2693" w:type="dxa"/>
          </w:tcPr>
          <w:p w:rsidR="00523084" w:rsidRPr="00FC34FF" w:rsidRDefault="00523084" w:rsidP="00B87541">
            <w:pPr>
              <w:rPr>
                <w:rFonts w:ascii="Times New Roman" w:hAnsi="Times New Roman" w:cs="Times New Roman"/>
                <w:sz w:val="24"/>
                <w:szCs w:val="24"/>
              </w:rPr>
            </w:pPr>
          </w:p>
        </w:tc>
      </w:tr>
      <w:tr w:rsidR="00523084" w:rsidRPr="00FC34FF" w:rsidTr="00AC65E8">
        <w:tc>
          <w:tcPr>
            <w:tcW w:w="1843" w:type="dxa"/>
            <w:vMerge w:val="restart"/>
            <w:vAlign w:val="center"/>
          </w:tcPr>
          <w:p w:rsidR="00523084" w:rsidRPr="00FC34FF" w:rsidRDefault="00523084" w:rsidP="00105CBB">
            <w:pPr>
              <w:jc w:val="right"/>
              <w:rPr>
                <w:rFonts w:ascii="Times New Roman" w:hAnsi="Times New Roman" w:cs="Times New Roman"/>
                <w:sz w:val="24"/>
                <w:szCs w:val="24"/>
              </w:rPr>
            </w:pPr>
          </w:p>
        </w:tc>
        <w:tc>
          <w:tcPr>
            <w:tcW w:w="1985" w:type="dxa"/>
          </w:tcPr>
          <w:p w:rsidR="00523084" w:rsidRPr="00FC34FF" w:rsidRDefault="00523084" w:rsidP="0058772F">
            <w:pPr>
              <w:rPr>
                <w:rFonts w:ascii="Times New Roman" w:hAnsi="Times New Roman" w:cs="Times New Roman"/>
                <w:sz w:val="24"/>
                <w:szCs w:val="24"/>
              </w:rPr>
            </w:pPr>
            <w:r w:rsidRPr="00FC34FF">
              <w:rPr>
                <w:rFonts w:ascii="Times New Roman" w:hAnsi="Times New Roman" w:cs="Times New Roman"/>
                <w:sz w:val="24"/>
                <w:szCs w:val="24"/>
              </w:rPr>
              <w:t xml:space="preserve">11. Periodi, kas </w:t>
            </w:r>
            <w:r w:rsidR="0058772F">
              <w:rPr>
                <w:rFonts w:ascii="Times New Roman" w:hAnsi="Times New Roman" w:cs="Times New Roman"/>
                <w:sz w:val="24"/>
                <w:szCs w:val="24"/>
              </w:rPr>
              <w:t xml:space="preserve">netiek </w:t>
            </w:r>
            <w:r w:rsidRPr="00FC34FF">
              <w:rPr>
                <w:rFonts w:ascii="Times New Roman" w:hAnsi="Times New Roman" w:cs="Times New Roman"/>
                <w:sz w:val="24"/>
                <w:szCs w:val="24"/>
              </w:rPr>
              <w:t>ieskait</w:t>
            </w:r>
            <w:r w:rsidR="0058772F">
              <w:rPr>
                <w:rFonts w:ascii="Times New Roman" w:hAnsi="Times New Roman" w:cs="Times New Roman"/>
                <w:sz w:val="24"/>
                <w:szCs w:val="24"/>
              </w:rPr>
              <w:t>īti</w:t>
            </w:r>
            <w:r w:rsidRPr="00FC34FF">
              <w:rPr>
                <w:rFonts w:ascii="Times New Roman" w:hAnsi="Times New Roman" w:cs="Times New Roman"/>
                <w:sz w:val="24"/>
                <w:szCs w:val="24"/>
              </w:rPr>
              <w:t xml:space="preserve"> piemaksas aprēķinā</w:t>
            </w:r>
          </w:p>
        </w:tc>
        <w:tc>
          <w:tcPr>
            <w:tcW w:w="3260" w:type="dxa"/>
          </w:tcPr>
          <w:p w:rsidR="00523084" w:rsidRPr="00FC34FF" w:rsidRDefault="00523084" w:rsidP="00105CBB">
            <w:pPr>
              <w:rPr>
                <w:rFonts w:ascii="Times New Roman" w:hAnsi="Times New Roman" w:cs="Times New Roman"/>
                <w:sz w:val="24"/>
                <w:szCs w:val="24"/>
              </w:rPr>
            </w:pPr>
            <w:r>
              <w:rPr>
                <w:rFonts w:ascii="Times New Roman" w:hAnsi="Times New Roman" w:cs="Times New Roman"/>
                <w:sz w:val="24"/>
                <w:szCs w:val="24"/>
              </w:rPr>
              <w:t>Periodus</w:t>
            </w:r>
            <w:r w:rsidRPr="00FC34FF">
              <w:rPr>
                <w:rFonts w:ascii="Times New Roman" w:hAnsi="Times New Roman" w:cs="Times New Roman"/>
                <w:sz w:val="24"/>
                <w:szCs w:val="24"/>
              </w:rPr>
              <w:t xml:space="preserve">, kad par personu </w:t>
            </w:r>
            <w:r>
              <w:rPr>
                <w:rFonts w:ascii="Times New Roman" w:hAnsi="Times New Roman" w:cs="Times New Roman"/>
                <w:sz w:val="24"/>
                <w:szCs w:val="24"/>
              </w:rPr>
              <w:t>apdrošināšanas iemaksas</w:t>
            </w:r>
            <w:r w:rsidRPr="00FC34FF">
              <w:rPr>
                <w:rFonts w:ascii="Times New Roman" w:hAnsi="Times New Roman" w:cs="Times New Roman"/>
                <w:sz w:val="24"/>
                <w:szCs w:val="24"/>
              </w:rPr>
              <w:t xml:space="preserve"> veic valsts (slimības, bezdarba, bērnu kopšana), </w:t>
            </w:r>
            <w:r>
              <w:rPr>
                <w:rFonts w:ascii="Times New Roman" w:hAnsi="Times New Roman" w:cs="Times New Roman"/>
                <w:sz w:val="24"/>
                <w:szCs w:val="24"/>
              </w:rPr>
              <w:t xml:space="preserve">neieskaita. </w:t>
            </w:r>
          </w:p>
        </w:tc>
        <w:tc>
          <w:tcPr>
            <w:tcW w:w="2693" w:type="dxa"/>
          </w:tcPr>
          <w:p w:rsidR="00523084" w:rsidRPr="00FC34FF" w:rsidRDefault="00523084" w:rsidP="00105CBB">
            <w:pPr>
              <w:rPr>
                <w:rFonts w:ascii="Times New Roman" w:hAnsi="Times New Roman" w:cs="Times New Roman"/>
                <w:sz w:val="24"/>
                <w:szCs w:val="24"/>
              </w:rPr>
            </w:pPr>
            <w:r>
              <w:rPr>
                <w:rFonts w:ascii="Times New Roman" w:hAnsi="Times New Roman" w:cs="Times New Roman"/>
                <w:sz w:val="24"/>
                <w:szCs w:val="24"/>
              </w:rPr>
              <w:t>Risks: iespējami</w:t>
            </w:r>
            <w:r w:rsidRPr="00FC34FF">
              <w:rPr>
                <w:rFonts w:ascii="Times New Roman" w:hAnsi="Times New Roman" w:cs="Times New Roman"/>
                <w:sz w:val="24"/>
                <w:szCs w:val="24"/>
              </w:rPr>
              <w:t xml:space="preserve"> ļoti mazi piemaksu apmēri.</w:t>
            </w:r>
          </w:p>
        </w:tc>
      </w:tr>
      <w:tr w:rsidR="00523084" w:rsidRPr="00FC34FF" w:rsidTr="00AC65E8">
        <w:tc>
          <w:tcPr>
            <w:tcW w:w="1843" w:type="dxa"/>
            <w:vMerge/>
            <w:vAlign w:val="center"/>
          </w:tcPr>
          <w:p w:rsidR="00523084" w:rsidRPr="00FC34FF" w:rsidRDefault="00523084" w:rsidP="00105CBB">
            <w:pPr>
              <w:jc w:val="right"/>
              <w:rPr>
                <w:rFonts w:ascii="Times New Roman" w:hAnsi="Times New Roman" w:cs="Times New Roman"/>
                <w:sz w:val="24"/>
                <w:szCs w:val="24"/>
              </w:rPr>
            </w:pPr>
          </w:p>
        </w:tc>
        <w:tc>
          <w:tcPr>
            <w:tcW w:w="1985" w:type="dxa"/>
          </w:tcPr>
          <w:p w:rsidR="00523084" w:rsidRPr="00FC34FF" w:rsidRDefault="00523084" w:rsidP="00105CBB">
            <w:pPr>
              <w:rPr>
                <w:rFonts w:ascii="Times New Roman" w:hAnsi="Times New Roman" w:cs="Times New Roman"/>
                <w:sz w:val="24"/>
                <w:szCs w:val="24"/>
              </w:rPr>
            </w:pPr>
            <w:r w:rsidRPr="00FC34FF">
              <w:rPr>
                <w:rFonts w:ascii="Times New Roman" w:hAnsi="Times New Roman" w:cs="Times New Roman"/>
                <w:sz w:val="24"/>
                <w:szCs w:val="24"/>
              </w:rPr>
              <w:t>12. Vairāku bērnu vecākiem</w:t>
            </w:r>
          </w:p>
        </w:tc>
        <w:tc>
          <w:tcPr>
            <w:tcW w:w="3260" w:type="dxa"/>
          </w:tcPr>
          <w:p w:rsidR="00523084" w:rsidRPr="00FC34FF" w:rsidRDefault="00523084" w:rsidP="006647D6">
            <w:pPr>
              <w:rPr>
                <w:rFonts w:ascii="Times New Roman" w:hAnsi="Times New Roman" w:cs="Times New Roman"/>
                <w:sz w:val="24"/>
                <w:szCs w:val="24"/>
              </w:rPr>
            </w:pPr>
            <w:r w:rsidRPr="00FC34FF">
              <w:rPr>
                <w:rFonts w:ascii="Times New Roman" w:hAnsi="Times New Roman" w:cs="Times New Roman"/>
                <w:sz w:val="24"/>
                <w:szCs w:val="24"/>
              </w:rPr>
              <w:t>Par katru bērnu</w:t>
            </w:r>
            <w:r>
              <w:rPr>
                <w:rFonts w:ascii="Times New Roman" w:hAnsi="Times New Roman" w:cs="Times New Roman"/>
                <w:sz w:val="24"/>
                <w:szCs w:val="24"/>
              </w:rPr>
              <w:t>, kas veic sociālās apdrošināšanas iemaksas, labuma guvējam</w:t>
            </w:r>
            <w:r w:rsidRPr="00FC34FF">
              <w:rPr>
                <w:rFonts w:ascii="Times New Roman" w:hAnsi="Times New Roman" w:cs="Times New Roman"/>
                <w:sz w:val="24"/>
                <w:szCs w:val="24"/>
              </w:rPr>
              <w:t xml:space="preserve"> aprēķina </w:t>
            </w:r>
            <w:r>
              <w:rPr>
                <w:rFonts w:ascii="Times New Roman" w:hAnsi="Times New Roman" w:cs="Times New Roman"/>
                <w:sz w:val="24"/>
                <w:szCs w:val="24"/>
              </w:rPr>
              <w:t>atsevišķu</w:t>
            </w:r>
            <w:r w:rsidRPr="00FC34FF">
              <w:rPr>
                <w:rFonts w:ascii="Times New Roman" w:hAnsi="Times New Roman" w:cs="Times New Roman"/>
                <w:sz w:val="24"/>
                <w:szCs w:val="24"/>
              </w:rPr>
              <w:t xml:space="preserve"> </w:t>
            </w:r>
            <w:r w:rsidR="006647D6">
              <w:rPr>
                <w:rFonts w:ascii="Times New Roman" w:hAnsi="Times New Roman" w:cs="Times New Roman"/>
                <w:sz w:val="24"/>
                <w:szCs w:val="24"/>
              </w:rPr>
              <w:t>piemaksu</w:t>
            </w:r>
            <w:r w:rsidRPr="00FC34FF">
              <w:rPr>
                <w:rFonts w:ascii="Times New Roman" w:hAnsi="Times New Roman" w:cs="Times New Roman"/>
                <w:sz w:val="24"/>
                <w:szCs w:val="24"/>
              </w:rPr>
              <w:t>.</w:t>
            </w:r>
          </w:p>
        </w:tc>
        <w:tc>
          <w:tcPr>
            <w:tcW w:w="2693" w:type="dxa"/>
          </w:tcPr>
          <w:p w:rsidR="00523084" w:rsidRPr="00FC34FF" w:rsidRDefault="00523084" w:rsidP="00105CBB">
            <w:pPr>
              <w:rPr>
                <w:rFonts w:ascii="Times New Roman" w:hAnsi="Times New Roman" w:cs="Times New Roman"/>
                <w:sz w:val="24"/>
                <w:szCs w:val="24"/>
              </w:rPr>
            </w:pPr>
          </w:p>
        </w:tc>
      </w:tr>
      <w:tr w:rsidR="00523084" w:rsidRPr="00FC34FF" w:rsidTr="00AC65E8">
        <w:tc>
          <w:tcPr>
            <w:tcW w:w="1843" w:type="dxa"/>
          </w:tcPr>
          <w:p w:rsidR="00523084" w:rsidRPr="00FC34FF" w:rsidRDefault="00523084" w:rsidP="00105CBB">
            <w:pPr>
              <w:jc w:val="right"/>
              <w:rPr>
                <w:rFonts w:ascii="Times New Roman" w:hAnsi="Times New Roman" w:cs="Times New Roman"/>
                <w:b/>
                <w:sz w:val="24"/>
                <w:szCs w:val="24"/>
              </w:rPr>
            </w:pPr>
            <w:r w:rsidRPr="00FC34FF">
              <w:rPr>
                <w:rFonts w:ascii="Times New Roman" w:hAnsi="Times New Roman" w:cs="Times New Roman"/>
                <w:b/>
                <w:sz w:val="24"/>
                <w:szCs w:val="24"/>
              </w:rPr>
              <w:t xml:space="preserve">Piemaksas </w:t>
            </w:r>
            <w:r w:rsidRPr="00FC34FF">
              <w:rPr>
                <w:rFonts w:ascii="Times New Roman" w:hAnsi="Times New Roman" w:cs="Times New Roman"/>
                <w:b/>
                <w:sz w:val="24"/>
                <w:szCs w:val="24"/>
              </w:rPr>
              <w:lastRenderedPageBreak/>
              <w:t>pārskatīšana</w:t>
            </w:r>
          </w:p>
        </w:tc>
        <w:tc>
          <w:tcPr>
            <w:tcW w:w="1985" w:type="dxa"/>
          </w:tcPr>
          <w:p w:rsidR="00523084" w:rsidRPr="00FC34FF" w:rsidRDefault="00523084" w:rsidP="00105CBB">
            <w:pPr>
              <w:rPr>
                <w:rFonts w:ascii="Times New Roman" w:hAnsi="Times New Roman" w:cs="Times New Roman"/>
                <w:sz w:val="24"/>
                <w:szCs w:val="24"/>
              </w:rPr>
            </w:pPr>
            <w:r w:rsidRPr="00FC34FF">
              <w:rPr>
                <w:rFonts w:ascii="Times New Roman" w:hAnsi="Times New Roman" w:cs="Times New Roman"/>
                <w:sz w:val="24"/>
                <w:szCs w:val="24"/>
              </w:rPr>
              <w:lastRenderedPageBreak/>
              <w:t xml:space="preserve">13. Piemaksu </w:t>
            </w:r>
            <w:r w:rsidRPr="00FC34FF">
              <w:rPr>
                <w:rFonts w:ascii="Times New Roman" w:hAnsi="Times New Roman" w:cs="Times New Roman"/>
                <w:sz w:val="24"/>
                <w:szCs w:val="24"/>
              </w:rPr>
              <w:lastRenderedPageBreak/>
              <w:t xml:space="preserve">pārskatīšana saskaņā ar iesniegtajiem </w:t>
            </w:r>
            <w:r w:rsidR="00622B6B">
              <w:rPr>
                <w:rFonts w:ascii="Times New Roman" w:hAnsi="Times New Roman" w:cs="Times New Roman"/>
                <w:sz w:val="24"/>
                <w:szCs w:val="24"/>
              </w:rPr>
              <w:t xml:space="preserve">sociālo apdrošināšanas iemaksu </w:t>
            </w:r>
            <w:r w:rsidRPr="00FC34FF">
              <w:rPr>
                <w:rFonts w:ascii="Times New Roman" w:hAnsi="Times New Roman" w:cs="Times New Roman"/>
                <w:sz w:val="24"/>
                <w:szCs w:val="24"/>
              </w:rPr>
              <w:t>precizējumiem un parāda maksājumiem</w:t>
            </w:r>
          </w:p>
        </w:tc>
        <w:tc>
          <w:tcPr>
            <w:tcW w:w="3260" w:type="dxa"/>
          </w:tcPr>
          <w:p w:rsidR="00523084" w:rsidRPr="00FC34FF" w:rsidRDefault="00523084" w:rsidP="00105CBB">
            <w:pPr>
              <w:rPr>
                <w:rFonts w:ascii="Times New Roman" w:hAnsi="Times New Roman" w:cs="Times New Roman"/>
                <w:sz w:val="24"/>
                <w:szCs w:val="24"/>
              </w:rPr>
            </w:pPr>
            <w:r w:rsidRPr="00FC34FF">
              <w:rPr>
                <w:rFonts w:ascii="Times New Roman" w:hAnsi="Times New Roman" w:cs="Times New Roman"/>
                <w:sz w:val="24"/>
                <w:szCs w:val="24"/>
              </w:rPr>
              <w:lastRenderedPageBreak/>
              <w:t xml:space="preserve">Korekcijas par iepriekšējo </w:t>
            </w:r>
            <w:r w:rsidRPr="00FC34FF">
              <w:rPr>
                <w:rFonts w:ascii="Times New Roman" w:hAnsi="Times New Roman" w:cs="Times New Roman"/>
                <w:sz w:val="24"/>
                <w:szCs w:val="24"/>
              </w:rPr>
              <w:lastRenderedPageBreak/>
              <w:t>periodu neveic.</w:t>
            </w:r>
          </w:p>
        </w:tc>
        <w:tc>
          <w:tcPr>
            <w:tcW w:w="2693" w:type="dxa"/>
          </w:tcPr>
          <w:p w:rsidR="00523084" w:rsidRPr="00FC34FF" w:rsidRDefault="00523084" w:rsidP="00105CBB">
            <w:pPr>
              <w:rPr>
                <w:rFonts w:ascii="Times New Roman" w:hAnsi="Times New Roman" w:cs="Times New Roman"/>
                <w:sz w:val="24"/>
                <w:szCs w:val="24"/>
              </w:rPr>
            </w:pPr>
          </w:p>
        </w:tc>
      </w:tr>
      <w:tr w:rsidR="00523084" w:rsidRPr="00FC34FF" w:rsidTr="00AC65E8">
        <w:tc>
          <w:tcPr>
            <w:tcW w:w="1843" w:type="dxa"/>
            <w:vMerge w:val="restart"/>
          </w:tcPr>
          <w:p w:rsidR="00523084" w:rsidRPr="00FC34FF" w:rsidRDefault="00523084" w:rsidP="00105CBB">
            <w:pPr>
              <w:jc w:val="right"/>
              <w:rPr>
                <w:rFonts w:ascii="Times New Roman" w:hAnsi="Times New Roman" w:cs="Times New Roman"/>
                <w:b/>
                <w:sz w:val="24"/>
                <w:szCs w:val="24"/>
              </w:rPr>
            </w:pPr>
            <w:r w:rsidRPr="00FC34FF">
              <w:rPr>
                <w:rFonts w:ascii="Times New Roman" w:hAnsi="Times New Roman" w:cs="Times New Roman"/>
                <w:b/>
                <w:sz w:val="24"/>
                <w:szCs w:val="24"/>
              </w:rPr>
              <w:lastRenderedPageBreak/>
              <w:t>Izmaksa</w:t>
            </w:r>
          </w:p>
        </w:tc>
        <w:tc>
          <w:tcPr>
            <w:tcW w:w="1985" w:type="dxa"/>
          </w:tcPr>
          <w:p w:rsidR="00523084" w:rsidRPr="00FC34FF" w:rsidRDefault="00523084" w:rsidP="00105CBB">
            <w:pPr>
              <w:rPr>
                <w:rFonts w:ascii="Times New Roman" w:hAnsi="Times New Roman" w:cs="Times New Roman"/>
                <w:sz w:val="24"/>
                <w:szCs w:val="24"/>
              </w:rPr>
            </w:pPr>
            <w:r w:rsidRPr="00FC34FF">
              <w:rPr>
                <w:rFonts w:ascii="Times New Roman" w:hAnsi="Times New Roman" w:cs="Times New Roman"/>
                <w:sz w:val="24"/>
                <w:szCs w:val="24"/>
              </w:rPr>
              <w:t>14. Izmaksa [viena no] labuma guvēja nāves gadījumā</w:t>
            </w:r>
          </w:p>
        </w:tc>
        <w:tc>
          <w:tcPr>
            <w:tcW w:w="3260" w:type="dxa"/>
          </w:tcPr>
          <w:p w:rsidR="00523084" w:rsidRPr="00FC34FF" w:rsidRDefault="00523084" w:rsidP="00105CBB">
            <w:pPr>
              <w:rPr>
                <w:rFonts w:ascii="Times New Roman" w:hAnsi="Times New Roman" w:cs="Times New Roman"/>
                <w:sz w:val="24"/>
                <w:szCs w:val="24"/>
              </w:rPr>
            </w:pPr>
            <w:r w:rsidRPr="00FC34FF">
              <w:rPr>
                <w:rFonts w:ascii="Times New Roman" w:hAnsi="Times New Roman" w:cs="Times New Roman"/>
                <w:sz w:val="24"/>
                <w:szCs w:val="24"/>
              </w:rPr>
              <w:t>Gadījumā, ja labuma guvējs miris, izmaksu neveic, ja vien nav precizēts cits labuma guvējs.</w:t>
            </w:r>
          </w:p>
        </w:tc>
        <w:tc>
          <w:tcPr>
            <w:tcW w:w="2693" w:type="dxa"/>
          </w:tcPr>
          <w:p w:rsidR="00523084" w:rsidRPr="00FC34FF" w:rsidRDefault="00523084" w:rsidP="00105CBB">
            <w:pPr>
              <w:rPr>
                <w:rFonts w:ascii="Times New Roman" w:hAnsi="Times New Roman" w:cs="Times New Roman"/>
                <w:sz w:val="24"/>
                <w:szCs w:val="24"/>
              </w:rPr>
            </w:pPr>
          </w:p>
        </w:tc>
      </w:tr>
      <w:tr w:rsidR="00523084" w:rsidRPr="00FC34FF" w:rsidTr="00AC65E8">
        <w:tc>
          <w:tcPr>
            <w:tcW w:w="1843" w:type="dxa"/>
            <w:vMerge/>
            <w:vAlign w:val="center"/>
          </w:tcPr>
          <w:p w:rsidR="00523084" w:rsidRPr="00FC34FF" w:rsidRDefault="00523084" w:rsidP="00105CBB">
            <w:pPr>
              <w:jc w:val="right"/>
              <w:rPr>
                <w:rFonts w:ascii="Times New Roman" w:hAnsi="Times New Roman" w:cs="Times New Roman"/>
                <w:sz w:val="24"/>
                <w:szCs w:val="24"/>
              </w:rPr>
            </w:pPr>
          </w:p>
        </w:tc>
        <w:tc>
          <w:tcPr>
            <w:tcW w:w="1985" w:type="dxa"/>
          </w:tcPr>
          <w:p w:rsidR="00523084" w:rsidRPr="00FC34FF" w:rsidRDefault="00523084" w:rsidP="00105CBB">
            <w:pPr>
              <w:rPr>
                <w:rFonts w:ascii="Times New Roman" w:hAnsi="Times New Roman" w:cs="Times New Roman"/>
                <w:sz w:val="24"/>
                <w:szCs w:val="24"/>
              </w:rPr>
            </w:pPr>
            <w:r w:rsidRPr="00FC34FF">
              <w:rPr>
                <w:rFonts w:ascii="Times New Roman" w:hAnsi="Times New Roman" w:cs="Times New Roman"/>
                <w:sz w:val="24"/>
                <w:szCs w:val="24"/>
              </w:rPr>
              <w:t>15. Izmaksa vairāku bērnu vecākiem</w:t>
            </w:r>
          </w:p>
        </w:tc>
        <w:tc>
          <w:tcPr>
            <w:tcW w:w="3260" w:type="dxa"/>
          </w:tcPr>
          <w:p w:rsidR="00523084" w:rsidRPr="00FC34FF" w:rsidRDefault="00523084" w:rsidP="00105CBB">
            <w:pPr>
              <w:rPr>
                <w:rFonts w:ascii="Times New Roman" w:hAnsi="Times New Roman" w:cs="Times New Roman"/>
                <w:sz w:val="24"/>
                <w:szCs w:val="24"/>
              </w:rPr>
            </w:pPr>
            <w:r>
              <w:rPr>
                <w:rFonts w:ascii="Times New Roman" w:hAnsi="Times New Roman" w:cs="Times New Roman"/>
                <w:sz w:val="24"/>
                <w:szCs w:val="24"/>
              </w:rPr>
              <w:t>Lēmums un i</w:t>
            </w:r>
            <w:r w:rsidRPr="00FC34FF">
              <w:rPr>
                <w:rFonts w:ascii="Times New Roman" w:hAnsi="Times New Roman" w:cs="Times New Roman"/>
                <w:sz w:val="24"/>
                <w:szCs w:val="24"/>
              </w:rPr>
              <w:t>zmaksa</w:t>
            </w:r>
            <w:r>
              <w:rPr>
                <w:rFonts w:ascii="Times New Roman" w:hAnsi="Times New Roman" w:cs="Times New Roman"/>
                <w:sz w:val="24"/>
                <w:szCs w:val="24"/>
              </w:rPr>
              <w:t>,</w:t>
            </w:r>
            <w:r w:rsidRPr="00FC34FF">
              <w:rPr>
                <w:rFonts w:ascii="Times New Roman" w:hAnsi="Times New Roman" w:cs="Times New Roman"/>
                <w:sz w:val="24"/>
                <w:szCs w:val="24"/>
              </w:rPr>
              <w:t xml:space="preserve"> par </w:t>
            </w:r>
            <w:r>
              <w:rPr>
                <w:rFonts w:ascii="Times New Roman" w:hAnsi="Times New Roman" w:cs="Times New Roman"/>
                <w:sz w:val="24"/>
                <w:szCs w:val="24"/>
              </w:rPr>
              <w:t>katru bērna-iemaksu veicēja iemaksām atbilstoši</w:t>
            </w:r>
            <w:r w:rsidRPr="00FC34FF">
              <w:rPr>
                <w:rFonts w:ascii="Times New Roman" w:hAnsi="Times New Roman" w:cs="Times New Roman"/>
                <w:sz w:val="24"/>
                <w:szCs w:val="24"/>
              </w:rPr>
              <w:t xml:space="preserve"> aprēķi</w:t>
            </w:r>
            <w:r>
              <w:rPr>
                <w:rFonts w:ascii="Times New Roman" w:hAnsi="Times New Roman" w:cs="Times New Roman"/>
                <w:sz w:val="24"/>
                <w:szCs w:val="24"/>
              </w:rPr>
              <w:t>nāto piemaksu, tiek pieņemts un notiek atsevišķi.</w:t>
            </w:r>
          </w:p>
        </w:tc>
        <w:tc>
          <w:tcPr>
            <w:tcW w:w="2693" w:type="dxa"/>
          </w:tcPr>
          <w:p w:rsidR="00523084" w:rsidRDefault="00523084" w:rsidP="00105CBB">
            <w:pPr>
              <w:rPr>
                <w:rFonts w:ascii="Times New Roman" w:hAnsi="Times New Roman" w:cs="Times New Roman"/>
                <w:sz w:val="24"/>
                <w:szCs w:val="24"/>
              </w:rPr>
            </w:pPr>
          </w:p>
        </w:tc>
      </w:tr>
      <w:tr w:rsidR="00523084" w:rsidRPr="00FC34FF" w:rsidTr="00AC65E8">
        <w:tc>
          <w:tcPr>
            <w:tcW w:w="1843" w:type="dxa"/>
          </w:tcPr>
          <w:p w:rsidR="00523084" w:rsidRPr="00FC34FF" w:rsidRDefault="00523084" w:rsidP="00105CBB">
            <w:pPr>
              <w:jc w:val="right"/>
              <w:rPr>
                <w:rFonts w:ascii="Times New Roman" w:hAnsi="Times New Roman" w:cs="Times New Roman"/>
                <w:b/>
                <w:sz w:val="24"/>
                <w:szCs w:val="24"/>
              </w:rPr>
            </w:pPr>
            <w:r w:rsidRPr="00FC34FF">
              <w:rPr>
                <w:rFonts w:ascii="Times New Roman" w:hAnsi="Times New Roman" w:cs="Times New Roman"/>
                <w:b/>
                <w:sz w:val="24"/>
                <w:szCs w:val="24"/>
              </w:rPr>
              <w:t>Personu datu aizsardzība</w:t>
            </w:r>
          </w:p>
        </w:tc>
        <w:tc>
          <w:tcPr>
            <w:tcW w:w="1985" w:type="dxa"/>
          </w:tcPr>
          <w:p w:rsidR="00523084" w:rsidRPr="00FC34FF" w:rsidRDefault="00523084" w:rsidP="00105CBB">
            <w:pPr>
              <w:rPr>
                <w:rFonts w:ascii="Times New Roman" w:hAnsi="Times New Roman" w:cs="Times New Roman"/>
                <w:sz w:val="24"/>
                <w:szCs w:val="24"/>
              </w:rPr>
            </w:pPr>
            <w:r w:rsidRPr="00FC34FF">
              <w:rPr>
                <w:rFonts w:ascii="Times New Roman" w:hAnsi="Times New Roman" w:cs="Times New Roman"/>
                <w:sz w:val="24"/>
                <w:szCs w:val="24"/>
              </w:rPr>
              <w:t>16. Sociālās apdrošināšanas iemaksu maksātāja tiesības uz informācijas par ienākumiem neaizskaramību</w:t>
            </w:r>
          </w:p>
        </w:tc>
        <w:tc>
          <w:tcPr>
            <w:tcW w:w="3260" w:type="dxa"/>
          </w:tcPr>
          <w:p w:rsidR="00523084" w:rsidRPr="00FC34FF" w:rsidRDefault="00523084" w:rsidP="008259AB">
            <w:pPr>
              <w:rPr>
                <w:rFonts w:ascii="Times New Roman" w:hAnsi="Times New Roman" w:cs="Times New Roman"/>
                <w:sz w:val="24"/>
                <w:szCs w:val="24"/>
              </w:rPr>
            </w:pPr>
            <w:r>
              <w:rPr>
                <w:rFonts w:ascii="Times New Roman" w:hAnsi="Times New Roman" w:cs="Times New Roman"/>
                <w:sz w:val="24"/>
                <w:szCs w:val="24"/>
              </w:rPr>
              <w:t>Bērnam-iemaksu</w:t>
            </w:r>
            <w:r w:rsidRPr="00FC34FF">
              <w:rPr>
                <w:rFonts w:ascii="Times New Roman" w:hAnsi="Times New Roman" w:cs="Times New Roman"/>
                <w:sz w:val="24"/>
                <w:szCs w:val="24"/>
              </w:rPr>
              <w:t xml:space="preserve"> </w:t>
            </w:r>
            <w:r w:rsidR="008259AB">
              <w:rPr>
                <w:rFonts w:ascii="Times New Roman" w:hAnsi="Times New Roman" w:cs="Times New Roman"/>
                <w:sz w:val="24"/>
                <w:szCs w:val="24"/>
              </w:rPr>
              <w:t>veicējam</w:t>
            </w:r>
            <w:r w:rsidRPr="00FC34FF">
              <w:rPr>
                <w:rFonts w:ascii="Times New Roman" w:hAnsi="Times New Roman" w:cs="Times New Roman"/>
                <w:sz w:val="24"/>
                <w:szCs w:val="24"/>
              </w:rPr>
              <w:t xml:space="preserve"> iesniegumā jānorāda piekrišana, ka labuma guvējs, saņemot piemaksu, tiks netieši informēts par tā ienākumiem.</w:t>
            </w:r>
          </w:p>
        </w:tc>
        <w:tc>
          <w:tcPr>
            <w:tcW w:w="2693" w:type="dxa"/>
          </w:tcPr>
          <w:p w:rsidR="00523084" w:rsidRPr="00FC34FF" w:rsidRDefault="008773BF" w:rsidP="00105CBB">
            <w:pPr>
              <w:rPr>
                <w:rFonts w:ascii="Times New Roman" w:hAnsi="Times New Roman" w:cs="Times New Roman"/>
                <w:sz w:val="24"/>
                <w:szCs w:val="24"/>
              </w:rPr>
            </w:pPr>
            <w:r>
              <w:rPr>
                <w:rFonts w:ascii="Times New Roman" w:hAnsi="Times New Roman" w:cs="Times New Roman"/>
                <w:sz w:val="24"/>
                <w:szCs w:val="24"/>
              </w:rPr>
              <w:t>Tā kā piemaksa sastādīs 1% no bērna-iemaksu veicēja algas, nepieciešama piekrišana, ka šie dati, izmaksājot piemaksu, tiks netieši izpausti labuma guvējam.</w:t>
            </w:r>
          </w:p>
        </w:tc>
      </w:tr>
    </w:tbl>
    <w:p w:rsidR="00523084" w:rsidRPr="00523084" w:rsidRDefault="00523084" w:rsidP="006306B1">
      <w:pPr>
        <w:jc w:val="both"/>
        <w:rPr>
          <w:rFonts w:ascii="Times New Roman" w:hAnsi="Times New Roman" w:cs="Times New Roman"/>
          <w:b/>
          <w:sz w:val="24"/>
          <w:szCs w:val="24"/>
        </w:rPr>
      </w:pPr>
    </w:p>
    <w:sectPr w:rsidR="00523084" w:rsidRPr="00523084" w:rsidSect="00195EA8">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833" w:rsidRDefault="00C45833" w:rsidP="003527A8">
      <w:pPr>
        <w:spacing w:after="0" w:line="240" w:lineRule="auto"/>
      </w:pPr>
      <w:r>
        <w:separator/>
      </w:r>
    </w:p>
  </w:endnote>
  <w:endnote w:type="continuationSeparator" w:id="0">
    <w:p w:rsidR="00C45833" w:rsidRDefault="00C45833" w:rsidP="00352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9B5" w:rsidRPr="00C439B5" w:rsidRDefault="00C439B5">
    <w:pPr>
      <w:pStyle w:val="Footer"/>
      <w:rPr>
        <w:rFonts w:ascii="Times New Roman" w:hAnsi="Times New Roman" w:cs="Times New Roman"/>
      </w:rPr>
    </w:pPr>
    <w:r>
      <w:rPr>
        <w:rFonts w:ascii="Times New Roman" w:hAnsi="Times New Roman" w:cs="Times New Roman"/>
        <w:sz w:val="24"/>
        <w:szCs w:val="24"/>
      </w:rPr>
      <w:t>LM</w:t>
    </w:r>
    <w:r w:rsidR="00377EEE">
      <w:rPr>
        <w:rFonts w:ascii="Times New Roman" w:hAnsi="Times New Roman" w:cs="Times New Roman"/>
        <w:sz w:val="24"/>
        <w:szCs w:val="24"/>
      </w:rPr>
      <w:t>zin</w:t>
    </w:r>
    <w:r>
      <w:rPr>
        <w:rFonts w:ascii="Times New Roman" w:hAnsi="Times New Roman" w:cs="Times New Roman"/>
        <w:sz w:val="24"/>
        <w:szCs w:val="24"/>
      </w:rPr>
      <w:t xml:space="preserve">_250618; </w:t>
    </w:r>
    <w:r w:rsidRPr="00C439B5">
      <w:rPr>
        <w:rFonts w:ascii="Times New Roman" w:hAnsi="Times New Roman" w:cs="Times New Roman"/>
        <w:sz w:val="24"/>
        <w:szCs w:val="24"/>
      </w:rPr>
      <w:t>Informatīvais ziņojums „Par senioru dzīves kvalitātes uzlabošanu”</w:t>
    </w:r>
  </w:p>
  <w:p w:rsidR="00C439B5" w:rsidRDefault="00C439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7F" w:rsidRPr="0064087F" w:rsidRDefault="0064087F">
    <w:pPr>
      <w:pStyle w:val="Footer"/>
      <w:rPr>
        <w:rFonts w:ascii="Times New Roman" w:hAnsi="Times New Roman" w:cs="Times New Roman"/>
      </w:rPr>
    </w:pPr>
    <w:r>
      <w:rPr>
        <w:rFonts w:ascii="Times New Roman" w:hAnsi="Times New Roman" w:cs="Times New Roman"/>
        <w:sz w:val="24"/>
        <w:szCs w:val="24"/>
      </w:rPr>
      <w:t xml:space="preserve">LMzin_250618; </w:t>
    </w:r>
    <w:r w:rsidRPr="00C439B5">
      <w:rPr>
        <w:rFonts w:ascii="Times New Roman" w:hAnsi="Times New Roman" w:cs="Times New Roman"/>
        <w:sz w:val="24"/>
        <w:szCs w:val="24"/>
      </w:rPr>
      <w:t>Informatīvais ziņojums „Par senioru dzīves kvalitātes uzlabošanu”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833" w:rsidRDefault="00C45833" w:rsidP="003527A8">
      <w:pPr>
        <w:spacing w:after="0" w:line="240" w:lineRule="auto"/>
      </w:pPr>
      <w:r>
        <w:separator/>
      </w:r>
    </w:p>
  </w:footnote>
  <w:footnote w:type="continuationSeparator" w:id="0">
    <w:p w:rsidR="00C45833" w:rsidRDefault="00C45833" w:rsidP="003527A8">
      <w:pPr>
        <w:spacing w:after="0" w:line="240" w:lineRule="auto"/>
      </w:pPr>
      <w:r>
        <w:continuationSeparator/>
      </w:r>
    </w:p>
  </w:footnote>
  <w:footnote w:id="1">
    <w:p w:rsidR="0070116F" w:rsidRPr="00A75DCC" w:rsidRDefault="0070116F" w:rsidP="00AC0FE5">
      <w:pPr>
        <w:pStyle w:val="Heading3"/>
        <w:shd w:val="clear" w:color="auto" w:fill="FFFFFF"/>
        <w:spacing w:before="0" w:beforeAutospacing="0" w:after="0" w:afterAutospacing="0" w:line="264" w:lineRule="atLeast"/>
        <w:rPr>
          <w:rFonts w:eastAsiaTheme="minorHAnsi"/>
          <w:b w:val="0"/>
          <w:bCs w:val="0"/>
          <w:sz w:val="20"/>
          <w:szCs w:val="20"/>
          <w:lang w:eastAsia="en-US"/>
        </w:rPr>
      </w:pPr>
      <w:r w:rsidRPr="00AC0FE5">
        <w:rPr>
          <w:rStyle w:val="FootnoteReference"/>
          <w:rFonts w:eastAsiaTheme="minorHAnsi"/>
          <w:b w:val="0"/>
          <w:bCs w:val="0"/>
          <w:sz w:val="20"/>
          <w:szCs w:val="20"/>
          <w:lang w:eastAsia="en-US"/>
        </w:rPr>
        <w:footnoteRef/>
      </w:r>
      <w:r>
        <w:t xml:space="preserve"> </w:t>
      </w:r>
      <w:r w:rsidR="00AC0FE5" w:rsidRPr="00AC0FE5">
        <w:rPr>
          <w:rFonts w:eastAsiaTheme="minorHAnsi"/>
          <w:b w:val="0"/>
          <w:bCs w:val="0"/>
          <w:sz w:val="20"/>
          <w:szCs w:val="20"/>
          <w:lang w:eastAsia="en-US"/>
        </w:rPr>
        <w:t xml:space="preserve">Pension adequacy report 2018, Volume II. Country profiles </w:t>
      </w:r>
      <w:r w:rsidR="00FE6D53" w:rsidRPr="00AC0FE5">
        <w:rPr>
          <w:rFonts w:eastAsiaTheme="minorHAnsi"/>
          <w:b w:val="0"/>
          <w:bCs w:val="0"/>
          <w:sz w:val="20"/>
          <w:szCs w:val="20"/>
          <w:lang w:eastAsia="en-US"/>
        </w:rPr>
        <w:t>132.</w:t>
      </w:r>
      <w:r w:rsidR="00B2176A">
        <w:rPr>
          <w:rFonts w:eastAsiaTheme="minorHAnsi"/>
          <w:b w:val="0"/>
          <w:bCs w:val="0"/>
          <w:sz w:val="20"/>
          <w:szCs w:val="20"/>
          <w:lang w:eastAsia="en-US"/>
        </w:rPr>
        <w:t>lpp</w:t>
      </w:r>
      <w:r w:rsidR="00FE6D53" w:rsidRPr="00AC0FE5">
        <w:rPr>
          <w:rFonts w:eastAsiaTheme="minorHAnsi"/>
          <w:b w:val="0"/>
          <w:bCs w:val="0"/>
          <w:sz w:val="20"/>
          <w:szCs w:val="20"/>
          <w:lang w:eastAsia="en-US"/>
        </w:rPr>
        <w:t>, skatīt:</w:t>
      </w:r>
      <w:r w:rsidR="00FE6D53" w:rsidRPr="00AC0FE5">
        <w:rPr>
          <w:rFonts w:asciiTheme="minorHAnsi" w:eastAsiaTheme="minorHAnsi" w:hAnsiTheme="minorHAnsi" w:cstheme="minorBidi"/>
          <w:b w:val="0"/>
          <w:bCs w:val="0"/>
          <w:sz w:val="20"/>
          <w:szCs w:val="20"/>
          <w:lang w:eastAsia="en-US"/>
        </w:rPr>
        <w:t xml:space="preserve"> </w:t>
      </w:r>
      <w:hyperlink r:id="rId1" w:history="1">
        <w:r w:rsidR="00B40834" w:rsidRPr="00A75DCC">
          <w:rPr>
            <w:rStyle w:val="Hyperlink"/>
            <w:rFonts w:eastAsiaTheme="minorHAnsi"/>
            <w:b w:val="0"/>
            <w:bCs w:val="0"/>
            <w:color w:val="auto"/>
            <w:sz w:val="20"/>
            <w:szCs w:val="20"/>
            <w:u w:val="none"/>
            <w:lang w:eastAsia="en-US"/>
          </w:rPr>
          <w:t>http://ec.europa.eu/social/main.jsp?catId=738&amp;langId=en&amp;pubId=8085&amp;furtherPubs=yes</w:t>
        </w:r>
      </w:hyperlink>
      <w:r w:rsidR="00B40834" w:rsidRPr="00A75DCC">
        <w:rPr>
          <w:rFonts w:eastAsiaTheme="minorHAnsi"/>
          <w:b w:val="0"/>
          <w:bCs w:val="0"/>
          <w:sz w:val="20"/>
          <w:szCs w:val="20"/>
          <w:lang w:eastAsia="en-US"/>
        </w:rPr>
        <w:t xml:space="preserve"> </w:t>
      </w:r>
    </w:p>
  </w:footnote>
  <w:footnote w:id="2">
    <w:p w:rsidR="001E6DE8" w:rsidRDefault="001E6DE8">
      <w:pPr>
        <w:pStyle w:val="FootnoteText"/>
      </w:pPr>
      <w:r>
        <w:rPr>
          <w:rStyle w:val="FootnoteReference"/>
        </w:rPr>
        <w:footnoteRef/>
      </w:r>
      <w:r>
        <w:t xml:space="preserve"> </w:t>
      </w:r>
      <w:r w:rsidRPr="00CE424F">
        <w:rPr>
          <w:rFonts w:ascii="Times New Roman" w:hAnsi="Times New Roman" w:cs="Times New Roman"/>
        </w:rPr>
        <w:t>OECD Reviews of Pension Systems: Latvia</w:t>
      </w:r>
      <w:r w:rsidR="00B2176A" w:rsidRPr="00CE424F">
        <w:rPr>
          <w:rFonts w:ascii="Times New Roman" w:hAnsi="Times New Roman" w:cs="Times New Roman"/>
        </w:rPr>
        <w:t xml:space="preserve">. 2018, 40.lpp., skatīt: </w:t>
      </w:r>
      <w:hyperlink r:id="rId2" w:history="1">
        <w:r w:rsidR="00CE424F" w:rsidRPr="00CE424F">
          <w:rPr>
            <w:rFonts w:ascii="Times New Roman" w:hAnsi="Times New Roman" w:cs="Times New Roman"/>
          </w:rPr>
          <w:t>http://www.oecd.org/latvia/oecd-reviews-of-pension-systems-latvia-9789264289390-en.htm</w:t>
        </w:r>
      </w:hyperlink>
    </w:p>
  </w:footnote>
  <w:footnote w:id="3">
    <w:p w:rsidR="00B07B58" w:rsidRDefault="00B07B58">
      <w:pPr>
        <w:pStyle w:val="FootnoteText"/>
      </w:pPr>
      <w:r>
        <w:rPr>
          <w:rStyle w:val="FootnoteReference"/>
        </w:rPr>
        <w:footnoteRef/>
      </w:r>
      <w:r>
        <w:t xml:space="preserve"> </w:t>
      </w:r>
      <w:r w:rsidRPr="00740BC0">
        <w:rPr>
          <w:rFonts w:ascii="Times New Roman" w:hAnsi="Times New Roman" w:cs="Times New Roman"/>
        </w:rPr>
        <w:t>Labklājības m</w:t>
      </w:r>
      <w:r>
        <w:rPr>
          <w:rFonts w:ascii="Times New Roman" w:hAnsi="Times New Roman" w:cs="Times New Roman"/>
        </w:rPr>
        <w:t>inistra 2017.gada 23.novembra r</w:t>
      </w:r>
      <w:r w:rsidRPr="00740BC0">
        <w:rPr>
          <w:rFonts w:ascii="Times New Roman" w:hAnsi="Times New Roman" w:cs="Times New Roman"/>
        </w:rPr>
        <w:t>īkojums Nr.99.</w:t>
      </w:r>
    </w:p>
  </w:footnote>
  <w:footnote w:id="4">
    <w:p w:rsidR="00267862" w:rsidRPr="00740BC0" w:rsidRDefault="00267862" w:rsidP="00267862">
      <w:pPr>
        <w:pStyle w:val="FootnoteText"/>
        <w:rPr>
          <w:rFonts w:ascii="Times New Roman" w:hAnsi="Times New Roman" w:cs="Times New Roman"/>
        </w:rPr>
      </w:pPr>
      <w:r w:rsidRPr="00740BC0">
        <w:rPr>
          <w:rStyle w:val="FootnoteReference"/>
          <w:rFonts w:ascii="Times New Roman" w:hAnsi="Times New Roman" w:cs="Times New Roman"/>
        </w:rPr>
        <w:footnoteRef/>
      </w:r>
      <w:r w:rsidRPr="00740BC0">
        <w:rPr>
          <w:rFonts w:ascii="Times New Roman" w:hAnsi="Times New Roman" w:cs="Times New Roman"/>
        </w:rPr>
        <w:t xml:space="preserve"> Atbilstoši 2017.gada 12 mēnešu valsts budžeta analīzei</w:t>
      </w:r>
    </w:p>
  </w:footnote>
  <w:footnote w:id="5">
    <w:p w:rsidR="00214F47" w:rsidRPr="00740BC0" w:rsidRDefault="00214F47" w:rsidP="00214F47">
      <w:pPr>
        <w:pStyle w:val="FootnoteText"/>
        <w:rPr>
          <w:rFonts w:ascii="Times New Roman" w:hAnsi="Times New Roman" w:cs="Times New Roman"/>
        </w:rPr>
      </w:pPr>
      <w:r w:rsidRPr="00740BC0">
        <w:rPr>
          <w:rStyle w:val="FootnoteReference"/>
          <w:rFonts w:ascii="Times New Roman" w:hAnsi="Times New Roman" w:cs="Times New Roman"/>
        </w:rPr>
        <w:footnoteRef/>
      </w:r>
      <w:r w:rsidRPr="00740BC0">
        <w:rPr>
          <w:rFonts w:ascii="Times New Roman" w:hAnsi="Times New Roman" w:cs="Times New Roman"/>
        </w:rPr>
        <w:t xml:space="preserve"> Datu avots: Valsts sociālās apdrošināšanas aģentūras statistikas dati par 2017.gadu.</w:t>
      </w:r>
    </w:p>
  </w:footnote>
  <w:footnote w:id="6">
    <w:p w:rsidR="00964532" w:rsidRDefault="00964532" w:rsidP="00964532">
      <w:pPr>
        <w:pStyle w:val="FootnoteText"/>
      </w:pPr>
      <w:r w:rsidRPr="006D0ABE">
        <w:rPr>
          <w:rStyle w:val="FootnoteReference"/>
          <w:rFonts w:ascii="Times New Roman" w:hAnsi="Times New Roman" w:cs="Times New Roman"/>
        </w:rPr>
        <w:footnoteRef/>
      </w:r>
      <w:r w:rsidRPr="006D0ABE">
        <w:rPr>
          <w:rFonts w:ascii="Times New Roman" w:hAnsi="Times New Roman" w:cs="Times New Roman"/>
        </w:rPr>
        <w:t xml:space="preserve"> </w:t>
      </w:r>
      <w:r w:rsidRPr="00716631">
        <w:rPr>
          <w:rFonts w:ascii="Times New Roman" w:hAnsi="Times New Roman" w:cs="Times New Roman"/>
        </w:rPr>
        <w:t>Uzskaitē esošie pensionāri pret obligāti sociāli apdrošinātajām personām, gada beigās.</w:t>
      </w:r>
    </w:p>
  </w:footnote>
  <w:footnote w:id="7">
    <w:p w:rsidR="006D0ABE" w:rsidRPr="00740BC0" w:rsidRDefault="00E30A72" w:rsidP="006D0ABE">
      <w:pPr>
        <w:pStyle w:val="FootnoteText"/>
        <w:jc w:val="both"/>
        <w:rPr>
          <w:rFonts w:ascii="Times New Roman" w:hAnsi="Times New Roman" w:cs="Times New Roman"/>
        </w:rPr>
      </w:pPr>
      <w:r w:rsidRPr="006D0ABE">
        <w:rPr>
          <w:rStyle w:val="FootnoteReference"/>
          <w:rFonts w:ascii="Times New Roman" w:hAnsi="Times New Roman" w:cs="Times New Roman"/>
        </w:rPr>
        <w:footnoteRef/>
      </w:r>
      <w:r w:rsidRPr="006D0ABE">
        <w:rPr>
          <w:rFonts w:ascii="Times New Roman" w:hAnsi="Times New Roman" w:cs="Times New Roman"/>
        </w:rPr>
        <w:t xml:space="preserve"> </w:t>
      </w:r>
      <w:r w:rsidR="006D0ABE" w:rsidRPr="00740BC0">
        <w:rPr>
          <w:rFonts w:ascii="Times New Roman" w:hAnsi="Times New Roman" w:cs="Times New Roman"/>
        </w:rPr>
        <w:t>OECD (2018), OECD Reviews of Pension Systems: Latvia, OECD Publishing, Paris,</w:t>
      </w:r>
    </w:p>
    <w:p w:rsidR="00E30A72" w:rsidRDefault="006D0ABE" w:rsidP="006D0ABE">
      <w:pPr>
        <w:pStyle w:val="FootnoteText"/>
      </w:pPr>
      <w:r w:rsidRPr="00740BC0">
        <w:rPr>
          <w:rFonts w:ascii="Times New Roman" w:hAnsi="Times New Roman" w:cs="Times New Roman"/>
          <w:i/>
          <w:iCs/>
          <w:sz w:val="18"/>
          <w:szCs w:val="16"/>
        </w:rPr>
        <w:t>http://dx.doi.org/10.1787/9789264289390-en</w:t>
      </w:r>
    </w:p>
  </w:footnote>
  <w:footnote w:id="8">
    <w:p w:rsidR="001C47BA" w:rsidRPr="00740BC0" w:rsidRDefault="003527A8">
      <w:pPr>
        <w:pStyle w:val="FootnoteText"/>
        <w:rPr>
          <w:rFonts w:ascii="Times New Roman" w:hAnsi="Times New Roman" w:cs="Times New Roman"/>
        </w:rPr>
      </w:pPr>
      <w:r w:rsidRPr="00740BC0">
        <w:rPr>
          <w:rStyle w:val="FootnoteReference"/>
          <w:rFonts w:ascii="Times New Roman" w:hAnsi="Times New Roman" w:cs="Times New Roman"/>
        </w:rPr>
        <w:footnoteRef/>
      </w:r>
      <w:r w:rsidRPr="00740BC0">
        <w:rPr>
          <w:rFonts w:ascii="Times New Roman" w:hAnsi="Times New Roman" w:cs="Times New Roman"/>
        </w:rPr>
        <w:t xml:space="preserve"> F</w:t>
      </w:r>
      <w:r w:rsidR="004A468B">
        <w:rPr>
          <w:rFonts w:ascii="Times New Roman" w:hAnsi="Times New Roman" w:cs="Times New Roman"/>
        </w:rPr>
        <w:t>inanšu ministrijas</w:t>
      </w:r>
      <w:r w:rsidRPr="00740BC0">
        <w:rPr>
          <w:rFonts w:ascii="Times New Roman" w:hAnsi="Times New Roman" w:cs="Times New Roman"/>
        </w:rPr>
        <w:t xml:space="preserve"> apkopotās atziņas par ēnu ekonomiku no semināriem un konferencēm u.c., </w:t>
      </w:r>
      <w:r w:rsidRPr="00740BC0">
        <w:rPr>
          <w:rFonts w:ascii="Times New Roman" w:hAnsi="Times New Roman" w:cs="Times New Roman"/>
          <w:i/>
        </w:rPr>
        <w:t>Nodokļu politikas pamatnostādņu 2018-2020.gadam pielikums „Esošās situācijas raksturojums”</w:t>
      </w:r>
      <w:r w:rsidRPr="00740BC0">
        <w:rPr>
          <w:rFonts w:ascii="Times New Roman" w:hAnsi="Times New Roman" w:cs="Times New Roman"/>
        </w:rPr>
        <w:t xml:space="preserve">, 252.lpp.; </w:t>
      </w:r>
    </w:p>
    <w:p w:rsidR="003527A8" w:rsidRPr="00740BC0" w:rsidRDefault="003527A8">
      <w:pPr>
        <w:pStyle w:val="FootnoteText"/>
        <w:rPr>
          <w:rFonts w:ascii="Times New Roman" w:hAnsi="Times New Roman" w:cs="Times New Roman"/>
        </w:rPr>
      </w:pPr>
      <w:r w:rsidRPr="00740BC0">
        <w:rPr>
          <w:rFonts w:ascii="Times New Roman" w:hAnsi="Times New Roman" w:cs="Times New Roman"/>
        </w:rPr>
        <w:t xml:space="preserve">skatīt: </w:t>
      </w:r>
      <w:hyperlink r:id="rId3" w:history="1">
        <w:r w:rsidR="00C52C9B" w:rsidRPr="00740BC0">
          <w:rPr>
            <w:rStyle w:val="Hyperlink"/>
            <w:rFonts w:ascii="Times New Roman" w:hAnsi="Times New Roman" w:cs="Times New Roman"/>
          </w:rPr>
          <w:t>http://www.fm.gov.lv/files/nodoklupolitika/FMPamnp_02%2005%202017.pdf</w:t>
        </w:r>
      </w:hyperlink>
      <w:r w:rsidR="00C52C9B" w:rsidRPr="00740BC0">
        <w:rPr>
          <w:rFonts w:ascii="Times New Roman" w:hAnsi="Times New Roman" w:cs="Times New Roman"/>
        </w:rPr>
        <w:t xml:space="preserve"> </w:t>
      </w:r>
    </w:p>
  </w:footnote>
  <w:footnote w:id="9">
    <w:p w:rsidR="00F2493E" w:rsidRPr="00740BC0" w:rsidRDefault="00F2493E">
      <w:pPr>
        <w:pStyle w:val="FootnoteText"/>
        <w:rPr>
          <w:rFonts w:ascii="Times New Roman" w:hAnsi="Times New Roman" w:cs="Times New Roman"/>
        </w:rPr>
      </w:pPr>
      <w:r w:rsidRPr="00740BC0">
        <w:rPr>
          <w:rStyle w:val="FootnoteReference"/>
          <w:rFonts w:ascii="Times New Roman" w:hAnsi="Times New Roman" w:cs="Times New Roman"/>
        </w:rPr>
        <w:footnoteRef/>
      </w:r>
      <w:r w:rsidRPr="00740BC0">
        <w:rPr>
          <w:rFonts w:ascii="Times New Roman" w:hAnsi="Times New Roman" w:cs="Times New Roman"/>
        </w:rPr>
        <w:t xml:space="preserve"> Turpat, 253.lpp.;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122540"/>
      <w:docPartObj>
        <w:docPartGallery w:val="Page Numbers (Top of Page)"/>
        <w:docPartUnique/>
      </w:docPartObj>
    </w:sdtPr>
    <w:sdtEndPr>
      <w:rPr>
        <w:noProof/>
      </w:rPr>
    </w:sdtEndPr>
    <w:sdtContent>
      <w:p w:rsidR="00195EA8" w:rsidRDefault="00195EA8">
        <w:pPr>
          <w:pStyle w:val="Header"/>
          <w:jc w:val="center"/>
        </w:pPr>
        <w:r>
          <w:fldChar w:fldCharType="begin"/>
        </w:r>
        <w:r>
          <w:instrText xml:space="preserve"> PAGE   \* MERGEFORMAT </w:instrText>
        </w:r>
        <w:r>
          <w:fldChar w:fldCharType="separate"/>
        </w:r>
        <w:r w:rsidR="006B2591">
          <w:rPr>
            <w:noProof/>
          </w:rPr>
          <w:t>8</w:t>
        </w:r>
        <w:r>
          <w:rPr>
            <w:noProof/>
          </w:rPr>
          <w:fldChar w:fldCharType="end"/>
        </w:r>
      </w:p>
    </w:sdtContent>
  </w:sdt>
  <w:p w:rsidR="00195EA8" w:rsidRDefault="00195E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611"/>
    <w:multiLevelType w:val="hybridMultilevel"/>
    <w:tmpl w:val="C680A5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D8D605C"/>
    <w:multiLevelType w:val="hybridMultilevel"/>
    <w:tmpl w:val="CAFA6A8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nsid w:val="1E1E09F0"/>
    <w:multiLevelType w:val="hybridMultilevel"/>
    <w:tmpl w:val="4D449E96"/>
    <w:lvl w:ilvl="0" w:tplc="D134796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7F1D62A9"/>
    <w:multiLevelType w:val="hybridMultilevel"/>
    <w:tmpl w:val="86609A4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63"/>
    <w:rsid w:val="00002463"/>
    <w:rsid w:val="0001215A"/>
    <w:rsid w:val="00012890"/>
    <w:rsid w:val="000138C8"/>
    <w:rsid w:val="00017DE0"/>
    <w:rsid w:val="000210FE"/>
    <w:rsid w:val="000213AA"/>
    <w:rsid w:val="00022AF1"/>
    <w:rsid w:val="00024F23"/>
    <w:rsid w:val="0003464A"/>
    <w:rsid w:val="00035071"/>
    <w:rsid w:val="00041642"/>
    <w:rsid w:val="00060899"/>
    <w:rsid w:val="00063EEA"/>
    <w:rsid w:val="000708F5"/>
    <w:rsid w:val="00071482"/>
    <w:rsid w:val="00075C07"/>
    <w:rsid w:val="00080806"/>
    <w:rsid w:val="00080C63"/>
    <w:rsid w:val="00087738"/>
    <w:rsid w:val="00096B15"/>
    <w:rsid w:val="00097595"/>
    <w:rsid w:val="00097644"/>
    <w:rsid w:val="000A7A3D"/>
    <w:rsid w:val="000A7DD0"/>
    <w:rsid w:val="000B5A60"/>
    <w:rsid w:val="000B658F"/>
    <w:rsid w:val="000B6B4A"/>
    <w:rsid w:val="000C1055"/>
    <w:rsid w:val="000C1764"/>
    <w:rsid w:val="000C5067"/>
    <w:rsid w:val="000D3911"/>
    <w:rsid w:val="000D3BB0"/>
    <w:rsid w:val="000D6CED"/>
    <w:rsid w:val="000E0265"/>
    <w:rsid w:val="000E58E3"/>
    <w:rsid w:val="000F05C6"/>
    <w:rsid w:val="000F5722"/>
    <w:rsid w:val="00102C6D"/>
    <w:rsid w:val="00102D6A"/>
    <w:rsid w:val="001033D9"/>
    <w:rsid w:val="0010528D"/>
    <w:rsid w:val="00106402"/>
    <w:rsid w:val="0012100F"/>
    <w:rsid w:val="00121DDE"/>
    <w:rsid w:val="001237F4"/>
    <w:rsid w:val="0013196D"/>
    <w:rsid w:val="00137507"/>
    <w:rsid w:val="001468C4"/>
    <w:rsid w:val="00146C2B"/>
    <w:rsid w:val="00147DFD"/>
    <w:rsid w:val="001575EB"/>
    <w:rsid w:val="001614FD"/>
    <w:rsid w:val="00165D04"/>
    <w:rsid w:val="00170E75"/>
    <w:rsid w:val="0017247D"/>
    <w:rsid w:val="00187CA6"/>
    <w:rsid w:val="00187DFC"/>
    <w:rsid w:val="00191240"/>
    <w:rsid w:val="0019370A"/>
    <w:rsid w:val="00193A08"/>
    <w:rsid w:val="00195EA8"/>
    <w:rsid w:val="001A07D7"/>
    <w:rsid w:val="001B6EBA"/>
    <w:rsid w:val="001B7A4E"/>
    <w:rsid w:val="001C47BA"/>
    <w:rsid w:val="001D1448"/>
    <w:rsid w:val="001D4BC2"/>
    <w:rsid w:val="001D61A5"/>
    <w:rsid w:val="001E1376"/>
    <w:rsid w:val="001E1C64"/>
    <w:rsid w:val="001E3D95"/>
    <w:rsid w:val="001E6DE8"/>
    <w:rsid w:val="001F07EB"/>
    <w:rsid w:val="001F393A"/>
    <w:rsid w:val="001F54BA"/>
    <w:rsid w:val="001F7095"/>
    <w:rsid w:val="00201874"/>
    <w:rsid w:val="002047A7"/>
    <w:rsid w:val="00204AB2"/>
    <w:rsid w:val="00205770"/>
    <w:rsid w:val="00213956"/>
    <w:rsid w:val="00214F47"/>
    <w:rsid w:val="002165F6"/>
    <w:rsid w:val="002212B3"/>
    <w:rsid w:val="00225994"/>
    <w:rsid w:val="00237CA9"/>
    <w:rsid w:val="00240293"/>
    <w:rsid w:val="0025378E"/>
    <w:rsid w:val="002613D8"/>
    <w:rsid w:val="00265614"/>
    <w:rsid w:val="00267862"/>
    <w:rsid w:val="00267CEA"/>
    <w:rsid w:val="00285E38"/>
    <w:rsid w:val="00286604"/>
    <w:rsid w:val="00294D94"/>
    <w:rsid w:val="002A046A"/>
    <w:rsid w:val="002A1FF9"/>
    <w:rsid w:val="002A3571"/>
    <w:rsid w:val="002A3845"/>
    <w:rsid w:val="002A38CA"/>
    <w:rsid w:val="002A789F"/>
    <w:rsid w:val="002A7CBA"/>
    <w:rsid w:val="002C23C1"/>
    <w:rsid w:val="002D13C9"/>
    <w:rsid w:val="002F3487"/>
    <w:rsid w:val="00302CC7"/>
    <w:rsid w:val="003033E5"/>
    <w:rsid w:val="003069F5"/>
    <w:rsid w:val="00307407"/>
    <w:rsid w:val="003075FC"/>
    <w:rsid w:val="003137FB"/>
    <w:rsid w:val="003221D7"/>
    <w:rsid w:val="00322E96"/>
    <w:rsid w:val="003266C1"/>
    <w:rsid w:val="00330E21"/>
    <w:rsid w:val="00333519"/>
    <w:rsid w:val="00334BB7"/>
    <w:rsid w:val="003472BD"/>
    <w:rsid w:val="003527A8"/>
    <w:rsid w:val="003570EF"/>
    <w:rsid w:val="0036217D"/>
    <w:rsid w:val="003648B9"/>
    <w:rsid w:val="00370659"/>
    <w:rsid w:val="00372A1C"/>
    <w:rsid w:val="0037776F"/>
    <w:rsid w:val="00377EEE"/>
    <w:rsid w:val="0038021C"/>
    <w:rsid w:val="00380E25"/>
    <w:rsid w:val="0038486C"/>
    <w:rsid w:val="003927C8"/>
    <w:rsid w:val="00396DD6"/>
    <w:rsid w:val="00397586"/>
    <w:rsid w:val="003B351A"/>
    <w:rsid w:val="003B5DEC"/>
    <w:rsid w:val="003C2CB4"/>
    <w:rsid w:val="003D1784"/>
    <w:rsid w:val="003D5FD0"/>
    <w:rsid w:val="003E2BA7"/>
    <w:rsid w:val="003E566C"/>
    <w:rsid w:val="003F5559"/>
    <w:rsid w:val="003F6C12"/>
    <w:rsid w:val="00401B55"/>
    <w:rsid w:val="00411643"/>
    <w:rsid w:val="0041515F"/>
    <w:rsid w:val="004171E9"/>
    <w:rsid w:val="00417F72"/>
    <w:rsid w:val="00426480"/>
    <w:rsid w:val="0042736F"/>
    <w:rsid w:val="00430921"/>
    <w:rsid w:val="00435D68"/>
    <w:rsid w:val="004476DF"/>
    <w:rsid w:val="004477E6"/>
    <w:rsid w:val="0045157D"/>
    <w:rsid w:val="00452ACB"/>
    <w:rsid w:val="00452CB9"/>
    <w:rsid w:val="00467BBD"/>
    <w:rsid w:val="00471B1F"/>
    <w:rsid w:val="0047262D"/>
    <w:rsid w:val="00492728"/>
    <w:rsid w:val="004943F3"/>
    <w:rsid w:val="004A468B"/>
    <w:rsid w:val="004A6400"/>
    <w:rsid w:val="004B18B3"/>
    <w:rsid w:val="004B4A01"/>
    <w:rsid w:val="004B4A47"/>
    <w:rsid w:val="004B5819"/>
    <w:rsid w:val="004C0EF4"/>
    <w:rsid w:val="004C1823"/>
    <w:rsid w:val="004C4844"/>
    <w:rsid w:val="004E0BBA"/>
    <w:rsid w:val="004E3EEA"/>
    <w:rsid w:val="004E7516"/>
    <w:rsid w:val="004F0D4E"/>
    <w:rsid w:val="0050050D"/>
    <w:rsid w:val="00502C15"/>
    <w:rsid w:val="00505B99"/>
    <w:rsid w:val="00507C3A"/>
    <w:rsid w:val="005203FA"/>
    <w:rsid w:val="00523084"/>
    <w:rsid w:val="005230B8"/>
    <w:rsid w:val="00524160"/>
    <w:rsid w:val="00527ECB"/>
    <w:rsid w:val="00544C4B"/>
    <w:rsid w:val="00544F5A"/>
    <w:rsid w:val="00550201"/>
    <w:rsid w:val="00554CF5"/>
    <w:rsid w:val="00555EE7"/>
    <w:rsid w:val="0057039F"/>
    <w:rsid w:val="005703B6"/>
    <w:rsid w:val="005758D4"/>
    <w:rsid w:val="0058772F"/>
    <w:rsid w:val="00592208"/>
    <w:rsid w:val="005A0BCB"/>
    <w:rsid w:val="005A0E22"/>
    <w:rsid w:val="005B283B"/>
    <w:rsid w:val="005B38CF"/>
    <w:rsid w:val="005B3980"/>
    <w:rsid w:val="005B69E1"/>
    <w:rsid w:val="005C03BE"/>
    <w:rsid w:val="005C1431"/>
    <w:rsid w:val="005C29D4"/>
    <w:rsid w:val="005C5557"/>
    <w:rsid w:val="005D1D1A"/>
    <w:rsid w:val="005D35CF"/>
    <w:rsid w:val="005D5EC6"/>
    <w:rsid w:val="005E46F5"/>
    <w:rsid w:val="005F0F4C"/>
    <w:rsid w:val="005F3255"/>
    <w:rsid w:val="005F3A50"/>
    <w:rsid w:val="006023AF"/>
    <w:rsid w:val="006037AF"/>
    <w:rsid w:val="00603B7E"/>
    <w:rsid w:val="00604F02"/>
    <w:rsid w:val="00614A4C"/>
    <w:rsid w:val="00622B6B"/>
    <w:rsid w:val="00623228"/>
    <w:rsid w:val="006306B1"/>
    <w:rsid w:val="00631F0A"/>
    <w:rsid w:val="006345E3"/>
    <w:rsid w:val="006406E8"/>
    <w:rsid w:val="00640814"/>
    <w:rsid w:val="0064087F"/>
    <w:rsid w:val="0064277B"/>
    <w:rsid w:val="00653FA8"/>
    <w:rsid w:val="00662DB4"/>
    <w:rsid w:val="006647D6"/>
    <w:rsid w:val="006709EA"/>
    <w:rsid w:val="00673C7D"/>
    <w:rsid w:val="0067401F"/>
    <w:rsid w:val="0067478E"/>
    <w:rsid w:val="006750F3"/>
    <w:rsid w:val="006851CE"/>
    <w:rsid w:val="00691502"/>
    <w:rsid w:val="00693F1B"/>
    <w:rsid w:val="006A0789"/>
    <w:rsid w:val="006A0C6D"/>
    <w:rsid w:val="006A187C"/>
    <w:rsid w:val="006B2591"/>
    <w:rsid w:val="006B53BC"/>
    <w:rsid w:val="006B57A8"/>
    <w:rsid w:val="006C2A53"/>
    <w:rsid w:val="006C6F2D"/>
    <w:rsid w:val="006D0ABE"/>
    <w:rsid w:val="006E43DF"/>
    <w:rsid w:val="006E6634"/>
    <w:rsid w:val="006F1D75"/>
    <w:rsid w:val="006F26AC"/>
    <w:rsid w:val="006F2D03"/>
    <w:rsid w:val="0070116F"/>
    <w:rsid w:val="007024B8"/>
    <w:rsid w:val="00704283"/>
    <w:rsid w:val="00706D08"/>
    <w:rsid w:val="007124A6"/>
    <w:rsid w:val="00712C3A"/>
    <w:rsid w:val="00713023"/>
    <w:rsid w:val="007153F2"/>
    <w:rsid w:val="0071655D"/>
    <w:rsid w:val="00716631"/>
    <w:rsid w:val="00724797"/>
    <w:rsid w:val="00733992"/>
    <w:rsid w:val="007362E6"/>
    <w:rsid w:val="00740BC0"/>
    <w:rsid w:val="0074766B"/>
    <w:rsid w:val="00747B5E"/>
    <w:rsid w:val="00750D23"/>
    <w:rsid w:val="007518B6"/>
    <w:rsid w:val="00755753"/>
    <w:rsid w:val="0075797B"/>
    <w:rsid w:val="00761C5B"/>
    <w:rsid w:val="00772EF5"/>
    <w:rsid w:val="007766C5"/>
    <w:rsid w:val="00776D10"/>
    <w:rsid w:val="007839BF"/>
    <w:rsid w:val="00784799"/>
    <w:rsid w:val="00785C05"/>
    <w:rsid w:val="00787DE1"/>
    <w:rsid w:val="00792DC3"/>
    <w:rsid w:val="00796BED"/>
    <w:rsid w:val="007A04CB"/>
    <w:rsid w:val="007A04E7"/>
    <w:rsid w:val="007A0E76"/>
    <w:rsid w:val="007C4239"/>
    <w:rsid w:val="007C4F4D"/>
    <w:rsid w:val="007C6511"/>
    <w:rsid w:val="007D0A11"/>
    <w:rsid w:val="007D1779"/>
    <w:rsid w:val="007D2831"/>
    <w:rsid w:val="007D404D"/>
    <w:rsid w:val="007D7BFB"/>
    <w:rsid w:val="007E03B7"/>
    <w:rsid w:val="007E16A9"/>
    <w:rsid w:val="007F24CF"/>
    <w:rsid w:val="008049F2"/>
    <w:rsid w:val="00806482"/>
    <w:rsid w:val="0081237A"/>
    <w:rsid w:val="00820A67"/>
    <w:rsid w:val="0082316C"/>
    <w:rsid w:val="00824133"/>
    <w:rsid w:val="008259AB"/>
    <w:rsid w:val="0083017E"/>
    <w:rsid w:val="008313E1"/>
    <w:rsid w:val="008344B8"/>
    <w:rsid w:val="00837AB4"/>
    <w:rsid w:val="00847400"/>
    <w:rsid w:val="00850060"/>
    <w:rsid w:val="0085494A"/>
    <w:rsid w:val="0085729F"/>
    <w:rsid w:val="00860BF3"/>
    <w:rsid w:val="0086197F"/>
    <w:rsid w:val="00864A67"/>
    <w:rsid w:val="00864CB5"/>
    <w:rsid w:val="0086510A"/>
    <w:rsid w:val="00867060"/>
    <w:rsid w:val="00871E2E"/>
    <w:rsid w:val="008748F5"/>
    <w:rsid w:val="0087656B"/>
    <w:rsid w:val="008773BF"/>
    <w:rsid w:val="00881313"/>
    <w:rsid w:val="00887E54"/>
    <w:rsid w:val="00891092"/>
    <w:rsid w:val="0089673C"/>
    <w:rsid w:val="008A4C46"/>
    <w:rsid w:val="008B3AB4"/>
    <w:rsid w:val="008C3F83"/>
    <w:rsid w:val="008C5163"/>
    <w:rsid w:val="008C51F9"/>
    <w:rsid w:val="008C6A0D"/>
    <w:rsid w:val="008D0D38"/>
    <w:rsid w:val="008D4A5C"/>
    <w:rsid w:val="008F50CE"/>
    <w:rsid w:val="00900773"/>
    <w:rsid w:val="00901BCB"/>
    <w:rsid w:val="009034CD"/>
    <w:rsid w:val="00913C90"/>
    <w:rsid w:val="0091783E"/>
    <w:rsid w:val="00923EE7"/>
    <w:rsid w:val="00925268"/>
    <w:rsid w:val="00932665"/>
    <w:rsid w:val="00936B33"/>
    <w:rsid w:val="00940B8D"/>
    <w:rsid w:val="00941283"/>
    <w:rsid w:val="00941532"/>
    <w:rsid w:val="00945ACF"/>
    <w:rsid w:val="00951C0F"/>
    <w:rsid w:val="00964532"/>
    <w:rsid w:val="00966F52"/>
    <w:rsid w:val="0097623F"/>
    <w:rsid w:val="00984263"/>
    <w:rsid w:val="00984B3C"/>
    <w:rsid w:val="00985CB6"/>
    <w:rsid w:val="00987297"/>
    <w:rsid w:val="00990579"/>
    <w:rsid w:val="00992096"/>
    <w:rsid w:val="009A5E6D"/>
    <w:rsid w:val="009A7D15"/>
    <w:rsid w:val="009B6468"/>
    <w:rsid w:val="009B67B1"/>
    <w:rsid w:val="009C1F47"/>
    <w:rsid w:val="009C3454"/>
    <w:rsid w:val="009D0BCF"/>
    <w:rsid w:val="009D429D"/>
    <w:rsid w:val="009D6720"/>
    <w:rsid w:val="009E1118"/>
    <w:rsid w:val="009E5302"/>
    <w:rsid w:val="009E7388"/>
    <w:rsid w:val="009F59EC"/>
    <w:rsid w:val="009F5F0E"/>
    <w:rsid w:val="009F66E1"/>
    <w:rsid w:val="00A04C6B"/>
    <w:rsid w:val="00A16284"/>
    <w:rsid w:val="00A2039D"/>
    <w:rsid w:val="00A25028"/>
    <w:rsid w:val="00A32086"/>
    <w:rsid w:val="00A42F6A"/>
    <w:rsid w:val="00A50381"/>
    <w:rsid w:val="00A51D37"/>
    <w:rsid w:val="00A55F51"/>
    <w:rsid w:val="00A57E2E"/>
    <w:rsid w:val="00A701E6"/>
    <w:rsid w:val="00A71C91"/>
    <w:rsid w:val="00A75DCC"/>
    <w:rsid w:val="00A830AE"/>
    <w:rsid w:val="00A9160C"/>
    <w:rsid w:val="00A94010"/>
    <w:rsid w:val="00A97B19"/>
    <w:rsid w:val="00AA1EDD"/>
    <w:rsid w:val="00AA38D0"/>
    <w:rsid w:val="00AB2156"/>
    <w:rsid w:val="00AB7820"/>
    <w:rsid w:val="00AC0FE5"/>
    <w:rsid w:val="00AC143F"/>
    <w:rsid w:val="00AC1579"/>
    <w:rsid w:val="00AC219F"/>
    <w:rsid w:val="00AC2A29"/>
    <w:rsid w:val="00AC5131"/>
    <w:rsid w:val="00AC65E8"/>
    <w:rsid w:val="00AD30B1"/>
    <w:rsid w:val="00AF13AC"/>
    <w:rsid w:val="00AF1963"/>
    <w:rsid w:val="00B07B58"/>
    <w:rsid w:val="00B1196A"/>
    <w:rsid w:val="00B15798"/>
    <w:rsid w:val="00B15CF9"/>
    <w:rsid w:val="00B2176A"/>
    <w:rsid w:val="00B2604F"/>
    <w:rsid w:val="00B40091"/>
    <w:rsid w:val="00B40834"/>
    <w:rsid w:val="00B44858"/>
    <w:rsid w:val="00B477C6"/>
    <w:rsid w:val="00B511BE"/>
    <w:rsid w:val="00B54EE5"/>
    <w:rsid w:val="00B66EB0"/>
    <w:rsid w:val="00B673C3"/>
    <w:rsid w:val="00B70B4F"/>
    <w:rsid w:val="00B76510"/>
    <w:rsid w:val="00B765BE"/>
    <w:rsid w:val="00B80024"/>
    <w:rsid w:val="00B8010D"/>
    <w:rsid w:val="00B828F5"/>
    <w:rsid w:val="00B82CFE"/>
    <w:rsid w:val="00B82EE7"/>
    <w:rsid w:val="00B86C58"/>
    <w:rsid w:val="00B87541"/>
    <w:rsid w:val="00B92383"/>
    <w:rsid w:val="00B93F5D"/>
    <w:rsid w:val="00BA4D40"/>
    <w:rsid w:val="00BB2586"/>
    <w:rsid w:val="00BB296E"/>
    <w:rsid w:val="00BB2F39"/>
    <w:rsid w:val="00BB60D1"/>
    <w:rsid w:val="00BB6155"/>
    <w:rsid w:val="00BC39E5"/>
    <w:rsid w:val="00BD10F6"/>
    <w:rsid w:val="00BD27C9"/>
    <w:rsid w:val="00BD5F21"/>
    <w:rsid w:val="00BE0882"/>
    <w:rsid w:val="00BE0D41"/>
    <w:rsid w:val="00BE1A29"/>
    <w:rsid w:val="00BE1DB3"/>
    <w:rsid w:val="00BE47D8"/>
    <w:rsid w:val="00BE5C7E"/>
    <w:rsid w:val="00BE763F"/>
    <w:rsid w:val="00BF05E0"/>
    <w:rsid w:val="00C022E4"/>
    <w:rsid w:val="00C07D81"/>
    <w:rsid w:val="00C110F2"/>
    <w:rsid w:val="00C14421"/>
    <w:rsid w:val="00C14E39"/>
    <w:rsid w:val="00C166E2"/>
    <w:rsid w:val="00C20C65"/>
    <w:rsid w:val="00C20DA0"/>
    <w:rsid w:val="00C41DEA"/>
    <w:rsid w:val="00C439B5"/>
    <w:rsid w:val="00C45833"/>
    <w:rsid w:val="00C46369"/>
    <w:rsid w:val="00C52C9B"/>
    <w:rsid w:val="00C65B9F"/>
    <w:rsid w:val="00C72C94"/>
    <w:rsid w:val="00C75921"/>
    <w:rsid w:val="00C82AA0"/>
    <w:rsid w:val="00C82EE2"/>
    <w:rsid w:val="00C85A2F"/>
    <w:rsid w:val="00CA180D"/>
    <w:rsid w:val="00CA59A8"/>
    <w:rsid w:val="00CA5BE0"/>
    <w:rsid w:val="00CB6412"/>
    <w:rsid w:val="00CD15FA"/>
    <w:rsid w:val="00CD2360"/>
    <w:rsid w:val="00CD2BF5"/>
    <w:rsid w:val="00CE1054"/>
    <w:rsid w:val="00CE424F"/>
    <w:rsid w:val="00D0333B"/>
    <w:rsid w:val="00D055D7"/>
    <w:rsid w:val="00D06E5A"/>
    <w:rsid w:val="00D244C4"/>
    <w:rsid w:val="00D2671D"/>
    <w:rsid w:val="00D37510"/>
    <w:rsid w:val="00D4017B"/>
    <w:rsid w:val="00D4358F"/>
    <w:rsid w:val="00D45E48"/>
    <w:rsid w:val="00D47D33"/>
    <w:rsid w:val="00D547BC"/>
    <w:rsid w:val="00D5505A"/>
    <w:rsid w:val="00D560C7"/>
    <w:rsid w:val="00D63D51"/>
    <w:rsid w:val="00D73461"/>
    <w:rsid w:val="00D73654"/>
    <w:rsid w:val="00D742C6"/>
    <w:rsid w:val="00D93653"/>
    <w:rsid w:val="00DA1511"/>
    <w:rsid w:val="00DA7250"/>
    <w:rsid w:val="00DB07D7"/>
    <w:rsid w:val="00DB45E7"/>
    <w:rsid w:val="00DC3B21"/>
    <w:rsid w:val="00DD72B1"/>
    <w:rsid w:val="00DE135A"/>
    <w:rsid w:val="00DE581F"/>
    <w:rsid w:val="00DF031D"/>
    <w:rsid w:val="00DF134E"/>
    <w:rsid w:val="00DF4018"/>
    <w:rsid w:val="00E04BA2"/>
    <w:rsid w:val="00E04BE1"/>
    <w:rsid w:val="00E17217"/>
    <w:rsid w:val="00E21131"/>
    <w:rsid w:val="00E3087B"/>
    <w:rsid w:val="00E30A72"/>
    <w:rsid w:val="00E326B6"/>
    <w:rsid w:val="00E33D74"/>
    <w:rsid w:val="00E40BBA"/>
    <w:rsid w:val="00E415CA"/>
    <w:rsid w:val="00E512AC"/>
    <w:rsid w:val="00E52C03"/>
    <w:rsid w:val="00E535B5"/>
    <w:rsid w:val="00E55309"/>
    <w:rsid w:val="00E565DB"/>
    <w:rsid w:val="00E63778"/>
    <w:rsid w:val="00E64662"/>
    <w:rsid w:val="00E65F00"/>
    <w:rsid w:val="00E6622F"/>
    <w:rsid w:val="00E66CAD"/>
    <w:rsid w:val="00E767E2"/>
    <w:rsid w:val="00E81788"/>
    <w:rsid w:val="00E90E6F"/>
    <w:rsid w:val="00E9378C"/>
    <w:rsid w:val="00EA28A7"/>
    <w:rsid w:val="00EA6CAE"/>
    <w:rsid w:val="00EB0E76"/>
    <w:rsid w:val="00EB299D"/>
    <w:rsid w:val="00EB699A"/>
    <w:rsid w:val="00EC25F6"/>
    <w:rsid w:val="00ED42D5"/>
    <w:rsid w:val="00EE0CD1"/>
    <w:rsid w:val="00EE55C9"/>
    <w:rsid w:val="00EF1754"/>
    <w:rsid w:val="00F02BFA"/>
    <w:rsid w:val="00F11617"/>
    <w:rsid w:val="00F14C31"/>
    <w:rsid w:val="00F17458"/>
    <w:rsid w:val="00F227F9"/>
    <w:rsid w:val="00F2493E"/>
    <w:rsid w:val="00F25936"/>
    <w:rsid w:val="00F33FC1"/>
    <w:rsid w:val="00F50786"/>
    <w:rsid w:val="00F5124E"/>
    <w:rsid w:val="00F604A3"/>
    <w:rsid w:val="00F70575"/>
    <w:rsid w:val="00F706E3"/>
    <w:rsid w:val="00F77317"/>
    <w:rsid w:val="00F774E7"/>
    <w:rsid w:val="00F81F49"/>
    <w:rsid w:val="00F85FCC"/>
    <w:rsid w:val="00F91F8C"/>
    <w:rsid w:val="00F95280"/>
    <w:rsid w:val="00FA0FE0"/>
    <w:rsid w:val="00FA4A1D"/>
    <w:rsid w:val="00FA5AE5"/>
    <w:rsid w:val="00FA5B15"/>
    <w:rsid w:val="00FB74E0"/>
    <w:rsid w:val="00FC1E10"/>
    <w:rsid w:val="00FC21E2"/>
    <w:rsid w:val="00FC319D"/>
    <w:rsid w:val="00FC34FF"/>
    <w:rsid w:val="00FC5000"/>
    <w:rsid w:val="00FD2204"/>
    <w:rsid w:val="00FD347D"/>
    <w:rsid w:val="00FE0A99"/>
    <w:rsid w:val="00FE2156"/>
    <w:rsid w:val="00FE6D53"/>
    <w:rsid w:val="00FE79EC"/>
    <w:rsid w:val="00FF0CF7"/>
    <w:rsid w:val="00FF3747"/>
    <w:rsid w:val="00FF439F"/>
    <w:rsid w:val="00FF54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C0FE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27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7A8"/>
    <w:rPr>
      <w:sz w:val="20"/>
      <w:szCs w:val="20"/>
    </w:rPr>
  </w:style>
  <w:style w:type="character" w:styleId="FootnoteReference">
    <w:name w:val="footnote reference"/>
    <w:basedOn w:val="DefaultParagraphFont"/>
    <w:uiPriority w:val="99"/>
    <w:semiHidden/>
    <w:unhideWhenUsed/>
    <w:rsid w:val="003527A8"/>
    <w:rPr>
      <w:vertAlign w:val="superscript"/>
    </w:rPr>
  </w:style>
  <w:style w:type="character" w:styleId="Hyperlink">
    <w:name w:val="Hyperlink"/>
    <w:basedOn w:val="DefaultParagraphFont"/>
    <w:uiPriority w:val="99"/>
    <w:unhideWhenUsed/>
    <w:rsid w:val="00C52C9B"/>
    <w:rPr>
      <w:color w:val="0000FF" w:themeColor="hyperlink"/>
      <w:u w:val="single"/>
    </w:rPr>
  </w:style>
  <w:style w:type="table" w:styleId="TableGrid">
    <w:name w:val="Table Grid"/>
    <w:basedOn w:val="TableNormal"/>
    <w:uiPriority w:val="59"/>
    <w:rsid w:val="00FB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14F47"/>
    <w:rPr>
      <w:b/>
      <w:bCs/>
    </w:rPr>
  </w:style>
  <w:style w:type="character" w:customStyle="1" w:styleId="Heading3Char">
    <w:name w:val="Heading 3 Char"/>
    <w:basedOn w:val="DefaultParagraphFont"/>
    <w:link w:val="Heading3"/>
    <w:uiPriority w:val="9"/>
    <w:rsid w:val="00AC0FE5"/>
    <w:rPr>
      <w:rFonts w:ascii="Times New Roman" w:eastAsia="Times New Roman" w:hAnsi="Times New Roman" w:cs="Times New Roman"/>
      <w:b/>
      <w:bCs/>
      <w:sz w:val="27"/>
      <w:szCs w:val="27"/>
      <w:lang w:eastAsia="lv-LV"/>
    </w:rPr>
  </w:style>
  <w:style w:type="paragraph" w:styleId="BalloonText">
    <w:name w:val="Balloon Text"/>
    <w:basedOn w:val="Normal"/>
    <w:link w:val="BalloonTextChar"/>
    <w:uiPriority w:val="99"/>
    <w:semiHidden/>
    <w:unhideWhenUsed/>
    <w:rsid w:val="00A57E2E"/>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A57E2E"/>
    <w:rPr>
      <w:rFonts w:ascii="Calibri" w:hAnsi="Calibri"/>
      <w:sz w:val="16"/>
      <w:szCs w:val="16"/>
    </w:rPr>
  </w:style>
  <w:style w:type="character" w:styleId="CommentReference">
    <w:name w:val="annotation reference"/>
    <w:basedOn w:val="DefaultParagraphFont"/>
    <w:uiPriority w:val="99"/>
    <w:semiHidden/>
    <w:unhideWhenUsed/>
    <w:rsid w:val="002A789F"/>
    <w:rPr>
      <w:sz w:val="16"/>
      <w:szCs w:val="16"/>
    </w:rPr>
  </w:style>
  <w:style w:type="paragraph" w:styleId="CommentText">
    <w:name w:val="annotation text"/>
    <w:basedOn w:val="Normal"/>
    <w:link w:val="CommentTextChar"/>
    <w:uiPriority w:val="99"/>
    <w:semiHidden/>
    <w:unhideWhenUsed/>
    <w:rsid w:val="002A789F"/>
    <w:pPr>
      <w:spacing w:line="240" w:lineRule="auto"/>
    </w:pPr>
    <w:rPr>
      <w:sz w:val="20"/>
      <w:szCs w:val="20"/>
    </w:rPr>
  </w:style>
  <w:style w:type="character" w:customStyle="1" w:styleId="CommentTextChar">
    <w:name w:val="Comment Text Char"/>
    <w:basedOn w:val="DefaultParagraphFont"/>
    <w:link w:val="CommentText"/>
    <w:uiPriority w:val="99"/>
    <w:semiHidden/>
    <w:rsid w:val="002A789F"/>
    <w:rPr>
      <w:sz w:val="20"/>
      <w:szCs w:val="20"/>
    </w:rPr>
  </w:style>
  <w:style w:type="paragraph" w:styleId="CommentSubject">
    <w:name w:val="annotation subject"/>
    <w:basedOn w:val="CommentText"/>
    <w:next w:val="CommentText"/>
    <w:link w:val="CommentSubjectChar"/>
    <w:uiPriority w:val="99"/>
    <w:semiHidden/>
    <w:unhideWhenUsed/>
    <w:rsid w:val="002A789F"/>
    <w:rPr>
      <w:b/>
      <w:bCs/>
    </w:rPr>
  </w:style>
  <w:style w:type="character" w:customStyle="1" w:styleId="CommentSubjectChar">
    <w:name w:val="Comment Subject Char"/>
    <w:basedOn w:val="CommentTextChar"/>
    <w:link w:val="CommentSubject"/>
    <w:uiPriority w:val="99"/>
    <w:semiHidden/>
    <w:rsid w:val="002A789F"/>
    <w:rPr>
      <w:b/>
      <w:bCs/>
      <w:sz w:val="20"/>
      <w:szCs w:val="20"/>
    </w:rPr>
  </w:style>
  <w:style w:type="paragraph" w:styleId="ListParagraph">
    <w:name w:val="List Paragraph"/>
    <w:basedOn w:val="Normal"/>
    <w:uiPriority w:val="34"/>
    <w:qFormat/>
    <w:rsid w:val="006B57A8"/>
    <w:pPr>
      <w:ind w:left="720"/>
      <w:contextualSpacing/>
    </w:pPr>
  </w:style>
  <w:style w:type="paragraph" w:styleId="Header">
    <w:name w:val="header"/>
    <w:basedOn w:val="Normal"/>
    <w:link w:val="HeaderChar"/>
    <w:uiPriority w:val="99"/>
    <w:unhideWhenUsed/>
    <w:rsid w:val="00195E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5EA8"/>
  </w:style>
  <w:style w:type="paragraph" w:styleId="Footer">
    <w:name w:val="footer"/>
    <w:basedOn w:val="Normal"/>
    <w:link w:val="FooterChar"/>
    <w:uiPriority w:val="99"/>
    <w:unhideWhenUsed/>
    <w:rsid w:val="00195E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5EA8"/>
  </w:style>
  <w:style w:type="paragraph" w:styleId="NormalWeb">
    <w:name w:val="Normal (Web)"/>
    <w:aliases w:val="sākums"/>
    <w:basedOn w:val="Normal"/>
    <w:uiPriority w:val="99"/>
    <w:rsid w:val="00B477C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C0FE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27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7A8"/>
    <w:rPr>
      <w:sz w:val="20"/>
      <w:szCs w:val="20"/>
    </w:rPr>
  </w:style>
  <w:style w:type="character" w:styleId="FootnoteReference">
    <w:name w:val="footnote reference"/>
    <w:basedOn w:val="DefaultParagraphFont"/>
    <w:uiPriority w:val="99"/>
    <w:semiHidden/>
    <w:unhideWhenUsed/>
    <w:rsid w:val="003527A8"/>
    <w:rPr>
      <w:vertAlign w:val="superscript"/>
    </w:rPr>
  </w:style>
  <w:style w:type="character" w:styleId="Hyperlink">
    <w:name w:val="Hyperlink"/>
    <w:basedOn w:val="DefaultParagraphFont"/>
    <w:uiPriority w:val="99"/>
    <w:unhideWhenUsed/>
    <w:rsid w:val="00C52C9B"/>
    <w:rPr>
      <w:color w:val="0000FF" w:themeColor="hyperlink"/>
      <w:u w:val="single"/>
    </w:rPr>
  </w:style>
  <w:style w:type="table" w:styleId="TableGrid">
    <w:name w:val="Table Grid"/>
    <w:basedOn w:val="TableNormal"/>
    <w:uiPriority w:val="59"/>
    <w:rsid w:val="00FB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14F47"/>
    <w:rPr>
      <w:b/>
      <w:bCs/>
    </w:rPr>
  </w:style>
  <w:style w:type="character" w:customStyle="1" w:styleId="Heading3Char">
    <w:name w:val="Heading 3 Char"/>
    <w:basedOn w:val="DefaultParagraphFont"/>
    <w:link w:val="Heading3"/>
    <w:uiPriority w:val="9"/>
    <w:rsid w:val="00AC0FE5"/>
    <w:rPr>
      <w:rFonts w:ascii="Times New Roman" w:eastAsia="Times New Roman" w:hAnsi="Times New Roman" w:cs="Times New Roman"/>
      <w:b/>
      <w:bCs/>
      <w:sz w:val="27"/>
      <w:szCs w:val="27"/>
      <w:lang w:eastAsia="lv-LV"/>
    </w:rPr>
  </w:style>
  <w:style w:type="paragraph" w:styleId="BalloonText">
    <w:name w:val="Balloon Text"/>
    <w:basedOn w:val="Normal"/>
    <w:link w:val="BalloonTextChar"/>
    <w:uiPriority w:val="99"/>
    <w:semiHidden/>
    <w:unhideWhenUsed/>
    <w:rsid w:val="00A57E2E"/>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A57E2E"/>
    <w:rPr>
      <w:rFonts w:ascii="Calibri" w:hAnsi="Calibri"/>
      <w:sz w:val="16"/>
      <w:szCs w:val="16"/>
    </w:rPr>
  </w:style>
  <w:style w:type="character" w:styleId="CommentReference">
    <w:name w:val="annotation reference"/>
    <w:basedOn w:val="DefaultParagraphFont"/>
    <w:uiPriority w:val="99"/>
    <w:semiHidden/>
    <w:unhideWhenUsed/>
    <w:rsid w:val="002A789F"/>
    <w:rPr>
      <w:sz w:val="16"/>
      <w:szCs w:val="16"/>
    </w:rPr>
  </w:style>
  <w:style w:type="paragraph" w:styleId="CommentText">
    <w:name w:val="annotation text"/>
    <w:basedOn w:val="Normal"/>
    <w:link w:val="CommentTextChar"/>
    <w:uiPriority w:val="99"/>
    <w:semiHidden/>
    <w:unhideWhenUsed/>
    <w:rsid w:val="002A789F"/>
    <w:pPr>
      <w:spacing w:line="240" w:lineRule="auto"/>
    </w:pPr>
    <w:rPr>
      <w:sz w:val="20"/>
      <w:szCs w:val="20"/>
    </w:rPr>
  </w:style>
  <w:style w:type="character" w:customStyle="1" w:styleId="CommentTextChar">
    <w:name w:val="Comment Text Char"/>
    <w:basedOn w:val="DefaultParagraphFont"/>
    <w:link w:val="CommentText"/>
    <w:uiPriority w:val="99"/>
    <w:semiHidden/>
    <w:rsid w:val="002A789F"/>
    <w:rPr>
      <w:sz w:val="20"/>
      <w:szCs w:val="20"/>
    </w:rPr>
  </w:style>
  <w:style w:type="paragraph" w:styleId="CommentSubject">
    <w:name w:val="annotation subject"/>
    <w:basedOn w:val="CommentText"/>
    <w:next w:val="CommentText"/>
    <w:link w:val="CommentSubjectChar"/>
    <w:uiPriority w:val="99"/>
    <w:semiHidden/>
    <w:unhideWhenUsed/>
    <w:rsid w:val="002A789F"/>
    <w:rPr>
      <w:b/>
      <w:bCs/>
    </w:rPr>
  </w:style>
  <w:style w:type="character" w:customStyle="1" w:styleId="CommentSubjectChar">
    <w:name w:val="Comment Subject Char"/>
    <w:basedOn w:val="CommentTextChar"/>
    <w:link w:val="CommentSubject"/>
    <w:uiPriority w:val="99"/>
    <w:semiHidden/>
    <w:rsid w:val="002A789F"/>
    <w:rPr>
      <w:b/>
      <w:bCs/>
      <w:sz w:val="20"/>
      <w:szCs w:val="20"/>
    </w:rPr>
  </w:style>
  <w:style w:type="paragraph" w:styleId="ListParagraph">
    <w:name w:val="List Paragraph"/>
    <w:basedOn w:val="Normal"/>
    <w:uiPriority w:val="34"/>
    <w:qFormat/>
    <w:rsid w:val="006B57A8"/>
    <w:pPr>
      <w:ind w:left="720"/>
      <w:contextualSpacing/>
    </w:pPr>
  </w:style>
  <w:style w:type="paragraph" w:styleId="Header">
    <w:name w:val="header"/>
    <w:basedOn w:val="Normal"/>
    <w:link w:val="HeaderChar"/>
    <w:uiPriority w:val="99"/>
    <w:unhideWhenUsed/>
    <w:rsid w:val="00195E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5EA8"/>
  </w:style>
  <w:style w:type="paragraph" w:styleId="Footer">
    <w:name w:val="footer"/>
    <w:basedOn w:val="Normal"/>
    <w:link w:val="FooterChar"/>
    <w:uiPriority w:val="99"/>
    <w:unhideWhenUsed/>
    <w:rsid w:val="00195E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5EA8"/>
  </w:style>
  <w:style w:type="paragraph" w:styleId="NormalWeb">
    <w:name w:val="Normal (Web)"/>
    <w:aliases w:val="sākums"/>
    <w:basedOn w:val="Normal"/>
    <w:uiPriority w:val="99"/>
    <w:rsid w:val="00B477C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794">
      <w:bodyDiv w:val="1"/>
      <w:marLeft w:val="0"/>
      <w:marRight w:val="0"/>
      <w:marTop w:val="0"/>
      <w:marBottom w:val="0"/>
      <w:divBdr>
        <w:top w:val="none" w:sz="0" w:space="0" w:color="auto"/>
        <w:left w:val="none" w:sz="0" w:space="0" w:color="auto"/>
        <w:bottom w:val="none" w:sz="0" w:space="0" w:color="auto"/>
        <w:right w:val="none" w:sz="0" w:space="0" w:color="auto"/>
      </w:divBdr>
    </w:div>
    <w:div w:id="391974087">
      <w:bodyDiv w:val="1"/>
      <w:marLeft w:val="0"/>
      <w:marRight w:val="0"/>
      <w:marTop w:val="0"/>
      <w:marBottom w:val="0"/>
      <w:divBdr>
        <w:top w:val="none" w:sz="0" w:space="0" w:color="auto"/>
        <w:left w:val="none" w:sz="0" w:space="0" w:color="auto"/>
        <w:bottom w:val="none" w:sz="0" w:space="0" w:color="auto"/>
        <w:right w:val="none" w:sz="0" w:space="0" w:color="auto"/>
      </w:divBdr>
    </w:div>
    <w:div w:id="654721956">
      <w:bodyDiv w:val="1"/>
      <w:marLeft w:val="0"/>
      <w:marRight w:val="0"/>
      <w:marTop w:val="0"/>
      <w:marBottom w:val="0"/>
      <w:divBdr>
        <w:top w:val="none" w:sz="0" w:space="0" w:color="auto"/>
        <w:left w:val="none" w:sz="0" w:space="0" w:color="auto"/>
        <w:bottom w:val="none" w:sz="0" w:space="0" w:color="auto"/>
        <w:right w:val="none" w:sz="0" w:space="0" w:color="auto"/>
      </w:divBdr>
    </w:div>
    <w:div w:id="1173762293">
      <w:bodyDiv w:val="1"/>
      <w:marLeft w:val="0"/>
      <w:marRight w:val="0"/>
      <w:marTop w:val="0"/>
      <w:marBottom w:val="0"/>
      <w:divBdr>
        <w:top w:val="none" w:sz="0" w:space="0" w:color="auto"/>
        <w:left w:val="none" w:sz="0" w:space="0" w:color="auto"/>
        <w:bottom w:val="none" w:sz="0" w:space="0" w:color="auto"/>
        <w:right w:val="none" w:sz="0" w:space="0" w:color="auto"/>
      </w:divBdr>
    </w:div>
    <w:div w:id="1335643160">
      <w:bodyDiv w:val="1"/>
      <w:marLeft w:val="0"/>
      <w:marRight w:val="0"/>
      <w:marTop w:val="0"/>
      <w:marBottom w:val="0"/>
      <w:divBdr>
        <w:top w:val="none" w:sz="0" w:space="0" w:color="auto"/>
        <w:left w:val="none" w:sz="0" w:space="0" w:color="auto"/>
        <w:bottom w:val="none" w:sz="0" w:space="0" w:color="auto"/>
        <w:right w:val="none" w:sz="0" w:space="0" w:color="auto"/>
      </w:divBdr>
    </w:div>
    <w:div w:id="1784886504">
      <w:bodyDiv w:val="1"/>
      <w:marLeft w:val="0"/>
      <w:marRight w:val="0"/>
      <w:marTop w:val="0"/>
      <w:marBottom w:val="0"/>
      <w:divBdr>
        <w:top w:val="none" w:sz="0" w:space="0" w:color="auto"/>
        <w:left w:val="none" w:sz="0" w:space="0" w:color="auto"/>
        <w:bottom w:val="none" w:sz="0" w:space="0" w:color="auto"/>
        <w:right w:val="none" w:sz="0" w:space="0" w:color="auto"/>
      </w:divBdr>
    </w:div>
    <w:div w:id="193219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m.gov.lv/files/nodoklupolitika/FMPamnp_02%2005%202017.pdf" TargetMode="External"/><Relationship Id="rId2" Type="http://schemas.openxmlformats.org/officeDocument/2006/relationships/hyperlink" Target="http://www.oecd.org/latvia/oecd-reviews-of-pension-systems-latvia-9789264289390-en.htm" TargetMode="External"/><Relationship Id="rId1" Type="http://schemas.openxmlformats.org/officeDocument/2006/relationships/hyperlink" Target="http://ec.europa.eu/social/main.jsp?catId=738&amp;langId=en&amp;pubId=8085&amp;furtherPubs=ye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liener\AppData\Local\Temp\notesFCBCEE\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iener\AppData\Local\Temp\notesFCBCEE\~50135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400"/>
          </a:pPr>
          <a:endParaRPr lang="lv-LV"/>
        </a:p>
      </c:txPr>
    </c:title>
    <c:autoTitleDeleted val="0"/>
    <c:plotArea>
      <c:layout/>
      <c:barChart>
        <c:barDir val="col"/>
        <c:grouping val="clustered"/>
        <c:varyColors val="0"/>
        <c:ser>
          <c:idx val="0"/>
          <c:order val="0"/>
          <c:tx>
            <c:strRef>
              <c:f>Sheet1!$A$3</c:f>
              <c:strCache>
                <c:ptCount val="1"/>
                <c:pt idx="0">
                  <c:v>Pensiju saņēmēju skaits uz 1000 obligāti sociāli apdrošinātām personām, gada beigās</c:v>
                </c:pt>
              </c:strCache>
            </c:strRef>
          </c:tx>
          <c:spPr>
            <a:solidFill>
              <a:schemeClr val="bg1">
                <a:lumMod val="75000"/>
              </a:schemeClr>
            </a:solidFill>
          </c:spPr>
          <c:invertIfNegative val="0"/>
          <c:dLbls>
            <c:showLegendKey val="0"/>
            <c:showVal val="1"/>
            <c:showCatName val="0"/>
            <c:showSerName val="0"/>
            <c:showPercent val="0"/>
            <c:showBubbleSize val="0"/>
            <c:showLeaderLines val="0"/>
          </c:dLbls>
          <c:cat>
            <c:numRef>
              <c:f>Sheet1!$B$2:$J$2</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Sheet1!$B$3:$J$3</c:f>
              <c:numCache>
                <c:formatCode>General</c:formatCode>
                <c:ptCount val="9"/>
                <c:pt idx="0">
                  <c:v>764</c:v>
                </c:pt>
                <c:pt idx="1">
                  <c:v>755</c:v>
                </c:pt>
                <c:pt idx="2">
                  <c:v>738</c:v>
                </c:pt>
                <c:pt idx="3">
                  <c:v>717</c:v>
                </c:pt>
                <c:pt idx="4">
                  <c:v>694</c:v>
                </c:pt>
                <c:pt idx="5">
                  <c:v>674</c:v>
                </c:pt>
                <c:pt idx="6">
                  <c:v>668</c:v>
                </c:pt>
                <c:pt idx="7">
                  <c:v>660</c:v>
                </c:pt>
                <c:pt idx="8">
                  <c:v>650</c:v>
                </c:pt>
              </c:numCache>
            </c:numRef>
          </c:val>
        </c:ser>
        <c:dLbls>
          <c:showLegendKey val="0"/>
          <c:showVal val="0"/>
          <c:showCatName val="0"/>
          <c:showSerName val="0"/>
          <c:showPercent val="0"/>
          <c:showBubbleSize val="0"/>
        </c:dLbls>
        <c:gapWidth val="150"/>
        <c:axId val="100581376"/>
        <c:axId val="100582912"/>
      </c:barChart>
      <c:catAx>
        <c:axId val="100581376"/>
        <c:scaling>
          <c:orientation val="minMax"/>
        </c:scaling>
        <c:delete val="0"/>
        <c:axPos val="b"/>
        <c:numFmt formatCode="General" sourceLinked="1"/>
        <c:majorTickMark val="out"/>
        <c:minorTickMark val="none"/>
        <c:tickLblPos val="nextTo"/>
        <c:crossAx val="100582912"/>
        <c:crosses val="autoZero"/>
        <c:auto val="1"/>
        <c:lblAlgn val="ctr"/>
        <c:lblOffset val="100"/>
        <c:noMultiLvlLbl val="0"/>
      </c:catAx>
      <c:valAx>
        <c:axId val="100582912"/>
        <c:scaling>
          <c:orientation val="minMax"/>
        </c:scaling>
        <c:delete val="1"/>
        <c:axPos val="l"/>
        <c:numFmt formatCode="General" sourceLinked="1"/>
        <c:majorTickMark val="out"/>
        <c:minorTickMark val="none"/>
        <c:tickLblPos val="nextTo"/>
        <c:crossAx val="100581376"/>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Speciālā budžeta</a:t>
            </a:r>
            <a:r>
              <a:rPr lang="lv-LV" sz="1200">
                <a:latin typeface="Times New Roman" panose="02020603050405020304" pitchFamily="18" charset="0"/>
                <a:cs typeface="Times New Roman" panose="02020603050405020304" pitchFamily="18" charset="0"/>
              </a:rPr>
              <a:t> uzkrātā rezerve gada sākumā, milj.EUR</a:t>
            </a:r>
            <a:r>
              <a:rPr lang="en-US" sz="1200">
                <a:latin typeface="Times New Roman" panose="02020603050405020304" pitchFamily="18" charset="0"/>
                <a:cs typeface="Times New Roman" panose="02020603050405020304" pitchFamily="18" charset="0"/>
              </a:rPr>
              <a:t> </a:t>
            </a:r>
          </a:p>
        </c:rich>
      </c:tx>
      <c:layout>
        <c:manualLayout>
          <c:xMode val="edge"/>
          <c:yMode val="edge"/>
          <c:x val="0.1696327575797531"/>
          <c:y val="3.8319280063419885E-2"/>
        </c:manualLayout>
      </c:layout>
      <c:overlay val="0"/>
    </c:title>
    <c:autoTitleDeleted val="0"/>
    <c:plotArea>
      <c:layout>
        <c:manualLayout>
          <c:layoutTarget val="inner"/>
          <c:xMode val="edge"/>
          <c:yMode val="edge"/>
          <c:x val="8.2002953940894643E-2"/>
          <c:y val="0.20012117129426618"/>
          <c:w val="0.8670698892358264"/>
          <c:h val="0.67066575011456897"/>
        </c:manualLayout>
      </c:layout>
      <c:lineChart>
        <c:grouping val="standard"/>
        <c:varyColors val="0"/>
        <c:ser>
          <c:idx val="0"/>
          <c:order val="0"/>
          <c:tx>
            <c:strRef>
              <c:f>'Z:\Kristine\BUDZETS\2018\[Spec_budz pa gadiem no 2008.xlsx]2018-2020'!$A$11</c:f>
              <c:strCache>
                <c:ptCount val="1"/>
                <c:pt idx="0">
                  <c:v>Fakts un plāns</c:v>
                </c:pt>
              </c:strCache>
            </c:strRef>
          </c:tx>
          <c:dLbls>
            <c:numFmt formatCode="#,##0" sourceLinked="0"/>
            <c:spPr>
              <a:solidFill>
                <a:schemeClr val="bg1"/>
              </a:solidFill>
              <a:ln>
                <a:solidFill>
                  <a:schemeClr val="accent1"/>
                </a:solidFill>
              </a:ln>
            </c:spPr>
            <c:txPr>
              <a:bodyPr/>
              <a:lstStyle/>
              <a:p>
                <a:pPr>
                  <a:defRPr sz="1050"/>
                </a:pPr>
                <a:endParaRPr lang="lv-LV"/>
              </a:p>
            </c:txPr>
            <c:showLegendKey val="0"/>
            <c:showVal val="1"/>
            <c:showCatName val="0"/>
            <c:showSerName val="0"/>
            <c:showPercent val="0"/>
            <c:showBubbleSize val="0"/>
            <c:showLeaderLines val="0"/>
          </c:dLbls>
          <c:cat>
            <c:numRef>
              <c:f>'Z:\Kristine\BUDZETS\2018\[Spec_budz pa gadiem no 2008.xlsx]2018-2020'!$B$10:$N$10</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'Z:\Kristine\BUDZETS\2018\[Spec_budz pa gadiem no 2008.xlsx]2018-2020'!$B$11:$N$11</c:f>
              <c:numCache>
                <c:formatCode>General</c:formatCode>
                <c:ptCount val="13"/>
                <c:pt idx="0">
                  <c:v>1353.2567415666388</c:v>
                </c:pt>
                <c:pt idx="1">
                  <c:v>1049.7244651424865</c:v>
                </c:pt>
                <c:pt idx="2">
                  <c:v>571.93376104859965</c:v>
                </c:pt>
                <c:pt idx="3">
                  <c:v>394.42952089060395</c:v>
                </c:pt>
                <c:pt idx="4">
                  <c:v>324.08203425137026</c:v>
                </c:pt>
                <c:pt idx="5">
                  <c:v>266.21450399999998</c:v>
                </c:pt>
                <c:pt idx="6">
                  <c:v>366.663138</c:v>
                </c:pt>
                <c:pt idx="7">
                  <c:v>458.96396900000002</c:v>
                </c:pt>
                <c:pt idx="8">
                  <c:v>506.78643300000033</c:v>
                </c:pt>
                <c:pt idx="9">
                  <c:v>572.08129500000052</c:v>
                </c:pt>
                <c:pt idx="10">
                  <c:v>697.96425800000054</c:v>
                </c:pt>
                <c:pt idx="11">
                  <c:v>777.87250500000084</c:v>
                </c:pt>
                <c:pt idx="12">
                  <c:v>846.48519200000067</c:v>
                </c:pt>
              </c:numCache>
            </c:numRef>
          </c:val>
          <c:smooth val="0"/>
        </c:ser>
        <c:dLbls>
          <c:showLegendKey val="0"/>
          <c:showVal val="1"/>
          <c:showCatName val="0"/>
          <c:showSerName val="0"/>
          <c:showPercent val="0"/>
          <c:showBubbleSize val="0"/>
        </c:dLbls>
        <c:marker val="1"/>
        <c:smooth val="0"/>
        <c:axId val="23089920"/>
        <c:axId val="23092608"/>
      </c:lineChart>
      <c:catAx>
        <c:axId val="23089920"/>
        <c:scaling>
          <c:orientation val="minMax"/>
        </c:scaling>
        <c:delete val="0"/>
        <c:axPos val="b"/>
        <c:numFmt formatCode="General" sourceLinked="1"/>
        <c:majorTickMark val="none"/>
        <c:minorTickMark val="none"/>
        <c:tickLblPos val="nextTo"/>
        <c:crossAx val="23092608"/>
        <c:crosses val="autoZero"/>
        <c:auto val="1"/>
        <c:lblAlgn val="ctr"/>
        <c:lblOffset val="100"/>
        <c:noMultiLvlLbl val="0"/>
      </c:catAx>
      <c:valAx>
        <c:axId val="23092608"/>
        <c:scaling>
          <c:orientation val="minMax"/>
        </c:scaling>
        <c:delete val="0"/>
        <c:axPos val="l"/>
        <c:numFmt formatCode="General" sourceLinked="1"/>
        <c:majorTickMark val="none"/>
        <c:minorTickMark val="none"/>
        <c:tickLblPos val="nextTo"/>
        <c:crossAx val="23089920"/>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46988-CE21-421D-83E6-A0E3D5AEB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15236</Words>
  <Characters>8685</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Ramane</dc:creator>
  <cp:lastModifiedBy>Liene Ramane</cp:lastModifiedBy>
  <cp:revision>9</cp:revision>
  <cp:lastPrinted>2018-06-25T09:40:00Z</cp:lastPrinted>
  <dcterms:created xsi:type="dcterms:W3CDTF">2018-06-25T11:35:00Z</dcterms:created>
  <dcterms:modified xsi:type="dcterms:W3CDTF">2018-06-25T12:02:00Z</dcterms:modified>
</cp:coreProperties>
</file>