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61DE" w14:textId="460D414E" w:rsidR="00AC4412" w:rsidRPr="00811322" w:rsidRDefault="005E07E7" w:rsidP="00811322">
      <w:pPr>
        <w:spacing w:after="120"/>
        <w:jc w:val="center"/>
        <w:rPr>
          <w:b/>
          <w:sz w:val="24"/>
          <w:szCs w:val="24"/>
        </w:rPr>
      </w:pPr>
      <w:bookmarkStart w:id="0" w:name="_GoBack"/>
      <w:r w:rsidRPr="005E07E7">
        <w:rPr>
          <w:b/>
          <w:sz w:val="24"/>
          <w:szCs w:val="24"/>
        </w:rPr>
        <w:t xml:space="preserve">Ministru kabineta noteikumu projekta </w:t>
      </w:r>
      <w:r w:rsidR="00112B76">
        <w:rPr>
          <w:b/>
          <w:sz w:val="24"/>
          <w:szCs w:val="24"/>
        </w:rPr>
        <w:t>“</w:t>
      </w:r>
      <w:r w:rsidR="00E6730E">
        <w:rPr>
          <w:b/>
          <w:sz w:val="24"/>
          <w:szCs w:val="24"/>
        </w:rPr>
        <w:t>Grozījums</w:t>
      </w:r>
      <w:r w:rsidR="00112B76" w:rsidRPr="00112B76">
        <w:rPr>
          <w:b/>
          <w:sz w:val="24"/>
          <w:szCs w:val="24"/>
        </w:rPr>
        <w:t xml:space="preserve"> Ministru kabineta 2013.gada 2</w:t>
      </w:r>
      <w:r w:rsidR="0037515C">
        <w:rPr>
          <w:b/>
          <w:sz w:val="24"/>
          <w:szCs w:val="24"/>
        </w:rPr>
        <w:t>4.septembra noteikumos Nr.1000 “</w:t>
      </w:r>
      <w:r w:rsidR="00112B76" w:rsidRPr="00112B76">
        <w:rPr>
          <w:b/>
          <w:sz w:val="24"/>
          <w:szCs w:val="24"/>
        </w:rPr>
        <w:t>Valsts akciju sabiedrības "Ce</w:t>
      </w:r>
      <w:r w:rsidR="0037515C">
        <w:rPr>
          <w:b/>
          <w:sz w:val="24"/>
          <w:szCs w:val="24"/>
        </w:rPr>
        <w:t>ļu satiksmes drošības direkcija”</w:t>
      </w:r>
      <w:r w:rsidR="00112B76" w:rsidRPr="00112B76">
        <w:rPr>
          <w:b/>
          <w:sz w:val="24"/>
          <w:szCs w:val="24"/>
        </w:rPr>
        <w:t xml:space="preserve"> publi</w:t>
      </w:r>
      <w:r w:rsidR="0037515C">
        <w:rPr>
          <w:b/>
          <w:sz w:val="24"/>
          <w:szCs w:val="24"/>
        </w:rPr>
        <w:t>sko maksas pakalpojumu cenrādis”</w:t>
      </w:r>
      <w:r w:rsidR="00112B76">
        <w:rPr>
          <w:b/>
          <w:sz w:val="24"/>
          <w:szCs w:val="24"/>
        </w:rPr>
        <w:t xml:space="preserve"> </w:t>
      </w:r>
      <w:r w:rsidRPr="005E07E7">
        <w:rPr>
          <w:b/>
          <w:sz w:val="24"/>
          <w:szCs w:val="24"/>
        </w:rPr>
        <w:t>sākotnējās ietekmes novērtējuma ziņojums (anotācija)</w:t>
      </w:r>
      <w:r w:rsidR="00787478">
        <w:rPr>
          <w:b/>
          <w:sz w:val="24"/>
          <w:szCs w:val="24"/>
        </w:rPr>
        <w:t xml:space="preserve"> </w:t>
      </w:r>
      <w:r w:rsidR="00896DAF">
        <w:rPr>
          <w:b/>
          <w:sz w:val="24"/>
          <w:szCs w:val="24"/>
        </w:rPr>
        <w:t xml:space="preserve"> </w:t>
      </w:r>
    </w:p>
    <w:tbl>
      <w:tblPr>
        <w:tblW w:w="530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4"/>
        <w:gridCol w:w="6279"/>
      </w:tblGrid>
      <w:tr w:rsidR="00AC4412" w:rsidRPr="00AC4412" w14:paraId="16B81139" w14:textId="77777777" w:rsidTr="0081132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bookmarkEnd w:id="0"/>
          <w:p w14:paraId="48D461C8" w14:textId="77777777" w:rsidR="00AC4412" w:rsidRPr="000439EF" w:rsidRDefault="00AC4412" w:rsidP="00AC4412">
            <w:pPr>
              <w:spacing w:before="100" w:beforeAutospacing="1" w:line="300" w:lineRule="atLeast"/>
              <w:ind w:firstLine="0"/>
              <w:jc w:val="center"/>
              <w:rPr>
                <w:rFonts w:eastAsia="Times New Roman"/>
                <w:b/>
                <w:bCs/>
                <w:sz w:val="24"/>
                <w:szCs w:val="24"/>
                <w:lang w:eastAsia="lv-LV"/>
              </w:rPr>
            </w:pPr>
            <w:r w:rsidRPr="000439EF">
              <w:rPr>
                <w:rFonts w:eastAsia="Times New Roman"/>
                <w:b/>
                <w:bCs/>
                <w:sz w:val="24"/>
                <w:szCs w:val="24"/>
                <w:lang w:eastAsia="lv-LV"/>
              </w:rPr>
              <w:t>Tiesību akta projekta anotācijas kopsavilkums</w:t>
            </w:r>
          </w:p>
        </w:tc>
      </w:tr>
      <w:tr w:rsidR="00AC4412" w:rsidRPr="00AC4412" w14:paraId="1968F5BF" w14:textId="77777777" w:rsidTr="00811322">
        <w:tc>
          <w:tcPr>
            <w:tcW w:w="1734" w:type="pct"/>
            <w:tcBorders>
              <w:top w:val="outset" w:sz="6" w:space="0" w:color="414142"/>
              <w:left w:val="outset" w:sz="6" w:space="0" w:color="414142"/>
              <w:bottom w:val="outset" w:sz="6" w:space="0" w:color="414142"/>
              <w:right w:val="outset" w:sz="6" w:space="0" w:color="414142"/>
            </w:tcBorders>
            <w:hideMark/>
          </w:tcPr>
          <w:p w14:paraId="2E7969D6" w14:textId="4CEB57E2" w:rsidR="00AC4412" w:rsidRPr="000439EF" w:rsidRDefault="00AC4412" w:rsidP="00AC4412">
            <w:pPr>
              <w:spacing w:line="240" w:lineRule="auto"/>
              <w:ind w:firstLine="0"/>
              <w:jc w:val="left"/>
              <w:rPr>
                <w:rFonts w:eastAsia="Times New Roman"/>
                <w:sz w:val="24"/>
                <w:szCs w:val="24"/>
                <w:lang w:eastAsia="lv-LV"/>
              </w:rPr>
            </w:pPr>
            <w:r w:rsidRPr="000439EF">
              <w:rPr>
                <w:rFonts w:eastAsia="Times New Roman"/>
                <w:sz w:val="24"/>
                <w:szCs w:val="24"/>
                <w:lang w:eastAsia="lv-LV"/>
              </w:rPr>
              <w:t xml:space="preserve">Mērķis, risinājums </w:t>
            </w:r>
            <w:r w:rsidR="00814FA6" w:rsidRPr="000439EF">
              <w:rPr>
                <w:rFonts w:eastAsia="Times New Roman"/>
                <w:sz w:val="24"/>
                <w:szCs w:val="24"/>
                <w:lang w:eastAsia="lv-LV"/>
              </w:rPr>
              <w:t xml:space="preserve"> </w:t>
            </w:r>
            <w:r w:rsidRPr="000439EF">
              <w:rPr>
                <w:rFonts w:eastAsia="Times New Roman"/>
                <w:sz w:val="24"/>
                <w:szCs w:val="24"/>
                <w:lang w:eastAsia="lv-LV"/>
              </w:rPr>
              <w:t>un projekta spēkā stāšanās laiks (500 zīmes bez atstarpēm)</w:t>
            </w:r>
          </w:p>
        </w:tc>
        <w:tc>
          <w:tcPr>
            <w:tcW w:w="3266" w:type="pct"/>
            <w:hideMark/>
          </w:tcPr>
          <w:p w14:paraId="62A081EE" w14:textId="551C66AE" w:rsidR="001277CE" w:rsidRPr="001277CE" w:rsidRDefault="001277CE" w:rsidP="00A2064D">
            <w:pPr>
              <w:spacing w:line="240" w:lineRule="auto"/>
              <w:ind w:firstLine="0"/>
              <w:rPr>
                <w:rFonts w:eastAsia="Times New Roman"/>
                <w:sz w:val="24"/>
                <w:szCs w:val="24"/>
                <w:lang w:eastAsia="lv-LV"/>
              </w:rPr>
            </w:pPr>
            <w:r w:rsidRPr="001277CE">
              <w:rPr>
                <w:rFonts w:eastAsia="Times New Roman"/>
                <w:sz w:val="24"/>
                <w:szCs w:val="24"/>
                <w:lang w:eastAsia="lv-LV"/>
              </w:rPr>
              <w:t>M</w:t>
            </w:r>
            <w:r w:rsidR="00A2064D">
              <w:rPr>
                <w:rFonts w:eastAsia="Times New Roman"/>
                <w:sz w:val="24"/>
                <w:szCs w:val="24"/>
                <w:lang w:eastAsia="lv-LV"/>
              </w:rPr>
              <w:t>inistru kabineta</w:t>
            </w:r>
            <w:r w:rsidRPr="001277CE">
              <w:rPr>
                <w:rFonts w:eastAsia="Times New Roman"/>
                <w:sz w:val="24"/>
                <w:szCs w:val="24"/>
                <w:lang w:eastAsia="lv-LV"/>
              </w:rPr>
              <w:t xml:space="preserve"> noteikumu projekta mērķis ir ieviest maksu par valsts akciju sabiedrībai “Ceļu satiksmes drošības direkcija” deleģētās pārvaldes funkcijas īstenošanu </w:t>
            </w:r>
            <w:r w:rsidR="00C42C20">
              <w:rPr>
                <w:rFonts w:eastAsia="Times New Roman"/>
                <w:sz w:val="24"/>
                <w:szCs w:val="24"/>
                <w:lang w:eastAsia="lv-LV"/>
              </w:rPr>
              <w:t>–</w:t>
            </w:r>
            <w:r w:rsidRPr="001277CE">
              <w:rPr>
                <w:rFonts w:eastAsia="Times New Roman"/>
                <w:sz w:val="24"/>
                <w:szCs w:val="24"/>
                <w:lang w:eastAsia="lv-LV"/>
              </w:rPr>
              <w:t xml:space="preserve"> </w:t>
            </w:r>
            <w:proofErr w:type="spellStart"/>
            <w:r w:rsidR="00A2064D">
              <w:rPr>
                <w:rFonts w:eastAsia="Times New Roman"/>
                <w:sz w:val="24"/>
                <w:szCs w:val="24"/>
                <w:lang w:eastAsia="lv-LV"/>
              </w:rPr>
              <w:t>elektrotransportlīdzekļu</w:t>
            </w:r>
            <w:proofErr w:type="spellEnd"/>
            <w:r w:rsidR="00F902F1">
              <w:rPr>
                <w:rFonts w:eastAsia="Times New Roman"/>
                <w:sz w:val="24"/>
                <w:szCs w:val="24"/>
                <w:lang w:eastAsia="lv-LV"/>
              </w:rPr>
              <w:t xml:space="preserve"> </w:t>
            </w:r>
            <w:r w:rsidR="00C42C20">
              <w:rPr>
                <w:rFonts w:eastAsia="Times New Roman"/>
                <w:sz w:val="24"/>
                <w:szCs w:val="24"/>
                <w:lang w:eastAsia="lv-LV"/>
              </w:rPr>
              <w:t>uzlādes</w:t>
            </w:r>
            <w:r w:rsidRPr="001277CE">
              <w:rPr>
                <w:rFonts w:eastAsia="Times New Roman"/>
                <w:sz w:val="24"/>
                <w:szCs w:val="24"/>
                <w:lang w:eastAsia="lv-LV"/>
              </w:rPr>
              <w:t xml:space="preserve"> infrastruktūras </w:t>
            </w:r>
            <w:r w:rsidR="00C42C20">
              <w:rPr>
                <w:rFonts w:eastAsia="Times New Roman"/>
                <w:sz w:val="24"/>
                <w:szCs w:val="24"/>
                <w:lang w:eastAsia="lv-LV"/>
              </w:rPr>
              <w:t>objektu tīkla uzturēšan</w:t>
            </w:r>
            <w:r w:rsidR="003D723A">
              <w:rPr>
                <w:rFonts w:eastAsia="Times New Roman"/>
                <w:sz w:val="24"/>
                <w:szCs w:val="24"/>
                <w:lang w:eastAsia="lv-LV"/>
              </w:rPr>
              <w:t>u</w:t>
            </w:r>
            <w:r w:rsidR="00C42C20">
              <w:rPr>
                <w:rFonts w:eastAsia="Times New Roman"/>
                <w:sz w:val="24"/>
                <w:szCs w:val="24"/>
                <w:lang w:eastAsia="lv-LV"/>
              </w:rPr>
              <w:t xml:space="preserve"> un</w:t>
            </w:r>
            <w:r w:rsidRPr="001277CE">
              <w:rPr>
                <w:rFonts w:eastAsia="Times New Roman"/>
                <w:sz w:val="24"/>
                <w:szCs w:val="24"/>
                <w:lang w:eastAsia="lv-LV"/>
              </w:rPr>
              <w:t xml:space="preserve"> darbības nodrošināšan</w:t>
            </w:r>
            <w:r w:rsidR="003D723A">
              <w:rPr>
                <w:rFonts w:eastAsia="Times New Roman"/>
                <w:sz w:val="24"/>
                <w:szCs w:val="24"/>
                <w:lang w:eastAsia="lv-LV"/>
              </w:rPr>
              <w:t>u</w:t>
            </w:r>
            <w:r w:rsidRPr="001277CE">
              <w:rPr>
                <w:rFonts w:eastAsia="Times New Roman"/>
                <w:sz w:val="24"/>
                <w:szCs w:val="24"/>
                <w:lang w:eastAsia="lv-LV"/>
              </w:rPr>
              <w:t xml:space="preserve">. </w:t>
            </w:r>
            <w:r w:rsidR="00A2064D" w:rsidRPr="001277CE">
              <w:rPr>
                <w:rFonts w:eastAsia="Times New Roman"/>
                <w:sz w:val="24"/>
                <w:szCs w:val="24"/>
                <w:lang w:eastAsia="lv-LV"/>
              </w:rPr>
              <w:t>M</w:t>
            </w:r>
            <w:r w:rsidR="00A2064D">
              <w:rPr>
                <w:rFonts w:eastAsia="Times New Roman"/>
                <w:sz w:val="24"/>
                <w:szCs w:val="24"/>
                <w:lang w:eastAsia="lv-LV"/>
              </w:rPr>
              <w:t>inistru kabineta</w:t>
            </w:r>
            <w:r w:rsidRPr="001277CE">
              <w:rPr>
                <w:rFonts w:eastAsia="Times New Roman"/>
                <w:sz w:val="24"/>
                <w:szCs w:val="24"/>
                <w:lang w:eastAsia="lv-LV"/>
              </w:rPr>
              <w:t xml:space="preserve"> noteikumu projekts paredz noteikt </w:t>
            </w:r>
            <w:proofErr w:type="spellStart"/>
            <w:r w:rsidR="00A2064D">
              <w:rPr>
                <w:rFonts w:eastAsia="Times New Roman"/>
                <w:sz w:val="24"/>
                <w:szCs w:val="24"/>
                <w:lang w:eastAsia="lv-LV"/>
              </w:rPr>
              <w:t>elektrotransportlīdzekļu</w:t>
            </w:r>
            <w:proofErr w:type="spellEnd"/>
            <w:r w:rsidR="00A2064D">
              <w:rPr>
                <w:rFonts w:eastAsia="Times New Roman"/>
                <w:sz w:val="24"/>
                <w:szCs w:val="24"/>
                <w:lang w:eastAsia="lv-LV"/>
              </w:rPr>
              <w:t xml:space="preserve"> </w:t>
            </w:r>
            <w:r w:rsidRPr="001277CE">
              <w:rPr>
                <w:rFonts w:eastAsia="Times New Roman"/>
                <w:sz w:val="24"/>
                <w:szCs w:val="24"/>
                <w:lang w:eastAsia="lv-LV"/>
              </w:rPr>
              <w:t xml:space="preserve">uzlādes pakalpojuma maksu ātrās uzlādes staciju tīklā 0,15 EUR/min ieskaitot PVN (0,12 EUR/min bez PVN). </w:t>
            </w:r>
          </w:p>
          <w:p w14:paraId="02DDFE14" w14:textId="5A1A463F" w:rsidR="003924D7" w:rsidRPr="00290A97" w:rsidRDefault="001277CE" w:rsidP="00A2064D">
            <w:pPr>
              <w:spacing w:line="240" w:lineRule="auto"/>
              <w:ind w:firstLine="0"/>
              <w:rPr>
                <w:rFonts w:eastAsia="Times New Roman"/>
                <w:sz w:val="24"/>
                <w:szCs w:val="24"/>
                <w:lang w:eastAsia="lv-LV"/>
              </w:rPr>
            </w:pPr>
            <w:r w:rsidRPr="001277CE">
              <w:rPr>
                <w:rFonts w:eastAsia="Times New Roman"/>
                <w:sz w:val="24"/>
                <w:szCs w:val="24"/>
                <w:lang w:eastAsia="lv-LV"/>
              </w:rPr>
              <w:t>M</w:t>
            </w:r>
            <w:r w:rsidR="00212E4A">
              <w:rPr>
                <w:rFonts w:eastAsia="Times New Roman"/>
                <w:sz w:val="24"/>
                <w:szCs w:val="24"/>
                <w:lang w:eastAsia="lv-LV"/>
              </w:rPr>
              <w:t>inistru kabineta</w:t>
            </w:r>
            <w:r w:rsidRPr="001277CE">
              <w:rPr>
                <w:rFonts w:eastAsia="Times New Roman"/>
                <w:sz w:val="24"/>
                <w:szCs w:val="24"/>
                <w:lang w:eastAsia="lv-LV"/>
              </w:rPr>
              <w:t xml:space="preserve"> noteikumu projek</w:t>
            </w:r>
            <w:r w:rsidR="00A2064D">
              <w:rPr>
                <w:rFonts w:eastAsia="Times New Roman"/>
                <w:sz w:val="24"/>
                <w:szCs w:val="24"/>
                <w:lang w:eastAsia="lv-LV"/>
              </w:rPr>
              <w:t>tu nepieciešams pieņemt</w:t>
            </w:r>
            <w:r w:rsidRPr="001277CE">
              <w:rPr>
                <w:rFonts w:eastAsia="Times New Roman"/>
                <w:sz w:val="24"/>
                <w:szCs w:val="24"/>
                <w:lang w:eastAsia="lv-LV"/>
              </w:rPr>
              <w:t xml:space="preserve"> līdz 2018.gada 31.maijam.</w:t>
            </w:r>
          </w:p>
        </w:tc>
      </w:tr>
    </w:tbl>
    <w:p w14:paraId="72880659" w14:textId="5DE7B975" w:rsidR="00D57AEC" w:rsidRDefault="00D57AEC" w:rsidP="00811322">
      <w:pPr>
        <w:spacing w:line="240" w:lineRule="auto"/>
        <w:jc w:val="center"/>
        <w:rPr>
          <w:rFonts w:eastAsia="Times New Roman"/>
          <w:b/>
          <w:sz w:val="24"/>
          <w:szCs w:val="24"/>
          <w:lang w:eastAsia="lv-LV"/>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96"/>
        <w:gridCol w:w="7376"/>
      </w:tblGrid>
      <w:tr w:rsidR="00532F34" w:rsidRPr="0027189F" w14:paraId="2DB76447" w14:textId="77777777" w:rsidTr="00811322">
        <w:trPr>
          <w:trHeight w:val="331"/>
        </w:trPr>
        <w:tc>
          <w:tcPr>
            <w:tcW w:w="9640" w:type="dxa"/>
            <w:gridSpan w:val="3"/>
            <w:shd w:val="clear" w:color="auto" w:fill="auto"/>
          </w:tcPr>
          <w:p w14:paraId="67687758" w14:textId="77777777" w:rsidR="00532F34" w:rsidRPr="00AD4676" w:rsidRDefault="00532F34" w:rsidP="008003B5">
            <w:pPr>
              <w:spacing w:before="100" w:beforeAutospacing="1" w:after="120" w:line="240" w:lineRule="auto"/>
              <w:ind w:right="225" w:firstLine="0"/>
              <w:jc w:val="center"/>
              <w:rPr>
                <w:rFonts w:eastAsia="Times New Roman"/>
                <w:sz w:val="24"/>
                <w:szCs w:val="24"/>
                <w:lang w:eastAsia="lv-LV"/>
              </w:rPr>
            </w:pPr>
            <w:r w:rsidRPr="00AD4676">
              <w:rPr>
                <w:rFonts w:eastAsia="Times New Roman"/>
                <w:b/>
                <w:bCs/>
                <w:sz w:val="24"/>
                <w:szCs w:val="24"/>
                <w:lang w:eastAsia="lv-LV"/>
              </w:rPr>
              <w:t>I. Tiesību akta projekta izstrādes nepieciešamība</w:t>
            </w:r>
          </w:p>
        </w:tc>
      </w:tr>
      <w:tr w:rsidR="00532F34" w:rsidRPr="0027189F" w14:paraId="63101E54" w14:textId="77777777" w:rsidTr="00D815F3">
        <w:trPr>
          <w:trHeight w:val="581"/>
        </w:trPr>
        <w:tc>
          <w:tcPr>
            <w:tcW w:w="568" w:type="dxa"/>
            <w:shd w:val="clear" w:color="auto" w:fill="auto"/>
          </w:tcPr>
          <w:p w14:paraId="6F8ED48D" w14:textId="4B59FF06"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1.</w:t>
            </w:r>
          </w:p>
        </w:tc>
        <w:tc>
          <w:tcPr>
            <w:tcW w:w="1696" w:type="dxa"/>
            <w:shd w:val="clear" w:color="auto" w:fill="auto"/>
          </w:tcPr>
          <w:p w14:paraId="557D207B" w14:textId="0F9040D3"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Pamatojums</w:t>
            </w:r>
          </w:p>
        </w:tc>
        <w:tc>
          <w:tcPr>
            <w:tcW w:w="7376" w:type="dxa"/>
            <w:shd w:val="clear" w:color="auto" w:fill="auto"/>
          </w:tcPr>
          <w:p w14:paraId="78E6FB8A" w14:textId="36B151C0" w:rsidR="003E013A" w:rsidRPr="00E6730E" w:rsidRDefault="00E6730E" w:rsidP="00E37BE8">
            <w:pPr>
              <w:pStyle w:val="NoSpacing"/>
              <w:spacing w:after="120"/>
              <w:ind w:firstLine="0"/>
              <w:rPr>
                <w:sz w:val="24"/>
                <w:szCs w:val="24"/>
              </w:rPr>
            </w:pPr>
            <w:r w:rsidRPr="00E6730E">
              <w:rPr>
                <w:sz w:val="24"/>
                <w:szCs w:val="24"/>
              </w:rPr>
              <w:t>M</w:t>
            </w:r>
            <w:r w:rsidR="003168A9" w:rsidRPr="00E6730E">
              <w:rPr>
                <w:sz w:val="24"/>
                <w:szCs w:val="24"/>
              </w:rPr>
              <w:t>inistru kabineta 2003.gada 29.aprīļa noteikumu Nr.242 „Satiksmes ministrijas nolikums”</w:t>
            </w:r>
            <w:r w:rsidR="00AF3922">
              <w:rPr>
                <w:sz w:val="24"/>
                <w:szCs w:val="24"/>
              </w:rPr>
              <w:t xml:space="preserve"> (turpmāk – MK noteikumi Nr.242)</w:t>
            </w:r>
            <w:r w:rsidR="003168A9" w:rsidRPr="00E6730E">
              <w:rPr>
                <w:sz w:val="24"/>
                <w:szCs w:val="24"/>
              </w:rPr>
              <w:t xml:space="preserve"> 5.24.apakšpunkt</w:t>
            </w:r>
            <w:r w:rsidR="00080A88">
              <w:rPr>
                <w:sz w:val="24"/>
                <w:szCs w:val="24"/>
              </w:rPr>
              <w:t xml:space="preserve">s </w:t>
            </w:r>
            <w:r w:rsidR="009D111F">
              <w:rPr>
                <w:sz w:val="24"/>
                <w:szCs w:val="24"/>
              </w:rPr>
              <w:t>nosaka valsts akciju</w:t>
            </w:r>
            <w:r w:rsidR="006753BC">
              <w:rPr>
                <w:sz w:val="24"/>
                <w:szCs w:val="24"/>
              </w:rPr>
              <w:t xml:space="preserve"> sabiedrība</w:t>
            </w:r>
            <w:r w:rsidR="00662953">
              <w:rPr>
                <w:sz w:val="24"/>
                <w:szCs w:val="24"/>
              </w:rPr>
              <w:t>s</w:t>
            </w:r>
            <w:r w:rsidR="006753BC">
              <w:rPr>
                <w:sz w:val="24"/>
                <w:szCs w:val="24"/>
              </w:rPr>
              <w:t xml:space="preserve"> “Ceļu satiksmes drošības direkcijas”</w:t>
            </w:r>
            <w:r w:rsidR="00662953">
              <w:rPr>
                <w:sz w:val="24"/>
                <w:szCs w:val="24"/>
              </w:rPr>
              <w:t xml:space="preserve"> (turpmāk – CSDD)</w:t>
            </w:r>
            <w:r w:rsidR="006753BC">
              <w:rPr>
                <w:sz w:val="24"/>
                <w:szCs w:val="24"/>
              </w:rPr>
              <w:t xml:space="preserve"> pienākumu izveidot un uzturēt </w:t>
            </w:r>
            <w:proofErr w:type="spellStart"/>
            <w:r w:rsidR="006753BC">
              <w:rPr>
                <w:sz w:val="24"/>
                <w:szCs w:val="24"/>
              </w:rPr>
              <w:t>elektromobilitātes</w:t>
            </w:r>
            <w:proofErr w:type="spellEnd"/>
            <w:r w:rsidR="006753BC">
              <w:rPr>
                <w:sz w:val="24"/>
                <w:szCs w:val="24"/>
              </w:rPr>
              <w:t xml:space="preserve"> infrastruktūru</w:t>
            </w:r>
            <w:r w:rsidRPr="00E6730E">
              <w:rPr>
                <w:sz w:val="24"/>
                <w:szCs w:val="24"/>
              </w:rPr>
              <w:t>.</w:t>
            </w:r>
          </w:p>
          <w:p w14:paraId="2F83819D" w14:textId="172B776A" w:rsidR="00532F34" w:rsidRPr="00AF3922" w:rsidRDefault="00455628" w:rsidP="00E37BE8">
            <w:pPr>
              <w:pStyle w:val="NoSpacing"/>
              <w:spacing w:after="120"/>
              <w:ind w:firstLine="0"/>
              <w:rPr>
                <w:sz w:val="24"/>
                <w:szCs w:val="24"/>
              </w:rPr>
            </w:pPr>
            <w:r w:rsidRPr="00E6730E">
              <w:rPr>
                <w:sz w:val="24"/>
                <w:szCs w:val="24"/>
              </w:rPr>
              <w:t>S</w:t>
            </w:r>
            <w:r w:rsidR="008574F8" w:rsidRPr="00E6730E">
              <w:rPr>
                <w:sz w:val="24"/>
                <w:szCs w:val="24"/>
              </w:rPr>
              <w:t>a</w:t>
            </w:r>
            <w:r w:rsidRPr="00E6730E">
              <w:rPr>
                <w:sz w:val="24"/>
                <w:szCs w:val="24"/>
              </w:rPr>
              <w:t xml:space="preserve">tiksmes ministrijas un </w:t>
            </w:r>
            <w:r w:rsidR="00A2064D">
              <w:rPr>
                <w:sz w:val="24"/>
                <w:szCs w:val="24"/>
              </w:rPr>
              <w:t xml:space="preserve">CSDD </w:t>
            </w:r>
            <w:r w:rsidR="006753BC">
              <w:rPr>
                <w:sz w:val="24"/>
                <w:szCs w:val="24"/>
              </w:rPr>
              <w:t xml:space="preserve">starpā 2016.gada 9.februārī noslēgts </w:t>
            </w:r>
            <w:r w:rsidRPr="00E6730E">
              <w:rPr>
                <w:sz w:val="24"/>
                <w:szCs w:val="24"/>
              </w:rPr>
              <w:t>deleģēšanas līgum</w:t>
            </w:r>
            <w:r w:rsidR="00E6730E" w:rsidRPr="00E6730E">
              <w:rPr>
                <w:sz w:val="24"/>
                <w:szCs w:val="24"/>
              </w:rPr>
              <w:t>s</w:t>
            </w:r>
            <w:r w:rsidR="00A2064D">
              <w:rPr>
                <w:sz w:val="24"/>
                <w:szCs w:val="24"/>
              </w:rPr>
              <w:t xml:space="preserve"> Nr.SM 2016/-9</w:t>
            </w:r>
            <w:r w:rsidR="006753BC">
              <w:rPr>
                <w:sz w:val="24"/>
                <w:szCs w:val="24"/>
              </w:rPr>
              <w:t xml:space="preserve"> par </w:t>
            </w:r>
            <w:proofErr w:type="spellStart"/>
            <w:r w:rsidR="006753BC">
              <w:rPr>
                <w:sz w:val="24"/>
                <w:szCs w:val="24"/>
              </w:rPr>
              <w:t>elektromobilitētes</w:t>
            </w:r>
            <w:proofErr w:type="spellEnd"/>
            <w:r w:rsidR="006753BC">
              <w:rPr>
                <w:sz w:val="24"/>
                <w:szCs w:val="24"/>
              </w:rPr>
              <w:t xml:space="preserve"> infrastruktūras i</w:t>
            </w:r>
            <w:r w:rsidR="00A2064D">
              <w:rPr>
                <w:sz w:val="24"/>
                <w:szCs w:val="24"/>
              </w:rPr>
              <w:t xml:space="preserve">zveidošanu un uzturēšanu </w:t>
            </w:r>
            <w:r w:rsidR="00AF3922">
              <w:rPr>
                <w:sz w:val="24"/>
                <w:szCs w:val="24"/>
              </w:rPr>
              <w:t>(turpmāk – Deleģēšanas līgums)</w:t>
            </w:r>
            <w:r w:rsidR="006753BC">
              <w:rPr>
                <w:sz w:val="24"/>
                <w:szCs w:val="24"/>
              </w:rPr>
              <w:t xml:space="preserve">, kas nosaka </w:t>
            </w:r>
            <w:r w:rsidR="00A2064D">
              <w:rPr>
                <w:sz w:val="24"/>
                <w:szCs w:val="24"/>
              </w:rPr>
              <w:t xml:space="preserve">CSDD </w:t>
            </w:r>
            <w:r w:rsidR="006753BC">
              <w:rPr>
                <w:sz w:val="24"/>
                <w:szCs w:val="24"/>
              </w:rPr>
              <w:t>tiesības iekasēt un ieskaitīt savos ieņēmumos uzlādes infrastruktūras izmantotāju veiktos maksājumus</w:t>
            </w:r>
            <w:r w:rsidR="001E609C">
              <w:rPr>
                <w:sz w:val="24"/>
                <w:szCs w:val="24"/>
              </w:rPr>
              <w:t xml:space="preserve"> par uzlādes pakalpojumu izmantošanu, lai segtu ar deleģēto uzdevumu saistītos izdevumus</w:t>
            </w:r>
            <w:r w:rsidR="00E6730E" w:rsidRPr="00E6730E">
              <w:rPr>
                <w:sz w:val="24"/>
                <w:szCs w:val="24"/>
              </w:rPr>
              <w:t>.</w:t>
            </w:r>
            <w:r w:rsidR="001E609C">
              <w:rPr>
                <w:sz w:val="24"/>
                <w:szCs w:val="24"/>
              </w:rPr>
              <w:t xml:space="preserve"> </w:t>
            </w:r>
          </w:p>
        </w:tc>
      </w:tr>
      <w:tr w:rsidR="00532F34" w:rsidRPr="0027189F" w14:paraId="2D9387D1" w14:textId="77777777" w:rsidTr="00D815F3">
        <w:trPr>
          <w:trHeight w:val="685"/>
        </w:trPr>
        <w:tc>
          <w:tcPr>
            <w:tcW w:w="568" w:type="dxa"/>
            <w:shd w:val="clear" w:color="auto" w:fill="auto"/>
          </w:tcPr>
          <w:p w14:paraId="7C68627D" w14:textId="6701CE73"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2.</w:t>
            </w:r>
          </w:p>
        </w:tc>
        <w:tc>
          <w:tcPr>
            <w:tcW w:w="1696" w:type="dxa"/>
            <w:shd w:val="clear" w:color="auto" w:fill="auto"/>
          </w:tcPr>
          <w:p w14:paraId="4B975DC7" w14:textId="604793CA"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sz w:val="24"/>
                <w:szCs w:val="24"/>
              </w:rPr>
              <w:t>Pašreizējā situācija un problēmas, kuru risināšanai tiesību akta projekts izstrādāts, tiesiskā regulējuma mērķis un būtība</w:t>
            </w:r>
          </w:p>
        </w:tc>
        <w:tc>
          <w:tcPr>
            <w:tcW w:w="7376" w:type="dxa"/>
            <w:shd w:val="clear" w:color="auto" w:fill="auto"/>
          </w:tcPr>
          <w:p w14:paraId="6EBA0EB3" w14:textId="77777777" w:rsidR="001E609C" w:rsidRDefault="00455628" w:rsidP="00E37BE8">
            <w:pPr>
              <w:pStyle w:val="NoSpacing"/>
              <w:spacing w:after="120"/>
              <w:ind w:left="2" w:firstLine="0"/>
              <w:rPr>
                <w:sz w:val="24"/>
                <w:szCs w:val="24"/>
              </w:rPr>
            </w:pPr>
            <w:r w:rsidRPr="00455628">
              <w:rPr>
                <w:sz w:val="24"/>
                <w:szCs w:val="24"/>
              </w:rPr>
              <w:t>Eiropas Savienības (turpmāk – ES) fondu un Kohēzijas politikas fondu 2014. – 2020.gada plānošanas perioda darbības programmas „Izaugsme un nodarbinātība”</w:t>
            </w:r>
            <w:r w:rsidR="00660E38">
              <w:rPr>
                <w:sz w:val="24"/>
                <w:szCs w:val="24"/>
              </w:rPr>
              <w:t>,</w:t>
            </w:r>
            <w:r w:rsidRPr="00455628">
              <w:rPr>
                <w:sz w:val="24"/>
                <w:szCs w:val="24"/>
              </w:rPr>
              <w:t xml:space="preserve"> kas</w:t>
            </w:r>
            <w:r w:rsidR="00660E38">
              <w:rPr>
                <w:sz w:val="24"/>
                <w:szCs w:val="24"/>
              </w:rPr>
              <w:t xml:space="preserve"> apstiprināta Eiropas Komisijā </w:t>
            </w:r>
            <w:r w:rsidRPr="00455628">
              <w:rPr>
                <w:sz w:val="24"/>
                <w:szCs w:val="24"/>
              </w:rPr>
              <w:t xml:space="preserve">2014.gada 11.novembrī, prioritārais virziens „Pāreja uz ekonomiku ar zemu oglekļa emisijas līmeni visās nozarēs” paredz īstenot 4.4.1.specifiskā atbalsta mērķi „Attīstīt ETL uzlādes infrastruktūru Latvijā” (turpmāk – SAM). SAM mērķis ir </w:t>
            </w:r>
            <w:proofErr w:type="spellStart"/>
            <w:r w:rsidRPr="00455628">
              <w:rPr>
                <w:sz w:val="24"/>
                <w:szCs w:val="24"/>
              </w:rPr>
              <w:t>elektrotransportlīdzekļu</w:t>
            </w:r>
            <w:proofErr w:type="spellEnd"/>
            <w:r w:rsidRPr="00455628">
              <w:rPr>
                <w:sz w:val="24"/>
                <w:szCs w:val="24"/>
              </w:rPr>
              <w:t xml:space="preserve"> (turpmāk – ETL) nacionālā līmeņa uzlādes infrastruktūras tīkla izveidošana, kas nodrošinās ETL lietošanas iespēju visā Latvijas teritorijā, tādējādi novēršot ETL braukšanas attāluma ierobežojumu.</w:t>
            </w:r>
            <w:r w:rsidR="00CC5382">
              <w:rPr>
                <w:sz w:val="24"/>
                <w:szCs w:val="24"/>
              </w:rPr>
              <w:t xml:space="preserve"> </w:t>
            </w:r>
          </w:p>
          <w:p w14:paraId="74E14306" w14:textId="7D5C3F5A" w:rsidR="00660E38" w:rsidRDefault="00660E38" w:rsidP="00E37BE8">
            <w:pPr>
              <w:pStyle w:val="NoSpacing"/>
              <w:spacing w:after="120"/>
              <w:ind w:left="2" w:firstLine="0"/>
              <w:rPr>
                <w:sz w:val="24"/>
                <w:szCs w:val="24"/>
                <w:highlight w:val="yellow"/>
              </w:rPr>
            </w:pPr>
            <w:r w:rsidRPr="00660E38">
              <w:rPr>
                <w:sz w:val="24"/>
                <w:szCs w:val="24"/>
              </w:rPr>
              <w:t>Nacionāla līmeņa uzlādes staciju tīkla izveidošana tiek veikta realizējot Eiropas reģionālās attīstības fonda projektu Nr.4.4.1.0/16/I/001 “</w:t>
            </w:r>
            <w:proofErr w:type="spellStart"/>
            <w:r w:rsidRPr="00660E38">
              <w:rPr>
                <w:sz w:val="24"/>
                <w:szCs w:val="24"/>
              </w:rPr>
              <w:t>Elektrotransportlīdzekļu</w:t>
            </w:r>
            <w:proofErr w:type="spellEnd"/>
            <w:r w:rsidRPr="00660E38">
              <w:rPr>
                <w:sz w:val="24"/>
                <w:szCs w:val="24"/>
              </w:rPr>
              <w:t xml:space="preserve"> uzlādes infrastruktūras izveidošana”</w:t>
            </w:r>
            <w:r w:rsidR="00AF3922">
              <w:rPr>
                <w:sz w:val="24"/>
                <w:szCs w:val="24"/>
              </w:rPr>
              <w:t>, kurš apstiprināts</w:t>
            </w:r>
            <w:r w:rsidR="008C1E49">
              <w:rPr>
                <w:sz w:val="24"/>
                <w:szCs w:val="24"/>
              </w:rPr>
              <w:t xml:space="preserve"> 2016.gada 11.aprīlī.</w:t>
            </w:r>
            <w:r w:rsidR="00AF3922">
              <w:rPr>
                <w:sz w:val="24"/>
                <w:szCs w:val="24"/>
              </w:rPr>
              <w:t xml:space="preserve"> </w:t>
            </w:r>
          </w:p>
          <w:p w14:paraId="7A4EB907" w14:textId="7249AD28" w:rsidR="00DF2ED1" w:rsidRDefault="00E06266" w:rsidP="00E37BE8">
            <w:pPr>
              <w:pStyle w:val="NoSpacing"/>
              <w:spacing w:after="120"/>
              <w:ind w:left="2" w:firstLine="0"/>
              <w:rPr>
                <w:sz w:val="24"/>
                <w:szCs w:val="24"/>
              </w:rPr>
            </w:pPr>
            <w:r>
              <w:rPr>
                <w:sz w:val="24"/>
                <w:szCs w:val="24"/>
              </w:rPr>
              <w:t>SAM ietvaros līdz 202</w:t>
            </w:r>
            <w:r w:rsidR="005668E7">
              <w:rPr>
                <w:sz w:val="24"/>
                <w:szCs w:val="24"/>
              </w:rPr>
              <w:t>2</w:t>
            </w:r>
            <w:r>
              <w:rPr>
                <w:sz w:val="24"/>
                <w:szCs w:val="24"/>
              </w:rPr>
              <w:t xml:space="preserve">.gadam </w:t>
            </w:r>
            <w:r w:rsidR="008D5AF0">
              <w:rPr>
                <w:sz w:val="24"/>
                <w:szCs w:val="24"/>
              </w:rPr>
              <w:t xml:space="preserve">visā Latvijas teritorijā </w:t>
            </w:r>
            <w:r>
              <w:rPr>
                <w:sz w:val="24"/>
                <w:szCs w:val="24"/>
              </w:rPr>
              <w:t xml:space="preserve">paredzēts </w:t>
            </w:r>
            <w:r w:rsidR="008D5AF0">
              <w:rPr>
                <w:sz w:val="24"/>
                <w:szCs w:val="24"/>
              </w:rPr>
              <w:t>izveidot</w:t>
            </w:r>
            <w:r w:rsidR="005668E7">
              <w:rPr>
                <w:sz w:val="24"/>
                <w:szCs w:val="24"/>
              </w:rPr>
              <w:t xml:space="preserve"> līdz</w:t>
            </w:r>
            <w:r w:rsidR="008D5AF0">
              <w:rPr>
                <w:sz w:val="24"/>
                <w:szCs w:val="24"/>
              </w:rPr>
              <w:t xml:space="preserve"> 150 ETL līdzstrāvas ātrās uzlādes stacijas</w:t>
            </w:r>
            <w:r w:rsidR="00F902F1">
              <w:rPr>
                <w:sz w:val="24"/>
                <w:szCs w:val="24"/>
              </w:rPr>
              <w:t>.</w:t>
            </w:r>
          </w:p>
          <w:p w14:paraId="04D65E70" w14:textId="77777777" w:rsidR="007C33E8" w:rsidRDefault="00217856" w:rsidP="007C33E8">
            <w:pPr>
              <w:pStyle w:val="NoSpacing"/>
              <w:spacing w:after="120"/>
              <w:ind w:left="2" w:firstLine="0"/>
              <w:rPr>
                <w:sz w:val="24"/>
                <w:szCs w:val="24"/>
              </w:rPr>
            </w:pPr>
            <w:r w:rsidRPr="00217856">
              <w:rPr>
                <w:sz w:val="24"/>
                <w:szCs w:val="24"/>
              </w:rPr>
              <w:lastRenderedPageBreak/>
              <w:t xml:space="preserve">Izveidojot nacionāla līmeņa uzlādes infrastruktūru, tiks </w:t>
            </w:r>
            <w:r w:rsidR="00161634">
              <w:rPr>
                <w:sz w:val="24"/>
                <w:szCs w:val="24"/>
              </w:rPr>
              <w:t>pārņemtas</w:t>
            </w:r>
            <w:r w:rsidRPr="00217856">
              <w:rPr>
                <w:sz w:val="24"/>
                <w:szCs w:val="24"/>
              </w:rPr>
              <w:t xml:space="preserve"> </w:t>
            </w:r>
            <w:r w:rsidR="00161634" w:rsidRPr="00161634">
              <w:rPr>
                <w:sz w:val="24"/>
                <w:szCs w:val="24"/>
              </w:rPr>
              <w:t>Direktīvas 2014/94/ES</w:t>
            </w:r>
            <w:r w:rsidR="00161634">
              <w:rPr>
                <w:rStyle w:val="FootnoteReference"/>
                <w:sz w:val="24"/>
                <w:szCs w:val="24"/>
              </w:rPr>
              <w:footnoteReference w:id="1"/>
            </w:r>
            <w:r w:rsidRPr="00217856">
              <w:rPr>
                <w:sz w:val="24"/>
                <w:szCs w:val="24"/>
              </w:rPr>
              <w:t xml:space="preserve"> prasības nodrošināt, ka līdz 2020.gada 31. decembrim tiek izveidots atbilstošs skaits publiski pieejamu uzlādes punktu, lai panāktu, ka ETL var cirkulēt vismaz pilsētu/piepilsētu aglomerācijās un citās blīvi apdzīvotās vietās, un attiecīgos gadījumos dalībvalstu noteiktos tīklos.</w:t>
            </w:r>
            <w:r w:rsidR="007C33E8" w:rsidRPr="00CC5382">
              <w:rPr>
                <w:sz w:val="24"/>
                <w:szCs w:val="24"/>
              </w:rPr>
              <w:t xml:space="preserve"> </w:t>
            </w:r>
          </w:p>
          <w:p w14:paraId="4EF9C43A" w14:textId="35699AC2" w:rsidR="00576233" w:rsidRDefault="00576233" w:rsidP="00E37BE8">
            <w:pPr>
              <w:pStyle w:val="NoSpacing"/>
              <w:spacing w:after="120"/>
              <w:ind w:left="2" w:firstLine="0"/>
              <w:rPr>
                <w:sz w:val="24"/>
                <w:szCs w:val="24"/>
              </w:rPr>
            </w:pPr>
            <w:r w:rsidRPr="007C33E8">
              <w:rPr>
                <w:sz w:val="24"/>
                <w:szCs w:val="24"/>
              </w:rPr>
              <w:t xml:space="preserve">Saskaņā ar </w:t>
            </w:r>
            <w:r w:rsidR="00A2064D">
              <w:rPr>
                <w:sz w:val="24"/>
                <w:szCs w:val="24"/>
              </w:rPr>
              <w:t>MK</w:t>
            </w:r>
            <w:r w:rsidR="007C33E8" w:rsidRPr="007C33E8">
              <w:rPr>
                <w:sz w:val="24"/>
                <w:szCs w:val="24"/>
              </w:rPr>
              <w:t xml:space="preserve"> 2015.gada 3.novembra noteikum</w:t>
            </w:r>
            <w:r w:rsidR="007C33E8">
              <w:rPr>
                <w:sz w:val="24"/>
                <w:szCs w:val="24"/>
              </w:rPr>
              <w:t>u</w:t>
            </w:r>
            <w:r w:rsidR="007C33E8" w:rsidRPr="007C33E8">
              <w:rPr>
                <w:sz w:val="24"/>
                <w:szCs w:val="24"/>
              </w:rPr>
              <w:t xml:space="preserve"> Nr.637 „Darbības programmas „Izaugsme un nodarbinātība” 4.4.1.specifiskā atbalsta mērķa „Attīstīt ETL uzlādes infrastruktūru Latvijā” īstenošanas noteikumi”</w:t>
            </w:r>
            <w:r w:rsidRPr="007C33E8">
              <w:rPr>
                <w:sz w:val="24"/>
                <w:szCs w:val="24"/>
              </w:rPr>
              <w:t xml:space="preserve"> </w:t>
            </w:r>
            <w:r w:rsidR="007C33E8">
              <w:rPr>
                <w:sz w:val="24"/>
                <w:szCs w:val="24"/>
              </w:rPr>
              <w:t xml:space="preserve">(turpmāk - </w:t>
            </w:r>
            <w:r w:rsidR="007C33E8" w:rsidRPr="007C33E8">
              <w:rPr>
                <w:sz w:val="24"/>
                <w:szCs w:val="24"/>
              </w:rPr>
              <w:t>MK noteikum</w:t>
            </w:r>
            <w:r w:rsidR="007C33E8">
              <w:rPr>
                <w:sz w:val="24"/>
                <w:szCs w:val="24"/>
              </w:rPr>
              <w:t>i</w:t>
            </w:r>
            <w:r w:rsidR="007C33E8" w:rsidRPr="007C33E8">
              <w:rPr>
                <w:sz w:val="24"/>
                <w:szCs w:val="24"/>
              </w:rPr>
              <w:t xml:space="preserve"> Nr.637</w:t>
            </w:r>
            <w:r w:rsidR="007C33E8">
              <w:rPr>
                <w:sz w:val="24"/>
                <w:szCs w:val="24"/>
              </w:rPr>
              <w:t>)</w:t>
            </w:r>
            <w:r w:rsidR="007C33E8" w:rsidRPr="007C33E8">
              <w:rPr>
                <w:sz w:val="24"/>
                <w:szCs w:val="24"/>
              </w:rPr>
              <w:t xml:space="preserve"> </w:t>
            </w:r>
            <w:r w:rsidRPr="007C33E8">
              <w:rPr>
                <w:sz w:val="24"/>
                <w:szCs w:val="24"/>
              </w:rPr>
              <w:t xml:space="preserve">10.punktu Satiksmes ministrijas kā Eiropas Savienības fondu projekta iesniedzēja funkcijas </w:t>
            </w:r>
            <w:r w:rsidRPr="00996F00">
              <w:rPr>
                <w:sz w:val="24"/>
                <w:szCs w:val="24"/>
              </w:rPr>
              <w:t xml:space="preserve">veic </w:t>
            </w:r>
            <w:r w:rsidR="00660E38" w:rsidRPr="00996F00">
              <w:rPr>
                <w:sz w:val="24"/>
                <w:szCs w:val="24"/>
              </w:rPr>
              <w:t>CSDD</w:t>
            </w:r>
            <w:r w:rsidR="00660E38" w:rsidRPr="007C33E8">
              <w:rPr>
                <w:sz w:val="24"/>
                <w:szCs w:val="24"/>
              </w:rPr>
              <w:t xml:space="preserve"> </w:t>
            </w:r>
            <w:r w:rsidRPr="007C33E8">
              <w:rPr>
                <w:sz w:val="24"/>
                <w:szCs w:val="24"/>
              </w:rPr>
              <w:t xml:space="preserve">un </w:t>
            </w:r>
            <w:r w:rsidR="00466E24" w:rsidRPr="007C33E8">
              <w:rPr>
                <w:sz w:val="24"/>
                <w:szCs w:val="24"/>
              </w:rPr>
              <w:t xml:space="preserve">saskaņā ar </w:t>
            </w:r>
            <w:r w:rsidRPr="007C33E8">
              <w:rPr>
                <w:sz w:val="24"/>
                <w:szCs w:val="24"/>
              </w:rPr>
              <w:t xml:space="preserve">11.punktu projekta iesniedzējs pēc </w:t>
            </w:r>
            <w:r w:rsidR="008A6B3D">
              <w:rPr>
                <w:sz w:val="24"/>
                <w:szCs w:val="24"/>
              </w:rPr>
              <w:t>SAM</w:t>
            </w:r>
            <w:r w:rsidR="008A6B3D" w:rsidRPr="007C33E8">
              <w:rPr>
                <w:sz w:val="24"/>
                <w:szCs w:val="24"/>
              </w:rPr>
              <w:t xml:space="preserve"> </w:t>
            </w:r>
            <w:r w:rsidRPr="007C33E8">
              <w:rPr>
                <w:sz w:val="24"/>
                <w:szCs w:val="24"/>
              </w:rPr>
              <w:t>apstiprināšanas ir arī finansējuma saņēmējs. MK noteikumu Nr.637</w:t>
            </w:r>
            <w:r w:rsidR="007C33E8">
              <w:rPr>
                <w:sz w:val="24"/>
                <w:szCs w:val="24"/>
              </w:rPr>
              <w:t xml:space="preserve"> </w:t>
            </w:r>
            <w:r w:rsidRPr="007C33E8">
              <w:rPr>
                <w:sz w:val="24"/>
                <w:szCs w:val="24"/>
              </w:rPr>
              <w:t>19.4.apa</w:t>
            </w:r>
            <w:r w:rsidRPr="00576233">
              <w:rPr>
                <w:sz w:val="24"/>
                <w:szCs w:val="24"/>
              </w:rPr>
              <w:t>kšpunkt</w:t>
            </w:r>
            <w:r>
              <w:rPr>
                <w:sz w:val="24"/>
                <w:szCs w:val="24"/>
              </w:rPr>
              <w:t xml:space="preserve">s </w:t>
            </w:r>
            <w:r w:rsidRPr="00576233">
              <w:rPr>
                <w:sz w:val="24"/>
                <w:szCs w:val="24"/>
              </w:rPr>
              <w:t>nosaka, ka finansējuma saņēmējs nodrošina projekta rezultātu ilgtspēju vismaz piecus gadus pēc projekta pabeigšanas un 19.5.apakšpunkts</w:t>
            </w:r>
            <w:r>
              <w:rPr>
                <w:sz w:val="24"/>
                <w:szCs w:val="24"/>
              </w:rPr>
              <w:t xml:space="preserve"> n</w:t>
            </w:r>
            <w:r w:rsidRPr="00576233">
              <w:rPr>
                <w:sz w:val="24"/>
                <w:szCs w:val="24"/>
              </w:rPr>
              <w:t>osaka, ka finansējuma saņēmējs nodrošina sasniegto rezultātu uzturēšanu un nepieciešamos līdzekļus rezultātu uzturēšanai piecus gadus pēc projekta pabeigšanas.</w:t>
            </w:r>
          </w:p>
          <w:p w14:paraId="46EF1218" w14:textId="5014839D" w:rsidR="00CC5382" w:rsidRDefault="0032218D" w:rsidP="00E37BE8">
            <w:pPr>
              <w:pStyle w:val="NoSpacing"/>
              <w:spacing w:after="120"/>
              <w:ind w:left="2" w:firstLine="0"/>
              <w:rPr>
                <w:sz w:val="24"/>
                <w:szCs w:val="24"/>
              </w:rPr>
            </w:pPr>
            <w:r>
              <w:rPr>
                <w:sz w:val="24"/>
                <w:szCs w:val="24"/>
              </w:rPr>
              <w:t xml:space="preserve">Atbilstoši </w:t>
            </w:r>
            <w:r w:rsidR="0031015C">
              <w:rPr>
                <w:sz w:val="24"/>
                <w:szCs w:val="24"/>
              </w:rPr>
              <w:t>Deleģēšanas līguma</w:t>
            </w:r>
            <w:r>
              <w:rPr>
                <w:sz w:val="24"/>
                <w:szCs w:val="24"/>
              </w:rPr>
              <w:t xml:space="preserve"> 2.2.apakšpunktam</w:t>
            </w:r>
            <w:r w:rsidR="0031015C">
              <w:rPr>
                <w:sz w:val="24"/>
                <w:szCs w:val="24"/>
              </w:rPr>
              <w:t>,</w:t>
            </w:r>
            <w:r>
              <w:rPr>
                <w:sz w:val="24"/>
                <w:szCs w:val="24"/>
              </w:rPr>
              <w:t xml:space="preserve"> m</w:t>
            </w:r>
            <w:r w:rsidRPr="008574F8">
              <w:rPr>
                <w:sz w:val="24"/>
                <w:szCs w:val="24"/>
              </w:rPr>
              <w:t>aksa par uzlādes pakalpojumu ti</w:t>
            </w:r>
            <w:r>
              <w:rPr>
                <w:sz w:val="24"/>
                <w:szCs w:val="24"/>
              </w:rPr>
              <w:t>e</w:t>
            </w:r>
            <w:r w:rsidRPr="008574F8">
              <w:rPr>
                <w:sz w:val="24"/>
                <w:szCs w:val="24"/>
              </w:rPr>
              <w:t xml:space="preserve">k noteikta </w:t>
            </w:r>
            <w:r w:rsidR="0031015C">
              <w:rPr>
                <w:sz w:val="24"/>
                <w:szCs w:val="24"/>
              </w:rPr>
              <w:t xml:space="preserve">MK noteikumos Nr.1000 </w:t>
            </w:r>
            <w:r w:rsidRPr="008574F8">
              <w:rPr>
                <w:sz w:val="24"/>
                <w:szCs w:val="24"/>
              </w:rPr>
              <w:t>un</w:t>
            </w:r>
            <w:r w:rsidR="00466E24">
              <w:rPr>
                <w:sz w:val="24"/>
                <w:szCs w:val="24"/>
              </w:rPr>
              <w:t xml:space="preserve"> tā</w:t>
            </w:r>
            <w:r w:rsidRPr="008574F8">
              <w:rPr>
                <w:sz w:val="24"/>
                <w:szCs w:val="24"/>
              </w:rPr>
              <w:t xml:space="preserve"> </w:t>
            </w:r>
            <w:r w:rsidR="001B328E">
              <w:rPr>
                <w:sz w:val="24"/>
                <w:szCs w:val="24"/>
              </w:rPr>
              <w:t>t</w:t>
            </w:r>
            <w:r w:rsidRPr="008574F8">
              <w:rPr>
                <w:sz w:val="24"/>
                <w:szCs w:val="24"/>
              </w:rPr>
              <w:t>iks ieskaitīta CSDD ieņēmumos un izmantota izveidotās uzlādes infrastruktūras uzturēšanai.</w:t>
            </w:r>
            <w:r w:rsidR="00576233">
              <w:rPr>
                <w:sz w:val="24"/>
                <w:szCs w:val="24"/>
              </w:rPr>
              <w:t xml:space="preserve"> </w:t>
            </w:r>
          </w:p>
          <w:p w14:paraId="46C54E91" w14:textId="1E5FF472" w:rsidR="007C33E8" w:rsidRPr="007C33E8" w:rsidRDefault="00A2064D" w:rsidP="007C33E8">
            <w:pPr>
              <w:pStyle w:val="NoSpacing"/>
              <w:ind w:firstLine="0"/>
              <w:rPr>
                <w:sz w:val="24"/>
                <w:szCs w:val="24"/>
              </w:rPr>
            </w:pPr>
            <w:r>
              <w:rPr>
                <w:sz w:val="24"/>
                <w:szCs w:val="24"/>
              </w:rPr>
              <w:t>Saskaņā ar D</w:t>
            </w:r>
            <w:r w:rsidR="007C33E8" w:rsidRPr="007C33E8">
              <w:rPr>
                <w:sz w:val="24"/>
                <w:szCs w:val="24"/>
              </w:rPr>
              <w:t>irektīvas 2014/94/ES 4.panta 10.punktu, dalībvalstis nodrošina, ka cenas, ko nosaka publiski pieejamo uzlādes punktu operatori, ir saprātīgas, viegli un skaidri salīdzināmas, pārredzamas un nediskriminējošas.</w:t>
            </w:r>
          </w:p>
          <w:p w14:paraId="0030283B" w14:textId="600A6754" w:rsidR="00522311" w:rsidRDefault="007C33E8" w:rsidP="00996F00">
            <w:pPr>
              <w:pStyle w:val="NoSpacing"/>
              <w:ind w:firstLine="0"/>
              <w:rPr>
                <w:sz w:val="24"/>
                <w:szCs w:val="24"/>
              </w:rPr>
            </w:pPr>
            <w:r w:rsidRPr="007C33E8">
              <w:rPr>
                <w:sz w:val="24"/>
                <w:szCs w:val="24"/>
              </w:rPr>
              <w:t xml:space="preserve">Lai ETL lietošana būtu līdzvērtīga </w:t>
            </w:r>
            <w:proofErr w:type="spellStart"/>
            <w:r w:rsidRPr="007C33E8">
              <w:rPr>
                <w:sz w:val="24"/>
                <w:szCs w:val="24"/>
              </w:rPr>
              <w:t>iekšdedzes</w:t>
            </w:r>
            <w:proofErr w:type="spellEnd"/>
            <w:r w:rsidRPr="007C33E8">
              <w:rPr>
                <w:sz w:val="24"/>
                <w:szCs w:val="24"/>
              </w:rPr>
              <w:t xml:space="preserve"> transportlīdzekļiem, ETL elektroenerģijas izmaksām uz 100 km, izmantojot ātrās uzlādes staciju tīklu, nevajadzētu pārsniegt </w:t>
            </w:r>
            <w:proofErr w:type="spellStart"/>
            <w:r w:rsidRPr="007C33E8">
              <w:rPr>
                <w:sz w:val="24"/>
                <w:szCs w:val="24"/>
              </w:rPr>
              <w:t>iekšdedzes</w:t>
            </w:r>
            <w:proofErr w:type="spellEnd"/>
            <w:r w:rsidRPr="007C33E8">
              <w:rPr>
                <w:sz w:val="24"/>
                <w:szCs w:val="24"/>
              </w:rPr>
              <w:t xml:space="preserve"> transportlīdzekļu degvielas izmaksas uz 100 km. Pamatojoties uz autoražotāju datiem par vidējo degvielas patēriņu</w:t>
            </w:r>
            <w:r w:rsidRPr="007C33E8">
              <w:rPr>
                <w:sz w:val="24"/>
                <w:szCs w:val="24"/>
                <w:vertAlign w:val="superscript"/>
              </w:rPr>
              <w:footnoteReference w:id="2"/>
            </w:r>
            <w:r w:rsidRPr="007C33E8">
              <w:rPr>
                <w:sz w:val="24"/>
                <w:szCs w:val="24"/>
              </w:rPr>
              <w:t xml:space="preserve">, tika veikts ETL līdzvērtīgu </w:t>
            </w:r>
            <w:proofErr w:type="spellStart"/>
            <w:r w:rsidRPr="007C33E8">
              <w:rPr>
                <w:sz w:val="24"/>
                <w:szCs w:val="24"/>
              </w:rPr>
              <w:t>iekšdedzes</w:t>
            </w:r>
            <w:proofErr w:type="spellEnd"/>
            <w:r w:rsidRPr="007C33E8">
              <w:rPr>
                <w:sz w:val="24"/>
                <w:szCs w:val="24"/>
              </w:rPr>
              <w:t xml:space="preserve"> transportlīdzekļu degvielas izmaksu uz 100 km </w:t>
            </w:r>
            <w:r w:rsidRPr="000439EF">
              <w:rPr>
                <w:sz w:val="24"/>
                <w:szCs w:val="24"/>
              </w:rPr>
              <w:t xml:space="preserve">aprēķins (degvielas cena </w:t>
            </w:r>
            <w:r w:rsidR="00C42C20" w:rsidRPr="000439EF">
              <w:rPr>
                <w:sz w:val="24"/>
                <w:szCs w:val="24"/>
              </w:rPr>
              <w:t>27</w:t>
            </w:r>
            <w:r w:rsidRPr="000439EF">
              <w:rPr>
                <w:sz w:val="24"/>
                <w:szCs w:val="24"/>
              </w:rPr>
              <w:t>.0</w:t>
            </w:r>
            <w:r w:rsidR="00C42C20" w:rsidRPr="000439EF">
              <w:rPr>
                <w:sz w:val="24"/>
                <w:szCs w:val="24"/>
              </w:rPr>
              <w:t>3</w:t>
            </w:r>
            <w:r w:rsidRPr="000439EF">
              <w:rPr>
                <w:sz w:val="24"/>
                <w:szCs w:val="24"/>
              </w:rPr>
              <w:t>.2018.) un konstatēts, ka transportlīdzekļiem ar dīzeļdzinēju minētās izmaksas sastāda 4,6</w:t>
            </w:r>
            <w:r w:rsidR="00C42C20" w:rsidRPr="000439EF">
              <w:rPr>
                <w:sz w:val="24"/>
                <w:szCs w:val="24"/>
              </w:rPr>
              <w:t>6</w:t>
            </w:r>
            <w:r w:rsidRPr="000439EF">
              <w:rPr>
                <w:sz w:val="24"/>
                <w:szCs w:val="24"/>
              </w:rPr>
              <w:t xml:space="preserve"> EUR/100km ar PVN, transportlīdzekļiem ar benzīna dzinēju - 6,</w:t>
            </w:r>
            <w:r w:rsidR="00C42C20" w:rsidRPr="000439EF">
              <w:rPr>
                <w:sz w:val="24"/>
                <w:szCs w:val="24"/>
              </w:rPr>
              <w:t>75</w:t>
            </w:r>
            <w:r w:rsidRPr="000439EF">
              <w:rPr>
                <w:sz w:val="24"/>
                <w:szCs w:val="24"/>
              </w:rPr>
              <w:t xml:space="preserve"> EUR/100km ar PVN, savukārt ar sašķidrināto naftas gāzi darbināmiem transportlīdzekļiem – </w:t>
            </w:r>
            <w:r w:rsidR="00C42C20" w:rsidRPr="000439EF">
              <w:rPr>
                <w:sz w:val="24"/>
                <w:szCs w:val="24"/>
              </w:rPr>
              <w:t>3,79</w:t>
            </w:r>
            <w:r w:rsidRPr="000439EF">
              <w:rPr>
                <w:sz w:val="24"/>
                <w:szCs w:val="24"/>
              </w:rPr>
              <w:t xml:space="preserve"> EUR/100km ar PVN</w:t>
            </w:r>
            <w:r w:rsidRPr="007C33E8">
              <w:rPr>
                <w:sz w:val="24"/>
                <w:szCs w:val="24"/>
              </w:rPr>
              <w:t xml:space="preserve">. </w:t>
            </w:r>
          </w:p>
          <w:p w14:paraId="4450B9BD" w14:textId="72BFE918" w:rsidR="00522311" w:rsidRDefault="00522311" w:rsidP="00522311">
            <w:pPr>
              <w:pStyle w:val="NoSpacing"/>
              <w:spacing w:after="120"/>
              <w:ind w:left="2" w:firstLine="0"/>
              <w:rPr>
                <w:sz w:val="24"/>
                <w:szCs w:val="24"/>
              </w:rPr>
            </w:pPr>
            <w:r>
              <w:rPr>
                <w:sz w:val="24"/>
                <w:szCs w:val="24"/>
              </w:rPr>
              <w:t>Lai nodrošinātu efektīvāku un klientiem ērtāku uzlādes infrastruktūras izmantošanu, tika izvēlēts ETL</w:t>
            </w:r>
            <w:r w:rsidRPr="008574F8">
              <w:rPr>
                <w:sz w:val="24"/>
                <w:szCs w:val="24"/>
              </w:rPr>
              <w:t xml:space="preserve"> uzlād</w:t>
            </w:r>
            <w:r>
              <w:rPr>
                <w:sz w:val="24"/>
                <w:szCs w:val="24"/>
              </w:rPr>
              <w:t xml:space="preserve">es pakalpojuma apmaksas modelis - maksa </w:t>
            </w:r>
            <w:r w:rsidRPr="008574F8">
              <w:rPr>
                <w:sz w:val="24"/>
                <w:szCs w:val="24"/>
              </w:rPr>
              <w:t>par uzlādes</w:t>
            </w:r>
            <w:r>
              <w:rPr>
                <w:sz w:val="24"/>
                <w:szCs w:val="24"/>
              </w:rPr>
              <w:t xml:space="preserve"> laiku (EUR</w:t>
            </w:r>
            <w:r w:rsidRPr="008574F8">
              <w:rPr>
                <w:sz w:val="24"/>
                <w:szCs w:val="24"/>
              </w:rPr>
              <w:t>/min</w:t>
            </w:r>
            <w:r>
              <w:rPr>
                <w:sz w:val="24"/>
                <w:szCs w:val="24"/>
              </w:rPr>
              <w:t>), ņemot vērā vairākus faktorus:</w:t>
            </w:r>
          </w:p>
          <w:p w14:paraId="67F24DB7" w14:textId="77777777" w:rsidR="00522311" w:rsidRDefault="00522311" w:rsidP="00522311">
            <w:pPr>
              <w:pStyle w:val="NoSpacing"/>
              <w:numPr>
                <w:ilvl w:val="0"/>
                <w:numId w:val="7"/>
              </w:numPr>
              <w:spacing w:after="120"/>
              <w:rPr>
                <w:sz w:val="24"/>
                <w:szCs w:val="24"/>
              </w:rPr>
            </w:pPr>
            <w:r w:rsidRPr="00ED7A55">
              <w:rPr>
                <w:sz w:val="24"/>
                <w:szCs w:val="24"/>
              </w:rPr>
              <w:t xml:space="preserve">ETL gaitas akumulatoru bateriju uzlādes specifiku līdzstrāvas ātrās uzlādes stacijā – uzlādes ātrums ir atkarīgs no akumulatora bateriju uzlādes līmeņa. Tas nozīmē, ka ātrās uzlādes stacija tiek efektīvi izmantota līdz akumulatoru baterijas uzlādes līmenim 80%. Pēc šī </w:t>
            </w:r>
            <w:r w:rsidRPr="00ED7A55">
              <w:rPr>
                <w:sz w:val="24"/>
                <w:szCs w:val="24"/>
              </w:rPr>
              <w:lastRenderedPageBreak/>
              <w:t>līmeņa sasniegšanas uzlāde kļūst ievērojami lēnāka un uzlādes stacijas izmantošana paliek neefektīvāka</w:t>
            </w:r>
            <w:r>
              <w:rPr>
                <w:sz w:val="24"/>
                <w:szCs w:val="24"/>
              </w:rPr>
              <w:t xml:space="preserve">. </w:t>
            </w:r>
          </w:p>
          <w:p w14:paraId="559C5F50" w14:textId="77777777" w:rsidR="00522311" w:rsidRDefault="00522311" w:rsidP="00522311">
            <w:pPr>
              <w:pStyle w:val="NoSpacing"/>
              <w:numPr>
                <w:ilvl w:val="0"/>
                <w:numId w:val="7"/>
              </w:numPr>
              <w:spacing w:after="120"/>
              <w:rPr>
                <w:sz w:val="24"/>
                <w:szCs w:val="24"/>
              </w:rPr>
            </w:pPr>
            <w:r>
              <w:rPr>
                <w:sz w:val="24"/>
                <w:szCs w:val="24"/>
              </w:rPr>
              <w:t>U</w:t>
            </w:r>
            <w:r w:rsidRPr="00ED7A55">
              <w:rPr>
                <w:sz w:val="24"/>
                <w:szCs w:val="24"/>
              </w:rPr>
              <w:t xml:space="preserve">zlādes staciju </w:t>
            </w:r>
            <w:proofErr w:type="spellStart"/>
            <w:r w:rsidRPr="00ED7A55">
              <w:rPr>
                <w:sz w:val="24"/>
                <w:szCs w:val="24"/>
              </w:rPr>
              <w:t>elektropieslēgumu</w:t>
            </w:r>
            <w:proofErr w:type="spellEnd"/>
            <w:r w:rsidRPr="00ED7A55">
              <w:rPr>
                <w:sz w:val="24"/>
                <w:szCs w:val="24"/>
              </w:rPr>
              <w:t xml:space="preserve"> (80 A) – uzlādi vienlaicīgi varēs veikt tikai vienam ETL un līdz ar to nepieciešams stimulēt ETL lietotājus izmantot ātrās uzlādes staciju tikai tik ilgi, cik nepieciešams ātrai ETL mobilitātes atjaunošanai, samazinot rindu veidošanās iespējas;</w:t>
            </w:r>
          </w:p>
          <w:p w14:paraId="6B01673D" w14:textId="77777777" w:rsidR="00522311" w:rsidRPr="00660E38" w:rsidRDefault="00522311" w:rsidP="00522311">
            <w:pPr>
              <w:pStyle w:val="NoSpacing"/>
              <w:numPr>
                <w:ilvl w:val="0"/>
                <w:numId w:val="7"/>
              </w:numPr>
              <w:spacing w:after="120"/>
              <w:rPr>
                <w:sz w:val="24"/>
                <w:szCs w:val="24"/>
              </w:rPr>
            </w:pPr>
            <w:r w:rsidRPr="00660E38">
              <w:rPr>
                <w:sz w:val="24"/>
                <w:szCs w:val="24"/>
              </w:rPr>
              <w:t xml:space="preserve">Nodrošināt ETL lietotājiem iespēju izvēlēties sev ekonomiski izdevīgāko uzlādes ilgumu, izvērtējot ātrās uzlādes stacijā pavadītā laika un uzlādes ātruma attiecību. </w:t>
            </w:r>
          </w:p>
          <w:p w14:paraId="65164FB3" w14:textId="7C22CE8B" w:rsidR="00522311" w:rsidRDefault="00522311" w:rsidP="00522311">
            <w:pPr>
              <w:pStyle w:val="NoSpacing"/>
              <w:spacing w:after="120"/>
              <w:ind w:left="2" w:firstLine="0"/>
              <w:rPr>
                <w:sz w:val="24"/>
                <w:szCs w:val="24"/>
              </w:rPr>
            </w:pPr>
            <w:r w:rsidRPr="007C33E8">
              <w:rPr>
                <w:sz w:val="24"/>
                <w:szCs w:val="24"/>
              </w:rPr>
              <w:t xml:space="preserve">Lai ETL enerģijas izmaksas uz 100 km nepārsniegtu </w:t>
            </w:r>
            <w:proofErr w:type="spellStart"/>
            <w:r w:rsidRPr="007C33E8">
              <w:rPr>
                <w:sz w:val="24"/>
                <w:szCs w:val="24"/>
              </w:rPr>
              <w:t>iekšdedzes</w:t>
            </w:r>
            <w:proofErr w:type="spellEnd"/>
            <w:r w:rsidRPr="007C33E8">
              <w:rPr>
                <w:sz w:val="24"/>
                <w:szCs w:val="24"/>
              </w:rPr>
              <w:t xml:space="preserve"> transportlīdzekļu degvielas izmaksas uz 100 km, ETL uzlādes pakalpojuma maksai ātrās uzlādes staciju tīklā jābūt ne lielākai kā 0,15 EUR/min ieskaitot PVN (0,12 EUR/min bez PVN). Attiecīgi pie šādas maksas par uzlādes pakalpojumu ETL enerģijas izmaksas uz 100 km</w:t>
            </w:r>
            <w:r w:rsidR="009A421A">
              <w:rPr>
                <w:sz w:val="24"/>
                <w:szCs w:val="24"/>
              </w:rPr>
              <w:t>,</w:t>
            </w:r>
            <w:r w:rsidRPr="007C33E8">
              <w:rPr>
                <w:sz w:val="24"/>
                <w:szCs w:val="24"/>
              </w:rPr>
              <w:t xml:space="preserve"> izmantojot uzlādi ātrās uzlādes staciju tīklā</w:t>
            </w:r>
            <w:r w:rsidR="009A421A">
              <w:rPr>
                <w:sz w:val="24"/>
                <w:szCs w:val="24"/>
              </w:rPr>
              <w:t>,</w:t>
            </w:r>
            <w:r w:rsidRPr="007C33E8">
              <w:rPr>
                <w:sz w:val="24"/>
                <w:szCs w:val="24"/>
              </w:rPr>
              <w:t xml:space="preserve"> sastādīs vidēji 3,73 EUR</w:t>
            </w:r>
            <w:r w:rsidRPr="007C33E8">
              <w:rPr>
                <w:sz w:val="24"/>
                <w:szCs w:val="24"/>
                <w:vertAlign w:val="superscript"/>
              </w:rPr>
              <w:footnoteReference w:id="3"/>
            </w:r>
            <w:r w:rsidRPr="007C33E8">
              <w:rPr>
                <w:sz w:val="24"/>
                <w:szCs w:val="24"/>
              </w:rPr>
              <w:t xml:space="preserve"> ar PVN. Salīdzinājumam, tāda paša ETL izmaksas veicot uzlādi mājas apstākļos sastāda vidēji 2,50 EUR/100 km.</w:t>
            </w:r>
          </w:p>
          <w:p w14:paraId="4DA4B5FE" w14:textId="76021BE3" w:rsidR="00662953" w:rsidRDefault="00522311" w:rsidP="00522311">
            <w:pPr>
              <w:pStyle w:val="NoSpacing"/>
              <w:spacing w:after="120"/>
              <w:ind w:left="2" w:firstLine="0"/>
              <w:rPr>
                <w:sz w:val="24"/>
                <w:szCs w:val="24"/>
              </w:rPr>
            </w:pPr>
            <w:r w:rsidRPr="00F57CEC">
              <w:rPr>
                <w:sz w:val="24"/>
                <w:szCs w:val="24"/>
              </w:rPr>
              <w:t xml:space="preserve">Maksa par ETL uzlādi atkarībā no uzlādes laika ir izplatīts apmaksas modelis un tiek izmantots vairāku valstu uzlādes staciju tīklos, piemēram – Igaunijā, Norvēģijā, Somijā, Zviedrijā, Francijā, Austrijā. </w:t>
            </w:r>
          </w:p>
          <w:p w14:paraId="417A2E2E" w14:textId="30DE3B0D" w:rsidR="00522311" w:rsidRPr="00466E24" w:rsidRDefault="00522311" w:rsidP="00996F00">
            <w:pPr>
              <w:pStyle w:val="NoSpacing"/>
              <w:spacing w:after="120"/>
              <w:ind w:left="2" w:firstLine="0"/>
              <w:jc w:val="center"/>
              <w:rPr>
                <w:b/>
                <w:sz w:val="24"/>
                <w:szCs w:val="24"/>
                <w:u w:val="single"/>
              </w:rPr>
            </w:pPr>
            <w:r w:rsidRPr="008C0BDD">
              <w:rPr>
                <w:rFonts w:eastAsia="Times New Roman"/>
                <w:b/>
                <w:bCs/>
                <w:color w:val="000000"/>
                <w:sz w:val="24"/>
                <w:szCs w:val="24"/>
                <w:u w:val="single"/>
                <w:lang w:eastAsia="lv-LV"/>
              </w:rPr>
              <w:t xml:space="preserve">ETL </w:t>
            </w:r>
            <w:r w:rsidRPr="008C0BDD">
              <w:rPr>
                <w:b/>
                <w:sz w:val="24"/>
                <w:szCs w:val="24"/>
                <w:u w:val="single"/>
              </w:rPr>
              <w:t>u</w:t>
            </w:r>
            <w:r w:rsidRPr="00466E24">
              <w:rPr>
                <w:b/>
                <w:sz w:val="24"/>
                <w:szCs w:val="24"/>
                <w:u w:val="single"/>
              </w:rPr>
              <w:t>zlādes pakalpojuma maksa citās valstīs</w:t>
            </w:r>
          </w:p>
          <w:tbl>
            <w:tblPr>
              <w:tblW w:w="6220" w:type="dxa"/>
              <w:tblLayout w:type="fixed"/>
              <w:tblLook w:val="04A0" w:firstRow="1" w:lastRow="0" w:firstColumn="1" w:lastColumn="0" w:noHBand="0" w:noVBand="1"/>
            </w:tblPr>
            <w:tblGrid>
              <w:gridCol w:w="1258"/>
              <w:gridCol w:w="1741"/>
              <w:gridCol w:w="1184"/>
              <w:gridCol w:w="2037"/>
            </w:tblGrid>
            <w:tr w:rsidR="00522311" w:rsidRPr="00960EAE" w14:paraId="1F523CC8" w14:textId="77777777" w:rsidTr="00811322">
              <w:trPr>
                <w:trHeight w:val="630"/>
              </w:trPr>
              <w:tc>
                <w:tcPr>
                  <w:tcW w:w="125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74A7048" w14:textId="77777777" w:rsidR="00522311" w:rsidRPr="00C55401" w:rsidRDefault="00522311" w:rsidP="00522311">
                  <w:pPr>
                    <w:spacing w:beforeLines="20" w:before="48" w:afterLines="20" w:after="48" w:line="240" w:lineRule="auto"/>
                    <w:ind w:firstLine="0"/>
                    <w:jc w:val="center"/>
                    <w:rPr>
                      <w:rFonts w:eastAsia="Times New Roman"/>
                      <w:b/>
                      <w:bCs/>
                      <w:color w:val="000000"/>
                      <w:sz w:val="22"/>
                      <w:szCs w:val="24"/>
                      <w:lang w:eastAsia="lv-LV"/>
                    </w:rPr>
                  </w:pPr>
                  <w:r w:rsidRPr="00C55401">
                    <w:rPr>
                      <w:rFonts w:eastAsia="Times New Roman"/>
                      <w:b/>
                      <w:bCs/>
                      <w:color w:val="000000"/>
                      <w:sz w:val="22"/>
                      <w:szCs w:val="24"/>
                      <w:lang w:eastAsia="lv-LV"/>
                    </w:rPr>
                    <w:t>Valsts</w:t>
                  </w:r>
                </w:p>
              </w:tc>
              <w:tc>
                <w:tcPr>
                  <w:tcW w:w="1741" w:type="dxa"/>
                  <w:vMerge w:val="restart"/>
                  <w:tcBorders>
                    <w:top w:val="single" w:sz="4" w:space="0" w:color="auto"/>
                    <w:left w:val="single" w:sz="4" w:space="0" w:color="auto"/>
                    <w:bottom w:val="nil"/>
                    <w:right w:val="single" w:sz="4" w:space="0" w:color="auto"/>
                  </w:tcBorders>
                  <w:shd w:val="clear" w:color="auto" w:fill="auto"/>
                  <w:vAlign w:val="center"/>
                  <w:hideMark/>
                </w:tcPr>
                <w:p w14:paraId="4DC23E44" w14:textId="77777777" w:rsidR="00522311" w:rsidRPr="00C55401" w:rsidRDefault="00522311" w:rsidP="00522311">
                  <w:pPr>
                    <w:spacing w:beforeLines="20" w:before="48" w:afterLines="20" w:after="48" w:line="240" w:lineRule="auto"/>
                    <w:ind w:firstLine="0"/>
                    <w:jc w:val="center"/>
                    <w:rPr>
                      <w:rFonts w:eastAsia="Times New Roman"/>
                      <w:b/>
                      <w:bCs/>
                      <w:color w:val="000000"/>
                      <w:sz w:val="22"/>
                      <w:szCs w:val="24"/>
                      <w:lang w:eastAsia="lv-LV"/>
                    </w:rPr>
                  </w:pPr>
                  <w:r w:rsidRPr="00C55401">
                    <w:rPr>
                      <w:rFonts w:eastAsia="Times New Roman"/>
                      <w:b/>
                      <w:bCs/>
                      <w:color w:val="000000"/>
                      <w:sz w:val="22"/>
                      <w:szCs w:val="24"/>
                      <w:lang w:eastAsia="lv-LV"/>
                    </w:rPr>
                    <w:t>Uzlādes tīkls</w:t>
                  </w:r>
                </w:p>
              </w:tc>
              <w:tc>
                <w:tcPr>
                  <w:tcW w:w="118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FDB94D0" w14:textId="77777777" w:rsidR="00522311" w:rsidRPr="00C55401" w:rsidRDefault="00522311" w:rsidP="00522311">
                  <w:pPr>
                    <w:spacing w:beforeLines="20" w:before="48" w:afterLines="20" w:after="48" w:line="240" w:lineRule="auto"/>
                    <w:ind w:firstLine="0"/>
                    <w:jc w:val="center"/>
                    <w:rPr>
                      <w:rFonts w:eastAsia="Times New Roman"/>
                      <w:b/>
                      <w:bCs/>
                      <w:color w:val="000000"/>
                      <w:sz w:val="22"/>
                      <w:szCs w:val="24"/>
                      <w:lang w:eastAsia="lv-LV"/>
                    </w:rPr>
                  </w:pPr>
                  <w:r w:rsidRPr="00C55401">
                    <w:rPr>
                      <w:rFonts w:eastAsia="Times New Roman"/>
                      <w:b/>
                      <w:bCs/>
                      <w:color w:val="000000"/>
                      <w:sz w:val="22"/>
                      <w:szCs w:val="24"/>
                      <w:lang w:eastAsia="lv-LV"/>
                    </w:rPr>
                    <w:t>Laiks EUR/min</w:t>
                  </w:r>
                </w:p>
              </w:tc>
              <w:tc>
                <w:tcPr>
                  <w:tcW w:w="203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15E8CECD" w14:textId="77777777" w:rsidR="00522311" w:rsidRPr="00C55401" w:rsidRDefault="00522311" w:rsidP="00522311">
                  <w:pPr>
                    <w:spacing w:beforeLines="20" w:before="48" w:afterLines="20" w:after="48" w:line="240" w:lineRule="auto"/>
                    <w:ind w:firstLine="0"/>
                    <w:jc w:val="center"/>
                    <w:rPr>
                      <w:rFonts w:eastAsia="Times New Roman"/>
                      <w:b/>
                      <w:bCs/>
                      <w:color w:val="000000"/>
                      <w:sz w:val="22"/>
                      <w:szCs w:val="24"/>
                      <w:lang w:eastAsia="lv-LV"/>
                    </w:rPr>
                  </w:pPr>
                  <w:r w:rsidRPr="00C55401">
                    <w:rPr>
                      <w:rFonts w:eastAsia="Times New Roman"/>
                      <w:b/>
                      <w:bCs/>
                      <w:color w:val="000000"/>
                      <w:sz w:val="22"/>
                      <w:szCs w:val="24"/>
                      <w:lang w:eastAsia="lv-LV"/>
                    </w:rPr>
                    <w:t>Piezīmes</w:t>
                  </w:r>
                </w:p>
              </w:tc>
            </w:tr>
            <w:tr w:rsidR="00522311" w:rsidRPr="00960EAE" w14:paraId="478B6E6D" w14:textId="77777777" w:rsidTr="00811322">
              <w:trPr>
                <w:trHeight w:val="349"/>
              </w:trPr>
              <w:tc>
                <w:tcPr>
                  <w:tcW w:w="1258" w:type="dxa"/>
                  <w:vMerge/>
                  <w:tcBorders>
                    <w:top w:val="nil"/>
                    <w:left w:val="single" w:sz="8" w:space="0" w:color="auto"/>
                    <w:bottom w:val="single" w:sz="4" w:space="0" w:color="auto"/>
                    <w:right w:val="single" w:sz="4" w:space="0" w:color="auto"/>
                  </w:tcBorders>
                  <w:vAlign w:val="center"/>
                  <w:hideMark/>
                </w:tcPr>
                <w:p w14:paraId="30F281E0" w14:textId="77777777" w:rsidR="00522311" w:rsidRPr="00C55401" w:rsidRDefault="00522311" w:rsidP="00522311">
                  <w:pPr>
                    <w:spacing w:beforeLines="20" w:before="48" w:afterLines="20" w:after="48" w:line="240" w:lineRule="auto"/>
                    <w:ind w:firstLine="0"/>
                    <w:jc w:val="left"/>
                    <w:rPr>
                      <w:rFonts w:eastAsia="Times New Roman"/>
                      <w:b/>
                      <w:bCs/>
                      <w:color w:val="000000"/>
                      <w:sz w:val="22"/>
                      <w:szCs w:val="24"/>
                      <w:lang w:eastAsia="lv-LV"/>
                    </w:rPr>
                  </w:pPr>
                </w:p>
              </w:tc>
              <w:tc>
                <w:tcPr>
                  <w:tcW w:w="1741" w:type="dxa"/>
                  <w:vMerge/>
                  <w:tcBorders>
                    <w:top w:val="nil"/>
                    <w:left w:val="single" w:sz="4" w:space="0" w:color="auto"/>
                    <w:bottom w:val="nil"/>
                    <w:right w:val="single" w:sz="4" w:space="0" w:color="auto"/>
                  </w:tcBorders>
                  <w:vAlign w:val="center"/>
                  <w:hideMark/>
                </w:tcPr>
                <w:p w14:paraId="626D3136" w14:textId="77777777" w:rsidR="00522311" w:rsidRPr="00C55401" w:rsidRDefault="00522311" w:rsidP="00522311">
                  <w:pPr>
                    <w:spacing w:beforeLines="20" w:before="48" w:afterLines="20" w:after="48" w:line="240" w:lineRule="auto"/>
                    <w:ind w:firstLine="0"/>
                    <w:jc w:val="left"/>
                    <w:rPr>
                      <w:rFonts w:eastAsia="Times New Roman"/>
                      <w:b/>
                      <w:bCs/>
                      <w:color w:val="000000"/>
                      <w:sz w:val="22"/>
                      <w:szCs w:val="24"/>
                      <w:lang w:eastAsia="lv-LV"/>
                    </w:rPr>
                  </w:pPr>
                </w:p>
              </w:tc>
              <w:tc>
                <w:tcPr>
                  <w:tcW w:w="1184" w:type="dxa"/>
                  <w:vMerge/>
                  <w:tcBorders>
                    <w:top w:val="nil"/>
                    <w:left w:val="single" w:sz="4" w:space="0" w:color="auto"/>
                    <w:bottom w:val="single" w:sz="8" w:space="0" w:color="000000"/>
                    <w:right w:val="single" w:sz="4" w:space="0" w:color="auto"/>
                  </w:tcBorders>
                  <w:vAlign w:val="center"/>
                  <w:hideMark/>
                </w:tcPr>
                <w:p w14:paraId="1205BF5C" w14:textId="77777777" w:rsidR="00522311" w:rsidRPr="00C55401" w:rsidRDefault="00522311" w:rsidP="00522311">
                  <w:pPr>
                    <w:spacing w:beforeLines="20" w:before="48" w:afterLines="20" w:after="48" w:line="240" w:lineRule="auto"/>
                    <w:ind w:firstLine="0"/>
                    <w:jc w:val="left"/>
                    <w:rPr>
                      <w:rFonts w:eastAsia="Times New Roman"/>
                      <w:b/>
                      <w:bCs/>
                      <w:color w:val="000000"/>
                      <w:sz w:val="22"/>
                      <w:szCs w:val="24"/>
                      <w:lang w:eastAsia="lv-LV"/>
                    </w:rPr>
                  </w:pPr>
                </w:p>
              </w:tc>
              <w:tc>
                <w:tcPr>
                  <w:tcW w:w="2037" w:type="dxa"/>
                  <w:vMerge/>
                  <w:tcBorders>
                    <w:top w:val="nil"/>
                    <w:left w:val="single" w:sz="4" w:space="0" w:color="auto"/>
                    <w:bottom w:val="single" w:sz="4" w:space="0" w:color="auto"/>
                    <w:right w:val="single" w:sz="8" w:space="0" w:color="auto"/>
                  </w:tcBorders>
                  <w:vAlign w:val="center"/>
                  <w:hideMark/>
                </w:tcPr>
                <w:p w14:paraId="018ADEA1" w14:textId="77777777" w:rsidR="00522311" w:rsidRPr="00C55401" w:rsidRDefault="00522311" w:rsidP="00522311">
                  <w:pPr>
                    <w:spacing w:beforeLines="20" w:before="48" w:afterLines="20" w:after="48" w:line="240" w:lineRule="auto"/>
                    <w:ind w:firstLine="0"/>
                    <w:jc w:val="left"/>
                    <w:rPr>
                      <w:rFonts w:eastAsia="Times New Roman"/>
                      <w:b/>
                      <w:bCs/>
                      <w:color w:val="000000"/>
                      <w:sz w:val="22"/>
                      <w:szCs w:val="24"/>
                      <w:lang w:eastAsia="lv-LV"/>
                    </w:rPr>
                  </w:pPr>
                </w:p>
              </w:tc>
            </w:tr>
            <w:tr w:rsidR="00522311" w:rsidRPr="00960EAE" w14:paraId="0F09D1FA" w14:textId="77777777" w:rsidTr="00811322">
              <w:trPr>
                <w:trHeight w:val="288"/>
              </w:trPr>
              <w:tc>
                <w:tcPr>
                  <w:tcW w:w="125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4B181E52" w14:textId="77777777" w:rsidR="00522311" w:rsidRPr="00C55401" w:rsidRDefault="00522311" w:rsidP="00522311">
                  <w:pPr>
                    <w:spacing w:beforeLines="20" w:before="48" w:afterLines="20" w:after="48" w:line="240" w:lineRule="auto"/>
                    <w:ind w:firstLine="0"/>
                    <w:jc w:val="center"/>
                    <w:rPr>
                      <w:rFonts w:eastAsia="Times New Roman"/>
                      <w:b/>
                      <w:bCs/>
                      <w:color w:val="000000"/>
                      <w:sz w:val="22"/>
                      <w:szCs w:val="24"/>
                      <w:lang w:eastAsia="lv-LV"/>
                    </w:rPr>
                  </w:pPr>
                  <w:r w:rsidRPr="00C55401">
                    <w:rPr>
                      <w:rFonts w:eastAsia="Times New Roman"/>
                      <w:b/>
                      <w:bCs/>
                      <w:color w:val="000000"/>
                      <w:sz w:val="22"/>
                      <w:szCs w:val="24"/>
                      <w:lang w:eastAsia="lv-LV"/>
                    </w:rPr>
                    <w:t>Igaunija</w:t>
                  </w:r>
                  <w:r>
                    <w:rPr>
                      <w:rStyle w:val="FootnoteReference"/>
                      <w:rFonts w:eastAsia="Times New Roman"/>
                      <w:b/>
                      <w:bCs/>
                      <w:color w:val="000000"/>
                      <w:sz w:val="22"/>
                      <w:szCs w:val="24"/>
                      <w:lang w:eastAsia="lv-LV"/>
                    </w:rPr>
                    <w:footnoteReference w:id="4"/>
                  </w:r>
                </w:p>
              </w:tc>
              <w:tc>
                <w:tcPr>
                  <w:tcW w:w="174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750031B"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ELMO</w:t>
                  </w:r>
                </w:p>
              </w:tc>
              <w:tc>
                <w:tcPr>
                  <w:tcW w:w="1184" w:type="dxa"/>
                  <w:vMerge w:val="restart"/>
                  <w:tcBorders>
                    <w:top w:val="nil"/>
                    <w:left w:val="single" w:sz="4" w:space="0" w:color="auto"/>
                    <w:bottom w:val="single" w:sz="4" w:space="0" w:color="000000"/>
                    <w:right w:val="single" w:sz="4" w:space="0" w:color="auto"/>
                  </w:tcBorders>
                  <w:shd w:val="clear" w:color="auto" w:fill="auto"/>
                  <w:vAlign w:val="center"/>
                  <w:hideMark/>
                </w:tcPr>
                <w:p w14:paraId="53942269"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0,15</w:t>
                  </w:r>
                </w:p>
              </w:tc>
              <w:tc>
                <w:tcPr>
                  <w:tcW w:w="2037" w:type="dxa"/>
                  <w:tcBorders>
                    <w:top w:val="single" w:sz="4" w:space="0" w:color="auto"/>
                    <w:left w:val="nil"/>
                    <w:bottom w:val="single" w:sz="4" w:space="0" w:color="auto"/>
                    <w:right w:val="single" w:sz="8" w:space="0" w:color="auto"/>
                  </w:tcBorders>
                  <w:shd w:val="clear" w:color="auto" w:fill="auto"/>
                  <w:vAlign w:val="center"/>
                  <w:hideMark/>
                </w:tcPr>
                <w:p w14:paraId="74F8FCDE"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1,50 EUR &lt; 10 min</w:t>
                  </w:r>
                </w:p>
              </w:tc>
            </w:tr>
            <w:tr w:rsidR="00522311" w:rsidRPr="00960EAE" w14:paraId="1840E108" w14:textId="77777777" w:rsidTr="00811322">
              <w:trPr>
                <w:trHeight w:val="288"/>
              </w:trPr>
              <w:tc>
                <w:tcPr>
                  <w:tcW w:w="1258" w:type="dxa"/>
                  <w:vMerge/>
                  <w:tcBorders>
                    <w:top w:val="single" w:sz="8" w:space="0" w:color="auto"/>
                    <w:left w:val="single" w:sz="8" w:space="0" w:color="auto"/>
                    <w:bottom w:val="single" w:sz="4" w:space="0" w:color="000000"/>
                    <w:right w:val="single" w:sz="4" w:space="0" w:color="auto"/>
                  </w:tcBorders>
                  <w:vAlign w:val="center"/>
                  <w:hideMark/>
                </w:tcPr>
                <w:p w14:paraId="06C92B15" w14:textId="77777777" w:rsidR="00522311" w:rsidRPr="00C55401" w:rsidRDefault="00522311" w:rsidP="00522311">
                  <w:pPr>
                    <w:spacing w:beforeLines="20" w:before="48" w:afterLines="20" w:after="48" w:line="240" w:lineRule="auto"/>
                    <w:ind w:firstLine="0"/>
                    <w:jc w:val="left"/>
                    <w:rPr>
                      <w:rFonts w:eastAsia="Times New Roman"/>
                      <w:b/>
                      <w:bCs/>
                      <w:color w:val="000000"/>
                      <w:sz w:val="22"/>
                      <w:szCs w:val="24"/>
                      <w:lang w:eastAsia="lv-LV"/>
                    </w:rPr>
                  </w:pPr>
                </w:p>
              </w:tc>
              <w:tc>
                <w:tcPr>
                  <w:tcW w:w="1741" w:type="dxa"/>
                  <w:vMerge/>
                  <w:tcBorders>
                    <w:top w:val="single" w:sz="8" w:space="0" w:color="auto"/>
                    <w:left w:val="single" w:sz="4" w:space="0" w:color="auto"/>
                    <w:bottom w:val="single" w:sz="4" w:space="0" w:color="000000"/>
                    <w:right w:val="single" w:sz="4" w:space="0" w:color="auto"/>
                  </w:tcBorders>
                  <w:vAlign w:val="center"/>
                  <w:hideMark/>
                </w:tcPr>
                <w:p w14:paraId="6E866E23" w14:textId="77777777" w:rsidR="00522311" w:rsidRPr="00C55401" w:rsidRDefault="00522311" w:rsidP="00522311">
                  <w:pPr>
                    <w:spacing w:beforeLines="20" w:before="48" w:afterLines="20" w:after="48" w:line="240" w:lineRule="auto"/>
                    <w:ind w:firstLine="0"/>
                    <w:jc w:val="left"/>
                    <w:rPr>
                      <w:rFonts w:eastAsia="Times New Roman"/>
                      <w:color w:val="000000"/>
                      <w:sz w:val="22"/>
                      <w:szCs w:val="24"/>
                      <w:lang w:eastAsia="lv-LV"/>
                    </w:rPr>
                  </w:pPr>
                </w:p>
              </w:tc>
              <w:tc>
                <w:tcPr>
                  <w:tcW w:w="1184" w:type="dxa"/>
                  <w:vMerge/>
                  <w:tcBorders>
                    <w:top w:val="nil"/>
                    <w:left w:val="single" w:sz="4" w:space="0" w:color="auto"/>
                    <w:bottom w:val="single" w:sz="4" w:space="0" w:color="000000"/>
                    <w:right w:val="single" w:sz="4" w:space="0" w:color="auto"/>
                  </w:tcBorders>
                  <w:vAlign w:val="center"/>
                  <w:hideMark/>
                </w:tcPr>
                <w:p w14:paraId="363C26AF" w14:textId="77777777" w:rsidR="00522311" w:rsidRPr="00C55401" w:rsidRDefault="00522311" w:rsidP="00522311">
                  <w:pPr>
                    <w:spacing w:beforeLines="20" w:before="48" w:afterLines="20" w:after="48" w:line="240" w:lineRule="auto"/>
                    <w:ind w:firstLine="0"/>
                    <w:jc w:val="left"/>
                    <w:rPr>
                      <w:rFonts w:eastAsia="Times New Roman"/>
                      <w:color w:val="000000"/>
                      <w:sz w:val="22"/>
                      <w:szCs w:val="24"/>
                      <w:lang w:eastAsia="lv-LV"/>
                    </w:rPr>
                  </w:pPr>
                </w:p>
              </w:tc>
              <w:tc>
                <w:tcPr>
                  <w:tcW w:w="2037" w:type="dxa"/>
                  <w:tcBorders>
                    <w:top w:val="nil"/>
                    <w:left w:val="nil"/>
                    <w:bottom w:val="single" w:sz="4" w:space="0" w:color="auto"/>
                    <w:right w:val="single" w:sz="8" w:space="0" w:color="auto"/>
                  </w:tcBorders>
                  <w:shd w:val="clear" w:color="auto" w:fill="auto"/>
                  <w:vAlign w:val="center"/>
                  <w:hideMark/>
                </w:tcPr>
                <w:p w14:paraId="3CA4C5B1"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3,00 EUR &lt; 20 min</w:t>
                  </w:r>
                </w:p>
              </w:tc>
            </w:tr>
            <w:tr w:rsidR="00522311" w:rsidRPr="00960EAE" w14:paraId="3F277273" w14:textId="77777777" w:rsidTr="00811322">
              <w:trPr>
                <w:trHeight w:val="288"/>
              </w:trPr>
              <w:tc>
                <w:tcPr>
                  <w:tcW w:w="1258" w:type="dxa"/>
                  <w:vMerge/>
                  <w:tcBorders>
                    <w:top w:val="single" w:sz="8" w:space="0" w:color="auto"/>
                    <w:left w:val="single" w:sz="8" w:space="0" w:color="auto"/>
                    <w:bottom w:val="single" w:sz="4" w:space="0" w:color="000000"/>
                    <w:right w:val="single" w:sz="4" w:space="0" w:color="auto"/>
                  </w:tcBorders>
                  <w:vAlign w:val="center"/>
                  <w:hideMark/>
                </w:tcPr>
                <w:p w14:paraId="0C05BF8F" w14:textId="77777777" w:rsidR="00522311" w:rsidRPr="008B2833" w:rsidRDefault="00522311" w:rsidP="00522311">
                  <w:pPr>
                    <w:spacing w:beforeLines="20" w:before="48" w:afterLines="20" w:after="48" w:line="240" w:lineRule="auto"/>
                    <w:ind w:firstLine="0"/>
                    <w:jc w:val="left"/>
                    <w:rPr>
                      <w:rFonts w:eastAsia="Times New Roman"/>
                      <w:b/>
                      <w:bCs/>
                      <w:color w:val="000000"/>
                      <w:sz w:val="24"/>
                      <w:szCs w:val="24"/>
                      <w:lang w:eastAsia="lv-LV"/>
                    </w:rPr>
                  </w:pPr>
                </w:p>
              </w:tc>
              <w:tc>
                <w:tcPr>
                  <w:tcW w:w="1741" w:type="dxa"/>
                  <w:vMerge/>
                  <w:tcBorders>
                    <w:top w:val="single" w:sz="8" w:space="0" w:color="auto"/>
                    <w:left w:val="single" w:sz="4" w:space="0" w:color="auto"/>
                    <w:bottom w:val="single" w:sz="4" w:space="0" w:color="000000"/>
                    <w:right w:val="single" w:sz="4" w:space="0" w:color="auto"/>
                  </w:tcBorders>
                  <w:vAlign w:val="center"/>
                  <w:hideMark/>
                </w:tcPr>
                <w:p w14:paraId="539287A5" w14:textId="77777777" w:rsidR="00522311" w:rsidRPr="008B2833" w:rsidRDefault="00522311" w:rsidP="00522311">
                  <w:pPr>
                    <w:spacing w:beforeLines="20" w:before="48" w:afterLines="20" w:after="48" w:line="240" w:lineRule="auto"/>
                    <w:ind w:firstLine="0"/>
                    <w:jc w:val="left"/>
                    <w:rPr>
                      <w:rFonts w:eastAsia="Times New Roman"/>
                      <w:color w:val="000000"/>
                      <w:sz w:val="24"/>
                      <w:szCs w:val="24"/>
                      <w:lang w:eastAsia="lv-LV"/>
                    </w:rPr>
                  </w:pPr>
                </w:p>
              </w:tc>
              <w:tc>
                <w:tcPr>
                  <w:tcW w:w="1184" w:type="dxa"/>
                  <w:vMerge/>
                  <w:tcBorders>
                    <w:top w:val="nil"/>
                    <w:left w:val="single" w:sz="4" w:space="0" w:color="auto"/>
                    <w:bottom w:val="single" w:sz="4" w:space="0" w:color="000000"/>
                    <w:right w:val="single" w:sz="4" w:space="0" w:color="auto"/>
                  </w:tcBorders>
                  <w:vAlign w:val="center"/>
                  <w:hideMark/>
                </w:tcPr>
                <w:p w14:paraId="376AB5B6" w14:textId="77777777" w:rsidR="00522311" w:rsidRPr="008B2833" w:rsidRDefault="00522311" w:rsidP="00522311">
                  <w:pPr>
                    <w:spacing w:beforeLines="20" w:before="48" w:afterLines="20" w:after="48" w:line="240" w:lineRule="auto"/>
                    <w:ind w:firstLine="0"/>
                    <w:jc w:val="left"/>
                    <w:rPr>
                      <w:rFonts w:eastAsia="Times New Roman"/>
                      <w:color w:val="000000"/>
                      <w:sz w:val="24"/>
                      <w:szCs w:val="24"/>
                      <w:lang w:eastAsia="lv-LV"/>
                    </w:rPr>
                  </w:pPr>
                </w:p>
              </w:tc>
              <w:tc>
                <w:tcPr>
                  <w:tcW w:w="2037" w:type="dxa"/>
                  <w:tcBorders>
                    <w:top w:val="nil"/>
                    <w:left w:val="nil"/>
                    <w:bottom w:val="single" w:sz="4" w:space="0" w:color="auto"/>
                    <w:right w:val="single" w:sz="8" w:space="0" w:color="auto"/>
                  </w:tcBorders>
                  <w:shd w:val="clear" w:color="auto" w:fill="auto"/>
                  <w:vAlign w:val="center"/>
                  <w:hideMark/>
                </w:tcPr>
                <w:p w14:paraId="13C9C8C2" w14:textId="77777777" w:rsidR="00522311" w:rsidRPr="008B2833" w:rsidRDefault="00522311" w:rsidP="00522311">
                  <w:pPr>
                    <w:spacing w:beforeLines="20" w:before="48" w:afterLines="20" w:after="48" w:line="240" w:lineRule="auto"/>
                    <w:ind w:firstLine="0"/>
                    <w:jc w:val="center"/>
                    <w:rPr>
                      <w:rFonts w:eastAsia="Times New Roman"/>
                      <w:color w:val="000000"/>
                      <w:sz w:val="24"/>
                      <w:szCs w:val="24"/>
                      <w:lang w:eastAsia="lv-LV"/>
                    </w:rPr>
                  </w:pPr>
                  <w:r w:rsidRPr="00C55401">
                    <w:rPr>
                      <w:rFonts w:eastAsia="Times New Roman"/>
                      <w:color w:val="000000"/>
                      <w:sz w:val="22"/>
                      <w:szCs w:val="24"/>
                      <w:lang w:eastAsia="lv-LV"/>
                    </w:rPr>
                    <w:t xml:space="preserve">4,50 EUR </w:t>
                  </w:r>
                  <w:proofErr w:type="spellStart"/>
                  <w:r w:rsidRPr="00C55401">
                    <w:rPr>
                      <w:rFonts w:eastAsia="Times New Roman"/>
                      <w:color w:val="000000"/>
                      <w:sz w:val="22"/>
                      <w:szCs w:val="24"/>
                      <w:lang w:eastAsia="lv-LV"/>
                    </w:rPr>
                    <w:t>max</w:t>
                  </w:r>
                  <w:proofErr w:type="spellEnd"/>
                  <w:r w:rsidRPr="00C55401">
                    <w:rPr>
                      <w:rFonts w:eastAsia="Times New Roman"/>
                      <w:color w:val="000000"/>
                      <w:sz w:val="22"/>
                      <w:szCs w:val="24"/>
                      <w:lang w:eastAsia="lv-LV"/>
                    </w:rPr>
                    <w:t xml:space="preserve"> 60 min</w:t>
                  </w:r>
                </w:p>
              </w:tc>
            </w:tr>
            <w:tr w:rsidR="00522311" w:rsidRPr="00960EAE" w14:paraId="716B9E47" w14:textId="77777777" w:rsidTr="00811322">
              <w:trPr>
                <w:trHeight w:val="300"/>
              </w:trPr>
              <w:tc>
                <w:tcPr>
                  <w:tcW w:w="1258" w:type="dxa"/>
                  <w:vMerge w:val="restart"/>
                  <w:tcBorders>
                    <w:top w:val="nil"/>
                    <w:left w:val="single" w:sz="8" w:space="0" w:color="auto"/>
                    <w:bottom w:val="single" w:sz="4" w:space="0" w:color="auto"/>
                    <w:right w:val="single" w:sz="4" w:space="0" w:color="auto"/>
                  </w:tcBorders>
                  <w:shd w:val="clear" w:color="auto" w:fill="auto"/>
                  <w:vAlign w:val="center"/>
                  <w:hideMark/>
                </w:tcPr>
                <w:p w14:paraId="675E738D" w14:textId="77777777" w:rsidR="00522311" w:rsidRPr="00C55401" w:rsidRDefault="00522311" w:rsidP="00522311">
                  <w:pPr>
                    <w:spacing w:beforeLines="20" w:before="48" w:afterLines="20" w:after="48" w:line="240" w:lineRule="auto"/>
                    <w:ind w:firstLine="0"/>
                    <w:jc w:val="center"/>
                    <w:rPr>
                      <w:rFonts w:eastAsia="Times New Roman"/>
                      <w:b/>
                      <w:bCs/>
                      <w:color w:val="000000"/>
                      <w:sz w:val="22"/>
                      <w:szCs w:val="24"/>
                      <w:lang w:eastAsia="lv-LV"/>
                    </w:rPr>
                  </w:pPr>
                  <w:r w:rsidRPr="00C55401">
                    <w:rPr>
                      <w:rFonts w:eastAsia="Times New Roman"/>
                      <w:b/>
                      <w:bCs/>
                      <w:color w:val="000000"/>
                      <w:sz w:val="22"/>
                      <w:szCs w:val="24"/>
                      <w:lang w:eastAsia="lv-LV"/>
                    </w:rPr>
                    <w:t>Norvēģija</w:t>
                  </w:r>
                  <w:r>
                    <w:rPr>
                      <w:rStyle w:val="FootnoteReference"/>
                      <w:rFonts w:eastAsia="Times New Roman"/>
                      <w:b/>
                      <w:bCs/>
                      <w:color w:val="000000"/>
                      <w:sz w:val="22"/>
                      <w:szCs w:val="24"/>
                      <w:lang w:eastAsia="lv-LV"/>
                    </w:rPr>
                    <w:footnoteReference w:id="5"/>
                  </w:r>
                </w:p>
              </w:tc>
              <w:tc>
                <w:tcPr>
                  <w:tcW w:w="1741" w:type="dxa"/>
                  <w:tcBorders>
                    <w:top w:val="nil"/>
                    <w:left w:val="nil"/>
                    <w:bottom w:val="single" w:sz="4" w:space="0" w:color="auto"/>
                    <w:right w:val="single" w:sz="4" w:space="0" w:color="auto"/>
                  </w:tcBorders>
                  <w:shd w:val="clear" w:color="auto" w:fill="auto"/>
                  <w:vAlign w:val="center"/>
                  <w:hideMark/>
                </w:tcPr>
                <w:p w14:paraId="2D83D6E5"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proofErr w:type="spellStart"/>
                  <w:r w:rsidRPr="00C55401">
                    <w:rPr>
                      <w:rFonts w:eastAsia="Times New Roman"/>
                      <w:color w:val="000000"/>
                      <w:sz w:val="22"/>
                      <w:szCs w:val="24"/>
                      <w:lang w:eastAsia="lv-LV"/>
                    </w:rPr>
                    <w:t>Charge</w:t>
                  </w:r>
                  <w:proofErr w:type="spellEnd"/>
                  <w:r w:rsidRPr="00C55401">
                    <w:rPr>
                      <w:rFonts w:eastAsia="Times New Roman"/>
                      <w:color w:val="000000"/>
                      <w:sz w:val="22"/>
                      <w:szCs w:val="24"/>
                      <w:lang w:eastAsia="lv-LV"/>
                    </w:rPr>
                    <w:t xml:space="preserve"> &amp; </w:t>
                  </w:r>
                  <w:proofErr w:type="spellStart"/>
                  <w:r w:rsidRPr="00C55401">
                    <w:rPr>
                      <w:rFonts w:eastAsia="Times New Roman"/>
                      <w:color w:val="000000"/>
                      <w:sz w:val="22"/>
                      <w:szCs w:val="24"/>
                      <w:lang w:eastAsia="lv-LV"/>
                    </w:rPr>
                    <w:t>Drive</w:t>
                  </w:r>
                  <w:proofErr w:type="spellEnd"/>
                </w:p>
              </w:tc>
              <w:tc>
                <w:tcPr>
                  <w:tcW w:w="1184" w:type="dxa"/>
                  <w:tcBorders>
                    <w:top w:val="nil"/>
                    <w:left w:val="nil"/>
                    <w:bottom w:val="single" w:sz="4" w:space="0" w:color="auto"/>
                    <w:right w:val="single" w:sz="4" w:space="0" w:color="auto"/>
                  </w:tcBorders>
                  <w:shd w:val="clear" w:color="auto" w:fill="auto"/>
                  <w:vAlign w:val="center"/>
                  <w:hideMark/>
                </w:tcPr>
                <w:p w14:paraId="35D7CD88"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0,26</w:t>
                  </w:r>
                </w:p>
              </w:tc>
              <w:tc>
                <w:tcPr>
                  <w:tcW w:w="2037" w:type="dxa"/>
                  <w:tcBorders>
                    <w:top w:val="nil"/>
                    <w:left w:val="nil"/>
                    <w:bottom w:val="nil"/>
                    <w:right w:val="single" w:sz="8" w:space="0" w:color="auto"/>
                  </w:tcBorders>
                  <w:shd w:val="clear" w:color="auto" w:fill="auto"/>
                  <w:vAlign w:val="center"/>
                  <w:hideMark/>
                </w:tcPr>
                <w:p w14:paraId="32F4B90B"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2,50  NOK/min</w:t>
                  </w:r>
                </w:p>
              </w:tc>
            </w:tr>
            <w:tr w:rsidR="00522311" w:rsidRPr="00960EAE" w14:paraId="19632C7D" w14:textId="77777777" w:rsidTr="00811322">
              <w:trPr>
                <w:trHeight w:val="288"/>
              </w:trPr>
              <w:tc>
                <w:tcPr>
                  <w:tcW w:w="1258" w:type="dxa"/>
                  <w:vMerge/>
                  <w:tcBorders>
                    <w:top w:val="nil"/>
                    <w:left w:val="single" w:sz="8" w:space="0" w:color="auto"/>
                    <w:bottom w:val="single" w:sz="4" w:space="0" w:color="auto"/>
                    <w:right w:val="single" w:sz="4" w:space="0" w:color="auto"/>
                  </w:tcBorders>
                  <w:vAlign w:val="center"/>
                  <w:hideMark/>
                </w:tcPr>
                <w:p w14:paraId="48A40E57" w14:textId="77777777" w:rsidR="00522311" w:rsidRPr="00C55401" w:rsidRDefault="00522311" w:rsidP="00522311">
                  <w:pPr>
                    <w:spacing w:beforeLines="20" w:before="48" w:afterLines="20" w:after="48" w:line="240" w:lineRule="auto"/>
                    <w:ind w:firstLine="0"/>
                    <w:jc w:val="left"/>
                    <w:rPr>
                      <w:rFonts w:eastAsia="Times New Roman"/>
                      <w:b/>
                      <w:bCs/>
                      <w:color w:val="000000"/>
                      <w:sz w:val="22"/>
                      <w:szCs w:val="24"/>
                      <w:lang w:eastAsia="lv-LV"/>
                    </w:rPr>
                  </w:pPr>
                </w:p>
              </w:tc>
              <w:tc>
                <w:tcPr>
                  <w:tcW w:w="1741" w:type="dxa"/>
                  <w:tcBorders>
                    <w:top w:val="single" w:sz="8" w:space="0" w:color="auto"/>
                    <w:left w:val="nil"/>
                    <w:bottom w:val="single" w:sz="4" w:space="0" w:color="auto"/>
                    <w:right w:val="single" w:sz="4" w:space="0" w:color="auto"/>
                  </w:tcBorders>
                  <w:shd w:val="clear" w:color="auto" w:fill="auto"/>
                  <w:vAlign w:val="center"/>
                  <w:hideMark/>
                </w:tcPr>
                <w:p w14:paraId="58C705E2"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proofErr w:type="spellStart"/>
                  <w:r w:rsidRPr="00C55401">
                    <w:rPr>
                      <w:rFonts w:eastAsia="Times New Roman"/>
                      <w:color w:val="000000"/>
                      <w:sz w:val="22"/>
                      <w:szCs w:val="24"/>
                      <w:lang w:eastAsia="lv-LV"/>
                    </w:rPr>
                    <w:t>Gronn</w:t>
                  </w:r>
                  <w:proofErr w:type="spellEnd"/>
                  <w:r w:rsidRPr="00C55401">
                    <w:rPr>
                      <w:rFonts w:eastAsia="Times New Roman"/>
                      <w:color w:val="000000"/>
                      <w:sz w:val="22"/>
                      <w:szCs w:val="24"/>
                      <w:lang w:eastAsia="lv-LV"/>
                    </w:rPr>
                    <w:t xml:space="preserve"> Kontakt</w:t>
                  </w:r>
                </w:p>
              </w:tc>
              <w:tc>
                <w:tcPr>
                  <w:tcW w:w="1184" w:type="dxa"/>
                  <w:tcBorders>
                    <w:top w:val="nil"/>
                    <w:left w:val="nil"/>
                    <w:bottom w:val="single" w:sz="4" w:space="0" w:color="auto"/>
                    <w:right w:val="single" w:sz="4" w:space="0" w:color="auto"/>
                  </w:tcBorders>
                  <w:shd w:val="clear" w:color="auto" w:fill="auto"/>
                  <w:vAlign w:val="center"/>
                  <w:hideMark/>
                </w:tcPr>
                <w:p w14:paraId="6639869E"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0,26</w:t>
                  </w:r>
                </w:p>
              </w:tc>
              <w:tc>
                <w:tcPr>
                  <w:tcW w:w="2037" w:type="dxa"/>
                  <w:tcBorders>
                    <w:top w:val="single" w:sz="4" w:space="0" w:color="auto"/>
                    <w:left w:val="nil"/>
                    <w:bottom w:val="single" w:sz="4" w:space="0" w:color="auto"/>
                    <w:right w:val="single" w:sz="8" w:space="0" w:color="auto"/>
                  </w:tcBorders>
                  <w:shd w:val="clear" w:color="auto" w:fill="auto"/>
                  <w:vAlign w:val="center"/>
                  <w:hideMark/>
                </w:tcPr>
                <w:p w14:paraId="47EE3B3B" w14:textId="77777777" w:rsidR="00522311" w:rsidRPr="00C55401" w:rsidRDefault="00522311" w:rsidP="00522311">
                  <w:pPr>
                    <w:spacing w:beforeLines="20" w:before="48" w:afterLines="20" w:after="48" w:line="240" w:lineRule="auto"/>
                    <w:ind w:firstLine="0"/>
                    <w:jc w:val="center"/>
                    <w:rPr>
                      <w:rFonts w:eastAsia="Times New Roman"/>
                      <w:color w:val="000000"/>
                      <w:sz w:val="22"/>
                      <w:szCs w:val="24"/>
                      <w:lang w:eastAsia="lv-LV"/>
                    </w:rPr>
                  </w:pPr>
                  <w:r w:rsidRPr="00C55401">
                    <w:rPr>
                      <w:rFonts w:eastAsia="Times New Roman"/>
                      <w:color w:val="000000"/>
                      <w:sz w:val="22"/>
                      <w:szCs w:val="24"/>
                      <w:lang w:eastAsia="lv-LV"/>
                    </w:rPr>
                    <w:t>2,50  NOK/min</w:t>
                  </w:r>
                </w:p>
              </w:tc>
            </w:tr>
            <w:tr w:rsidR="00522311" w:rsidRPr="008B2833" w14:paraId="7884D78E" w14:textId="77777777" w:rsidTr="00811322">
              <w:trPr>
                <w:trHeight w:val="288"/>
              </w:trPr>
              <w:tc>
                <w:tcPr>
                  <w:tcW w:w="125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CAE7A06" w14:textId="77777777" w:rsidR="00522311" w:rsidRPr="008B2833" w:rsidRDefault="00522311" w:rsidP="00522311">
                  <w:pPr>
                    <w:spacing w:beforeLines="20" w:before="48" w:afterLines="20" w:after="48" w:line="240" w:lineRule="auto"/>
                    <w:ind w:firstLine="0"/>
                    <w:jc w:val="center"/>
                    <w:rPr>
                      <w:rFonts w:eastAsia="Times New Roman"/>
                      <w:b/>
                      <w:bCs/>
                      <w:color w:val="000000"/>
                      <w:sz w:val="22"/>
                      <w:lang w:eastAsia="lv-LV"/>
                    </w:rPr>
                  </w:pPr>
                  <w:r w:rsidRPr="008B2833">
                    <w:rPr>
                      <w:rFonts w:eastAsia="Times New Roman"/>
                      <w:b/>
                      <w:bCs/>
                      <w:color w:val="000000"/>
                      <w:sz w:val="22"/>
                      <w:lang w:eastAsia="lv-LV"/>
                    </w:rPr>
                    <w:t>Somija</w:t>
                  </w:r>
                  <w:r>
                    <w:rPr>
                      <w:rStyle w:val="FootnoteReference"/>
                      <w:rFonts w:eastAsia="Times New Roman"/>
                      <w:b/>
                      <w:bCs/>
                      <w:color w:val="000000"/>
                      <w:sz w:val="22"/>
                      <w:lang w:eastAsia="lv-LV"/>
                    </w:rPr>
                    <w:footnoteReference w:id="6"/>
                  </w:r>
                </w:p>
              </w:tc>
              <w:tc>
                <w:tcPr>
                  <w:tcW w:w="1741" w:type="dxa"/>
                  <w:tcBorders>
                    <w:top w:val="single" w:sz="8" w:space="0" w:color="auto"/>
                    <w:left w:val="nil"/>
                    <w:bottom w:val="single" w:sz="4" w:space="0" w:color="auto"/>
                    <w:right w:val="single" w:sz="4" w:space="0" w:color="auto"/>
                  </w:tcBorders>
                  <w:shd w:val="clear" w:color="auto" w:fill="auto"/>
                  <w:vAlign w:val="center"/>
                  <w:hideMark/>
                </w:tcPr>
                <w:p w14:paraId="1C8BFE04"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proofErr w:type="spellStart"/>
                  <w:r w:rsidRPr="008B2833">
                    <w:rPr>
                      <w:rFonts w:eastAsia="Times New Roman"/>
                      <w:sz w:val="22"/>
                      <w:lang w:eastAsia="lv-LV"/>
                    </w:rPr>
                    <w:t>Charge</w:t>
                  </w:r>
                  <w:proofErr w:type="spellEnd"/>
                  <w:r w:rsidRPr="008B2833">
                    <w:rPr>
                      <w:rFonts w:eastAsia="Times New Roman"/>
                      <w:sz w:val="22"/>
                      <w:lang w:eastAsia="lv-LV"/>
                    </w:rPr>
                    <w:t xml:space="preserve"> &amp; </w:t>
                  </w:r>
                  <w:proofErr w:type="spellStart"/>
                  <w:r w:rsidRPr="008B2833">
                    <w:rPr>
                      <w:rFonts w:eastAsia="Times New Roman"/>
                      <w:sz w:val="22"/>
                      <w:lang w:eastAsia="lv-LV"/>
                    </w:rPr>
                    <w:t>Drive</w:t>
                  </w:r>
                  <w:proofErr w:type="spellEnd"/>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419C9E05"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sidRPr="008B2833">
                    <w:rPr>
                      <w:rFonts w:eastAsia="Times New Roman"/>
                      <w:sz w:val="22"/>
                      <w:lang w:eastAsia="lv-LV"/>
                    </w:rPr>
                    <w:t>0,20</w:t>
                  </w:r>
                </w:p>
              </w:tc>
              <w:tc>
                <w:tcPr>
                  <w:tcW w:w="2037" w:type="dxa"/>
                  <w:tcBorders>
                    <w:top w:val="single" w:sz="8" w:space="0" w:color="auto"/>
                    <w:left w:val="nil"/>
                    <w:bottom w:val="single" w:sz="4" w:space="0" w:color="auto"/>
                    <w:right w:val="single" w:sz="8" w:space="0" w:color="auto"/>
                  </w:tcBorders>
                  <w:shd w:val="clear" w:color="auto" w:fill="auto"/>
                  <w:vAlign w:val="center"/>
                  <w:hideMark/>
                </w:tcPr>
                <w:p w14:paraId="3066F2FE" w14:textId="77777777" w:rsidR="00522311" w:rsidRPr="008B2833" w:rsidRDefault="00522311" w:rsidP="00522311">
                  <w:pPr>
                    <w:spacing w:beforeLines="20" w:before="48" w:afterLines="20" w:after="48" w:line="240" w:lineRule="auto"/>
                    <w:ind w:firstLine="0"/>
                    <w:jc w:val="center"/>
                    <w:rPr>
                      <w:rFonts w:eastAsia="Times New Roman"/>
                      <w:color w:val="0563C1"/>
                      <w:sz w:val="22"/>
                      <w:u w:val="single"/>
                      <w:lang w:eastAsia="lv-LV"/>
                    </w:rPr>
                  </w:pPr>
                  <w:r w:rsidRPr="008B2833">
                    <w:rPr>
                      <w:rFonts w:eastAsia="Times New Roman"/>
                      <w:color w:val="0563C1"/>
                      <w:sz w:val="22"/>
                      <w:u w:val="single"/>
                      <w:lang w:eastAsia="lv-LV"/>
                    </w:rPr>
                    <w:t> </w:t>
                  </w:r>
                </w:p>
              </w:tc>
            </w:tr>
            <w:tr w:rsidR="00522311" w:rsidRPr="008B2833" w14:paraId="072FA58D" w14:textId="77777777" w:rsidTr="00811322">
              <w:trPr>
                <w:trHeight w:val="288"/>
              </w:trPr>
              <w:tc>
                <w:tcPr>
                  <w:tcW w:w="1258" w:type="dxa"/>
                  <w:vMerge/>
                  <w:tcBorders>
                    <w:top w:val="single" w:sz="8" w:space="0" w:color="auto"/>
                    <w:left w:val="single" w:sz="8" w:space="0" w:color="auto"/>
                    <w:bottom w:val="single" w:sz="4" w:space="0" w:color="000000"/>
                    <w:right w:val="single" w:sz="4" w:space="0" w:color="auto"/>
                  </w:tcBorders>
                  <w:vAlign w:val="center"/>
                  <w:hideMark/>
                </w:tcPr>
                <w:p w14:paraId="1B4E6843" w14:textId="77777777" w:rsidR="00522311" w:rsidRPr="008B2833" w:rsidRDefault="00522311" w:rsidP="00522311">
                  <w:pPr>
                    <w:spacing w:beforeLines="20" w:before="48" w:afterLines="20" w:after="48" w:line="240" w:lineRule="auto"/>
                    <w:ind w:firstLine="0"/>
                    <w:jc w:val="left"/>
                    <w:rPr>
                      <w:rFonts w:eastAsia="Times New Roman"/>
                      <w:b/>
                      <w:bCs/>
                      <w:color w:val="000000"/>
                      <w:sz w:val="22"/>
                      <w:lang w:eastAsia="lv-LV"/>
                    </w:rPr>
                  </w:pPr>
                </w:p>
              </w:tc>
              <w:tc>
                <w:tcPr>
                  <w:tcW w:w="1741" w:type="dxa"/>
                  <w:tcBorders>
                    <w:top w:val="nil"/>
                    <w:left w:val="nil"/>
                    <w:bottom w:val="single" w:sz="4" w:space="0" w:color="auto"/>
                    <w:right w:val="single" w:sz="4" w:space="0" w:color="auto"/>
                  </w:tcBorders>
                  <w:shd w:val="clear" w:color="auto" w:fill="auto"/>
                  <w:vAlign w:val="center"/>
                  <w:hideMark/>
                </w:tcPr>
                <w:p w14:paraId="2A02879E" w14:textId="77777777" w:rsidR="00522311" w:rsidRPr="008B2833" w:rsidRDefault="00522311" w:rsidP="00522311">
                  <w:pPr>
                    <w:spacing w:beforeLines="20" w:before="48" w:afterLines="20" w:after="48" w:line="240" w:lineRule="auto"/>
                    <w:ind w:firstLine="0"/>
                    <w:jc w:val="center"/>
                    <w:rPr>
                      <w:rFonts w:eastAsia="Times New Roman"/>
                      <w:color w:val="000000"/>
                      <w:sz w:val="22"/>
                      <w:lang w:eastAsia="lv-LV"/>
                    </w:rPr>
                  </w:pPr>
                  <w:r w:rsidRPr="008B2833">
                    <w:rPr>
                      <w:rFonts w:eastAsia="Times New Roman"/>
                      <w:color w:val="000000"/>
                      <w:sz w:val="22"/>
                      <w:lang w:eastAsia="lv-LV"/>
                    </w:rPr>
                    <w:t>Virta</w:t>
                  </w:r>
                </w:p>
              </w:tc>
              <w:tc>
                <w:tcPr>
                  <w:tcW w:w="1184" w:type="dxa"/>
                  <w:tcBorders>
                    <w:top w:val="nil"/>
                    <w:left w:val="nil"/>
                    <w:bottom w:val="single" w:sz="4" w:space="0" w:color="auto"/>
                    <w:right w:val="single" w:sz="4" w:space="0" w:color="auto"/>
                  </w:tcBorders>
                  <w:shd w:val="clear" w:color="auto" w:fill="auto"/>
                  <w:vAlign w:val="center"/>
                  <w:hideMark/>
                </w:tcPr>
                <w:p w14:paraId="3E19717F" w14:textId="77777777" w:rsidR="00522311" w:rsidRPr="008B2833" w:rsidRDefault="00522311" w:rsidP="00522311">
                  <w:pPr>
                    <w:spacing w:beforeLines="20" w:before="48" w:afterLines="20" w:after="48" w:line="240" w:lineRule="auto"/>
                    <w:ind w:firstLine="0"/>
                    <w:jc w:val="center"/>
                    <w:rPr>
                      <w:rFonts w:eastAsia="Times New Roman"/>
                      <w:color w:val="000000"/>
                      <w:sz w:val="22"/>
                      <w:lang w:eastAsia="lv-LV"/>
                    </w:rPr>
                  </w:pPr>
                  <w:r w:rsidRPr="008B2833">
                    <w:rPr>
                      <w:rFonts w:eastAsia="Times New Roman"/>
                      <w:color w:val="000000"/>
                      <w:sz w:val="22"/>
                      <w:lang w:eastAsia="lv-LV"/>
                    </w:rPr>
                    <w:t>0,20</w:t>
                  </w:r>
                </w:p>
              </w:tc>
              <w:tc>
                <w:tcPr>
                  <w:tcW w:w="2037" w:type="dxa"/>
                  <w:tcBorders>
                    <w:top w:val="nil"/>
                    <w:left w:val="nil"/>
                    <w:bottom w:val="single" w:sz="4" w:space="0" w:color="auto"/>
                    <w:right w:val="single" w:sz="8" w:space="0" w:color="auto"/>
                  </w:tcBorders>
                  <w:shd w:val="clear" w:color="auto" w:fill="auto"/>
                  <w:vAlign w:val="center"/>
                  <w:hideMark/>
                </w:tcPr>
                <w:p w14:paraId="7123D858" w14:textId="77777777" w:rsidR="00522311" w:rsidRPr="008B2833" w:rsidRDefault="00522311" w:rsidP="00522311">
                  <w:pPr>
                    <w:spacing w:beforeLines="20" w:before="48" w:afterLines="20" w:after="48" w:line="240" w:lineRule="auto"/>
                    <w:ind w:firstLine="0"/>
                    <w:jc w:val="center"/>
                    <w:rPr>
                      <w:rFonts w:eastAsia="Times New Roman"/>
                      <w:color w:val="000000"/>
                      <w:sz w:val="22"/>
                      <w:lang w:eastAsia="lv-LV"/>
                    </w:rPr>
                  </w:pPr>
                  <w:r w:rsidRPr="008B2833">
                    <w:rPr>
                      <w:rFonts w:eastAsia="Times New Roman"/>
                      <w:color w:val="000000"/>
                      <w:sz w:val="22"/>
                      <w:lang w:eastAsia="lv-LV"/>
                    </w:rPr>
                    <w:t> </w:t>
                  </w:r>
                </w:p>
              </w:tc>
            </w:tr>
            <w:tr w:rsidR="00522311" w:rsidRPr="008B2833" w14:paraId="17E7D004" w14:textId="77777777" w:rsidTr="00811322">
              <w:trPr>
                <w:trHeight w:val="288"/>
              </w:trPr>
              <w:tc>
                <w:tcPr>
                  <w:tcW w:w="1258" w:type="dxa"/>
                  <w:tcBorders>
                    <w:top w:val="nil"/>
                    <w:left w:val="single" w:sz="8" w:space="0" w:color="auto"/>
                    <w:bottom w:val="single" w:sz="4" w:space="0" w:color="auto"/>
                    <w:right w:val="single" w:sz="4" w:space="0" w:color="auto"/>
                  </w:tcBorders>
                  <w:shd w:val="clear" w:color="auto" w:fill="auto"/>
                  <w:vAlign w:val="center"/>
                  <w:hideMark/>
                </w:tcPr>
                <w:p w14:paraId="49EED62F" w14:textId="77777777" w:rsidR="00522311" w:rsidRPr="008B2833" w:rsidRDefault="00522311" w:rsidP="00522311">
                  <w:pPr>
                    <w:spacing w:beforeLines="20" w:before="48" w:afterLines="20" w:after="48" w:line="240" w:lineRule="auto"/>
                    <w:ind w:firstLine="0"/>
                    <w:jc w:val="center"/>
                    <w:rPr>
                      <w:rFonts w:eastAsia="Times New Roman"/>
                      <w:b/>
                      <w:bCs/>
                      <w:sz w:val="22"/>
                      <w:lang w:eastAsia="lv-LV"/>
                    </w:rPr>
                  </w:pPr>
                  <w:r w:rsidRPr="008B2833">
                    <w:rPr>
                      <w:rFonts w:eastAsia="Times New Roman"/>
                      <w:b/>
                      <w:bCs/>
                      <w:sz w:val="22"/>
                      <w:lang w:eastAsia="lv-LV"/>
                    </w:rPr>
                    <w:t>Zviedrija</w:t>
                  </w:r>
                  <w:r>
                    <w:rPr>
                      <w:rStyle w:val="FootnoteReference"/>
                      <w:rFonts w:eastAsia="Times New Roman"/>
                      <w:b/>
                      <w:bCs/>
                      <w:sz w:val="22"/>
                      <w:lang w:eastAsia="lv-LV"/>
                    </w:rPr>
                    <w:footnoteReference w:id="7"/>
                  </w:r>
                </w:p>
              </w:tc>
              <w:tc>
                <w:tcPr>
                  <w:tcW w:w="1741" w:type="dxa"/>
                  <w:tcBorders>
                    <w:top w:val="nil"/>
                    <w:left w:val="nil"/>
                    <w:bottom w:val="single" w:sz="4" w:space="0" w:color="auto"/>
                    <w:right w:val="single" w:sz="4" w:space="0" w:color="auto"/>
                  </w:tcBorders>
                  <w:shd w:val="clear" w:color="auto" w:fill="auto"/>
                  <w:vAlign w:val="center"/>
                  <w:hideMark/>
                </w:tcPr>
                <w:p w14:paraId="6A9B993F"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proofErr w:type="spellStart"/>
                  <w:r w:rsidRPr="008B2833">
                    <w:rPr>
                      <w:rFonts w:eastAsia="Times New Roman"/>
                      <w:sz w:val="22"/>
                      <w:lang w:eastAsia="lv-LV"/>
                    </w:rPr>
                    <w:t>Charge</w:t>
                  </w:r>
                  <w:proofErr w:type="spellEnd"/>
                  <w:r w:rsidRPr="008B2833">
                    <w:rPr>
                      <w:rFonts w:eastAsia="Times New Roman"/>
                      <w:sz w:val="22"/>
                      <w:lang w:eastAsia="lv-LV"/>
                    </w:rPr>
                    <w:t xml:space="preserve"> &amp; </w:t>
                  </w:r>
                  <w:proofErr w:type="spellStart"/>
                  <w:r w:rsidRPr="008B2833">
                    <w:rPr>
                      <w:rFonts w:eastAsia="Times New Roman"/>
                      <w:sz w:val="22"/>
                      <w:lang w:eastAsia="lv-LV"/>
                    </w:rPr>
                    <w:t>Drive</w:t>
                  </w:r>
                  <w:proofErr w:type="spellEnd"/>
                </w:p>
              </w:tc>
              <w:tc>
                <w:tcPr>
                  <w:tcW w:w="1184" w:type="dxa"/>
                  <w:tcBorders>
                    <w:top w:val="nil"/>
                    <w:left w:val="nil"/>
                    <w:bottom w:val="single" w:sz="4" w:space="0" w:color="auto"/>
                    <w:right w:val="single" w:sz="4" w:space="0" w:color="auto"/>
                  </w:tcBorders>
                  <w:shd w:val="clear" w:color="auto" w:fill="auto"/>
                  <w:vAlign w:val="center"/>
                  <w:hideMark/>
                </w:tcPr>
                <w:p w14:paraId="6E52ED5C"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sidRPr="008B2833">
                    <w:rPr>
                      <w:rFonts w:eastAsia="Times New Roman"/>
                      <w:sz w:val="22"/>
                      <w:lang w:eastAsia="lv-LV"/>
                    </w:rPr>
                    <w:t>0,21</w:t>
                  </w:r>
                </w:p>
              </w:tc>
              <w:tc>
                <w:tcPr>
                  <w:tcW w:w="2037" w:type="dxa"/>
                  <w:tcBorders>
                    <w:top w:val="nil"/>
                    <w:left w:val="nil"/>
                    <w:bottom w:val="single" w:sz="4" w:space="0" w:color="auto"/>
                    <w:right w:val="single" w:sz="8" w:space="0" w:color="auto"/>
                  </w:tcBorders>
                  <w:shd w:val="clear" w:color="auto" w:fill="auto"/>
                  <w:vAlign w:val="center"/>
                  <w:hideMark/>
                </w:tcPr>
                <w:p w14:paraId="7E68DCB4"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sidRPr="008B2833">
                    <w:rPr>
                      <w:rFonts w:eastAsia="Times New Roman"/>
                      <w:sz w:val="22"/>
                      <w:lang w:eastAsia="lv-LV"/>
                    </w:rPr>
                    <w:t>2 SEK/min</w:t>
                  </w:r>
                </w:p>
              </w:tc>
            </w:tr>
            <w:tr w:rsidR="00522311" w:rsidRPr="008B2833" w14:paraId="048CB50B" w14:textId="77777777" w:rsidTr="00811322">
              <w:trPr>
                <w:trHeight w:val="576"/>
              </w:trPr>
              <w:tc>
                <w:tcPr>
                  <w:tcW w:w="1258" w:type="dxa"/>
                  <w:vMerge w:val="restart"/>
                  <w:tcBorders>
                    <w:top w:val="nil"/>
                    <w:left w:val="single" w:sz="8" w:space="0" w:color="auto"/>
                    <w:bottom w:val="single" w:sz="4" w:space="0" w:color="000000"/>
                    <w:right w:val="single" w:sz="4" w:space="0" w:color="auto"/>
                  </w:tcBorders>
                  <w:shd w:val="clear" w:color="auto" w:fill="auto"/>
                  <w:vAlign w:val="center"/>
                  <w:hideMark/>
                </w:tcPr>
                <w:p w14:paraId="3323EF36" w14:textId="77777777" w:rsidR="00522311" w:rsidRPr="008B2833" w:rsidRDefault="00522311" w:rsidP="00522311">
                  <w:pPr>
                    <w:spacing w:beforeLines="20" w:before="48" w:afterLines="20" w:after="48" w:line="240" w:lineRule="auto"/>
                    <w:ind w:firstLine="0"/>
                    <w:jc w:val="center"/>
                    <w:rPr>
                      <w:rFonts w:eastAsia="Times New Roman"/>
                      <w:b/>
                      <w:bCs/>
                      <w:sz w:val="22"/>
                      <w:lang w:eastAsia="lv-LV"/>
                    </w:rPr>
                  </w:pPr>
                  <w:r w:rsidRPr="008B2833">
                    <w:rPr>
                      <w:rFonts w:eastAsia="Times New Roman"/>
                      <w:b/>
                      <w:bCs/>
                      <w:sz w:val="22"/>
                      <w:lang w:eastAsia="lv-LV"/>
                    </w:rPr>
                    <w:t>Francija</w:t>
                  </w:r>
                  <w:r>
                    <w:rPr>
                      <w:rStyle w:val="FootnoteReference"/>
                      <w:rFonts w:eastAsia="Times New Roman"/>
                      <w:b/>
                      <w:bCs/>
                      <w:sz w:val="22"/>
                      <w:lang w:eastAsia="lv-LV"/>
                    </w:rPr>
                    <w:footnoteReference w:id="8"/>
                  </w:r>
                </w:p>
              </w:tc>
              <w:tc>
                <w:tcPr>
                  <w:tcW w:w="1741" w:type="dxa"/>
                  <w:vMerge w:val="restart"/>
                  <w:tcBorders>
                    <w:top w:val="nil"/>
                    <w:left w:val="single" w:sz="4" w:space="0" w:color="auto"/>
                    <w:bottom w:val="single" w:sz="4" w:space="0" w:color="000000"/>
                    <w:right w:val="single" w:sz="4" w:space="0" w:color="auto"/>
                  </w:tcBorders>
                  <w:shd w:val="clear" w:color="auto" w:fill="auto"/>
                  <w:vAlign w:val="center"/>
                  <w:hideMark/>
                </w:tcPr>
                <w:p w14:paraId="049CC895"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proofErr w:type="spellStart"/>
                  <w:r w:rsidRPr="008B2833">
                    <w:rPr>
                      <w:rFonts w:eastAsia="Times New Roman"/>
                      <w:sz w:val="22"/>
                      <w:lang w:eastAsia="lv-LV"/>
                    </w:rPr>
                    <w:t>Sodetrel-mobilite</w:t>
                  </w:r>
                  <w:proofErr w:type="spellEnd"/>
                </w:p>
              </w:tc>
              <w:tc>
                <w:tcPr>
                  <w:tcW w:w="1184" w:type="dxa"/>
                  <w:tcBorders>
                    <w:top w:val="nil"/>
                    <w:left w:val="nil"/>
                    <w:bottom w:val="single" w:sz="4" w:space="0" w:color="auto"/>
                    <w:right w:val="single" w:sz="4" w:space="0" w:color="auto"/>
                  </w:tcBorders>
                  <w:shd w:val="clear" w:color="auto" w:fill="auto"/>
                  <w:vAlign w:val="center"/>
                  <w:hideMark/>
                </w:tcPr>
                <w:p w14:paraId="0DC7A711"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Pr>
                      <w:rFonts w:eastAsia="Times New Roman"/>
                      <w:sz w:val="22"/>
                      <w:lang w:eastAsia="lv-LV"/>
                    </w:rPr>
                    <w:t>0,14</w:t>
                  </w:r>
                </w:p>
              </w:tc>
              <w:tc>
                <w:tcPr>
                  <w:tcW w:w="2037" w:type="dxa"/>
                  <w:tcBorders>
                    <w:top w:val="nil"/>
                    <w:left w:val="single" w:sz="4" w:space="0" w:color="auto"/>
                    <w:bottom w:val="single" w:sz="4" w:space="0" w:color="auto"/>
                    <w:right w:val="single" w:sz="8" w:space="0" w:color="auto"/>
                  </w:tcBorders>
                  <w:shd w:val="clear" w:color="auto" w:fill="auto"/>
                  <w:vAlign w:val="center"/>
                  <w:hideMark/>
                </w:tcPr>
                <w:p w14:paraId="3F60EDB9"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sidRPr="008B2833">
                    <w:rPr>
                      <w:rFonts w:eastAsia="Times New Roman"/>
                      <w:sz w:val="22"/>
                      <w:lang w:eastAsia="lv-LV"/>
                    </w:rPr>
                    <w:t>0,70 EUR/5 min</w:t>
                  </w:r>
                </w:p>
              </w:tc>
            </w:tr>
            <w:tr w:rsidR="00522311" w:rsidRPr="008B2833" w14:paraId="4E0768E3" w14:textId="77777777" w:rsidTr="00811322">
              <w:trPr>
                <w:trHeight w:val="576"/>
              </w:trPr>
              <w:tc>
                <w:tcPr>
                  <w:tcW w:w="1258" w:type="dxa"/>
                  <w:vMerge/>
                  <w:tcBorders>
                    <w:top w:val="nil"/>
                    <w:left w:val="single" w:sz="8" w:space="0" w:color="auto"/>
                    <w:bottom w:val="single" w:sz="4" w:space="0" w:color="000000"/>
                    <w:right w:val="single" w:sz="4" w:space="0" w:color="auto"/>
                  </w:tcBorders>
                  <w:vAlign w:val="center"/>
                  <w:hideMark/>
                </w:tcPr>
                <w:p w14:paraId="250A0A84" w14:textId="77777777" w:rsidR="00522311" w:rsidRPr="008B2833" w:rsidRDefault="00522311" w:rsidP="00522311">
                  <w:pPr>
                    <w:spacing w:beforeLines="20" w:before="48" w:afterLines="20" w:after="48" w:line="240" w:lineRule="auto"/>
                    <w:ind w:firstLine="0"/>
                    <w:jc w:val="left"/>
                    <w:rPr>
                      <w:rFonts w:eastAsia="Times New Roman"/>
                      <w:b/>
                      <w:bCs/>
                      <w:sz w:val="22"/>
                      <w:lang w:eastAsia="lv-LV"/>
                    </w:rPr>
                  </w:pPr>
                </w:p>
              </w:tc>
              <w:tc>
                <w:tcPr>
                  <w:tcW w:w="1741" w:type="dxa"/>
                  <w:vMerge/>
                  <w:tcBorders>
                    <w:top w:val="nil"/>
                    <w:left w:val="single" w:sz="4" w:space="0" w:color="auto"/>
                    <w:bottom w:val="single" w:sz="4" w:space="0" w:color="000000"/>
                    <w:right w:val="single" w:sz="4" w:space="0" w:color="auto"/>
                  </w:tcBorders>
                  <w:vAlign w:val="center"/>
                  <w:hideMark/>
                </w:tcPr>
                <w:p w14:paraId="0D42212E" w14:textId="77777777" w:rsidR="00522311" w:rsidRPr="008B2833" w:rsidRDefault="00522311" w:rsidP="00522311">
                  <w:pPr>
                    <w:spacing w:beforeLines="20" w:before="48" w:afterLines="20" w:after="48" w:line="240" w:lineRule="auto"/>
                    <w:ind w:firstLine="0"/>
                    <w:jc w:val="left"/>
                    <w:rPr>
                      <w:rFonts w:eastAsia="Times New Roman"/>
                      <w:sz w:val="22"/>
                      <w:lang w:eastAsia="lv-LV"/>
                    </w:rPr>
                  </w:pP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3CFF902B"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Pr>
                      <w:rFonts w:eastAsia="Times New Roman"/>
                      <w:sz w:val="22"/>
                      <w:lang w:eastAsia="lv-LV"/>
                    </w:rPr>
                    <w:t>0,10</w:t>
                  </w: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8CC6" w14:textId="77777777" w:rsidR="00522311" w:rsidRPr="008B2833" w:rsidRDefault="00522311" w:rsidP="00522311">
                  <w:pPr>
                    <w:spacing w:beforeLines="20" w:before="48" w:afterLines="20" w:after="48" w:line="240" w:lineRule="auto"/>
                    <w:ind w:firstLine="0"/>
                    <w:jc w:val="center"/>
                    <w:rPr>
                      <w:rFonts w:eastAsia="Times New Roman"/>
                      <w:sz w:val="22"/>
                      <w:lang w:eastAsia="lv-LV"/>
                    </w:rPr>
                  </w:pPr>
                  <w:r w:rsidRPr="008B2833">
                    <w:rPr>
                      <w:rFonts w:eastAsia="Times New Roman"/>
                      <w:sz w:val="22"/>
                      <w:lang w:eastAsia="lv-LV"/>
                    </w:rPr>
                    <w:t>0,50 EUR/5 min</w:t>
                  </w:r>
                </w:p>
              </w:tc>
            </w:tr>
            <w:tr w:rsidR="00522311" w:rsidRPr="008B2833" w14:paraId="3E07F328" w14:textId="77777777" w:rsidTr="00811322">
              <w:trPr>
                <w:trHeight w:val="576"/>
              </w:trPr>
              <w:tc>
                <w:tcPr>
                  <w:tcW w:w="1258" w:type="dxa"/>
                  <w:tcBorders>
                    <w:top w:val="nil"/>
                    <w:left w:val="single" w:sz="8" w:space="0" w:color="auto"/>
                    <w:bottom w:val="single" w:sz="4" w:space="0" w:color="000000"/>
                    <w:right w:val="single" w:sz="4" w:space="0" w:color="auto"/>
                  </w:tcBorders>
                  <w:shd w:val="clear" w:color="auto" w:fill="auto"/>
                  <w:vAlign w:val="center"/>
                  <w:hideMark/>
                </w:tcPr>
                <w:p w14:paraId="0D4FA7F5" w14:textId="77777777" w:rsidR="00522311" w:rsidRPr="008B2833" w:rsidRDefault="00522311" w:rsidP="00522311">
                  <w:pPr>
                    <w:spacing w:beforeLines="20" w:before="48" w:afterLines="20" w:after="48" w:line="240" w:lineRule="auto"/>
                    <w:ind w:firstLine="0"/>
                    <w:jc w:val="center"/>
                    <w:rPr>
                      <w:rFonts w:eastAsia="Times New Roman"/>
                      <w:b/>
                      <w:bCs/>
                      <w:color w:val="000000"/>
                      <w:sz w:val="22"/>
                      <w:lang w:eastAsia="lv-LV"/>
                    </w:rPr>
                  </w:pPr>
                  <w:r w:rsidRPr="008B2833">
                    <w:rPr>
                      <w:rFonts w:eastAsia="Times New Roman"/>
                      <w:b/>
                      <w:bCs/>
                      <w:color w:val="000000"/>
                      <w:sz w:val="22"/>
                      <w:lang w:eastAsia="lv-LV"/>
                    </w:rPr>
                    <w:lastRenderedPageBreak/>
                    <w:t>Austrija</w:t>
                  </w:r>
                  <w:r>
                    <w:rPr>
                      <w:rStyle w:val="FootnoteReference"/>
                      <w:rFonts w:eastAsia="Times New Roman"/>
                      <w:b/>
                      <w:bCs/>
                      <w:color w:val="000000"/>
                      <w:sz w:val="22"/>
                      <w:lang w:eastAsia="lv-LV"/>
                    </w:rPr>
                    <w:footnoteReference w:id="9"/>
                  </w:r>
                </w:p>
              </w:tc>
              <w:tc>
                <w:tcPr>
                  <w:tcW w:w="1741" w:type="dxa"/>
                  <w:tcBorders>
                    <w:top w:val="nil"/>
                    <w:left w:val="single" w:sz="4" w:space="0" w:color="auto"/>
                    <w:bottom w:val="single" w:sz="4" w:space="0" w:color="000000"/>
                    <w:right w:val="single" w:sz="4" w:space="0" w:color="auto"/>
                  </w:tcBorders>
                  <w:shd w:val="clear" w:color="auto" w:fill="auto"/>
                  <w:vAlign w:val="center"/>
                  <w:hideMark/>
                </w:tcPr>
                <w:p w14:paraId="43EB0D2A" w14:textId="77777777" w:rsidR="00522311" w:rsidRPr="008B2833" w:rsidRDefault="00522311" w:rsidP="00522311">
                  <w:pPr>
                    <w:spacing w:beforeLines="20" w:before="48" w:afterLines="20" w:after="48" w:line="240" w:lineRule="auto"/>
                    <w:ind w:firstLine="0"/>
                    <w:jc w:val="center"/>
                    <w:rPr>
                      <w:rFonts w:eastAsia="Times New Roman"/>
                      <w:color w:val="000000"/>
                      <w:sz w:val="22"/>
                      <w:lang w:eastAsia="lv-LV"/>
                    </w:rPr>
                  </w:pPr>
                  <w:r w:rsidRPr="008B2833">
                    <w:rPr>
                      <w:rFonts w:eastAsia="Times New Roman"/>
                      <w:color w:val="000000"/>
                      <w:sz w:val="22"/>
                      <w:lang w:eastAsia="lv-LV"/>
                    </w:rPr>
                    <w:t>ELLA AG</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B64CFB6" w14:textId="77777777" w:rsidR="00522311" w:rsidRPr="008B2833" w:rsidRDefault="00522311" w:rsidP="00522311">
                  <w:pPr>
                    <w:spacing w:beforeLines="20" w:before="48" w:afterLines="20" w:after="48" w:line="240" w:lineRule="auto"/>
                    <w:ind w:firstLine="0"/>
                    <w:jc w:val="center"/>
                    <w:rPr>
                      <w:rFonts w:eastAsia="Times New Roman"/>
                      <w:color w:val="000000"/>
                      <w:sz w:val="22"/>
                      <w:lang w:eastAsia="lv-LV"/>
                    </w:rPr>
                  </w:pPr>
                  <w:r w:rsidRPr="008B2833">
                    <w:rPr>
                      <w:rFonts w:eastAsia="Times New Roman"/>
                      <w:color w:val="000000"/>
                      <w:sz w:val="22"/>
                      <w:lang w:eastAsia="lv-LV"/>
                    </w:rPr>
                    <w:t>0,30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14:paraId="55814F95" w14:textId="77777777" w:rsidR="00522311" w:rsidRPr="008B2833" w:rsidRDefault="00522311" w:rsidP="00522311">
                  <w:pPr>
                    <w:spacing w:beforeLines="20" w:before="48" w:afterLines="20" w:after="48" w:line="240" w:lineRule="auto"/>
                    <w:ind w:firstLine="0"/>
                    <w:jc w:val="center"/>
                    <w:rPr>
                      <w:rFonts w:eastAsia="Times New Roman"/>
                      <w:color w:val="000000"/>
                      <w:sz w:val="22"/>
                      <w:lang w:eastAsia="lv-LV"/>
                    </w:rPr>
                  </w:pPr>
                  <w:r w:rsidRPr="008B2833">
                    <w:rPr>
                      <w:rFonts w:eastAsia="Times New Roman"/>
                      <w:color w:val="000000"/>
                      <w:sz w:val="22"/>
                      <w:lang w:eastAsia="lv-LV"/>
                    </w:rPr>
                    <w:t> </w:t>
                  </w:r>
                </w:p>
                <w:p w14:paraId="5CD6F87E" w14:textId="77777777" w:rsidR="00522311" w:rsidRPr="008B2833" w:rsidRDefault="00522311" w:rsidP="00522311">
                  <w:pPr>
                    <w:spacing w:beforeLines="20" w:before="48" w:afterLines="20" w:after="48" w:line="240" w:lineRule="auto"/>
                    <w:jc w:val="center"/>
                    <w:rPr>
                      <w:rFonts w:eastAsia="Times New Roman"/>
                      <w:color w:val="000000"/>
                      <w:sz w:val="22"/>
                      <w:lang w:eastAsia="lv-LV"/>
                    </w:rPr>
                  </w:pPr>
                  <w:r w:rsidRPr="008B2833">
                    <w:rPr>
                      <w:rFonts w:eastAsia="Times New Roman"/>
                      <w:color w:val="000000"/>
                      <w:sz w:val="22"/>
                      <w:lang w:eastAsia="lv-LV"/>
                    </w:rPr>
                    <w:t> </w:t>
                  </w:r>
                </w:p>
              </w:tc>
            </w:tr>
          </w:tbl>
          <w:p w14:paraId="52082943" w14:textId="49F4C07C" w:rsidR="00522311" w:rsidRDefault="002D4B17" w:rsidP="00522311">
            <w:pPr>
              <w:pStyle w:val="NoSpacing"/>
              <w:spacing w:after="120"/>
              <w:ind w:left="2" w:firstLine="0"/>
              <w:rPr>
                <w:sz w:val="24"/>
                <w:szCs w:val="24"/>
              </w:rPr>
            </w:pPr>
            <w:r w:rsidRPr="002D4B17">
              <w:rPr>
                <w:sz w:val="24"/>
                <w:szCs w:val="24"/>
              </w:rPr>
              <w:t xml:space="preserve">ETL uzlādes pakalpojuma </w:t>
            </w:r>
            <w:r w:rsidR="003A313F">
              <w:rPr>
                <w:sz w:val="24"/>
                <w:szCs w:val="24"/>
              </w:rPr>
              <w:t>maksa</w:t>
            </w:r>
            <w:r w:rsidRPr="002D4B17">
              <w:rPr>
                <w:sz w:val="24"/>
                <w:szCs w:val="24"/>
              </w:rPr>
              <w:t xml:space="preserve"> 0,15 EUR/min ieskaitot PVN (0,12 EUR/min bez PVN) apmērā</w:t>
            </w:r>
            <w:r>
              <w:rPr>
                <w:sz w:val="24"/>
                <w:szCs w:val="24"/>
              </w:rPr>
              <w:t xml:space="preserve"> Latvijā uzskatāms par pamatotu tarifu</w:t>
            </w:r>
            <w:r w:rsidR="001277CE">
              <w:rPr>
                <w:sz w:val="24"/>
                <w:szCs w:val="24"/>
              </w:rPr>
              <w:t>,</w:t>
            </w:r>
            <w:r w:rsidR="00C75CE1">
              <w:rPr>
                <w:sz w:val="24"/>
                <w:szCs w:val="24"/>
              </w:rPr>
              <w:t xml:space="preserve"> kas atbilstoši </w:t>
            </w:r>
            <w:r w:rsidR="00C75CE1" w:rsidRPr="00C75CE1">
              <w:rPr>
                <w:sz w:val="24"/>
                <w:szCs w:val="24"/>
              </w:rPr>
              <w:t>Transporta attīstības pamatnostādnē</w:t>
            </w:r>
            <w:r w:rsidR="00C75CE1">
              <w:rPr>
                <w:sz w:val="24"/>
                <w:szCs w:val="24"/>
              </w:rPr>
              <w:t>s</w:t>
            </w:r>
            <w:r w:rsidR="00C75CE1" w:rsidRPr="00C75CE1">
              <w:rPr>
                <w:sz w:val="24"/>
                <w:szCs w:val="24"/>
              </w:rPr>
              <w:t xml:space="preserve"> 2014. –2020.gadam, kas apstiprinātas ar MK rīkojumu Nr.683</w:t>
            </w:r>
            <w:r w:rsidR="00C75CE1">
              <w:rPr>
                <w:rStyle w:val="FootnoteReference"/>
                <w:sz w:val="24"/>
                <w:szCs w:val="24"/>
              </w:rPr>
              <w:footnoteReference w:id="10"/>
            </w:r>
            <w:r w:rsidR="00C75CE1">
              <w:rPr>
                <w:sz w:val="24"/>
                <w:szCs w:val="24"/>
              </w:rPr>
              <w:t xml:space="preserve">, noteiktajam nodrošina ETL izmantošanu līdzvērtīgi </w:t>
            </w:r>
            <w:proofErr w:type="spellStart"/>
            <w:r w:rsidR="00C75CE1" w:rsidRPr="00C75CE1">
              <w:rPr>
                <w:sz w:val="24"/>
                <w:szCs w:val="24"/>
              </w:rPr>
              <w:t>iekšdedzes</w:t>
            </w:r>
            <w:proofErr w:type="spellEnd"/>
            <w:r w:rsidR="00C75CE1" w:rsidRPr="00C75CE1">
              <w:rPr>
                <w:sz w:val="24"/>
                <w:szCs w:val="24"/>
              </w:rPr>
              <w:t xml:space="preserve"> transportlīdzekļiem, neuztraucoties par attālumu ierobežojumiem</w:t>
            </w:r>
            <w:r>
              <w:rPr>
                <w:sz w:val="24"/>
                <w:szCs w:val="24"/>
              </w:rPr>
              <w:t xml:space="preserve">.  </w:t>
            </w:r>
          </w:p>
          <w:p w14:paraId="31BFCD72" w14:textId="4CC08319" w:rsidR="002D4B17" w:rsidRDefault="002D4B17" w:rsidP="00EC6F2C">
            <w:pPr>
              <w:pStyle w:val="NoSpacing"/>
              <w:ind w:firstLine="0"/>
              <w:rPr>
                <w:sz w:val="24"/>
                <w:szCs w:val="24"/>
              </w:rPr>
            </w:pPr>
            <w:r>
              <w:rPr>
                <w:sz w:val="24"/>
                <w:szCs w:val="24"/>
              </w:rPr>
              <w:t>Tai pat laikā, ņ</w:t>
            </w:r>
            <w:r w:rsidR="005B5B9F">
              <w:rPr>
                <w:sz w:val="24"/>
                <w:szCs w:val="24"/>
              </w:rPr>
              <w:t xml:space="preserve">emot vērā visas ar </w:t>
            </w:r>
            <w:proofErr w:type="spellStart"/>
            <w:r w:rsidR="005B5B9F">
              <w:rPr>
                <w:sz w:val="24"/>
                <w:szCs w:val="24"/>
              </w:rPr>
              <w:t>elektromobilitātes</w:t>
            </w:r>
            <w:proofErr w:type="spellEnd"/>
            <w:r w:rsidR="005B5B9F">
              <w:rPr>
                <w:sz w:val="24"/>
                <w:szCs w:val="24"/>
              </w:rPr>
              <w:t xml:space="preserve"> infrastruktūru saistītās izmaksas, kā arī </w:t>
            </w:r>
            <w:r w:rsidRPr="00EC6F2C">
              <w:rPr>
                <w:sz w:val="24"/>
                <w:szCs w:val="24"/>
              </w:rPr>
              <w:t xml:space="preserve">līdz 2022.gadam </w:t>
            </w:r>
            <w:r w:rsidR="005B5B9F" w:rsidRPr="00EC6F2C">
              <w:rPr>
                <w:sz w:val="24"/>
                <w:szCs w:val="24"/>
              </w:rPr>
              <w:t>prognozēto ETL</w:t>
            </w:r>
            <w:r w:rsidRPr="00EC6F2C">
              <w:rPr>
                <w:sz w:val="24"/>
                <w:szCs w:val="24"/>
              </w:rPr>
              <w:t>, kas būs potenciālie ātrās uzlādes staciju tīkla klienti</w:t>
            </w:r>
            <w:r>
              <w:rPr>
                <w:sz w:val="24"/>
                <w:szCs w:val="24"/>
              </w:rPr>
              <w:t>,</w:t>
            </w:r>
            <w:r w:rsidRPr="00EC6F2C">
              <w:rPr>
                <w:sz w:val="24"/>
                <w:szCs w:val="24"/>
              </w:rPr>
              <w:t xml:space="preserve"> </w:t>
            </w:r>
            <w:r>
              <w:rPr>
                <w:sz w:val="24"/>
                <w:szCs w:val="24"/>
              </w:rPr>
              <w:t xml:space="preserve">skaitu </w:t>
            </w:r>
            <w:r w:rsidR="005B5B9F" w:rsidRPr="00EC6F2C">
              <w:rPr>
                <w:sz w:val="24"/>
                <w:szCs w:val="24"/>
              </w:rPr>
              <w:t xml:space="preserve">un </w:t>
            </w:r>
            <w:r>
              <w:rPr>
                <w:sz w:val="24"/>
                <w:szCs w:val="24"/>
              </w:rPr>
              <w:t xml:space="preserve">prognozēto </w:t>
            </w:r>
            <w:r w:rsidR="005B5B9F" w:rsidRPr="00EC6F2C">
              <w:rPr>
                <w:sz w:val="24"/>
                <w:szCs w:val="24"/>
              </w:rPr>
              <w:t>uzlāžu skaitu</w:t>
            </w:r>
            <w:r>
              <w:rPr>
                <w:sz w:val="24"/>
                <w:szCs w:val="24"/>
              </w:rPr>
              <w:t xml:space="preserve"> (ņemot vērā citu valstu pieredzi)</w:t>
            </w:r>
            <w:r w:rsidR="005B5B9F">
              <w:rPr>
                <w:sz w:val="24"/>
                <w:szCs w:val="24"/>
              </w:rPr>
              <w:t>,</w:t>
            </w:r>
            <w:r w:rsidR="005B5B9F" w:rsidRPr="00EC6F2C">
              <w:rPr>
                <w:sz w:val="24"/>
                <w:szCs w:val="24"/>
              </w:rPr>
              <w:t xml:space="preserve"> </w:t>
            </w:r>
            <w:r w:rsidRPr="007C33E8">
              <w:rPr>
                <w:sz w:val="24"/>
                <w:szCs w:val="24"/>
              </w:rPr>
              <w:t xml:space="preserve">ETL uzlādes pakalpojuma </w:t>
            </w:r>
            <w:r w:rsidR="003A313F">
              <w:rPr>
                <w:sz w:val="24"/>
                <w:szCs w:val="24"/>
              </w:rPr>
              <w:t>maksa</w:t>
            </w:r>
            <w:r w:rsidRPr="007C33E8">
              <w:rPr>
                <w:sz w:val="24"/>
                <w:szCs w:val="24"/>
              </w:rPr>
              <w:t xml:space="preserve"> 0,15 EUR/min ieskaitot PVN (0,12 EUR/min bez PVN)</w:t>
            </w:r>
            <w:r>
              <w:rPr>
                <w:sz w:val="24"/>
                <w:szCs w:val="24"/>
              </w:rPr>
              <w:t xml:space="preserve"> apmērā nenosegs ETL uzlādes tīkla uzturēšanas pašizmaksu.  </w:t>
            </w:r>
          </w:p>
          <w:p w14:paraId="090C1166" w14:textId="2481F900" w:rsidR="002A5F4F" w:rsidRDefault="002D4B17" w:rsidP="00EC6F2C">
            <w:pPr>
              <w:pStyle w:val="NoSpacing"/>
              <w:ind w:firstLine="0"/>
              <w:rPr>
                <w:sz w:val="24"/>
                <w:szCs w:val="24"/>
              </w:rPr>
            </w:pPr>
            <w:r>
              <w:rPr>
                <w:sz w:val="24"/>
                <w:szCs w:val="24"/>
              </w:rPr>
              <w:t xml:space="preserve">Saskaņā ar veiktajiem aprēķiniem, </w:t>
            </w:r>
            <w:r w:rsidR="00EC6F2C" w:rsidRPr="00EC6F2C">
              <w:rPr>
                <w:sz w:val="24"/>
                <w:szCs w:val="24"/>
              </w:rPr>
              <w:t>uzlādes pakalpojuma cena</w:t>
            </w:r>
            <w:r w:rsidR="005B5B9F">
              <w:rPr>
                <w:sz w:val="24"/>
                <w:szCs w:val="24"/>
              </w:rPr>
              <w:t>i būtu jābūt</w:t>
            </w:r>
            <w:r w:rsidR="003A313F">
              <w:rPr>
                <w:sz w:val="24"/>
                <w:szCs w:val="24"/>
              </w:rPr>
              <w:t xml:space="preserve"> </w:t>
            </w:r>
            <w:r w:rsidR="00EC6F2C" w:rsidRPr="00FC7346">
              <w:rPr>
                <w:sz w:val="24"/>
                <w:szCs w:val="24"/>
              </w:rPr>
              <w:t>0,</w:t>
            </w:r>
            <w:r w:rsidR="00FC7346" w:rsidRPr="005668E7">
              <w:rPr>
                <w:sz w:val="24"/>
                <w:szCs w:val="24"/>
              </w:rPr>
              <w:t>58</w:t>
            </w:r>
            <w:r w:rsidR="00EC6F2C" w:rsidRPr="00FC7346">
              <w:rPr>
                <w:sz w:val="24"/>
                <w:szCs w:val="24"/>
              </w:rPr>
              <w:t> EUR/min ar PVN (0,</w:t>
            </w:r>
            <w:r w:rsidR="00F82EC3" w:rsidRPr="005668E7">
              <w:rPr>
                <w:sz w:val="24"/>
                <w:szCs w:val="24"/>
              </w:rPr>
              <w:t>48</w:t>
            </w:r>
            <w:r w:rsidR="00EC6F2C" w:rsidRPr="00FC7346">
              <w:rPr>
                <w:sz w:val="24"/>
                <w:szCs w:val="24"/>
              </w:rPr>
              <w:t xml:space="preserve"> EUR/min bez PVN)</w:t>
            </w:r>
            <w:r w:rsidRPr="00FC7346">
              <w:rPr>
                <w:sz w:val="24"/>
                <w:szCs w:val="24"/>
              </w:rPr>
              <w:t>, lai pilnībā segtu ETL uzlādes tīkla uzturēšanas pašizmaksu</w:t>
            </w:r>
            <w:r w:rsidR="005B5B9F" w:rsidRPr="007C3E62">
              <w:rPr>
                <w:sz w:val="24"/>
                <w:szCs w:val="24"/>
              </w:rPr>
              <w:t xml:space="preserve">. </w:t>
            </w:r>
            <w:r w:rsidRPr="00096C21">
              <w:rPr>
                <w:sz w:val="24"/>
                <w:szCs w:val="24"/>
              </w:rPr>
              <w:t xml:space="preserve">Piemērojot maksu </w:t>
            </w:r>
            <w:r w:rsidR="003A313F" w:rsidRPr="00096C21">
              <w:rPr>
                <w:sz w:val="24"/>
                <w:szCs w:val="24"/>
              </w:rPr>
              <w:t>0,</w:t>
            </w:r>
            <w:r w:rsidR="00FC7346" w:rsidRPr="005668E7">
              <w:rPr>
                <w:sz w:val="24"/>
                <w:szCs w:val="24"/>
              </w:rPr>
              <w:t>58</w:t>
            </w:r>
            <w:r w:rsidR="00FC7346" w:rsidRPr="00FC7346">
              <w:rPr>
                <w:sz w:val="24"/>
                <w:szCs w:val="24"/>
              </w:rPr>
              <w:t> </w:t>
            </w:r>
            <w:r w:rsidR="003A313F" w:rsidRPr="00FC7346">
              <w:rPr>
                <w:sz w:val="24"/>
                <w:szCs w:val="24"/>
              </w:rPr>
              <w:t>EUR/min ar PVN (0,</w:t>
            </w:r>
            <w:r w:rsidR="00FC7346" w:rsidRPr="005668E7">
              <w:rPr>
                <w:sz w:val="24"/>
                <w:szCs w:val="24"/>
              </w:rPr>
              <w:t>48</w:t>
            </w:r>
            <w:r w:rsidR="00FC7346" w:rsidRPr="00FC7346">
              <w:rPr>
                <w:sz w:val="24"/>
                <w:szCs w:val="24"/>
              </w:rPr>
              <w:t xml:space="preserve"> </w:t>
            </w:r>
            <w:r w:rsidR="003A313F" w:rsidRPr="00FC7346">
              <w:rPr>
                <w:sz w:val="24"/>
                <w:szCs w:val="24"/>
              </w:rPr>
              <w:t>EUR/min bez PVN</w:t>
            </w:r>
            <w:r w:rsidR="003A313F" w:rsidRPr="007C3E62">
              <w:rPr>
                <w:sz w:val="24"/>
                <w:szCs w:val="24"/>
              </w:rPr>
              <w:t>)</w:t>
            </w:r>
            <w:r w:rsidR="003A313F" w:rsidRPr="00096C21">
              <w:rPr>
                <w:sz w:val="24"/>
                <w:szCs w:val="24"/>
              </w:rPr>
              <w:t xml:space="preserve"> apmērā</w:t>
            </w:r>
            <w:r w:rsidR="00EC6F2C" w:rsidRPr="00096C21">
              <w:rPr>
                <w:sz w:val="24"/>
                <w:szCs w:val="24"/>
              </w:rPr>
              <w:t>, ETL elektroenerģijas izmaksas uz 100 km sastād</w:t>
            </w:r>
            <w:r w:rsidR="005B5B9F" w:rsidRPr="00096C21">
              <w:rPr>
                <w:sz w:val="24"/>
                <w:szCs w:val="24"/>
              </w:rPr>
              <w:t>ītu</w:t>
            </w:r>
            <w:r w:rsidR="00EC6F2C" w:rsidRPr="00096C21">
              <w:rPr>
                <w:sz w:val="24"/>
                <w:szCs w:val="24"/>
              </w:rPr>
              <w:t xml:space="preserve"> </w:t>
            </w:r>
            <w:r w:rsidR="00EC6F2C" w:rsidRPr="000B5D90">
              <w:rPr>
                <w:sz w:val="24"/>
                <w:szCs w:val="24"/>
              </w:rPr>
              <w:t>1</w:t>
            </w:r>
            <w:r w:rsidR="00FC7346" w:rsidRPr="005668E7">
              <w:rPr>
                <w:sz w:val="24"/>
                <w:szCs w:val="24"/>
              </w:rPr>
              <w:t>4</w:t>
            </w:r>
            <w:r w:rsidR="00EC6F2C" w:rsidRPr="00FC7346">
              <w:rPr>
                <w:sz w:val="24"/>
                <w:szCs w:val="24"/>
              </w:rPr>
              <w:t>,42 EUR ar</w:t>
            </w:r>
            <w:r w:rsidR="00EC6F2C" w:rsidRPr="00EC6F2C">
              <w:rPr>
                <w:sz w:val="24"/>
                <w:szCs w:val="24"/>
              </w:rPr>
              <w:t xml:space="preserve"> PVN, kas ir vairākas reizes augstākas, nekā transportlīdzekļu ar </w:t>
            </w:r>
            <w:proofErr w:type="spellStart"/>
            <w:r w:rsidR="00EC6F2C" w:rsidRPr="00EC6F2C">
              <w:rPr>
                <w:sz w:val="24"/>
                <w:szCs w:val="24"/>
              </w:rPr>
              <w:t>iekšdedzes</w:t>
            </w:r>
            <w:proofErr w:type="spellEnd"/>
            <w:r w:rsidR="00EC6F2C" w:rsidRPr="00EC6F2C">
              <w:rPr>
                <w:sz w:val="24"/>
                <w:szCs w:val="24"/>
              </w:rPr>
              <w:t xml:space="preserve"> motoru  (turpmāk – </w:t>
            </w:r>
            <w:proofErr w:type="spellStart"/>
            <w:r w:rsidR="00EC6F2C" w:rsidRPr="00EC6F2C">
              <w:rPr>
                <w:sz w:val="24"/>
                <w:szCs w:val="24"/>
              </w:rPr>
              <w:t>iekšdedzes</w:t>
            </w:r>
            <w:proofErr w:type="spellEnd"/>
            <w:r w:rsidR="00EC6F2C" w:rsidRPr="00EC6F2C">
              <w:rPr>
                <w:sz w:val="24"/>
                <w:szCs w:val="24"/>
              </w:rPr>
              <w:t xml:space="preserve"> transportlīdzekļu) degvielas izmaksas uz 100 km. </w:t>
            </w:r>
          </w:p>
          <w:p w14:paraId="4DF0B59F" w14:textId="20F6CCCA" w:rsidR="002A5F4F" w:rsidRDefault="002A5F4F" w:rsidP="00EC6F2C">
            <w:pPr>
              <w:pStyle w:val="NoSpacing"/>
              <w:ind w:firstLine="0"/>
              <w:rPr>
                <w:sz w:val="24"/>
                <w:szCs w:val="24"/>
              </w:rPr>
            </w:pPr>
            <w:bookmarkStart w:id="1" w:name="_Hlk510728689"/>
            <w:r>
              <w:rPr>
                <w:sz w:val="24"/>
                <w:szCs w:val="24"/>
              </w:rPr>
              <w:t xml:space="preserve">ETL uzlādes infrastruktūras uzturēšanas pašizmaksas aprēķins </w:t>
            </w:r>
            <w:bookmarkEnd w:id="1"/>
            <w:r>
              <w:rPr>
                <w:sz w:val="24"/>
                <w:szCs w:val="24"/>
              </w:rPr>
              <w:t>pievienots</w:t>
            </w:r>
            <w:r w:rsidR="009A421A">
              <w:rPr>
                <w:sz w:val="24"/>
                <w:szCs w:val="24"/>
              </w:rPr>
              <w:t xml:space="preserve"> Anotācijas</w:t>
            </w:r>
            <w:r w:rsidR="00A2064D">
              <w:rPr>
                <w:sz w:val="24"/>
                <w:szCs w:val="24"/>
              </w:rPr>
              <w:t xml:space="preserve"> </w:t>
            </w:r>
            <w:r>
              <w:rPr>
                <w:sz w:val="24"/>
                <w:szCs w:val="24"/>
              </w:rPr>
              <w:t>pielikumā.</w:t>
            </w:r>
          </w:p>
          <w:p w14:paraId="1BBDC97F" w14:textId="6AC569FF" w:rsidR="00EC6F2C" w:rsidRDefault="005B5B9F" w:rsidP="00EC6F2C">
            <w:pPr>
              <w:pStyle w:val="NoSpacing"/>
              <w:ind w:firstLine="0"/>
              <w:rPr>
                <w:sz w:val="24"/>
                <w:szCs w:val="24"/>
              </w:rPr>
            </w:pPr>
            <w:r>
              <w:rPr>
                <w:sz w:val="24"/>
                <w:szCs w:val="24"/>
              </w:rPr>
              <w:t xml:space="preserve">Nosakot uzlādes pakalpojuma cenu, kas saskaņā ar šā brīža aprēķiniem nosegtu </w:t>
            </w:r>
            <w:proofErr w:type="spellStart"/>
            <w:r>
              <w:rPr>
                <w:sz w:val="24"/>
                <w:szCs w:val="24"/>
              </w:rPr>
              <w:t>elektromobilitātes</w:t>
            </w:r>
            <w:proofErr w:type="spellEnd"/>
            <w:r>
              <w:rPr>
                <w:sz w:val="24"/>
                <w:szCs w:val="24"/>
              </w:rPr>
              <w:t xml:space="preserve"> infrastruktūras</w:t>
            </w:r>
            <w:r w:rsidR="00193C20">
              <w:rPr>
                <w:sz w:val="24"/>
                <w:szCs w:val="24"/>
              </w:rPr>
              <w:t xml:space="preserve"> tīkla uzturēšanas</w:t>
            </w:r>
            <w:r>
              <w:rPr>
                <w:sz w:val="24"/>
                <w:szCs w:val="24"/>
              </w:rPr>
              <w:t xml:space="preserve"> pašizmaksu, </w:t>
            </w:r>
            <w:r w:rsidR="00110B1B">
              <w:rPr>
                <w:sz w:val="24"/>
                <w:szCs w:val="24"/>
              </w:rPr>
              <w:t>būtu apdraudēta MK noteikumu Nr.637 19.4.apakšpunktā noteiktā projekta rezultātu il</w:t>
            </w:r>
            <w:r w:rsidR="00DA79FC">
              <w:rPr>
                <w:sz w:val="24"/>
                <w:szCs w:val="24"/>
              </w:rPr>
              <w:t>gt</w:t>
            </w:r>
            <w:r w:rsidR="00110B1B">
              <w:rPr>
                <w:sz w:val="24"/>
                <w:szCs w:val="24"/>
              </w:rPr>
              <w:t xml:space="preserve">spējas nodrošināšana, jo pie augstas lietošanas maksas izveidotā infrastruktūra, visticamāk, </w:t>
            </w:r>
            <w:r w:rsidR="00DA79FC">
              <w:rPr>
                <w:sz w:val="24"/>
                <w:szCs w:val="24"/>
              </w:rPr>
              <w:t xml:space="preserve">tiktu izmantota ļoti ierobežotā apmērā vai </w:t>
            </w:r>
            <w:r w:rsidR="00110B1B">
              <w:rPr>
                <w:sz w:val="24"/>
                <w:szCs w:val="24"/>
              </w:rPr>
              <w:t>netiktu izmantota vispār</w:t>
            </w:r>
            <w:r w:rsidR="00DA79FC">
              <w:rPr>
                <w:sz w:val="24"/>
                <w:szCs w:val="24"/>
              </w:rPr>
              <w:t>.</w:t>
            </w:r>
            <w:r w:rsidR="00110B1B">
              <w:rPr>
                <w:sz w:val="24"/>
                <w:szCs w:val="24"/>
              </w:rPr>
              <w:t xml:space="preserve"> </w:t>
            </w:r>
          </w:p>
          <w:p w14:paraId="65DC5A1B" w14:textId="4033BF4F" w:rsidR="007C33E8" w:rsidRPr="007C33E8" w:rsidRDefault="007C33E8" w:rsidP="007C33E8">
            <w:pPr>
              <w:pStyle w:val="NoSpacing"/>
              <w:ind w:firstLine="0"/>
              <w:rPr>
                <w:sz w:val="24"/>
                <w:szCs w:val="24"/>
              </w:rPr>
            </w:pPr>
            <w:r w:rsidRPr="007C33E8">
              <w:rPr>
                <w:sz w:val="24"/>
                <w:szCs w:val="24"/>
              </w:rPr>
              <w:t xml:space="preserve">Saskaņā ar deleģēšanas līgumu CSDD ir uzdots par pienākumu uzturēt nacionālā līmeņa uzlādes infrastruktūru, uzturēšanai izmantojot līdzekļus no maksas par uzlādes pakalpojumu. </w:t>
            </w:r>
            <w:r w:rsidR="002B561A">
              <w:rPr>
                <w:sz w:val="24"/>
                <w:szCs w:val="24"/>
              </w:rPr>
              <w:t>A</w:t>
            </w:r>
            <w:r w:rsidRPr="007C33E8">
              <w:rPr>
                <w:sz w:val="24"/>
                <w:szCs w:val="24"/>
              </w:rPr>
              <w:t>r līdzekļiem, kas tiks iekasēti par uzlādes pakalpojumu</w:t>
            </w:r>
            <w:r w:rsidR="002B561A">
              <w:rPr>
                <w:sz w:val="24"/>
                <w:szCs w:val="24"/>
              </w:rPr>
              <w:t>,</w:t>
            </w:r>
            <w:r w:rsidRPr="007C33E8">
              <w:rPr>
                <w:sz w:val="24"/>
                <w:szCs w:val="24"/>
              </w:rPr>
              <w:t xml:space="preserve"> </w:t>
            </w:r>
            <w:r w:rsidR="002B561A">
              <w:rPr>
                <w:sz w:val="24"/>
                <w:szCs w:val="24"/>
              </w:rPr>
              <w:t xml:space="preserve">maksa </w:t>
            </w:r>
            <w:r w:rsidR="002B561A" w:rsidRPr="007C33E8">
              <w:rPr>
                <w:sz w:val="24"/>
                <w:szCs w:val="24"/>
              </w:rPr>
              <w:t>par uzlādes pakalpojumu 0,15 EUR/min ar PVN (0,12 EUR/min bez PVN)</w:t>
            </w:r>
            <w:r w:rsidR="002B561A">
              <w:rPr>
                <w:sz w:val="24"/>
                <w:szCs w:val="24"/>
              </w:rPr>
              <w:t>, saskaņā ar CSDD veiktajiem aprēķiniem, nenosegs</w:t>
            </w:r>
            <w:r w:rsidRPr="007C33E8">
              <w:rPr>
                <w:sz w:val="24"/>
                <w:szCs w:val="24"/>
              </w:rPr>
              <w:t xml:space="preserve"> uzlādes infrastruktūras uzturēšanas izmaksas. Lai nodrošinātu uzlādes infrastruktūras darbību un nepārtrauktu uzlādes pakalpojuma pieejamību, ir nepieciešams rast līdzekļus, lai kompensētu CSDD </w:t>
            </w:r>
            <w:r w:rsidR="002B561A">
              <w:rPr>
                <w:sz w:val="24"/>
                <w:szCs w:val="24"/>
              </w:rPr>
              <w:t>radušos izdevumus (</w:t>
            </w:r>
            <w:r w:rsidRPr="007C33E8">
              <w:rPr>
                <w:sz w:val="24"/>
                <w:szCs w:val="24"/>
              </w:rPr>
              <w:t>zaudējumus</w:t>
            </w:r>
            <w:r w:rsidR="002B561A">
              <w:rPr>
                <w:sz w:val="24"/>
                <w:szCs w:val="24"/>
              </w:rPr>
              <w:t>)</w:t>
            </w:r>
            <w:r w:rsidRPr="007C33E8">
              <w:rPr>
                <w:sz w:val="24"/>
                <w:szCs w:val="24"/>
              </w:rPr>
              <w:t xml:space="preserve">, kas saistīti ar </w:t>
            </w:r>
            <w:r w:rsidR="002B561A">
              <w:rPr>
                <w:sz w:val="24"/>
                <w:szCs w:val="24"/>
              </w:rPr>
              <w:t xml:space="preserve">Deleģēšanas līgumā noteiktās </w:t>
            </w:r>
            <w:proofErr w:type="spellStart"/>
            <w:r w:rsidR="002B561A">
              <w:rPr>
                <w:sz w:val="24"/>
                <w:szCs w:val="24"/>
              </w:rPr>
              <w:t>elektromobilitātes</w:t>
            </w:r>
            <w:proofErr w:type="spellEnd"/>
            <w:r w:rsidR="002B561A">
              <w:rPr>
                <w:sz w:val="24"/>
                <w:szCs w:val="24"/>
              </w:rPr>
              <w:t xml:space="preserve"> infrastruktūras uzturēšanu.</w:t>
            </w:r>
            <w:r w:rsidRPr="007C33E8">
              <w:rPr>
                <w:sz w:val="24"/>
                <w:szCs w:val="24"/>
              </w:rPr>
              <w:t xml:space="preserve"> </w:t>
            </w:r>
          </w:p>
          <w:p w14:paraId="30B7E7D9" w14:textId="43CFF4BA" w:rsidR="00681EFB" w:rsidRDefault="007C33E8" w:rsidP="00EC6F2C">
            <w:pPr>
              <w:pStyle w:val="NoSpacing"/>
              <w:spacing w:after="120"/>
              <w:ind w:left="2" w:firstLine="0"/>
              <w:rPr>
                <w:sz w:val="24"/>
                <w:szCs w:val="24"/>
              </w:rPr>
            </w:pPr>
            <w:r w:rsidRPr="007C33E8">
              <w:rPr>
                <w:sz w:val="24"/>
                <w:szCs w:val="24"/>
              </w:rPr>
              <w:t xml:space="preserve">Līdzekļus, </w:t>
            </w:r>
            <w:bookmarkStart w:id="2" w:name="_Hlk510688848"/>
            <w:r w:rsidRPr="007C33E8">
              <w:rPr>
                <w:sz w:val="24"/>
                <w:szCs w:val="24"/>
              </w:rPr>
              <w:t>lai kompensētu CSDD zaudējumus, kas saistīti ar uzlādes infrastruktūras uzturēšanu, sākot ar 2019. gadu  nepieciešams paredzēt valsts budžetā, savukārt 2018.gada zaudējumus, ņemot vērā, ka 2018. gada budžetā šāda pozīcija nav paredzēta, iespējams segt no CSDD dividendēm.</w:t>
            </w:r>
            <w:r w:rsidR="00ED7A55" w:rsidRPr="00ED7A55">
              <w:rPr>
                <w:sz w:val="24"/>
                <w:szCs w:val="24"/>
              </w:rPr>
              <w:t xml:space="preserve"> </w:t>
            </w:r>
            <w:bookmarkEnd w:id="2"/>
          </w:p>
          <w:p w14:paraId="1BEC649B" w14:textId="0BFEB69E" w:rsidR="00CE253E" w:rsidRPr="00F37C48" w:rsidRDefault="00E633B2" w:rsidP="008003B5">
            <w:pPr>
              <w:pStyle w:val="NoSpacing"/>
              <w:spacing w:after="120"/>
              <w:ind w:left="2" w:firstLine="0"/>
              <w:jc w:val="center"/>
              <w:rPr>
                <w:b/>
                <w:sz w:val="24"/>
                <w:szCs w:val="24"/>
                <w:u w:val="single"/>
              </w:rPr>
            </w:pPr>
            <w:r w:rsidRPr="00F37C48">
              <w:rPr>
                <w:b/>
                <w:sz w:val="24"/>
                <w:szCs w:val="24"/>
                <w:u w:val="single"/>
              </w:rPr>
              <w:t>Paredzamie zaudējumi no uzlādes infrastruktūras uzturēšanas</w:t>
            </w:r>
          </w:p>
          <w:p w14:paraId="6AB52017" w14:textId="77777777" w:rsidR="00CE253E" w:rsidRDefault="00CE253E" w:rsidP="00EC6F2C">
            <w:pPr>
              <w:pStyle w:val="NoSpacing"/>
              <w:spacing w:after="120"/>
              <w:ind w:left="2" w:firstLine="0"/>
              <w:rPr>
                <w:sz w:val="24"/>
                <w:szCs w:val="24"/>
              </w:rPr>
            </w:pPr>
          </w:p>
          <w:tbl>
            <w:tblPr>
              <w:tblpPr w:leftFromText="180" w:rightFromText="180" w:vertAnchor="text" w:horzAnchor="margin" w:tblpY="-194"/>
              <w:tblOverlap w:val="never"/>
              <w:tblW w:w="7650" w:type="dxa"/>
              <w:tblLayout w:type="fixed"/>
              <w:tblLook w:val="04A0" w:firstRow="1" w:lastRow="0" w:firstColumn="1" w:lastColumn="0" w:noHBand="0" w:noVBand="1"/>
            </w:tblPr>
            <w:tblGrid>
              <w:gridCol w:w="1272"/>
              <w:gridCol w:w="1275"/>
              <w:gridCol w:w="1276"/>
              <w:gridCol w:w="1275"/>
              <w:gridCol w:w="1276"/>
              <w:gridCol w:w="1276"/>
            </w:tblGrid>
            <w:tr w:rsidR="00CE253E" w:rsidRPr="00CE253E" w14:paraId="56DB16D3" w14:textId="77777777" w:rsidTr="00811322">
              <w:trPr>
                <w:trHeight w:val="36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0A36" w14:textId="31A980FA" w:rsidR="00CE253E" w:rsidRPr="005D77AE" w:rsidRDefault="00CE253E" w:rsidP="00CE253E">
                  <w:pPr>
                    <w:spacing w:line="240" w:lineRule="auto"/>
                    <w:ind w:firstLine="0"/>
                    <w:jc w:val="left"/>
                    <w:rPr>
                      <w:rFonts w:ascii="Calibri" w:eastAsia="Times New Roman" w:hAnsi="Calibri" w:cs="Calibri"/>
                      <w:color w:val="000000"/>
                      <w:sz w:val="24"/>
                      <w:szCs w:val="24"/>
                      <w:lang w:eastAsia="lv-LV"/>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C3B613" w14:textId="77777777" w:rsidR="00CE253E" w:rsidRPr="005D77AE" w:rsidRDefault="00CE253E" w:rsidP="00CE253E">
                  <w:pPr>
                    <w:spacing w:line="240" w:lineRule="auto"/>
                    <w:ind w:firstLine="0"/>
                    <w:jc w:val="center"/>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2CC582" w14:textId="77777777" w:rsidR="00CE253E" w:rsidRPr="005D77AE" w:rsidRDefault="00CE253E" w:rsidP="00CE253E">
                  <w:pPr>
                    <w:spacing w:line="240" w:lineRule="auto"/>
                    <w:ind w:firstLine="0"/>
                    <w:jc w:val="center"/>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2019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A1AE19" w14:textId="77777777" w:rsidR="00CE253E" w:rsidRPr="005D77AE" w:rsidRDefault="00CE253E" w:rsidP="00CE253E">
                  <w:pPr>
                    <w:spacing w:line="240" w:lineRule="auto"/>
                    <w:ind w:firstLine="0"/>
                    <w:jc w:val="center"/>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A0AC74" w14:textId="77777777" w:rsidR="00CE253E" w:rsidRPr="005D77AE" w:rsidRDefault="00CE253E" w:rsidP="00CE253E">
                  <w:pPr>
                    <w:spacing w:line="240" w:lineRule="auto"/>
                    <w:ind w:firstLine="0"/>
                    <w:jc w:val="center"/>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2021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04D7E3" w14:textId="77777777" w:rsidR="00CE253E" w:rsidRPr="005D77AE" w:rsidRDefault="00CE253E" w:rsidP="00CE253E">
                  <w:pPr>
                    <w:spacing w:line="240" w:lineRule="auto"/>
                    <w:ind w:firstLine="0"/>
                    <w:jc w:val="center"/>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2022</w:t>
                  </w:r>
                </w:p>
              </w:tc>
            </w:tr>
            <w:tr w:rsidR="00CE253E" w:rsidRPr="00CE253E" w14:paraId="3E9436A7" w14:textId="77777777" w:rsidTr="00811322">
              <w:trPr>
                <w:trHeight w:val="36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E07840E" w14:textId="77777777" w:rsidR="00CE253E" w:rsidRPr="005D77AE" w:rsidRDefault="00CE253E" w:rsidP="00CE253E">
                  <w:pPr>
                    <w:spacing w:line="240" w:lineRule="auto"/>
                    <w:ind w:firstLine="0"/>
                    <w:jc w:val="right"/>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Ieņēmumi</w:t>
                  </w:r>
                </w:p>
              </w:tc>
              <w:tc>
                <w:tcPr>
                  <w:tcW w:w="1275" w:type="dxa"/>
                  <w:tcBorders>
                    <w:top w:val="nil"/>
                    <w:left w:val="nil"/>
                    <w:bottom w:val="single" w:sz="4" w:space="0" w:color="auto"/>
                    <w:right w:val="single" w:sz="4" w:space="0" w:color="auto"/>
                  </w:tcBorders>
                  <w:shd w:val="clear" w:color="auto" w:fill="auto"/>
                  <w:noWrap/>
                  <w:vAlign w:val="bottom"/>
                  <w:hideMark/>
                </w:tcPr>
                <w:p w14:paraId="7161DA09"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59787,00</w:t>
                  </w:r>
                </w:p>
              </w:tc>
              <w:tc>
                <w:tcPr>
                  <w:tcW w:w="1276" w:type="dxa"/>
                  <w:tcBorders>
                    <w:top w:val="nil"/>
                    <w:left w:val="nil"/>
                    <w:bottom w:val="single" w:sz="4" w:space="0" w:color="auto"/>
                    <w:right w:val="single" w:sz="4" w:space="0" w:color="auto"/>
                  </w:tcBorders>
                  <w:shd w:val="clear" w:color="auto" w:fill="auto"/>
                  <w:noWrap/>
                  <w:vAlign w:val="bottom"/>
                  <w:hideMark/>
                </w:tcPr>
                <w:p w14:paraId="51F67A03"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129297,60</w:t>
                  </w:r>
                </w:p>
              </w:tc>
              <w:tc>
                <w:tcPr>
                  <w:tcW w:w="1275" w:type="dxa"/>
                  <w:tcBorders>
                    <w:top w:val="nil"/>
                    <w:left w:val="nil"/>
                    <w:bottom w:val="single" w:sz="4" w:space="0" w:color="auto"/>
                    <w:right w:val="single" w:sz="4" w:space="0" w:color="auto"/>
                  </w:tcBorders>
                  <w:shd w:val="clear" w:color="auto" w:fill="auto"/>
                  <w:noWrap/>
                  <w:vAlign w:val="bottom"/>
                  <w:hideMark/>
                </w:tcPr>
                <w:p w14:paraId="77B3B0E9"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167140,80</w:t>
                  </w:r>
                </w:p>
              </w:tc>
              <w:tc>
                <w:tcPr>
                  <w:tcW w:w="1276" w:type="dxa"/>
                  <w:tcBorders>
                    <w:top w:val="nil"/>
                    <w:left w:val="nil"/>
                    <w:bottom w:val="single" w:sz="4" w:space="0" w:color="auto"/>
                    <w:right w:val="single" w:sz="4" w:space="0" w:color="auto"/>
                  </w:tcBorders>
                  <w:shd w:val="clear" w:color="auto" w:fill="auto"/>
                  <w:noWrap/>
                  <w:vAlign w:val="bottom"/>
                  <w:hideMark/>
                </w:tcPr>
                <w:p w14:paraId="4396C318"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217598,40</w:t>
                  </w:r>
                </w:p>
              </w:tc>
              <w:tc>
                <w:tcPr>
                  <w:tcW w:w="1276" w:type="dxa"/>
                  <w:tcBorders>
                    <w:top w:val="nil"/>
                    <w:left w:val="nil"/>
                    <w:bottom w:val="single" w:sz="4" w:space="0" w:color="auto"/>
                    <w:right w:val="single" w:sz="4" w:space="0" w:color="auto"/>
                  </w:tcBorders>
                  <w:shd w:val="clear" w:color="auto" w:fill="auto"/>
                  <w:noWrap/>
                  <w:vAlign w:val="bottom"/>
                  <w:hideMark/>
                </w:tcPr>
                <w:p w14:paraId="09C751A7"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283824,00</w:t>
                  </w:r>
                </w:p>
              </w:tc>
            </w:tr>
            <w:tr w:rsidR="00CE253E" w:rsidRPr="00CE253E" w14:paraId="56EB5B9E" w14:textId="77777777" w:rsidTr="00811322">
              <w:trPr>
                <w:trHeight w:val="36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57018D57" w14:textId="77777777" w:rsidR="00CE253E" w:rsidRPr="005D77AE" w:rsidRDefault="00CE253E" w:rsidP="00CE253E">
                  <w:pPr>
                    <w:spacing w:line="240" w:lineRule="auto"/>
                    <w:ind w:firstLine="0"/>
                    <w:jc w:val="right"/>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Izdevumi</w:t>
                  </w:r>
                </w:p>
              </w:tc>
              <w:tc>
                <w:tcPr>
                  <w:tcW w:w="1275" w:type="dxa"/>
                  <w:tcBorders>
                    <w:top w:val="nil"/>
                    <w:left w:val="nil"/>
                    <w:bottom w:val="single" w:sz="4" w:space="0" w:color="auto"/>
                    <w:right w:val="single" w:sz="4" w:space="0" w:color="auto"/>
                  </w:tcBorders>
                  <w:shd w:val="clear" w:color="auto" w:fill="auto"/>
                  <w:noWrap/>
                  <w:vAlign w:val="bottom"/>
                  <w:hideMark/>
                </w:tcPr>
                <w:p w14:paraId="7198394A"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272156,33</w:t>
                  </w:r>
                </w:p>
              </w:tc>
              <w:tc>
                <w:tcPr>
                  <w:tcW w:w="1276" w:type="dxa"/>
                  <w:tcBorders>
                    <w:top w:val="nil"/>
                    <w:left w:val="nil"/>
                    <w:bottom w:val="single" w:sz="4" w:space="0" w:color="auto"/>
                    <w:right w:val="single" w:sz="4" w:space="0" w:color="auto"/>
                  </w:tcBorders>
                  <w:shd w:val="clear" w:color="auto" w:fill="auto"/>
                  <w:noWrap/>
                  <w:vAlign w:val="bottom"/>
                  <w:hideMark/>
                </w:tcPr>
                <w:p w14:paraId="77DAC14B"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560094,14</w:t>
                  </w:r>
                </w:p>
              </w:tc>
              <w:tc>
                <w:tcPr>
                  <w:tcW w:w="1275" w:type="dxa"/>
                  <w:tcBorders>
                    <w:top w:val="nil"/>
                    <w:left w:val="nil"/>
                    <w:bottom w:val="single" w:sz="4" w:space="0" w:color="auto"/>
                    <w:right w:val="single" w:sz="4" w:space="0" w:color="auto"/>
                  </w:tcBorders>
                  <w:shd w:val="clear" w:color="auto" w:fill="auto"/>
                  <w:noWrap/>
                  <w:vAlign w:val="bottom"/>
                  <w:hideMark/>
                </w:tcPr>
                <w:p w14:paraId="1E364C5D"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770069,22</w:t>
                  </w:r>
                </w:p>
              </w:tc>
              <w:tc>
                <w:tcPr>
                  <w:tcW w:w="1276" w:type="dxa"/>
                  <w:tcBorders>
                    <w:top w:val="nil"/>
                    <w:left w:val="nil"/>
                    <w:bottom w:val="single" w:sz="4" w:space="0" w:color="auto"/>
                    <w:right w:val="single" w:sz="4" w:space="0" w:color="auto"/>
                  </w:tcBorders>
                  <w:shd w:val="clear" w:color="auto" w:fill="auto"/>
                  <w:noWrap/>
                  <w:vAlign w:val="bottom"/>
                  <w:hideMark/>
                </w:tcPr>
                <w:p w14:paraId="241C57D7"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892361,50</w:t>
                  </w:r>
                </w:p>
              </w:tc>
              <w:tc>
                <w:tcPr>
                  <w:tcW w:w="1276" w:type="dxa"/>
                  <w:tcBorders>
                    <w:top w:val="nil"/>
                    <w:left w:val="nil"/>
                    <w:bottom w:val="single" w:sz="4" w:space="0" w:color="auto"/>
                    <w:right w:val="single" w:sz="4" w:space="0" w:color="auto"/>
                  </w:tcBorders>
                  <w:shd w:val="clear" w:color="auto" w:fill="auto"/>
                  <w:noWrap/>
                  <w:vAlign w:val="bottom"/>
                  <w:hideMark/>
                </w:tcPr>
                <w:p w14:paraId="6E629497" w14:textId="77777777" w:rsidR="00CE253E" w:rsidRPr="00530377" w:rsidRDefault="00CE253E" w:rsidP="00CE253E">
                  <w:pPr>
                    <w:spacing w:line="240" w:lineRule="auto"/>
                    <w:ind w:firstLine="0"/>
                    <w:jc w:val="center"/>
                    <w:rPr>
                      <w:rFonts w:ascii="Calibri" w:eastAsia="Times New Roman" w:hAnsi="Calibri" w:cs="Calibri"/>
                      <w:color w:val="000000"/>
                      <w:sz w:val="22"/>
                      <w:szCs w:val="24"/>
                      <w:lang w:eastAsia="lv-LV"/>
                    </w:rPr>
                  </w:pPr>
                  <w:r w:rsidRPr="00530377">
                    <w:rPr>
                      <w:rFonts w:ascii="Calibri" w:eastAsia="Times New Roman" w:hAnsi="Calibri" w:cs="Calibri"/>
                      <w:color w:val="000000"/>
                      <w:sz w:val="22"/>
                      <w:szCs w:val="24"/>
                      <w:lang w:eastAsia="lv-LV"/>
                    </w:rPr>
                    <w:t>928701,46</w:t>
                  </w:r>
                </w:p>
              </w:tc>
            </w:tr>
            <w:tr w:rsidR="00CE253E" w:rsidRPr="00CE253E" w14:paraId="174CBC7C" w14:textId="77777777" w:rsidTr="00811322">
              <w:trPr>
                <w:trHeight w:val="36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E26927E" w14:textId="77777777" w:rsidR="00CE253E" w:rsidRPr="005D77AE" w:rsidRDefault="00CE253E" w:rsidP="00CE253E">
                  <w:pPr>
                    <w:spacing w:line="240" w:lineRule="auto"/>
                    <w:ind w:firstLine="0"/>
                    <w:jc w:val="right"/>
                    <w:rPr>
                      <w:rFonts w:ascii="Calibri" w:eastAsia="Times New Roman" w:hAnsi="Calibri" w:cs="Calibri"/>
                      <w:b/>
                      <w:bCs/>
                      <w:color w:val="000000"/>
                      <w:sz w:val="24"/>
                      <w:szCs w:val="24"/>
                      <w:lang w:eastAsia="lv-LV"/>
                    </w:rPr>
                  </w:pPr>
                  <w:r w:rsidRPr="005D77AE">
                    <w:rPr>
                      <w:rFonts w:ascii="Calibri" w:eastAsia="Times New Roman" w:hAnsi="Calibri" w:cs="Calibri"/>
                      <w:b/>
                      <w:bCs/>
                      <w:color w:val="000000"/>
                      <w:sz w:val="24"/>
                      <w:szCs w:val="24"/>
                      <w:lang w:eastAsia="lv-LV"/>
                    </w:rPr>
                    <w:t>Zaudējumi</w:t>
                  </w:r>
                </w:p>
              </w:tc>
              <w:tc>
                <w:tcPr>
                  <w:tcW w:w="1275" w:type="dxa"/>
                  <w:tcBorders>
                    <w:top w:val="nil"/>
                    <w:left w:val="nil"/>
                    <w:bottom w:val="single" w:sz="4" w:space="0" w:color="auto"/>
                    <w:right w:val="single" w:sz="4" w:space="0" w:color="auto"/>
                  </w:tcBorders>
                  <w:shd w:val="clear" w:color="auto" w:fill="auto"/>
                  <w:noWrap/>
                  <w:vAlign w:val="bottom"/>
                  <w:hideMark/>
                </w:tcPr>
                <w:p w14:paraId="48CEBA4C" w14:textId="77777777" w:rsidR="00CE253E" w:rsidRPr="00530377" w:rsidRDefault="00CE253E" w:rsidP="00CE253E">
                  <w:pPr>
                    <w:spacing w:line="240" w:lineRule="auto"/>
                    <w:ind w:firstLine="0"/>
                    <w:jc w:val="center"/>
                    <w:rPr>
                      <w:rFonts w:ascii="Calibri" w:eastAsia="Times New Roman" w:hAnsi="Calibri" w:cs="Calibri"/>
                      <w:b/>
                      <w:bCs/>
                      <w:color w:val="000000"/>
                      <w:sz w:val="22"/>
                      <w:szCs w:val="24"/>
                      <w:lang w:eastAsia="lv-LV"/>
                    </w:rPr>
                  </w:pPr>
                  <w:r w:rsidRPr="00530377">
                    <w:rPr>
                      <w:rFonts w:ascii="Calibri" w:eastAsia="Times New Roman" w:hAnsi="Calibri" w:cs="Calibri"/>
                      <w:b/>
                      <w:bCs/>
                      <w:color w:val="000000"/>
                      <w:sz w:val="22"/>
                      <w:szCs w:val="24"/>
                      <w:lang w:eastAsia="lv-LV"/>
                    </w:rPr>
                    <w:t>-212369,33</w:t>
                  </w:r>
                </w:p>
              </w:tc>
              <w:tc>
                <w:tcPr>
                  <w:tcW w:w="1276" w:type="dxa"/>
                  <w:tcBorders>
                    <w:top w:val="nil"/>
                    <w:left w:val="nil"/>
                    <w:bottom w:val="single" w:sz="4" w:space="0" w:color="auto"/>
                    <w:right w:val="single" w:sz="4" w:space="0" w:color="auto"/>
                  </w:tcBorders>
                  <w:shd w:val="clear" w:color="auto" w:fill="auto"/>
                  <w:noWrap/>
                  <w:vAlign w:val="bottom"/>
                  <w:hideMark/>
                </w:tcPr>
                <w:p w14:paraId="3DCDDD3C" w14:textId="77777777" w:rsidR="00CE253E" w:rsidRPr="00530377" w:rsidRDefault="00CE253E" w:rsidP="00CE253E">
                  <w:pPr>
                    <w:spacing w:line="240" w:lineRule="auto"/>
                    <w:ind w:firstLine="0"/>
                    <w:jc w:val="center"/>
                    <w:rPr>
                      <w:rFonts w:ascii="Calibri" w:eastAsia="Times New Roman" w:hAnsi="Calibri" w:cs="Calibri"/>
                      <w:b/>
                      <w:bCs/>
                      <w:color w:val="000000"/>
                      <w:sz w:val="22"/>
                      <w:szCs w:val="24"/>
                      <w:lang w:eastAsia="lv-LV"/>
                    </w:rPr>
                  </w:pPr>
                  <w:r w:rsidRPr="00530377">
                    <w:rPr>
                      <w:rFonts w:ascii="Calibri" w:eastAsia="Times New Roman" w:hAnsi="Calibri" w:cs="Calibri"/>
                      <w:b/>
                      <w:bCs/>
                      <w:color w:val="000000"/>
                      <w:sz w:val="22"/>
                      <w:szCs w:val="24"/>
                      <w:lang w:eastAsia="lv-LV"/>
                    </w:rPr>
                    <w:t>-430796,54</w:t>
                  </w:r>
                </w:p>
              </w:tc>
              <w:tc>
                <w:tcPr>
                  <w:tcW w:w="1275" w:type="dxa"/>
                  <w:tcBorders>
                    <w:top w:val="nil"/>
                    <w:left w:val="nil"/>
                    <w:bottom w:val="single" w:sz="4" w:space="0" w:color="auto"/>
                    <w:right w:val="single" w:sz="4" w:space="0" w:color="auto"/>
                  </w:tcBorders>
                  <w:shd w:val="clear" w:color="auto" w:fill="auto"/>
                  <w:noWrap/>
                  <w:vAlign w:val="bottom"/>
                  <w:hideMark/>
                </w:tcPr>
                <w:p w14:paraId="1DAD28A8" w14:textId="77777777" w:rsidR="00CE253E" w:rsidRPr="00530377" w:rsidRDefault="00CE253E" w:rsidP="00CE253E">
                  <w:pPr>
                    <w:spacing w:line="240" w:lineRule="auto"/>
                    <w:ind w:firstLine="0"/>
                    <w:jc w:val="center"/>
                    <w:rPr>
                      <w:rFonts w:ascii="Calibri" w:eastAsia="Times New Roman" w:hAnsi="Calibri" w:cs="Calibri"/>
                      <w:b/>
                      <w:bCs/>
                      <w:color w:val="000000"/>
                      <w:sz w:val="22"/>
                      <w:szCs w:val="24"/>
                      <w:lang w:eastAsia="lv-LV"/>
                    </w:rPr>
                  </w:pPr>
                  <w:r w:rsidRPr="00530377">
                    <w:rPr>
                      <w:rFonts w:ascii="Calibri" w:eastAsia="Times New Roman" w:hAnsi="Calibri" w:cs="Calibri"/>
                      <w:b/>
                      <w:bCs/>
                      <w:color w:val="000000"/>
                      <w:sz w:val="22"/>
                      <w:szCs w:val="24"/>
                      <w:lang w:eastAsia="lv-LV"/>
                    </w:rPr>
                    <w:t>-602928,42</w:t>
                  </w:r>
                </w:p>
              </w:tc>
              <w:tc>
                <w:tcPr>
                  <w:tcW w:w="1276" w:type="dxa"/>
                  <w:tcBorders>
                    <w:top w:val="nil"/>
                    <w:left w:val="nil"/>
                    <w:bottom w:val="single" w:sz="4" w:space="0" w:color="auto"/>
                    <w:right w:val="single" w:sz="4" w:space="0" w:color="auto"/>
                  </w:tcBorders>
                  <w:shd w:val="clear" w:color="auto" w:fill="auto"/>
                  <w:noWrap/>
                  <w:vAlign w:val="bottom"/>
                  <w:hideMark/>
                </w:tcPr>
                <w:p w14:paraId="16FD710D" w14:textId="77777777" w:rsidR="00CE253E" w:rsidRPr="00530377" w:rsidRDefault="00CE253E" w:rsidP="00CE253E">
                  <w:pPr>
                    <w:spacing w:line="240" w:lineRule="auto"/>
                    <w:ind w:firstLine="0"/>
                    <w:jc w:val="center"/>
                    <w:rPr>
                      <w:rFonts w:ascii="Calibri" w:eastAsia="Times New Roman" w:hAnsi="Calibri" w:cs="Calibri"/>
                      <w:b/>
                      <w:bCs/>
                      <w:color w:val="000000"/>
                      <w:sz w:val="22"/>
                      <w:szCs w:val="24"/>
                      <w:lang w:eastAsia="lv-LV"/>
                    </w:rPr>
                  </w:pPr>
                  <w:r w:rsidRPr="00530377">
                    <w:rPr>
                      <w:rFonts w:ascii="Calibri" w:eastAsia="Times New Roman" w:hAnsi="Calibri" w:cs="Calibri"/>
                      <w:b/>
                      <w:bCs/>
                      <w:color w:val="000000"/>
                      <w:sz w:val="22"/>
                      <w:szCs w:val="24"/>
                      <w:lang w:eastAsia="lv-LV"/>
                    </w:rPr>
                    <w:t>-674763,10</w:t>
                  </w:r>
                </w:p>
              </w:tc>
              <w:tc>
                <w:tcPr>
                  <w:tcW w:w="1276" w:type="dxa"/>
                  <w:tcBorders>
                    <w:top w:val="nil"/>
                    <w:left w:val="nil"/>
                    <w:bottom w:val="single" w:sz="4" w:space="0" w:color="auto"/>
                    <w:right w:val="single" w:sz="4" w:space="0" w:color="auto"/>
                  </w:tcBorders>
                  <w:shd w:val="clear" w:color="auto" w:fill="auto"/>
                  <w:noWrap/>
                  <w:vAlign w:val="bottom"/>
                  <w:hideMark/>
                </w:tcPr>
                <w:p w14:paraId="13E6C629" w14:textId="77777777" w:rsidR="00CE253E" w:rsidRPr="00530377" w:rsidRDefault="00CE253E" w:rsidP="00CE253E">
                  <w:pPr>
                    <w:spacing w:line="240" w:lineRule="auto"/>
                    <w:ind w:firstLine="0"/>
                    <w:jc w:val="center"/>
                    <w:rPr>
                      <w:rFonts w:ascii="Calibri" w:eastAsia="Times New Roman" w:hAnsi="Calibri" w:cs="Calibri"/>
                      <w:b/>
                      <w:bCs/>
                      <w:color w:val="000000"/>
                      <w:sz w:val="22"/>
                      <w:szCs w:val="24"/>
                      <w:lang w:eastAsia="lv-LV"/>
                    </w:rPr>
                  </w:pPr>
                  <w:r w:rsidRPr="00530377">
                    <w:rPr>
                      <w:rFonts w:ascii="Calibri" w:eastAsia="Times New Roman" w:hAnsi="Calibri" w:cs="Calibri"/>
                      <w:b/>
                      <w:bCs/>
                      <w:color w:val="000000"/>
                      <w:sz w:val="22"/>
                      <w:szCs w:val="24"/>
                      <w:lang w:eastAsia="lv-LV"/>
                    </w:rPr>
                    <w:t>-644877,46</w:t>
                  </w:r>
                </w:p>
              </w:tc>
            </w:tr>
          </w:tbl>
          <w:p w14:paraId="19C9B3CE" w14:textId="77777777" w:rsidR="00CE253E" w:rsidRDefault="00CE253E" w:rsidP="00EC6F2C">
            <w:pPr>
              <w:pStyle w:val="NoSpacing"/>
              <w:spacing w:after="120"/>
              <w:ind w:left="2" w:firstLine="0"/>
              <w:rPr>
                <w:sz w:val="24"/>
                <w:szCs w:val="24"/>
              </w:rPr>
            </w:pPr>
          </w:p>
          <w:p w14:paraId="338C6F38" w14:textId="4BFCB404" w:rsidR="002B561A" w:rsidRPr="00934564" w:rsidRDefault="002B561A" w:rsidP="00A2064D">
            <w:pPr>
              <w:pStyle w:val="NoSpacing"/>
              <w:ind w:firstLine="0"/>
              <w:rPr>
                <w:sz w:val="24"/>
                <w:szCs w:val="24"/>
              </w:rPr>
            </w:pPr>
            <w:r>
              <w:rPr>
                <w:sz w:val="24"/>
                <w:szCs w:val="24"/>
              </w:rPr>
              <w:t xml:space="preserve">Vieni no būtiskākajiem faktoriem, kas ir par iemeslu nesamērīgi lielai uzlādes pakalpojuma pašizmaksai, ir ETL uzlādes infrastruktūrai </w:t>
            </w:r>
            <w:r w:rsidRPr="007E73A0">
              <w:rPr>
                <w:sz w:val="24"/>
                <w:szCs w:val="24"/>
              </w:rPr>
              <w:t>nepiemērotais</w:t>
            </w:r>
            <w:r>
              <w:rPr>
                <w:sz w:val="24"/>
                <w:szCs w:val="24"/>
              </w:rPr>
              <w:t xml:space="preserve"> elektroenerģijas pārvades un sadales tarifu un </w:t>
            </w:r>
            <w:r w:rsidR="00A87A31">
              <w:rPr>
                <w:sz w:val="24"/>
                <w:szCs w:val="24"/>
              </w:rPr>
              <w:t>o</w:t>
            </w:r>
            <w:r w:rsidR="00EA3BE3">
              <w:rPr>
                <w:sz w:val="24"/>
                <w:szCs w:val="24"/>
              </w:rPr>
              <w:t xml:space="preserve">bligātās iepirkuma komponentes </w:t>
            </w:r>
            <w:r>
              <w:rPr>
                <w:sz w:val="24"/>
                <w:szCs w:val="24"/>
              </w:rPr>
              <w:t>mehānisms, kā arī nelielais ETL skaits Latvijā.</w:t>
            </w:r>
          </w:p>
        </w:tc>
      </w:tr>
      <w:tr w:rsidR="00532F34" w:rsidRPr="0027189F" w14:paraId="1E0E9606" w14:textId="77777777" w:rsidTr="00D815F3">
        <w:trPr>
          <w:trHeight w:val="507"/>
        </w:trPr>
        <w:tc>
          <w:tcPr>
            <w:tcW w:w="568" w:type="dxa"/>
            <w:shd w:val="clear" w:color="auto" w:fill="auto"/>
          </w:tcPr>
          <w:p w14:paraId="0FCE39EA" w14:textId="5674D626"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lastRenderedPageBreak/>
              <w:t> </w:t>
            </w:r>
            <w:r w:rsidR="00D815F3">
              <w:rPr>
                <w:rFonts w:eastAsia="Times New Roman"/>
                <w:sz w:val="24"/>
                <w:szCs w:val="24"/>
                <w:lang w:eastAsia="lv-LV"/>
              </w:rPr>
              <w:t>3</w:t>
            </w:r>
            <w:r w:rsidRPr="00AD4676">
              <w:rPr>
                <w:rFonts w:eastAsia="Times New Roman"/>
                <w:sz w:val="24"/>
                <w:szCs w:val="24"/>
                <w:lang w:eastAsia="lv-LV"/>
              </w:rPr>
              <w:t>.</w:t>
            </w:r>
          </w:p>
        </w:tc>
        <w:tc>
          <w:tcPr>
            <w:tcW w:w="1696" w:type="dxa"/>
            <w:shd w:val="clear" w:color="auto" w:fill="auto"/>
          </w:tcPr>
          <w:p w14:paraId="75908971" w14:textId="1C3530B0"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Projekta izstrādē iesaistītās institūcijas</w:t>
            </w:r>
            <w:r w:rsidR="008A6B3D">
              <w:rPr>
                <w:rFonts w:eastAsia="Times New Roman"/>
                <w:sz w:val="24"/>
                <w:szCs w:val="24"/>
                <w:lang w:eastAsia="lv-LV"/>
              </w:rPr>
              <w:t xml:space="preserve"> un publiskas personas kapitālsabiedrības</w:t>
            </w:r>
          </w:p>
        </w:tc>
        <w:tc>
          <w:tcPr>
            <w:tcW w:w="7376" w:type="dxa"/>
            <w:shd w:val="clear" w:color="auto" w:fill="auto"/>
          </w:tcPr>
          <w:p w14:paraId="44F5A02C" w14:textId="2F62CB0F" w:rsidR="00532F34" w:rsidRPr="00AD4676" w:rsidRDefault="008A6B3D"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Satiksmes ministrija, v</w:t>
            </w:r>
            <w:r w:rsidR="00532F34" w:rsidRPr="00AD4676">
              <w:rPr>
                <w:rFonts w:eastAsia="Times New Roman"/>
                <w:sz w:val="24"/>
                <w:szCs w:val="24"/>
                <w:lang w:eastAsia="lv-LV"/>
              </w:rPr>
              <w:t>alsts akciju sabiedrība „Ceļu satiksmes drošības direkcija”</w:t>
            </w:r>
            <w:r w:rsidR="00532F34">
              <w:rPr>
                <w:rFonts w:eastAsia="Times New Roman"/>
                <w:sz w:val="24"/>
                <w:szCs w:val="24"/>
                <w:lang w:eastAsia="lv-LV"/>
              </w:rPr>
              <w:t>.</w:t>
            </w:r>
          </w:p>
        </w:tc>
      </w:tr>
      <w:tr w:rsidR="00532F34" w:rsidRPr="0027189F" w14:paraId="65F45D9F" w14:textId="77777777" w:rsidTr="00D815F3">
        <w:tc>
          <w:tcPr>
            <w:tcW w:w="568" w:type="dxa"/>
            <w:shd w:val="clear" w:color="auto" w:fill="auto"/>
          </w:tcPr>
          <w:p w14:paraId="309E1615"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4.</w:t>
            </w:r>
          </w:p>
        </w:tc>
        <w:tc>
          <w:tcPr>
            <w:tcW w:w="1696" w:type="dxa"/>
            <w:shd w:val="clear" w:color="auto" w:fill="auto"/>
          </w:tcPr>
          <w:p w14:paraId="3BC1FC6B"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Cita informācija</w:t>
            </w:r>
          </w:p>
        </w:tc>
        <w:tc>
          <w:tcPr>
            <w:tcW w:w="7376" w:type="dxa"/>
            <w:shd w:val="clear" w:color="auto" w:fill="auto"/>
          </w:tcPr>
          <w:p w14:paraId="1BFD7814" w14:textId="77777777" w:rsidR="00532F34" w:rsidRPr="00AD4676" w:rsidRDefault="002A7E09" w:rsidP="00E37BE8">
            <w:pPr>
              <w:spacing w:after="120" w:line="240" w:lineRule="auto"/>
              <w:ind w:firstLine="0"/>
              <w:rPr>
                <w:rFonts w:eastAsia="Times New Roman"/>
                <w:sz w:val="24"/>
                <w:szCs w:val="24"/>
                <w:lang w:eastAsia="lv-LV"/>
              </w:rPr>
            </w:pPr>
            <w:r>
              <w:rPr>
                <w:rFonts w:eastAsia="Times New Roman"/>
                <w:sz w:val="24"/>
                <w:szCs w:val="24"/>
                <w:lang w:eastAsia="lv-LV"/>
              </w:rPr>
              <w:t>Nav.</w:t>
            </w:r>
          </w:p>
        </w:tc>
      </w:tr>
    </w:tbl>
    <w:p w14:paraId="6AB88C1A" w14:textId="77777777" w:rsidR="00532F34" w:rsidRDefault="00532F34" w:rsidP="00811322">
      <w:pPr>
        <w:spacing w:line="240" w:lineRule="auto"/>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404"/>
        <w:gridCol w:w="5758"/>
      </w:tblGrid>
      <w:tr w:rsidR="00532F34" w:rsidRPr="00094458" w14:paraId="70101468" w14:textId="77777777" w:rsidTr="00D815F3">
        <w:tc>
          <w:tcPr>
            <w:tcW w:w="9640" w:type="dxa"/>
            <w:gridSpan w:val="3"/>
            <w:shd w:val="clear" w:color="auto" w:fill="auto"/>
          </w:tcPr>
          <w:p w14:paraId="44E3BE80" w14:textId="0CB3C96D" w:rsidR="00532F34" w:rsidRPr="00AD4676" w:rsidRDefault="00532F34" w:rsidP="00D815F3">
            <w:pPr>
              <w:spacing w:before="100" w:beforeAutospacing="1" w:after="120" w:line="240" w:lineRule="auto"/>
              <w:ind w:firstLine="0"/>
              <w:jc w:val="center"/>
              <w:rPr>
                <w:rFonts w:eastAsia="Times New Roman"/>
                <w:b/>
                <w:sz w:val="24"/>
                <w:szCs w:val="24"/>
                <w:lang w:eastAsia="lv-LV"/>
              </w:rPr>
            </w:pPr>
            <w:r w:rsidRPr="00AD4676">
              <w:rPr>
                <w:rFonts w:eastAsia="Times New Roman"/>
                <w:b/>
                <w:sz w:val="24"/>
                <w:szCs w:val="24"/>
                <w:lang w:eastAsia="lv-LV"/>
              </w:rPr>
              <w:t xml:space="preserve">II. Tiesību akta projekta ietekme uz </w:t>
            </w:r>
            <w:r w:rsidRPr="00AD4676">
              <w:rPr>
                <w:rFonts w:eastAsia="Times New Roman"/>
                <w:b/>
                <w:bCs/>
                <w:sz w:val="24"/>
                <w:szCs w:val="24"/>
                <w:lang w:eastAsia="lv-LV"/>
              </w:rPr>
              <w:t>sabiedrību</w:t>
            </w:r>
            <w:r w:rsidRPr="00AD4676">
              <w:rPr>
                <w:b/>
                <w:bCs/>
                <w:sz w:val="24"/>
                <w:szCs w:val="24"/>
                <w:shd w:val="clear" w:color="auto" w:fill="FFFFFF"/>
              </w:rPr>
              <w:t>, tautsaimniecības attīstību un administratīvo slogu</w:t>
            </w:r>
          </w:p>
        </w:tc>
      </w:tr>
      <w:tr w:rsidR="00532F34" w:rsidRPr="0027189F" w14:paraId="38BF93A8" w14:textId="77777777" w:rsidTr="00D815F3">
        <w:trPr>
          <w:trHeight w:val="467"/>
        </w:trPr>
        <w:tc>
          <w:tcPr>
            <w:tcW w:w="478" w:type="dxa"/>
            <w:shd w:val="clear" w:color="auto" w:fill="auto"/>
          </w:tcPr>
          <w:p w14:paraId="33EBC6CE"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1.</w:t>
            </w:r>
          </w:p>
        </w:tc>
        <w:tc>
          <w:tcPr>
            <w:tcW w:w="3404" w:type="dxa"/>
            <w:shd w:val="clear" w:color="auto" w:fill="auto"/>
          </w:tcPr>
          <w:p w14:paraId="77368B66"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 xml:space="preserve">Sabiedrības </w:t>
            </w:r>
            <w:proofErr w:type="spellStart"/>
            <w:r w:rsidRPr="00AD4676">
              <w:rPr>
                <w:sz w:val="24"/>
                <w:szCs w:val="24"/>
                <w:shd w:val="clear" w:color="auto" w:fill="FFFFFF"/>
              </w:rPr>
              <w:t>mērķgrupas</w:t>
            </w:r>
            <w:proofErr w:type="spellEnd"/>
            <w:r w:rsidRPr="00AD4676">
              <w:rPr>
                <w:sz w:val="24"/>
                <w:szCs w:val="24"/>
                <w:shd w:val="clear" w:color="auto" w:fill="FFFFFF"/>
              </w:rPr>
              <w:t>, kuras tiesiskais regulējums ietekmē vai varētu ietekmēt</w:t>
            </w:r>
          </w:p>
        </w:tc>
        <w:tc>
          <w:tcPr>
            <w:tcW w:w="5758" w:type="dxa"/>
            <w:shd w:val="clear" w:color="auto" w:fill="auto"/>
          </w:tcPr>
          <w:p w14:paraId="028EBB99" w14:textId="77777777" w:rsidR="00532F34" w:rsidRPr="00AD4676" w:rsidRDefault="00D21B79"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T</w:t>
            </w:r>
            <w:r w:rsidR="00CC7161">
              <w:rPr>
                <w:rFonts w:eastAsia="Times New Roman"/>
                <w:sz w:val="24"/>
                <w:szCs w:val="24"/>
                <w:lang w:eastAsia="lv-LV"/>
              </w:rPr>
              <w:t xml:space="preserve">ransportlīdzekļu </w:t>
            </w:r>
            <w:r w:rsidR="002A7E09">
              <w:rPr>
                <w:rFonts w:eastAsia="Times New Roman"/>
                <w:sz w:val="24"/>
                <w:szCs w:val="24"/>
                <w:lang w:eastAsia="lv-LV"/>
              </w:rPr>
              <w:t xml:space="preserve">īpašnieki </w:t>
            </w:r>
            <w:r>
              <w:rPr>
                <w:rFonts w:eastAsia="Times New Roman"/>
                <w:sz w:val="24"/>
                <w:szCs w:val="24"/>
                <w:lang w:eastAsia="lv-LV"/>
              </w:rPr>
              <w:t>(turētāji), k</w:t>
            </w:r>
            <w:r w:rsidR="000C6584">
              <w:rPr>
                <w:rFonts w:eastAsia="Times New Roman"/>
                <w:sz w:val="24"/>
                <w:szCs w:val="24"/>
                <w:lang w:eastAsia="lv-LV"/>
              </w:rPr>
              <w:t>as</w:t>
            </w:r>
            <w:r>
              <w:rPr>
                <w:rFonts w:eastAsia="Times New Roman"/>
                <w:sz w:val="24"/>
                <w:szCs w:val="24"/>
                <w:lang w:eastAsia="lv-LV"/>
              </w:rPr>
              <w:t xml:space="preserve"> izmanto ceļu satiksmē tikai ar elektromotoru darbināmus transportlīdzekļus</w:t>
            </w:r>
            <w:r w:rsidR="003168A9">
              <w:rPr>
                <w:rFonts w:eastAsia="Times New Roman"/>
                <w:sz w:val="24"/>
                <w:szCs w:val="24"/>
                <w:lang w:eastAsia="lv-LV"/>
              </w:rPr>
              <w:t xml:space="preserve">. </w:t>
            </w:r>
          </w:p>
        </w:tc>
      </w:tr>
      <w:tr w:rsidR="00532F34" w:rsidRPr="0027189F" w14:paraId="75A85216" w14:textId="77777777" w:rsidTr="00D815F3">
        <w:trPr>
          <w:trHeight w:val="523"/>
        </w:trPr>
        <w:tc>
          <w:tcPr>
            <w:tcW w:w="478" w:type="dxa"/>
            <w:shd w:val="clear" w:color="auto" w:fill="auto"/>
          </w:tcPr>
          <w:p w14:paraId="28905AEB"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2.</w:t>
            </w:r>
          </w:p>
        </w:tc>
        <w:tc>
          <w:tcPr>
            <w:tcW w:w="3404" w:type="dxa"/>
            <w:shd w:val="clear" w:color="auto" w:fill="auto"/>
          </w:tcPr>
          <w:p w14:paraId="44FCAD68"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sz w:val="24"/>
                <w:szCs w:val="24"/>
                <w:shd w:val="clear" w:color="auto" w:fill="FFFFFF"/>
              </w:rPr>
              <w:t>Tiesiskā regulējuma ietekme uz tautsaimniecību un administratīvo slogu</w:t>
            </w:r>
          </w:p>
        </w:tc>
        <w:tc>
          <w:tcPr>
            <w:tcW w:w="5758" w:type="dxa"/>
            <w:shd w:val="clear" w:color="auto" w:fill="auto"/>
          </w:tcPr>
          <w:p w14:paraId="2C9545ED" w14:textId="495B3D41" w:rsidR="00532F34" w:rsidRDefault="00D21B79" w:rsidP="00E37BE8">
            <w:pPr>
              <w:spacing w:after="120" w:line="240" w:lineRule="auto"/>
              <w:ind w:firstLine="0"/>
            </w:pPr>
            <w:r>
              <w:rPr>
                <w:rFonts w:eastAsia="Times New Roman"/>
                <w:sz w:val="24"/>
                <w:szCs w:val="24"/>
                <w:lang w:eastAsia="lv-LV"/>
              </w:rPr>
              <w:t>Tiesību akts paredz veicināt ar elektromotoru darbināmu transportlīdzekļu izmantošanu</w:t>
            </w:r>
            <w:r w:rsidR="00187275">
              <w:rPr>
                <w:rFonts w:eastAsia="Times New Roman"/>
                <w:sz w:val="24"/>
                <w:szCs w:val="24"/>
                <w:lang w:eastAsia="lv-LV"/>
              </w:rPr>
              <w:t xml:space="preserve">. </w:t>
            </w:r>
          </w:p>
        </w:tc>
      </w:tr>
      <w:tr w:rsidR="00532F34" w:rsidRPr="0027189F" w14:paraId="3FDBF577" w14:textId="77777777" w:rsidTr="00D815F3">
        <w:trPr>
          <w:trHeight w:val="517"/>
        </w:trPr>
        <w:tc>
          <w:tcPr>
            <w:tcW w:w="478" w:type="dxa"/>
            <w:shd w:val="clear" w:color="auto" w:fill="auto"/>
          </w:tcPr>
          <w:p w14:paraId="556210A6"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3.</w:t>
            </w:r>
          </w:p>
        </w:tc>
        <w:tc>
          <w:tcPr>
            <w:tcW w:w="3404" w:type="dxa"/>
            <w:shd w:val="clear" w:color="auto" w:fill="auto"/>
          </w:tcPr>
          <w:p w14:paraId="2E25977B" w14:textId="77777777" w:rsidR="00532F34" w:rsidRPr="00AD4676" w:rsidRDefault="00532F34" w:rsidP="00E37BE8">
            <w:pPr>
              <w:spacing w:before="100" w:beforeAutospacing="1" w:after="120"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Administratīvo izmaksu monetārs novērtējums</w:t>
            </w:r>
          </w:p>
        </w:tc>
        <w:tc>
          <w:tcPr>
            <w:tcW w:w="5758" w:type="dxa"/>
            <w:shd w:val="clear" w:color="auto" w:fill="auto"/>
          </w:tcPr>
          <w:p w14:paraId="73312817" w14:textId="77777777" w:rsidR="00532F34" w:rsidRDefault="00532F34" w:rsidP="00E37BE8">
            <w:pPr>
              <w:spacing w:after="120"/>
              <w:ind w:firstLine="0"/>
            </w:pPr>
            <w:r w:rsidRPr="00AD4676">
              <w:rPr>
                <w:rFonts w:eastAsia="Times New Roman"/>
                <w:sz w:val="24"/>
                <w:szCs w:val="24"/>
                <w:lang w:eastAsia="lv-LV"/>
              </w:rPr>
              <w:t xml:space="preserve">Projekts šo jomu neskar. </w:t>
            </w:r>
          </w:p>
        </w:tc>
      </w:tr>
      <w:tr w:rsidR="008B1726" w:rsidRPr="0027189F" w14:paraId="65910BC9" w14:textId="77777777" w:rsidTr="00D815F3">
        <w:trPr>
          <w:trHeight w:val="517"/>
        </w:trPr>
        <w:tc>
          <w:tcPr>
            <w:tcW w:w="478" w:type="dxa"/>
            <w:shd w:val="clear" w:color="auto" w:fill="auto"/>
          </w:tcPr>
          <w:p w14:paraId="2AE76AC7" w14:textId="0057F977" w:rsidR="008B1726" w:rsidRPr="00AD4676" w:rsidRDefault="008B1726"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4.</w:t>
            </w:r>
          </w:p>
        </w:tc>
        <w:tc>
          <w:tcPr>
            <w:tcW w:w="3404" w:type="dxa"/>
            <w:shd w:val="clear" w:color="auto" w:fill="auto"/>
          </w:tcPr>
          <w:p w14:paraId="0AF82DFC" w14:textId="261B1D90" w:rsidR="008B1726" w:rsidRPr="00AD4676" w:rsidRDefault="008B1726" w:rsidP="00E37BE8">
            <w:pPr>
              <w:spacing w:before="100" w:beforeAutospacing="1" w:after="120" w:line="240" w:lineRule="auto"/>
              <w:ind w:firstLine="0"/>
              <w:rPr>
                <w:rFonts w:eastAsia="Times New Roman"/>
                <w:sz w:val="24"/>
                <w:szCs w:val="24"/>
                <w:lang w:eastAsia="lv-LV"/>
              </w:rPr>
            </w:pPr>
            <w:r>
              <w:rPr>
                <w:rFonts w:eastAsia="Times New Roman"/>
                <w:sz w:val="24"/>
                <w:szCs w:val="24"/>
                <w:lang w:eastAsia="lv-LV"/>
              </w:rPr>
              <w:t>Atbilstības izmaksu monetārs novērtējums</w:t>
            </w:r>
          </w:p>
        </w:tc>
        <w:tc>
          <w:tcPr>
            <w:tcW w:w="5758" w:type="dxa"/>
            <w:shd w:val="clear" w:color="auto" w:fill="auto"/>
          </w:tcPr>
          <w:p w14:paraId="6E08E048" w14:textId="629A3D1F" w:rsidR="008B1726" w:rsidRPr="00AD4676" w:rsidRDefault="008B1726" w:rsidP="00E37BE8">
            <w:pPr>
              <w:spacing w:after="120"/>
              <w:ind w:firstLine="0"/>
              <w:rPr>
                <w:rFonts w:eastAsia="Times New Roman"/>
                <w:sz w:val="24"/>
                <w:szCs w:val="24"/>
                <w:lang w:eastAsia="lv-LV"/>
              </w:rPr>
            </w:pPr>
            <w:r w:rsidRPr="008B1726">
              <w:rPr>
                <w:rFonts w:eastAsia="Times New Roman"/>
                <w:sz w:val="24"/>
                <w:szCs w:val="24"/>
                <w:lang w:eastAsia="lv-LV"/>
              </w:rPr>
              <w:t>Projekts šo jomu neskar.</w:t>
            </w:r>
          </w:p>
        </w:tc>
      </w:tr>
      <w:tr w:rsidR="00532F34" w:rsidRPr="0027189F" w14:paraId="06B4414D" w14:textId="77777777" w:rsidTr="00D815F3">
        <w:tc>
          <w:tcPr>
            <w:tcW w:w="478" w:type="dxa"/>
            <w:shd w:val="clear" w:color="auto" w:fill="auto"/>
          </w:tcPr>
          <w:p w14:paraId="74649A7D" w14:textId="4C49B729"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w:t>
            </w:r>
            <w:r w:rsidR="008B1726">
              <w:rPr>
                <w:rFonts w:eastAsia="Times New Roman"/>
                <w:sz w:val="24"/>
                <w:szCs w:val="24"/>
                <w:lang w:eastAsia="lv-LV"/>
              </w:rPr>
              <w:t>5</w:t>
            </w:r>
            <w:r w:rsidRPr="00AD4676">
              <w:rPr>
                <w:rFonts w:eastAsia="Times New Roman"/>
                <w:sz w:val="24"/>
                <w:szCs w:val="24"/>
                <w:lang w:eastAsia="lv-LV"/>
              </w:rPr>
              <w:t>.</w:t>
            </w:r>
          </w:p>
        </w:tc>
        <w:tc>
          <w:tcPr>
            <w:tcW w:w="3404" w:type="dxa"/>
            <w:shd w:val="clear" w:color="auto" w:fill="auto"/>
          </w:tcPr>
          <w:p w14:paraId="52879975" w14:textId="77777777"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Cita informācija</w:t>
            </w:r>
          </w:p>
        </w:tc>
        <w:tc>
          <w:tcPr>
            <w:tcW w:w="5758" w:type="dxa"/>
            <w:shd w:val="clear" w:color="auto" w:fill="auto"/>
          </w:tcPr>
          <w:p w14:paraId="3716F4A5" w14:textId="77777777" w:rsidR="00532F34" w:rsidRPr="00AD4676" w:rsidRDefault="00532F34" w:rsidP="00E37BE8">
            <w:pPr>
              <w:spacing w:before="100" w:beforeAutospacing="1" w:after="120"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14:paraId="4C39D4E7" w14:textId="522F7FC7" w:rsidR="00532F34" w:rsidRDefault="00532F34" w:rsidP="00E37BE8">
      <w:pPr>
        <w:spacing w:after="120" w:line="240" w:lineRule="auto"/>
        <w:ind w:firstLine="0"/>
        <w:jc w:val="left"/>
        <w:rPr>
          <w:rFonts w:eastAsia="Times New Roman"/>
          <w:sz w:val="24"/>
          <w:szCs w:val="24"/>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41"/>
        <w:gridCol w:w="984"/>
        <w:gridCol w:w="1086"/>
        <w:gridCol w:w="947"/>
        <w:gridCol w:w="1090"/>
        <w:gridCol w:w="1111"/>
        <w:gridCol w:w="1088"/>
        <w:gridCol w:w="1434"/>
      </w:tblGrid>
      <w:tr w:rsidR="005668E7" w:rsidRPr="005668E7" w14:paraId="3B89C010" w14:textId="77777777" w:rsidTr="00811322">
        <w:tc>
          <w:tcPr>
            <w:tcW w:w="5000" w:type="pct"/>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CEF495" w14:textId="77777777" w:rsidR="00484362" w:rsidRPr="000439EF" w:rsidRDefault="00484362" w:rsidP="00484362">
            <w:pPr>
              <w:spacing w:before="100" w:beforeAutospacing="1" w:line="300" w:lineRule="atLeast"/>
              <w:ind w:firstLine="0"/>
              <w:jc w:val="center"/>
              <w:rPr>
                <w:rFonts w:eastAsia="Times New Roman"/>
                <w:b/>
                <w:bCs/>
                <w:sz w:val="24"/>
                <w:szCs w:val="24"/>
                <w:lang w:eastAsia="lv-LV"/>
              </w:rPr>
            </w:pPr>
            <w:r w:rsidRPr="000439EF">
              <w:rPr>
                <w:rFonts w:eastAsia="Times New Roman"/>
                <w:b/>
                <w:bCs/>
                <w:sz w:val="24"/>
                <w:szCs w:val="24"/>
                <w:lang w:eastAsia="lv-LV"/>
              </w:rPr>
              <w:t>III. Tiesību akta projekta ietekme uz valsts budžetu un pašvaldību budžetiem</w:t>
            </w:r>
          </w:p>
        </w:tc>
      </w:tr>
      <w:tr w:rsidR="005668E7" w:rsidRPr="005668E7" w14:paraId="7A2A70F9" w14:textId="77777777" w:rsidTr="00811322">
        <w:tc>
          <w:tcPr>
            <w:tcW w:w="1044"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99E7AD" w14:textId="77777777" w:rsidR="00484362" w:rsidRPr="00996F00" w:rsidRDefault="00484362" w:rsidP="00484362">
            <w:pPr>
              <w:spacing w:before="100" w:beforeAutospacing="1" w:line="300" w:lineRule="atLeast"/>
              <w:ind w:firstLine="0"/>
              <w:jc w:val="center"/>
              <w:rPr>
                <w:rFonts w:eastAsia="Times New Roman"/>
                <w:color w:val="414142"/>
                <w:sz w:val="24"/>
                <w:szCs w:val="24"/>
                <w:lang w:eastAsia="lv-LV"/>
              </w:rPr>
            </w:pPr>
            <w:r w:rsidRPr="00996F00">
              <w:rPr>
                <w:rFonts w:eastAsia="Times New Roman"/>
                <w:color w:val="414142"/>
                <w:sz w:val="24"/>
                <w:szCs w:val="24"/>
                <w:lang w:eastAsia="lv-LV"/>
              </w:rPr>
              <w:t>Rādītāji</w:t>
            </w:r>
          </w:p>
        </w:tc>
        <w:tc>
          <w:tcPr>
            <w:tcW w:w="1058"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159A4B9" w14:textId="430483D9" w:rsidR="00484362" w:rsidRPr="005668E7" w:rsidRDefault="005668E7" w:rsidP="00484362">
            <w:pPr>
              <w:spacing w:before="100" w:beforeAutospacing="1" w:line="300" w:lineRule="atLeast"/>
              <w:ind w:firstLine="0"/>
              <w:jc w:val="center"/>
              <w:rPr>
                <w:rFonts w:eastAsia="Times New Roman"/>
                <w:sz w:val="24"/>
                <w:szCs w:val="24"/>
                <w:lang w:eastAsia="lv-LV"/>
              </w:rPr>
            </w:pPr>
            <w:r>
              <w:rPr>
                <w:rFonts w:eastAsia="Times New Roman"/>
                <w:sz w:val="24"/>
                <w:szCs w:val="24"/>
                <w:lang w:eastAsia="lv-LV"/>
              </w:rPr>
              <w:t>2018.gads</w:t>
            </w:r>
          </w:p>
        </w:tc>
        <w:tc>
          <w:tcPr>
            <w:tcW w:w="2897"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1134FC"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Turpmākie trīs gadi (</w:t>
            </w:r>
            <w:proofErr w:type="spellStart"/>
            <w:r w:rsidRPr="005668E7">
              <w:rPr>
                <w:rFonts w:eastAsia="Times New Roman"/>
                <w:i/>
                <w:iCs/>
                <w:sz w:val="24"/>
                <w:szCs w:val="24"/>
                <w:bdr w:val="none" w:sz="0" w:space="0" w:color="auto" w:frame="1"/>
                <w:lang w:eastAsia="lv-LV"/>
              </w:rPr>
              <w:t>euro</w:t>
            </w:r>
            <w:proofErr w:type="spellEnd"/>
            <w:r w:rsidRPr="005668E7">
              <w:rPr>
                <w:rFonts w:eastAsia="Times New Roman"/>
                <w:sz w:val="24"/>
                <w:szCs w:val="24"/>
                <w:lang w:eastAsia="lv-LV"/>
              </w:rPr>
              <w:t>)</w:t>
            </w:r>
          </w:p>
        </w:tc>
      </w:tr>
      <w:tr w:rsidR="005668E7" w:rsidRPr="005668E7" w14:paraId="7B699074" w14:textId="77777777" w:rsidTr="00811322">
        <w:tc>
          <w:tcPr>
            <w:tcW w:w="104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3D00F5" w14:textId="77777777" w:rsidR="00484362" w:rsidRPr="00996F00" w:rsidRDefault="00484362" w:rsidP="00484362">
            <w:pPr>
              <w:spacing w:line="240" w:lineRule="auto"/>
              <w:ind w:firstLine="0"/>
              <w:jc w:val="left"/>
              <w:rPr>
                <w:rFonts w:eastAsia="Times New Roman"/>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5AA4A0" w14:textId="77777777" w:rsidR="00484362" w:rsidRPr="005668E7" w:rsidRDefault="00484362" w:rsidP="00484362">
            <w:pPr>
              <w:spacing w:line="240" w:lineRule="auto"/>
              <w:ind w:firstLine="0"/>
              <w:jc w:val="left"/>
              <w:rPr>
                <w:rFonts w:eastAsia="Times New Roman"/>
                <w:sz w:val="24"/>
                <w:szCs w:val="24"/>
                <w:lang w:eastAsia="lv-LV"/>
              </w:rPr>
            </w:pPr>
          </w:p>
        </w:tc>
        <w:tc>
          <w:tcPr>
            <w:tcW w:w="1041"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6A5DFF" w14:textId="1F430183" w:rsidR="00484362" w:rsidRPr="005668E7" w:rsidRDefault="005668E7" w:rsidP="00484362">
            <w:pPr>
              <w:spacing w:before="100" w:beforeAutospacing="1" w:line="300" w:lineRule="atLeast"/>
              <w:ind w:firstLine="0"/>
              <w:jc w:val="center"/>
              <w:rPr>
                <w:rFonts w:eastAsia="Times New Roman"/>
                <w:sz w:val="24"/>
                <w:szCs w:val="24"/>
                <w:lang w:eastAsia="lv-LV"/>
              </w:rPr>
            </w:pPr>
            <w:r>
              <w:rPr>
                <w:rFonts w:eastAsia="Times New Roman"/>
                <w:sz w:val="24"/>
                <w:szCs w:val="24"/>
                <w:lang w:eastAsia="lv-LV"/>
              </w:rPr>
              <w:t xml:space="preserve">2019.gads </w:t>
            </w:r>
          </w:p>
        </w:tc>
        <w:tc>
          <w:tcPr>
            <w:tcW w:w="112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FA4F19A" w14:textId="689DC4B8" w:rsidR="00484362" w:rsidRPr="005668E7" w:rsidRDefault="005668E7" w:rsidP="00484362">
            <w:pPr>
              <w:spacing w:before="100" w:beforeAutospacing="1" w:line="300" w:lineRule="atLeast"/>
              <w:ind w:firstLine="0"/>
              <w:jc w:val="center"/>
              <w:rPr>
                <w:rFonts w:eastAsia="Times New Roman"/>
                <w:sz w:val="24"/>
                <w:szCs w:val="24"/>
                <w:lang w:eastAsia="lv-LV"/>
              </w:rPr>
            </w:pPr>
            <w:r>
              <w:rPr>
                <w:rFonts w:eastAsia="Times New Roman"/>
                <w:sz w:val="24"/>
                <w:szCs w:val="24"/>
                <w:lang w:eastAsia="lv-LV"/>
              </w:rPr>
              <w:t xml:space="preserve">2020.gads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5D58559" w14:textId="0790C7A6" w:rsidR="00484362" w:rsidRPr="005668E7" w:rsidRDefault="005668E7" w:rsidP="00484362">
            <w:pPr>
              <w:spacing w:before="100" w:beforeAutospacing="1" w:line="300" w:lineRule="atLeast"/>
              <w:ind w:firstLine="0"/>
              <w:jc w:val="center"/>
              <w:rPr>
                <w:rFonts w:eastAsia="Times New Roman"/>
                <w:sz w:val="24"/>
                <w:szCs w:val="24"/>
                <w:lang w:eastAsia="lv-LV"/>
              </w:rPr>
            </w:pPr>
            <w:r>
              <w:rPr>
                <w:rFonts w:eastAsia="Times New Roman"/>
                <w:sz w:val="24"/>
                <w:szCs w:val="24"/>
                <w:lang w:eastAsia="lv-LV"/>
              </w:rPr>
              <w:t xml:space="preserve">2021.gads </w:t>
            </w:r>
          </w:p>
        </w:tc>
      </w:tr>
      <w:tr w:rsidR="005668E7" w:rsidRPr="005668E7" w14:paraId="787ED1FD" w14:textId="77777777" w:rsidTr="00811322">
        <w:tc>
          <w:tcPr>
            <w:tcW w:w="104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D7AC47" w14:textId="77777777" w:rsidR="00484362" w:rsidRPr="00996F00" w:rsidRDefault="00484362" w:rsidP="00484362">
            <w:pPr>
              <w:spacing w:line="240" w:lineRule="auto"/>
              <w:ind w:firstLine="0"/>
              <w:jc w:val="left"/>
              <w:rPr>
                <w:rFonts w:eastAsia="Times New Roman"/>
                <w:color w:val="414142"/>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F8D644"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saskaņā ar valsts budžetu kārtējam gadam</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40CA90"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 xml:space="preserve">izmaiņas kārtējā gadā, salīdzinot ar valsts budžetu </w:t>
            </w:r>
            <w:r w:rsidRPr="005668E7">
              <w:rPr>
                <w:rFonts w:eastAsia="Times New Roman"/>
                <w:sz w:val="24"/>
                <w:szCs w:val="24"/>
                <w:lang w:eastAsia="lv-LV"/>
              </w:rPr>
              <w:lastRenderedPageBreak/>
              <w:t>kārtējam gadam</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A7EAAD"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lastRenderedPageBreak/>
              <w:t>saskaņā ar vidēja termiņa budžeta ietvaru</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E2CC0F"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 xml:space="preserve">izmaiņas, salīdzinot ar vidēja termiņa budžeta ietvaru </w:t>
            </w:r>
            <w:r w:rsidRPr="005668E7">
              <w:rPr>
                <w:rFonts w:eastAsia="Times New Roman"/>
                <w:sz w:val="24"/>
                <w:szCs w:val="24"/>
                <w:lang w:eastAsia="lv-LV"/>
              </w:rPr>
              <w:lastRenderedPageBreak/>
              <w:t>n+1 gadam</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BB33CA"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lastRenderedPageBreak/>
              <w:t>saskaņā ar vidēja termiņa budžeta ietvaru</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BEAC25"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 xml:space="preserve">izmaiņas, salīdzinot ar vidēja termiņa budžeta ietvaru </w:t>
            </w:r>
            <w:r w:rsidRPr="005668E7">
              <w:rPr>
                <w:rFonts w:eastAsia="Times New Roman"/>
                <w:sz w:val="24"/>
                <w:szCs w:val="24"/>
                <w:lang w:eastAsia="lv-LV"/>
              </w:rPr>
              <w:lastRenderedPageBreak/>
              <w:t>n+2 gadam</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DEC02A"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lastRenderedPageBreak/>
              <w:t xml:space="preserve">izmaiņas, salīdzinot ar vidēja termiņa budžeta </w:t>
            </w:r>
            <w:r w:rsidRPr="005668E7">
              <w:rPr>
                <w:rFonts w:eastAsia="Times New Roman"/>
                <w:sz w:val="24"/>
                <w:szCs w:val="24"/>
                <w:lang w:eastAsia="lv-LV"/>
              </w:rPr>
              <w:lastRenderedPageBreak/>
              <w:t>ietvaru n+2 gadam</w:t>
            </w:r>
          </w:p>
        </w:tc>
      </w:tr>
      <w:tr w:rsidR="005668E7" w:rsidRPr="005668E7" w14:paraId="2B0D09A7"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4AC2BC" w14:textId="77777777" w:rsidR="00484362" w:rsidRPr="00996F00" w:rsidRDefault="00484362" w:rsidP="00484362">
            <w:pPr>
              <w:spacing w:before="100" w:beforeAutospacing="1" w:line="300" w:lineRule="atLeast"/>
              <w:ind w:firstLine="0"/>
              <w:jc w:val="center"/>
              <w:rPr>
                <w:rFonts w:eastAsia="Times New Roman"/>
                <w:color w:val="414142"/>
                <w:sz w:val="24"/>
                <w:szCs w:val="24"/>
                <w:lang w:eastAsia="lv-LV"/>
              </w:rPr>
            </w:pPr>
            <w:r w:rsidRPr="00996F00">
              <w:rPr>
                <w:rFonts w:eastAsia="Times New Roman"/>
                <w:color w:val="414142"/>
                <w:sz w:val="24"/>
                <w:szCs w:val="24"/>
                <w:lang w:eastAsia="lv-LV"/>
              </w:rPr>
              <w:t>1</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31D6876"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2</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3D3942"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3</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CA49E7"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4</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821436"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5</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4E27AB"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6</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54B2F8"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7</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62CADB" w14:textId="77777777" w:rsidR="00484362" w:rsidRPr="005668E7" w:rsidRDefault="00484362" w:rsidP="00484362">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8</w:t>
            </w:r>
          </w:p>
        </w:tc>
      </w:tr>
      <w:tr w:rsidR="005668E7" w:rsidRPr="005668E7" w14:paraId="48667FB6"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2E381A32"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1. Budžeta ieņēmumi</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51B16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108475"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B63886"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A3331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ECAF7C"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14FA9E"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DF5FAE"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606BB262"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1F3E395E"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1.1. valsts pamatbudžets, tai skaitā ieņēmumi no maksas pakalpojumiem un citi pašu ieņēmumi</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12B933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FBC0E3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7AD86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CDDC7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9069C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378E67"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5ED05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2FD1A25A"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1EA74174"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1.2. valsts speciālais 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86CF8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D4B726"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831AB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A5170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2714FF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16A50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C6FC81"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2915A7EE"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184E2719"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1.3. pašvaldību 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93E99B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9CAF3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FABCB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270D0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2C919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1DB822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1D536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4181CA22"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3ED8258F"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2. Budžeta izdevumi</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25BF76"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2EC38C"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11095BE"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4D8997"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A45174"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D5A2A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CF01B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762981F9"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2B344F79"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2.1. valsts pamatbudžets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D995A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4DC53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946BC8" w14:textId="6B3734B2" w:rsidR="00484362" w:rsidRPr="005668E7" w:rsidRDefault="005668E7" w:rsidP="000439EF">
            <w:pPr>
              <w:spacing w:line="240" w:lineRule="auto"/>
              <w:ind w:firstLine="0"/>
              <w:jc w:val="center"/>
              <w:rPr>
                <w:rFonts w:eastAsia="Times New Roman"/>
                <w:sz w:val="24"/>
                <w:szCs w:val="24"/>
                <w:lang w:eastAsia="lv-LV"/>
              </w:rPr>
            </w:pPr>
            <w:r>
              <w:rPr>
                <w:rFonts w:eastAsia="Times New Roman"/>
                <w:sz w:val="24"/>
                <w:szCs w:val="24"/>
                <w:lang w:eastAsia="lv-LV"/>
              </w:rPr>
              <w:t>0</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8F7C175" w14:textId="18FBF684" w:rsidR="00484362" w:rsidRPr="005668E7" w:rsidRDefault="00860458" w:rsidP="000439EF">
            <w:pPr>
              <w:spacing w:line="240" w:lineRule="auto"/>
              <w:ind w:firstLine="0"/>
              <w:jc w:val="center"/>
              <w:rPr>
                <w:rFonts w:eastAsia="Times New Roman"/>
                <w:sz w:val="24"/>
                <w:szCs w:val="24"/>
                <w:lang w:eastAsia="lv-LV"/>
              </w:rPr>
            </w:pPr>
            <w:r w:rsidRPr="00860458">
              <w:rPr>
                <w:rFonts w:eastAsia="Times New Roman"/>
                <w:sz w:val="24"/>
                <w:szCs w:val="24"/>
                <w:lang w:eastAsia="lv-LV"/>
              </w:rPr>
              <w:t>-4</w:t>
            </w:r>
            <w:r w:rsidR="0092450C">
              <w:rPr>
                <w:rFonts w:eastAsia="Times New Roman"/>
                <w:sz w:val="24"/>
                <w:szCs w:val="24"/>
                <w:lang w:eastAsia="lv-LV"/>
              </w:rPr>
              <w:t>30 797</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C56B44" w14:textId="4D2BC566" w:rsidR="00484362" w:rsidRPr="005668E7" w:rsidRDefault="005668E7" w:rsidP="000439EF">
            <w:pPr>
              <w:spacing w:line="240" w:lineRule="auto"/>
              <w:ind w:firstLine="0"/>
              <w:jc w:val="center"/>
              <w:rPr>
                <w:rFonts w:eastAsia="Times New Roman"/>
                <w:sz w:val="24"/>
                <w:szCs w:val="24"/>
                <w:lang w:eastAsia="lv-LV"/>
              </w:rPr>
            </w:pPr>
            <w:r>
              <w:rPr>
                <w:rFonts w:eastAsia="Times New Roman"/>
                <w:sz w:val="24"/>
                <w:szCs w:val="24"/>
                <w:lang w:eastAsia="lv-LV"/>
              </w:rPr>
              <w:t>0</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B0C74C" w14:textId="6DE0A2E4" w:rsidR="00484362" w:rsidRPr="005668E7" w:rsidRDefault="00860458" w:rsidP="000439EF">
            <w:pPr>
              <w:spacing w:line="240" w:lineRule="auto"/>
              <w:ind w:firstLine="0"/>
              <w:jc w:val="center"/>
              <w:rPr>
                <w:rFonts w:eastAsia="Times New Roman"/>
                <w:sz w:val="24"/>
                <w:szCs w:val="24"/>
                <w:lang w:eastAsia="lv-LV"/>
              </w:rPr>
            </w:pPr>
            <w:r w:rsidRPr="00860458">
              <w:rPr>
                <w:rFonts w:eastAsia="Times New Roman"/>
                <w:sz w:val="24"/>
                <w:szCs w:val="24"/>
                <w:lang w:eastAsia="lv-LV"/>
              </w:rPr>
              <w:t>-</w:t>
            </w:r>
            <w:r w:rsidR="0092450C">
              <w:rPr>
                <w:rFonts w:eastAsia="Times New Roman"/>
                <w:sz w:val="24"/>
                <w:szCs w:val="24"/>
                <w:lang w:eastAsia="lv-LV"/>
              </w:rPr>
              <w:t>602</w:t>
            </w:r>
            <w:r>
              <w:rPr>
                <w:rFonts w:eastAsia="Times New Roman"/>
                <w:sz w:val="24"/>
                <w:szCs w:val="24"/>
                <w:lang w:eastAsia="lv-LV"/>
              </w:rPr>
              <w:t> </w:t>
            </w:r>
            <w:r w:rsidR="0092450C">
              <w:rPr>
                <w:rFonts w:eastAsia="Times New Roman"/>
                <w:sz w:val="24"/>
                <w:szCs w:val="24"/>
                <w:lang w:eastAsia="lv-LV"/>
              </w:rPr>
              <w:t>928</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DAA646" w14:textId="4DDDA36D" w:rsidR="00484362" w:rsidRPr="005668E7" w:rsidRDefault="00860458" w:rsidP="000439EF">
            <w:pPr>
              <w:spacing w:line="240" w:lineRule="auto"/>
              <w:ind w:firstLine="0"/>
              <w:jc w:val="center"/>
              <w:rPr>
                <w:rFonts w:eastAsia="Times New Roman"/>
                <w:sz w:val="24"/>
                <w:szCs w:val="24"/>
                <w:lang w:eastAsia="lv-LV"/>
              </w:rPr>
            </w:pPr>
            <w:r w:rsidRPr="00860458">
              <w:rPr>
                <w:rFonts w:eastAsia="Times New Roman"/>
                <w:sz w:val="24"/>
                <w:szCs w:val="24"/>
                <w:lang w:eastAsia="lv-LV"/>
              </w:rPr>
              <w:t>-</w:t>
            </w:r>
            <w:r w:rsidR="0092450C">
              <w:rPr>
                <w:rFonts w:eastAsia="Times New Roman"/>
                <w:sz w:val="24"/>
                <w:szCs w:val="24"/>
                <w:lang w:eastAsia="lv-LV"/>
              </w:rPr>
              <w:t>674</w:t>
            </w:r>
            <w:r>
              <w:rPr>
                <w:rFonts w:eastAsia="Times New Roman"/>
                <w:sz w:val="24"/>
                <w:szCs w:val="24"/>
                <w:lang w:eastAsia="lv-LV"/>
              </w:rPr>
              <w:t> </w:t>
            </w:r>
            <w:r w:rsidRPr="00860458">
              <w:rPr>
                <w:rFonts w:eastAsia="Times New Roman"/>
                <w:sz w:val="24"/>
                <w:szCs w:val="24"/>
                <w:lang w:eastAsia="lv-LV"/>
              </w:rPr>
              <w:t>7</w:t>
            </w:r>
            <w:r w:rsidR="0092450C">
              <w:rPr>
                <w:rFonts w:eastAsia="Times New Roman"/>
                <w:sz w:val="24"/>
                <w:szCs w:val="24"/>
                <w:lang w:eastAsia="lv-LV"/>
              </w:rPr>
              <w:t>6</w:t>
            </w:r>
            <w:r w:rsidRPr="00860458">
              <w:rPr>
                <w:rFonts w:eastAsia="Times New Roman"/>
                <w:sz w:val="24"/>
                <w:szCs w:val="24"/>
                <w:lang w:eastAsia="lv-LV"/>
              </w:rPr>
              <w:t>3</w:t>
            </w:r>
          </w:p>
        </w:tc>
      </w:tr>
      <w:tr w:rsidR="005668E7" w:rsidRPr="005668E7" w14:paraId="591E5F8A"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316C36A7"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2.2. valsts speciālais 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796EA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95AE5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4D2A1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55D92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8788A9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6A2331"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D4F095"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5C96BD36"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7D44220C"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2.3. pašvaldību 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DB1C4C"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D965D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2538A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FB646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48191E"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1F848D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107CF5"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4AFA3786"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1DE5A446"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3. Finansiālā ietekme</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DDBDB3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676636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6D0B27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F5AB08E"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5341C1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2581E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8F570EF"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45B8319F"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7C30DA15"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3.1. valsts pamatbudžets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2B3FA0" w14:textId="33A6F516"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34E1D4" w14:textId="637C87CB" w:rsidR="00484362" w:rsidRPr="005668E7" w:rsidRDefault="00955439" w:rsidP="000439EF">
            <w:pPr>
              <w:spacing w:line="240" w:lineRule="auto"/>
              <w:ind w:firstLine="0"/>
              <w:jc w:val="center"/>
              <w:rPr>
                <w:rFonts w:eastAsia="Times New Roman"/>
                <w:sz w:val="24"/>
                <w:szCs w:val="24"/>
                <w:lang w:eastAsia="lv-LV"/>
              </w:rPr>
            </w:pPr>
            <w:r w:rsidRPr="00955439">
              <w:rPr>
                <w:rFonts w:eastAsia="Times New Roman"/>
                <w:sz w:val="24"/>
                <w:szCs w:val="24"/>
                <w:lang w:eastAsia="lv-LV"/>
              </w:rPr>
              <w:t>-212</w:t>
            </w:r>
            <w:r>
              <w:rPr>
                <w:rFonts w:eastAsia="Times New Roman"/>
                <w:sz w:val="24"/>
                <w:szCs w:val="24"/>
                <w:lang w:eastAsia="lv-LV"/>
              </w:rPr>
              <w:t> </w:t>
            </w:r>
            <w:r w:rsidRPr="00955439">
              <w:rPr>
                <w:rFonts w:eastAsia="Times New Roman"/>
                <w:sz w:val="24"/>
                <w:szCs w:val="24"/>
                <w:lang w:eastAsia="lv-LV"/>
              </w:rPr>
              <w:t>369</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C8298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ED092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84644C"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108969E"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1871186" w14:textId="77777777" w:rsidR="00484362" w:rsidRPr="005668E7" w:rsidRDefault="00484362" w:rsidP="000439EF">
            <w:pPr>
              <w:spacing w:before="240"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4E66AD24"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465488D6"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3.2. speciālais 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125F0C"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D51904"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2D772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40348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2C35E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11B9E8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9C835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15365EB9"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540D1B70"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3.3. pašvaldību budžets</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E27DF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07444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D204B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0BECE6"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8BF62C"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6F9574"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C5681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222659A6"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61DC8D10"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4. Finanšu līdzekļi papildu izdevumu finansēšanai (kompensējošu izdevumu samazinājumu norāda ar "+" zīmi)</w:t>
            </w:r>
          </w:p>
        </w:tc>
        <w:tc>
          <w:tcPr>
            <w:tcW w:w="50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51C7EF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3EE57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4F651D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8AD5FE4"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E44AB0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623FC1"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348D87"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2B12F2AB"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3449F478"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5. Precizēta finansiālā ietekme</w:t>
            </w:r>
          </w:p>
        </w:tc>
        <w:tc>
          <w:tcPr>
            <w:tcW w:w="503"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347E2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CD880D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484"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D3E72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570F8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FC1B91"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4BA5BE0"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635DD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4715DB11"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10F45880"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8F3D9D4" w14:textId="77777777" w:rsidR="00484362" w:rsidRPr="005668E7" w:rsidRDefault="00484362" w:rsidP="00484362">
            <w:pPr>
              <w:spacing w:line="240" w:lineRule="auto"/>
              <w:ind w:firstLine="0"/>
              <w:jc w:val="left"/>
              <w:rPr>
                <w:rFonts w:eastAsia="Times New Roman"/>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DF85DC1"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C317063" w14:textId="77777777" w:rsidR="00484362" w:rsidRPr="005668E7" w:rsidRDefault="00484362" w:rsidP="00484362">
            <w:pPr>
              <w:spacing w:line="240" w:lineRule="auto"/>
              <w:ind w:firstLine="0"/>
              <w:jc w:val="left"/>
              <w:rPr>
                <w:rFonts w:eastAsia="Times New Roman"/>
                <w:sz w:val="24"/>
                <w:szCs w:val="24"/>
                <w:lang w:eastAsia="lv-LV"/>
              </w:rPr>
            </w:pP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FB12D1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B1B2B10" w14:textId="77777777" w:rsidR="00484362" w:rsidRPr="005668E7" w:rsidRDefault="00484362" w:rsidP="00484362">
            <w:pPr>
              <w:spacing w:line="240" w:lineRule="auto"/>
              <w:ind w:firstLine="0"/>
              <w:jc w:val="left"/>
              <w:rPr>
                <w:rFonts w:eastAsia="Times New Roman"/>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C4FD3A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76F15A"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7D8864B7"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2C81FF0F"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2229ACC" w14:textId="77777777" w:rsidR="00484362" w:rsidRPr="005668E7" w:rsidRDefault="00484362" w:rsidP="00484362">
            <w:pPr>
              <w:spacing w:line="240" w:lineRule="auto"/>
              <w:ind w:firstLine="0"/>
              <w:jc w:val="left"/>
              <w:rPr>
                <w:rFonts w:eastAsia="Times New Roman"/>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994E5D"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601FDA" w14:textId="77777777" w:rsidR="00484362" w:rsidRPr="005668E7" w:rsidRDefault="00484362" w:rsidP="00484362">
            <w:pPr>
              <w:spacing w:line="240" w:lineRule="auto"/>
              <w:ind w:firstLine="0"/>
              <w:jc w:val="left"/>
              <w:rPr>
                <w:rFonts w:eastAsia="Times New Roman"/>
                <w:sz w:val="24"/>
                <w:szCs w:val="24"/>
                <w:lang w:eastAsia="lv-LV"/>
              </w:rPr>
            </w:pP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B2AE69"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D9BF2B" w14:textId="77777777" w:rsidR="00484362" w:rsidRPr="005668E7" w:rsidRDefault="00484362" w:rsidP="00484362">
            <w:pPr>
              <w:spacing w:line="240" w:lineRule="auto"/>
              <w:ind w:firstLine="0"/>
              <w:jc w:val="left"/>
              <w:rPr>
                <w:rFonts w:eastAsia="Times New Roman"/>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87CA56"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6A068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4DC9ACB7"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748CC939"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107C94" w14:textId="77777777" w:rsidR="00484362" w:rsidRPr="005668E7" w:rsidRDefault="00484362" w:rsidP="00484362">
            <w:pPr>
              <w:spacing w:line="240" w:lineRule="auto"/>
              <w:ind w:firstLine="0"/>
              <w:jc w:val="left"/>
              <w:rPr>
                <w:rFonts w:eastAsia="Times New Roman"/>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B8810C3"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F7B7E4" w14:textId="77777777" w:rsidR="00484362" w:rsidRPr="005668E7" w:rsidRDefault="00484362" w:rsidP="00484362">
            <w:pPr>
              <w:spacing w:line="240" w:lineRule="auto"/>
              <w:ind w:firstLine="0"/>
              <w:jc w:val="left"/>
              <w:rPr>
                <w:rFonts w:eastAsia="Times New Roman"/>
                <w:sz w:val="24"/>
                <w:szCs w:val="24"/>
                <w:lang w:eastAsia="lv-LV"/>
              </w:rPr>
            </w:pPr>
          </w:p>
        </w:tc>
        <w:tc>
          <w:tcPr>
            <w:tcW w:w="5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56A8BB"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568"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93CDFF" w14:textId="77777777" w:rsidR="00484362" w:rsidRPr="005668E7" w:rsidRDefault="00484362" w:rsidP="00484362">
            <w:pPr>
              <w:spacing w:line="240" w:lineRule="auto"/>
              <w:ind w:firstLine="0"/>
              <w:jc w:val="left"/>
              <w:rPr>
                <w:rFonts w:eastAsia="Times New Roman"/>
                <w:sz w:val="24"/>
                <w:szCs w:val="24"/>
                <w:lang w:eastAsia="lv-LV"/>
              </w:rPr>
            </w:pPr>
          </w:p>
        </w:tc>
        <w:tc>
          <w:tcPr>
            <w:tcW w:w="55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529518"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c>
          <w:tcPr>
            <w:tcW w:w="73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62E6AF2" w14:textId="77777777"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p>
        </w:tc>
      </w:tr>
      <w:tr w:rsidR="005668E7" w:rsidRPr="005668E7" w14:paraId="52915573"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4CF3CA69"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lastRenderedPageBreak/>
              <w:t>6. Detalizēts ieņēmumu un izdevumu aprēķins (ja nepieciešams, detalizētu ieņēmumu un izdevumu aprēķinu var pievienot anotācijas pielikumā)</w:t>
            </w:r>
          </w:p>
        </w:tc>
        <w:tc>
          <w:tcPr>
            <w:tcW w:w="3956"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A9077E" w14:textId="1F31A14A" w:rsidR="00484362" w:rsidRPr="005668E7" w:rsidRDefault="00484362" w:rsidP="00484362">
            <w:pPr>
              <w:spacing w:line="240" w:lineRule="auto"/>
              <w:ind w:firstLine="0"/>
              <w:jc w:val="left"/>
              <w:rPr>
                <w:rFonts w:eastAsia="Times New Roman"/>
                <w:sz w:val="24"/>
                <w:szCs w:val="24"/>
                <w:lang w:eastAsia="lv-LV"/>
              </w:rPr>
            </w:pPr>
            <w:r w:rsidRPr="005668E7">
              <w:rPr>
                <w:rFonts w:eastAsia="Times New Roman"/>
                <w:sz w:val="24"/>
                <w:szCs w:val="24"/>
                <w:lang w:eastAsia="lv-LV"/>
              </w:rPr>
              <w:t> </w:t>
            </w:r>
            <w:r w:rsidR="00D16F48">
              <w:rPr>
                <w:rFonts w:eastAsia="Times New Roman"/>
                <w:sz w:val="24"/>
                <w:szCs w:val="24"/>
                <w:lang w:eastAsia="lv-LV"/>
              </w:rPr>
              <w:t>D</w:t>
            </w:r>
            <w:r w:rsidR="00D16F48" w:rsidRPr="00D16F48">
              <w:rPr>
                <w:rFonts w:eastAsia="Times New Roman"/>
                <w:sz w:val="24"/>
                <w:szCs w:val="24"/>
                <w:lang w:eastAsia="lv-LV"/>
              </w:rPr>
              <w:t>etalizēt</w:t>
            </w:r>
            <w:r w:rsidR="00D16F48">
              <w:rPr>
                <w:rFonts w:eastAsia="Times New Roman"/>
                <w:sz w:val="24"/>
                <w:szCs w:val="24"/>
                <w:lang w:eastAsia="lv-LV"/>
              </w:rPr>
              <w:t>s</w:t>
            </w:r>
            <w:r w:rsidR="00D16F48" w:rsidRPr="00D16F48">
              <w:rPr>
                <w:rFonts w:eastAsia="Times New Roman"/>
                <w:sz w:val="24"/>
                <w:szCs w:val="24"/>
                <w:lang w:eastAsia="lv-LV"/>
              </w:rPr>
              <w:t xml:space="preserve"> ieņēmumu un izdevumu aprēķin</w:t>
            </w:r>
            <w:r w:rsidR="00D16F48">
              <w:rPr>
                <w:rFonts w:eastAsia="Times New Roman"/>
                <w:sz w:val="24"/>
                <w:szCs w:val="24"/>
                <w:lang w:eastAsia="lv-LV"/>
              </w:rPr>
              <w:t>s</w:t>
            </w:r>
            <w:r w:rsidR="00D16F48" w:rsidRPr="00D16F48">
              <w:rPr>
                <w:rFonts w:eastAsia="Times New Roman"/>
                <w:sz w:val="24"/>
                <w:szCs w:val="24"/>
                <w:lang w:eastAsia="lv-LV"/>
              </w:rPr>
              <w:t xml:space="preserve"> </w:t>
            </w:r>
            <w:r w:rsidR="002B7116">
              <w:rPr>
                <w:rFonts w:eastAsia="Times New Roman"/>
                <w:sz w:val="24"/>
                <w:szCs w:val="24"/>
                <w:lang w:eastAsia="lv-LV"/>
              </w:rPr>
              <w:t xml:space="preserve">ir </w:t>
            </w:r>
            <w:r w:rsidR="00D16F48" w:rsidRPr="00D16F48">
              <w:rPr>
                <w:rFonts w:eastAsia="Times New Roman"/>
                <w:sz w:val="24"/>
                <w:szCs w:val="24"/>
                <w:lang w:eastAsia="lv-LV"/>
              </w:rPr>
              <w:t>anotācijas pielikumā</w:t>
            </w:r>
            <w:r w:rsidR="002B7116">
              <w:rPr>
                <w:rFonts w:eastAsia="Times New Roman"/>
                <w:sz w:val="24"/>
                <w:szCs w:val="24"/>
                <w:lang w:eastAsia="lv-LV"/>
              </w:rPr>
              <w:t xml:space="preserve"> - “</w:t>
            </w:r>
            <w:r w:rsidR="002B7116" w:rsidRPr="002B7116">
              <w:rPr>
                <w:rFonts w:eastAsia="Times New Roman"/>
                <w:sz w:val="24"/>
                <w:szCs w:val="24"/>
                <w:lang w:eastAsia="lv-LV"/>
              </w:rPr>
              <w:t>ETL uzlādes infrastruktūras uzturēšanas pašizmaksas aprēķins</w:t>
            </w:r>
            <w:r w:rsidR="002B7116">
              <w:rPr>
                <w:rFonts w:eastAsia="Times New Roman"/>
                <w:sz w:val="24"/>
                <w:szCs w:val="24"/>
                <w:lang w:eastAsia="lv-LV"/>
              </w:rPr>
              <w:t>”.</w:t>
            </w:r>
          </w:p>
        </w:tc>
      </w:tr>
      <w:tr w:rsidR="005668E7" w:rsidRPr="005668E7" w14:paraId="0E9B4CD1"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2C87ED1A"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6.1. detalizēts ieņēmumu aprēķins</w:t>
            </w:r>
          </w:p>
        </w:tc>
        <w:tc>
          <w:tcPr>
            <w:tcW w:w="3956" w:type="pct"/>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9FCD7E" w14:textId="77777777" w:rsidR="00484362" w:rsidRPr="000439EF" w:rsidRDefault="00484362" w:rsidP="00484362">
            <w:pPr>
              <w:spacing w:line="240" w:lineRule="auto"/>
              <w:ind w:firstLine="0"/>
              <w:jc w:val="left"/>
              <w:rPr>
                <w:rFonts w:eastAsia="Times New Roman"/>
                <w:sz w:val="24"/>
                <w:szCs w:val="24"/>
                <w:lang w:eastAsia="lv-LV"/>
              </w:rPr>
            </w:pPr>
          </w:p>
        </w:tc>
      </w:tr>
      <w:tr w:rsidR="005668E7" w:rsidRPr="005668E7" w14:paraId="1F8CF018"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76DEB315"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6.2. detalizēts izdevumu aprēķins</w:t>
            </w:r>
          </w:p>
        </w:tc>
        <w:tc>
          <w:tcPr>
            <w:tcW w:w="3956" w:type="pct"/>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891F91" w14:textId="77777777" w:rsidR="00484362" w:rsidRPr="000439EF" w:rsidRDefault="00484362" w:rsidP="00484362">
            <w:pPr>
              <w:spacing w:line="240" w:lineRule="auto"/>
              <w:ind w:firstLine="0"/>
              <w:jc w:val="left"/>
              <w:rPr>
                <w:rFonts w:eastAsia="Times New Roman"/>
                <w:sz w:val="24"/>
                <w:szCs w:val="24"/>
                <w:lang w:eastAsia="lv-LV"/>
              </w:rPr>
            </w:pPr>
          </w:p>
        </w:tc>
      </w:tr>
      <w:tr w:rsidR="005668E7" w:rsidRPr="005668E7" w14:paraId="07DF53C4"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7CE38A34" w14:textId="77C0FEC9" w:rsidR="00484362" w:rsidRPr="00996F00" w:rsidRDefault="00484362" w:rsidP="00484362">
            <w:pPr>
              <w:spacing w:line="240" w:lineRule="auto"/>
              <w:ind w:firstLine="0"/>
              <w:jc w:val="left"/>
              <w:rPr>
                <w:rFonts w:eastAsia="Times New Roman"/>
                <w:color w:val="414142"/>
                <w:sz w:val="24"/>
                <w:szCs w:val="24"/>
                <w:lang w:eastAsia="lv-LV"/>
              </w:rPr>
            </w:pPr>
            <w:bookmarkStart w:id="3" w:name="_Hlk514759241"/>
            <w:r w:rsidRPr="00996F00">
              <w:rPr>
                <w:rFonts w:eastAsia="Times New Roman"/>
                <w:color w:val="414142"/>
                <w:sz w:val="24"/>
                <w:szCs w:val="24"/>
                <w:lang w:eastAsia="lv-LV"/>
              </w:rPr>
              <w:t>7. Amata vietu skaita izmaiņas</w:t>
            </w:r>
            <w:bookmarkEnd w:id="3"/>
          </w:p>
        </w:tc>
        <w:tc>
          <w:tcPr>
            <w:tcW w:w="3956"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4039E3A7" w14:textId="63AE70F9" w:rsidR="00484362" w:rsidRPr="005668E7" w:rsidRDefault="005668E7" w:rsidP="00484362">
            <w:pPr>
              <w:spacing w:line="240" w:lineRule="auto"/>
              <w:ind w:firstLine="0"/>
              <w:jc w:val="left"/>
              <w:rPr>
                <w:rFonts w:eastAsia="Times New Roman"/>
                <w:sz w:val="24"/>
                <w:szCs w:val="24"/>
                <w:lang w:eastAsia="lv-LV"/>
              </w:rPr>
            </w:pPr>
            <w:r>
              <w:rPr>
                <w:rFonts w:eastAsia="Times New Roman"/>
                <w:sz w:val="24"/>
                <w:szCs w:val="24"/>
                <w:lang w:eastAsia="lv-LV"/>
              </w:rPr>
              <w:t>Projekts šo jomu neskar</w:t>
            </w:r>
            <w:r w:rsidR="00D815F3">
              <w:rPr>
                <w:rFonts w:eastAsia="Times New Roman"/>
                <w:sz w:val="24"/>
                <w:szCs w:val="24"/>
                <w:lang w:eastAsia="lv-LV"/>
              </w:rPr>
              <w:t>.</w:t>
            </w:r>
          </w:p>
        </w:tc>
      </w:tr>
      <w:tr w:rsidR="005668E7" w:rsidRPr="005668E7" w14:paraId="0D25D701" w14:textId="77777777" w:rsidTr="00811322">
        <w:tc>
          <w:tcPr>
            <w:tcW w:w="1044" w:type="pct"/>
            <w:tcBorders>
              <w:top w:val="outset" w:sz="6" w:space="0" w:color="414142"/>
              <w:left w:val="outset" w:sz="6" w:space="0" w:color="414142"/>
              <w:bottom w:val="outset" w:sz="6" w:space="0" w:color="414142"/>
              <w:right w:val="outset" w:sz="6" w:space="0" w:color="414142"/>
            </w:tcBorders>
            <w:shd w:val="clear" w:color="auto" w:fill="auto"/>
            <w:hideMark/>
          </w:tcPr>
          <w:p w14:paraId="1D9D2E5E" w14:textId="77777777" w:rsidR="00484362" w:rsidRPr="00996F00" w:rsidRDefault="00484362" w:rsidP="00484362">
            <w:pPr>
              <w:spacing w:line="240" w:lineRule="auto"/>
              <w:ind w:firstLine="0"/>
              <w:jc w:val="left"/>
              <w:rPr>
                <w:rFonts w:eastAsia="Times New Roman"/>
                <w:color w:val="414142"/>
                <w:sz w:val="24"/>
                <w:szCs w:val="24"/>
                <w:lang w:eastAsia="lv-LV"/>
              </w:rPr>
            </w:pPr>
            <w:r w:rsidRPr="00996F00">
              <w:rPr>
                <w:rFonts w:eastAsia="Times New Roman"/>
                <w:color w:val="414142"/>
                <w:sz w:val="24"/>
                <w:szCs w:val="24"/>
                <w:lang w:eastAsia="lv-LV"/>
              </w:rPr>
              <w:t>8. Cita informācija</w:t>
            </w:r>
          </w:p>
        </w:tc>
        <w:tc>
          <w:tcPr>
            <w:tcW w:w="3956"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32088D6A" w14:textId="0E8920E0" w:rsidR="006B7E23" w:rsidRPr="005668E7" w:rsidRDefault="00D16F48" w:rsidP="00484362">
            <w:pPr>
              <w:spacing w:line="240" w:lineRule="auto"/>
              <w:ind w:firstLine="0"/>
              <w:jc w:val="left"/>
              <w:rPr>
                <w:rFonts w:eastAsia="Times New Roman"/>
                <w:sz w:val="24"/>
                <w:szCs w:val="24"/>
                <w:lang w:eastAsia="lv-LV"/>
              </w:rPr>
            </w:pPr>
            <w:r w:rsidRPr="00D16F48">
              <w:rPr>
                <w:rFonts w:eastAsia="Times New Roman"/>
                <w:sz w:val="24"/>
                <w:szCs w:val="24"/>
                <w:lang w:eastAsia="lv-LV"/>
              </w:rPr>
              <w:t>Satiksmes ministrija</w:t>
            </w:r>
            <w:r w:rsidR="005D78C2">
              <w:rPr>
                <w:rFonts w:eastAsia="Times New Roman"/>
                <w:sz w:val="24"/>
                <w:szCs w:val="24"/>
                <w:lang w:eastAsia="lv-LV"/>
              </w:rPr>
              <w:t>,</w:t>
            </w:r>
            <w:r w:rsidRPr="00D16F48">
              <w:rPr>
                <w:rFonts w:eastAsia="Times New Roman"/>
                <w:sz w:val="24"/>
                <w:szCs w:val="24"/>
                <w:lang w:eastAsia="lv-LV"/>
              </w:rPr>
              <w:t xml:space="preserve"> kā Darbības programmas “Izaugsme un nodarbinātība” 4.4.1.specifiskā atbalsta mērķa “Attīstīt ETL uzlādes infrastruktūru Latvijā” projekta iesniedzēja un finansējuma saņēmēja normatīvajos aktos noteiktajā kārtībā pieprasīs valsts budžeta finansējumu, lai pilnībā nodrošinātu projekta rezultātu uzturēšanu.</w:t>
            </w:r>
          </w:p>
        </w:tc>
      </w:tr>
    </w:tbl>
    <w:p w14:paraId="1405836B" w14:textId="77777777" w:rsidR="00D815F3" w:rsidRDefault="00484362" w:rsidP="00820313">
      <w:pPr>
        <w:spacing w:after="120" w:line="240" w:lineRule="auto"/>
        <w:ind w:firstLine="0"/>
        <w:jc w:val="left"/>
        <w:rPr>
          <w:rFonts w:ascii="Arial" w:eastAsia="Times New Roman" w:hAnsi="Arial" w:cs="Arial"/>
          <w:color w:val="414142"/>
          <w:sz w:val="24"/>
          <w:szCs w:val="24"/>
          <w:lang w:eastAsia="lv-LV"/>
        </w:rPr>
      </w:pPr>
      <w:r w:rsidRPr="00484362">
        <w:rPr>
          <w:rFonts w:ascii="Arial" w:eastAsia="Times New Roman" w:hAnsi="Arial" w:cs="Arial"/>
          <w:color w:val="414142"/>
          <w:sz w:val="24"/>
          <w:szCs w:val="24"/>
          <w:lang w:eastAsia="lv-LV"/>
        </w:rPr>
        <w:t> </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815F3" w:rsidRPr="00C66FB8" w14:paraId="42E727B0" w14:textId="77777777" w:rsidTr="000B422B">
        <w:tc>
          <w:tcPr>
            <w:tcW w:w="9781" w:type="dxa"/>
            <w:shd w:val="clear" w:color="auto" w:fill="auto"/>
          </w:tcPr>
          <w:p w14:paraId="328F6A20" w14:textId="77777777" w:rsidR="00D815F3" w:rsidRPr="00C66FB8" w:rsidRDefault="00D815F3" w:rsidP="000B422B">
            <w:pPr>
              <w:spacing w:line="240" w:lineRule="auto"/>
              <w:ind w:firstLine="0"/>
              <w:jc w:val="center"/>
              <w:rPr>
                <w:b/>
                <w:bCs/>
                <w:color w:val="000000"/>
                <w:sz w:val="24"/>
                <w:szCs w:val="24"/>
                <w:shd w:val="clear" w:color="auto" w:fill="FFFFFF"/>
              </w:rPr>
            </w:pPr>
            <w:r w:rsidRPr="00C66FB8">
              <w:rPr>
                <w:b/>
                <w:bCs/>
                <w:color w:val="000000"/>
                <w:sz w:val="24"/>
                <w:szCs w:val="24"/>
                <w:shd w:val="clear" w:color="auto" w:fill="FFFFFF"/>
              </w:rPr>
              <w:t>IV. Tiesību akta projekta ietekme uz spēkā esošo tiesību normu sistēmu</w:t>
            </w:r>
          </w:p>
        </w:tc>
      </w:tr>
      <w:tr w:rsidR="00D815F3" w:rsidRPr="00C66FB8" w14:paraId="1511A1FB" w14:textId="77777777" w:rsidTr="000B422B">
        <w:tc>
          <w:tcPr>
            <w:tcW w:w="9781" w:type="dxa"/>
            <w:shd w:val="clear" w:color="auto" w:fill="auto"/>
          </w:tcPr>
          <w:p w14:paraId="38EA7184" w14:textId="716BAAE4" w:rsidR="00D815F3" w:rsidRPr="00C66FB8" w:rsidRDefault="00D815F3" w:rsidP="000B422B">
            <w:pPr>
              <w:spacing w:line="240" w:lineRule="auto"/>
              <w:ind w:firstLine="0"/>
              <w:jc w:val="center"/>
              <w:rPr>
                <w:b/>
                <w:bCs/>
                <w:color w:val="000000"/>
                <w:sz w:val="24"/>
                <w:szCs w:val="24"/>
                <w:shd w:val="clear" w:color="auto" w:fill="FFFFFF"/>
              </w:rPr>
            </w:pPr>
            <w:r w:rsidRPr="00C66FB8">
              <w:rPr>
                <w:rFonts w:eastAsia="Times New Roman"/>
                <w:color w:val="000000"/>
                <w:sz w:val="24"/>
                <w:szCs w:val="24"/>
              </w:rPr>
              <w:t>Projekts šo jomu neskar</w:t>
            </w:r>
            <w:r>
              <w:rPr>
                <w:rFonts w:eastAsia="Times New Roman"/>
                <w:color w:val="000000"/>
                <w:sz w:val="24"/>
                <w:szCs w:val="24"/>
              </w:rPr>
              <w:t>.</w:t>
            </w:r>
          </w:p>
        </w:tc>
      </w:tr>
    </w:tbl>
    <w:p w14:paraId="34D21B9C" w14:textId="77777777" w:rsidR="00D815F3" w:rsidDel="00820313" w:rsidRDefault="00D815F3" w:rsidP="00820313">
      <w:pPr>
        <w:spacing w:after="120" w:line="240" w:lineRule="auto"/>
        <w:ind w:firstLine="0"/>
        <w:jc w:val="left"/>
        <w:rPr>
          <w:rFonts w:eastAsia="Times New Roman"/>
          <w:sz w:val="24"/>
          <w:szCs w:val="24"/>
          <w:lang w:eastAsia="lv-LV"/>
        </w:rPr>
      </w:pPr>
    </w:p>
    <w:tbl>
      <w:tblPr>
        <w:tblW w:w="9781" w:type="dxa"/>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
        <w:gridCol w:w="2818"/>
        <w:gridCol w:w="6459"/>
      </w:tblGrid>
      <w:tr w:rsidR="005668E7" w:rsidRPr="005668E7" w14:paraId="155D6AD5" w14:textId="77777777" w:rsidTr="00D815F3">
        <w:tc>
          <w:tcPr>
            <w:tcW w:w="9781" w:type="dxa"/>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B65811" w14:textId="77777777" w:rsidR="0011249D" w:rsidRPr="005668E7" w:rsidRDefault="0011249D" w:rsidP="0011249D">
            <w:pPr>
              <w:spacing w:before="100" w:beforeAutospacing="1" w:line="300" w:lineRule="atLeast"/>
              <w:ind w:firstLine="0"/>
              <w:jc w:val="center"/>
              <w:rPr>
                <w:rFonts w:eastAsia="Times New Roman"/>
                <w:b/>
                <w:bCs/>
                <w:sz w:val="24"/>
                <w:szCs w:val="24"/>
                <w:lang w:eastAsia="lv-LV"/>
              </w:rPr>
            </w:pPr>
            <w:r w:rsidRPr="005668E7">
              <w:rPr>
                <w:rFonts w:eastAsia="Times New Roman"/>
                <w:b/>
                <w:bCs/>
                <w:sz w:val="24"/>
                <w:szCs w:val="24"/>
                <w:lang w:eastAsia="lv-LV"/>
              </w:rPr>
              <w:t>V. Tiesību akta projekta atbilstība Latvijas Republikas starptautiskajām saistībām</w:t>
            </w:r>
          </w:p>
        </w:tc>
      </w:tr>
      <w:tr w:rsidR="005668E7" w:rsidRPr="005668E7" w14:paraId="32518823" w14:textId="77777777" w:rsidTr="00D815F3">
        <w:tc>
          <w:tcPr>
            <w:tcW w:w="504" w:type="dxa"/>
            <w:tcBorders>
              <w:top w:val="outset" w:sz="6" w:space="0" w:color="414142"/>
              <w:left w:val="outset" w:sz="6" w:space="0" w:color="414142"/>
              <w:bottom w:val="outset" w:sz="6" w:space="0" w:color="414142"/>
              <w:right w:val="outset" w:sz="6" w:space="0" w:color="414142"/>
            </w:tcBorders>
            <w:shd w:val="clear" w:color="auto" w:fill="auto"/>
            <w:hideMark/>
          </w:tcPr>
          <w:p w14:paraId="3BD81B03"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1.</w:t>
            </w:r>
          </w:p>
        </w:tc>
        <w:tc>
          <w:tcPr>
            <w:tcW w:w="2818" w:type="dxa"/>
            <w:tcBorders>
              <w:top w:val="outset" w:sz="6" w:space="0" w:color="414142"/>
              <w:left w:val="outset" w:sz="6" w:space="0" w:color="414142"/>
              <w:bottom w:val="outset" w:sz="6" w:space="0" w:color="414142"/>
              <w:right w:val="outset" w:sz="6" w:space="0" w:color="414142"/>
            </w:tcBorders>
            <w:shd w:val="clear" w:color="auto" w:fill="auto"/>
            <w:hideMark/>
          </w:tcPr>
          <w:p w14:paraId="6C910D51"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Saistības pret Eiropas Savienību</w:t>
            </w:r>
          </w:p>
        </w:tc>
        <w:tc>
          <w:tcPr>
            <w:tcW w:w="6459" w:type="dxa"/>
            <w:tcBorders>
              <w:top w:val="outset" w:sz="6" w:space="0" w:color="414142"/>
              <w:left w:val="outset" w:sz="6" w:space="0" w:color="414142"/>
              <w:bottom w:val="outset" w:sz="6" w:space="0" w:color="414142"/>
              <w:right w:val="outset" w:sz="6" w:space="0" w:color="414142"/>
            </w:tcBorders>
            <w:shd w:val="clear" w:color="auto" w:fill="auto"/>
            <w:hideMark/>
          </w:tcPr>
          <w:p w14:paraId="16AB5FF4" w14:textId="77777777" w:rsidR="00DB68E7" w:rsidRPr="005668E7" w:rsidRDefault="00CD26DC" w:rsidP="00A2064D">
            <w:pPr>
              <w:spacing w:line="240" w:lineRule="auto"/>
              <w:ind w:firstLine="0"/>
              <w:rPr>
                <w:rFonts w:eastAsia="Times New Roman"/>
                <w:sz w:val="24"/>
                <w:szCs w:val="24"/>
                <w:lang w:eastAsia="lv-LV"/>
              </w:rPr>
            </w:pPr>
            <w:r w:rsidRPr="005668E7">
              <w:rPr>
                <w:rFonts w:eastAsia="Times New Roman"/>
                <w:sz w:val="24"/>
                <w:szCs w:val="24"/>
                <w:lang w:eastAsia="lv-LV"/>
              </w:rPr>
              <w:t>Līguma par Eiropas Savienības darbību 107.panta 1.punkts</w:t>
            </w:r>
            <w:r w:rsidR="00DB68E7" w:rsidRPr="005668E7">
              <w:rPr>
                <w:rFonts w:eastAsia="Times New Roman"/>
                <w:sz w:val="24"/>
                <w:szCs w:val="24"/>
                <w:lang w:eastAsia="lv-LV"/>
              </w:rPr>
              <w:t xml:space="preserve"> nosaka pazīmes, kurām izpildītos finansējums, kuru piešķir no publiskajiem resursiem ir kvalificējams kā komercdarbības atbalsts.</w:t>
            </w:r>
          </w:p>
          <w:p w14:paraId="4E36D9C0" w14:textId="7BDB0833" w:rsidR="00DB68E7" w:rsidRPr="005668E7" w:rsidRDefault="001848C9" w:rsidP="00A2064D">
            <w:pPr>
              <w:spacing w:line="240" w:lineRule="auto"/>
              <w:ind w:firstLine="0"/>
              <w:rPr>
                <w:rFonts w:eastAsia="Times New Roman"/>
                <w:sz w:val="24"/>
                <w:szCs w:val="24"/>
                <w:lang w:eastAsia="lv-LV"/>
              </w:rPr>
            </w:pPr>
            <w:r w:rsidRPr="005668E7">
              <w:rPr>
                <w:rFonts w:eastAsia="Times New Roman"/>
                <w:sz w:val="24"/>
                <w:szCs w:val="24"/>
                <w:lang w:eastAsia="lv-LV"/>
              </w:rPr>
              <w:t>Saskaņā ar Eiropas Komisijas paziņojuma par Līguma par Eiropas Savienības darbību 107. panta 1. punktā minēto valsts atbalsta jēdzienu (2016/C 262/01) 17.punktā noteikto f</w:t>
            </w:r>
            <w:r w:rsidR="00DB68E7" w:rsidRPr="005668E7">
              <w:rPr>
                <w:rFonts w:eastAsia="Times New Roman"/>
                <w:sz w:val="24"/>
                <w:szCs w:val="24"/>
                <w:lang w:eastAsia="lv-LV"/>
              </w:rPr>
              <w:t xml:space="preserve">inansējums, kas paredzēts, lai segtu ar valsts pārvaldes funkciju saistītos izdevumus, nav kvalificējams kā komercdarbības atbalsts. </w:t>
            </w:r>
          </w:p>
          <w:p w14:paraId="13B8C45B" w14:textId="513CDD72" w:rsidR="00CD26DC" w:rsidRPr="005668E7" w:rsidRDefault="00DB68E7" w:rsidP="00A2064D">
            <w:pPr>
              <w:spacing w:line="240" w:lineRule="auto"/>
              <w:ind w:firstLine="0"/>
              <w:rPr>
                <w:rFonts w:eastAsia="Times New Roman"/>
                <w:sz w:val="24"/>
                <w:szCs w:val="24"/>
                <w:lang w:eastAsia="lv-LV"/>
              </w:rPr>
            </w:pPr>
            <w:r w:rsidRPr="005668E7">
              <w:rPr>
                <w:rFonts w:eastAsia="Times New Roman"/>
                <w:sz w:val="24"/>
                <w:szCs w:val="24"/>
                <w:lang w:eastAsia="lv-LV"/>
              </w:rPr>
              <w:t>Līdz ar to CSDD izdevum</w:t>
            </w:r>
            <w:r w:rsidR="00436222" w:rsidRPr="005668E7">
              <w:rPr>
                <w:rFonts w:eastAsia="Times New Roman"/>
                <w:sz w:val="24"/>
                <w:szCs w:val="24"/>
                <w:lang w:eastAsia="lv-LV"/>
              </w:rPr>
              <w:t>u segšana/ kompensēšana, kas</w:t>
            </w:r>
            <w:r w:rsidRPr="005668E7">
              <w:rPr>
                <w:rFonts w:eastAsia="Times New Roman"/>
                <w:sz w:val="24"/>
                <w:szCs w:val="24"/>
                <w:lang w:eastAsia="lv-LV"/>
              </w:rPr>
              <w:t xml:space="preserve"> saistīt</w:t>
            </w:r>
            <w:r w:rsidR="00436222" w:rsidRPr="005668E7">
              <w:rPr>
                <w:rFonts w:eastAsia="Times New Roman"/>
                <w:sz w:val="24"/>
                <w:szCs w:val="24"/>
                <w:lang w:eastAsia="lv-LV"/>
              </w:rPr>
              <w:t>a</w:t>
            </w:r>
            <w:r w:rsidRPr="005668E7">
              <w:rPr>
                <w:rFonts w:eastAsia="Times New Roman"/>
                <w:sz w:val="24"/>
                <w:szCs w:val="24"/>
                <w:lang w:eastAsia="lv-LV"/>
              </w:rPr>
              <w:t xml:space="preserve"> ar </w:t>
            </w:r>
            <w:r w:rsidR="00436222" w:rsidRPr="005668E7">
              <w:rPr>
                <w:rFonts w:eastAsia="Times New Roman"/>
                <w:sz w:val="24"/>
                <w:szCs w:val="24"/>
                <w:lang w:eastAsia="lv-LV"/>
              </w:rPr>
              <w:t xml:space="preserve">MK noteikumu Nr.242 5.24.apakšpunktā noteikto </w:t>
            </w:r>
            <w:r w:rsidRPr="005668E7">
              <w:rPr>
                <w:rFonts w:eastAsia="Times New Roman"/>
                <w:sz w:val="24"/>
                <w:szCs w:val="24"/>
                <w:lang w:eastAsia="lv-LV"/>
              </w:rPr>
              <w:t>valsts pārvaldes funkciju īste</w:t>
            </w:r>
            <w:r w:rsidR="00436222" w:rsidRPr="005668E7">
              <w:rPr>
                <w:rFonts w:eastAsia="Times New Roman"/>
                <w:sz w:val="24"/>
                <w:szCs w:val="24"/>
                <w:lang w:eastAsia="lv-LV"/>
              </w:rPr>
              <w:t>nošanu,</w:t>
            </w:r>
            <w:r w:rsidRPr="005668E7">
              <w:rPr>
                <w:rFonts w:eastAsia="Times New Roman"/>
                <w:sz w:val="24"/>
                <w:szCs w:val="24"/>
                <w:lang w:eastAsia="lv-LV"/>
              </w:rPr>
              <w:t xml:space="preserve"> nav kvalificējams kā komercdarbības atbalsts.   </w:t>
            </w:r>
          </w:p>
        </w:tc>
      </w:tr>
      <w:tr w:rsidR="005668E7" w:rsidRPr="005668E7" w14:paraId="1D2B7B9C" w14:textId="77777777" w:rsidTr="00D815F3">
        <w:tc>
          <w:tcPr>
            <w:tcW w:w="504" w:type="dxa"/>
            <w:tcBorders>
              <w:top w:val="outset" w:sz="6" w:space="0" w:color="414142"/>
              <w:left w:val="outset" w:sz="6" w:space="0" w:color="414142"/>
              <w:bottom w:val="outset" w:sz="6" w:space="0" w:color="414142"/>
              <w:right w:val="outset" w:sz="6" w:space="0" w:color="414142"/>
            </w:tcBorders>
            <w:shd w:val="clear" w:color="auto" w:fill="auto"/>
            <w:hideMark/>
          </w:tcPr>
          <w:p w14:paraId="7CE07F94"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2.</w:t>
            </w:r>
          </w:p>
        </w:tc>
        <w:tc>
          <w:tcPr>
            <w:tcW w:w="2818" w:type="dxa"/>
            <w:tcBorders>
              <w:top w:val="outset" w:sz="6" w:space="0" w:color="414142"/>
              <w:left w:val="outset" w:sz="6" w:space="0" w:color="414142"/>
              <w:bottom w:val="outset" w:sz="6" w:space="0" w:color="414142"/>
              <w:right w:val="outset" w:sz="6" w:space="0" w:color="414142"/>
            </w:tcBorders>
            <w:shd w:val="clear" w:color="auto" w:fill="auto"/>
            <w:hideMark/>
          </w:tcPr>
          <w:p w14:paraId="4B8B3AF0"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Citas starptautiskās saistības</w:t>
            </w:r>
          </w:p>
        </w:tc>
        <w:tc>
          <w:tcPr>
            <w:tcW w:w="6459" w:type="dxa"/>
            <w:tcBorders>
              <w:top w:val="outset" w:sz="6" w:space="0" w:color="414142"/>
              <w:left w:val="outset" w:sz="6" w:space="0" w:color="414142"/>
              <w:bottom w:val="outset" w:sz="6" w:space="0" w:color="414142"/>
              <w:right w:val="outset" w:sz="6" w:space="0" w:color="414142"/>
            </w:tcBorders>
            <w:shd w:val="clear" w:color="auto" w:fill="auto"/>
            <w:hideMark/>
          </w:tcPr>
          <w:p w14:paraId="3760F1DD" w14:textId="4A87D354" w:rsidR="0011249D" w:rsidRPr="005668E7" w:rsidRDefault="00487A42" w:rsidP="0011249D">
            <w:pPr>
              <w:spacing w:line="240" w:lineRule="auto"/>
              <w:ind w:firstLine="0"/>
              <w:jc w:val="left"/>
              <w:rPr>
                <w:rFonts w:eastAsia="Times New Roman"/>
                <w:sz w:val="24"/>
                <w:szCs w:val="24"/>
                <w:lang w:eastAsia="lv-LV"/>
              </w:rPr>
            </w:pPr>
            <w:r w:rsidRPr="00C66FB8">
              <w:rPr>
                <w:rFonts w:eastAsia="Times New Roman"/>
                <w:color w:val="000000"/>
                <w:sz w:val="24"/>
                <w:szCs w:val="24"/>
              </w:rPr>
              <w:t>Projekts šo jomu neskar</w:t>
            </w:r>
            <w:r w:rsidR="00D815F3">
              <w:rPr>
                <w:rFonts w:eastAsia="Times New Roman"/>
                <w:color w:val="000000"/>
                <w:sz w:val="24"/>
                <w:szCs w:val="24"/>
              </w:rPr>
              <w:t>.</w:t>
            </w:r>
          </w:p>
        </w:tc>
      </w:tr>
      <w:tr w:rsidR="005668E7" w:rsidRPr="005668E7" w14:paraId="5DA105F5" w14:textId="77777777" w:rsidTr="00D815F3">
        <w:tc>
          <w:tcPr>
            <w:tcW w:w="504" w:type="dxa"/>
            <w:tcBorders>
              <w:top w:val="outset" w:sz="6" w:space="0" w:color="414142"/>
              <w:left w:val="outset" w:sz="6" w:space="0" w:color="414142"/>
              <w:bottom w:val="outset" w:sz="6" w:space="0" w:color="414142"/>
              <w:right w:val="outset" w:sz="6" w:space="0" w:color="414142"/>
            </w:tcBorders>
            <w:shd w:val="clear" w:color="auto" w:fill="auto"/>
            <w:hideMark/>
          </w:tcPr>
          <w:p w14:paraId="2831DEB9"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3.</w:t>
            </w:r>
          </w:p>
        </w:tc>
        <w:tc>
          <w:tcPr>
            <w:tcW w:w="2818" w:type="dxa"/>
            <w:tcBorders>
              <w:top w:val="outset" w:sz="6" w:space="0" w:color="414142"/>
              <w:left w:val="outset" w:sz="6" w:space="0" w:color="414142"/>
              <w:bottom w:val="outset" w:sz="6" w:space="0" w:color="414142"/>
              <w:right w:val="outset" w:sz="6" w:space="0" w:color="414142"/>
            </w:tcBorders>
            <w:shd w:val="clear" w:color="auto" w:fill="auto"/>
            <w:hideMark/>
          </w:tcPr>
          <w:p w14:paraId="1C3A2AE3"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Cita informācija</w:t>
            </w:r>
          </w:p>
        </w:tc>
        <w:tc>
          <w:tcPr>
            <w:tcW w:w="6459" w:type="dxa"/>
            <w:tcBorders>
              <w:top w:val="outset" w:sz="6" w:space="0" w:color="414142"/>
              <w:left w:val="outset" w:sz="6" w:space="0" w:color="414142"/>
              <w:bottom w:val="outset" w:sz="6" w:space="0" w:color="414142"/>
              <w:right w:val="outset" w:sz="6" w:space="0" w:color="414142"/>
            </w:tcBorders>
            <w:shd w:val="clear" w:color="auto" w:fill="auto"/>
            <w:hideMark/>
          </w:tcPr>
          <w:p w14:paraId="7E8C0B78" w14:textId="57C329F0" w:rsidR="0011249D" w:rsidRPr="005668E7" w:rsidRDefault="00CD26DC"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Nav</w:t>
            </w:r>
            <w:r w:rsidR="00D815F3">
              <w:rPr>
                <w:rFonts w:eastAsia="Times New Roman"/>
                <w:sz w:val="24"/>
                <w:szCs w:val="24"/>
                <w:lang w:eastAsia="lv-LV"/>
              </w:rPr>
              <w:t>.</w:t>
            </w:r>
          </w:p>
        </w:tc>
      </w:tr>
    </w:tbl>
    <w:p w14:paraId="056E8284"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 xml:space="preserve">  </w:t>
      </w: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7"/>
        <w:gridCol w:w="2263"/>
        <w:gridCol w:w="994"/>
        <w:gridCol w:w="1270"/>
        <w:gridCol w:w="2997"/>
      </w:tblGrid>
      <w:tr w:rsidR="005668E7" w:rsidRPr="005668E7" w14:paraId="1FD02FCD" w14:textId="77777777" w:rsidTr="00811322">
        <w:tc>
          <w:tcPr>
            <w:tcW w:w="500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91B4C0" w14:textId="77777777" w:rsidR="0011249D" w:rsidRPr="005668E7" w:rsidRDefault="0011249D" w:rsidP="0011249D">
            <w:pPr>
              <w:spacing w:before="100" w:beforeAutospacing="1" w:line="300" w:lineRule="atLeast"/>
              <w:ind w:firstLine="0"/>
              <w:jc w:val="center"/>
              <w:rPr>
                <w:rFonts w:eastAsia="Times New Roman"/>
                <w:b/>
                <w:bCs/>
                <w:sz w:val="24"/>
                <w:szCs w:val="24"/>
                <w:lang w:eastAsia="lv-LV"/>
              </w:rPr>
            </w:pPr>
            <w:r w:rsidRPr="005668E7">
              <w:rPr>
                <w:rFonts w:eastAsia="Times New Roman"/>
                <w:b/>
                <w:bCs/>
                <w:sz w:val="24"/>
                <w:szCs w:val="24"/>
                <w:lang w:eastAsia="lv-LV"/>
              </w:rPr>
              <w:t>1. tabula</w:t>
            </w:r>
            <w:r w:rsidRPr="005668E7">
              <w:rPr>
                <w:rFonts w:eastAsia="Times New Roman"/>
                <w:b/>
                <w:bCs/>
                <w:sz w:val="24"/>
                <w:szCs w:val="24"/>
                <w:lang w:eastAsia="lv-LV"/>
              </w:rPr>
              <w:br/>
              <w:t>Tiesību akta projekta atbilstība ES tiesību aktiem</w:t>
            </w:r>
          </w:p>
        </w:tc>
      </w:tr>
      <w:tr w:rsidR="005668E7" w:rsidRPr="005668E7" w14:paraId="09A78713"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10C67D4E"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Attiecīgā ES tiesību akta datums, numurs un nosaukums</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29C1C4CC"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5668E7" w:rsidRPr="005668E7" w14:paraId="5AD321EC"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F5A9E2"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lastRenderedPageBreak/>
              <w:t>A</w:t>
            </w:r>
          </w:p>
        </w:tc>
        <w:tc>
          <w:tcPr>
            <w:tcW w:w="1157"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8335F8"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B</w:t>
            </w:r>
          </w:p>
        </w:tc>
        <w:tc>
          <w:tcPr>
            <w:tcW w:w="1157"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BA301A"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C</w:t>
            </w:r>
          </w:p>
        </w:tc>
        <w:tc>
          <w:tcPr>
            <w:tcW w:w="153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D43A74"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D</w:t>
            </w:r>
          </w:p>
        </w:tc>
      </w:tr>
      <w:tr w:rsidR="005668E7" w:rsidRPr="005668E7" w14:paraId="7F411725"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70C933E5"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Attiecīgā ES tiesību akta panta numurs (uzskaitot katru tiesību akta vienību – pantu, daļu, punktu, apakšpunktu)</w:t>
            </w:r>
          </w:p>
        </w:tc>
        <w:tc>
          <w:tcPr>
            <w:tcW w:w="1157" w:type="pct"/>
            <w:tcBorders>
              <w:top w:val="outset" w:sz="6" w:space="0" w:color="414142"/>
              <w:left w:val="outset" w:sz="6" w:space="0" w:color="414142"/>
              <w:bottom w:val="outset" w:sz="6" w:space="0" w:color="414142"/>
              <w:right w:val="outset" w:sz="6" w:space="0" w:color="414142"/>
            </w:tcBorders>
            <w:shd w:val="clear" w:color="auto" w:fill="auto"/>
            <w:hideMark/>
          </w:tcPr>
          <w:p w14:paraId="71D8DE3C"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57"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27D2A25A"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Informācija par to, vai šīs tabulas A ailē minētās ES tiesību akta vienības tiek pārņemtas vai ieviestas pilnībā vai daļēji.</w:t>
            </w:r>
            <w:r w:rsidRPr="005668E7">
              <w:rPr>
                <w:rFonts w:eastAsia="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668E7">
              <w:rPr>
                <w:rFonts w:eastAsia="Times New Roman"/>
                <w:sz w:val="24"/>
                <w:szCs w:val="24"/>
                <w:lang w:eastAsia="lv-LV"/>
              </w:rPr>
              <w:br/>
              <w:t>Norāda institūciju, kas ir atbildīga par šo saistību izpildi pilnībā</w:t>
            </w:r>
          </w:p>
        </w:tc>
        <w:tc>
          <w:tcPr>
            <w:tcW w:w="1531" w:type="pct"/>
            <w:tcBorders>
              <w:top w:val="outset" w:sz="6" w:space="0" w:color="414142"/>
              <w:left w:val="outset" w:sz="6" w:space="0" w:color="414142"/>
              <w:bottom w:val="outset" w:sz="6" w:space="0" w:color="414142"/>
              <w:right w:val="outset" w:sz="6" w:space="0" w:color="414142"/>
            </w:tcBorders>
            <w:shd w:val="clear" w:color="auto" w:fill="auto"/>
            <w:hideMark/>
          </w:tcPr>
          <w:p w14:paraId="56AB2897"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Informācija par to, vai šīs tabulas B ailē minētās projekta vienības paredz stingrākas prasības nekā šīs tabulas A ailē minētās ES tiesību akta vienības.</w:t>
            </w:r>
            <w:r w:rsidRPr="005668E7">
              <w:rPr>
                <w:rFonts w:eastAsia="Times New Roman"/>
                <w:sz w:val="24"/>
                <w:szCs w:val="24"/>
                <w:lang w:eastAsia="lv-LV"/>
              </w:rPr>
              <w:br/>
              <w:t>Ja projekts satur stingrākas prasības nekā attiecīgais ES tiesību akts, norāda pamatojumu un samērīgumu.</w:t>
            </w:r>
            <w:r w:rsidRPr="005668E7">
              <w:rPr>
                <w:rFonts w:eastAsia="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668E7" w:rsidRPr="005668E7" w14:paraId="18223F59"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7F21F507" w14:textId="69A9486D" w:rsidR="0011249D" w:rsidRPr="005668E7" w:rsidRDefault="00820313"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p>
        </w:tc>
        <w:tc>
          <w:tcPr>
            <w:tcW w:w="1157" w:type="pct"/>
            <w:tcBorders>
              <w:top w:val="outset" w:sz="6" w:space="0" w:color="414142"/>
              <w:left w:val="outset" w:sz="6" w:space="0" w:color="414142"/>
              <w:bottom w:val="outset" w:sz="6" w:space="0" w:color="414142"/>
              <w:right w:val="outset" w:sz="6" w:space="0" w:color="414142"/>
            </w:tcBorders>
            <w:shd w:val="clear" w:color="auto" w:fill="auto"/>
            <w:hideMark/>
          </w:tcPr>
          <w:p w14:paraId="54C200DB" w14:textId="1E4C5B56" w:rsidR="0011249D" w:rsidRPr="005668E7" w:rsidRDefault="00820313"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p>
        </w:tc>
        <w:tc>
          <w:tcPr>
            <w:tcW w:w="1157"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1A7C061" w14:textId="7258AEA2" w:rsidR="0011249D" w:rsidRPr="005668E7" w:rsidRDefault="00820313"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p>
        </w:tc>
        <w:tc>
          <w:tcPr>
            <w:tcW w:w="1531" w:type="pct"/>
            <w:tcBorders>
              <w:top w:val="outset" w:sz="6" w:space="0" w:color="414142"/>
              <w:left w:val="outset" w:sz="6" w:space="0" w:color="414142"/>
              <w:bottom w:val="outset" w:sz="6" w:space="0" w:color="414142"/>
              <w:right w:val="outset" w:sz="6" w:space="0" w:color="414142"/>
            </w:tcBorders>
            <w:shd w:val="clear" w:color="auto" w:fill="auto"/>
            <w:hideMark/>
          </w:tcPr>
          <w:p w14:paraId="0B8C1585" w14:textId="4F306620" w:rsidR="0011249D" w:rsidRPr="005668E7" w:rsidRDefault="00820313"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p>
        </w:tc>
      </w:tr>
      <w:tr w:rsidR="005668E7" w:rsidRPr="005668E7" w14:paraId="0CA1B851"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74E4FD5D"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Kā ir izmantota ES tiesību aktā paredzētā rīcības brīvība dalībvalstij pārņemt vai ieviest noteiktas ES tiesību akta normas? Kādēļ?</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0FD8D64B" w14:textId="0ECABB69" w:rsidR="0011249D" w:rsidRPr="005668E7" w:rsidRDefault="00820313"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p>
        </w:tc>
      </w:tr>
      <w:tr w:rsidR="005668E7" w:rsidRPr="005668E7" w14:paraId="3A79472B"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3328B054"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3B014322" w14:textId="7A442FB2" w:rsidR="0011249D" w:rsidRPr="005668E7" w:rsidRDefault="00DB68E7" w:rsidP="00A2064D">
            <w:pPr>
              <w:spacing w:line="240" w:lineRule="auto"/>
              <w:ind w:firstLine="0"/>
              <w:rPr>
                <w:rFonts w:eastAsia="Times New Roman"/>
                <w:sz w:val="24"/>
                <w:szCs w:val="24"/>
                <w:lang w:eastAsia="lv-LV"/>
              </w:rPr>
            </w:pPr>
            <w:r w:rsidRPr="005668E7">
              <w:rPr>
                <w:rFonts w:eastAsia="Times New Roman"/>
                <w:sz w:val="24"/>
                <w:szCs w:val="24"/>
                <w:lang w:eastAsia="lv-LV"/>
              </w:rPr>
              <w:t xml:space="preserve">CSDD izdevumu segšana, kas saistīta </w:t>
            </w:r>
            <w:r w:rsidR="007E73A0">
              <w:rPr>
                <w:rFonts w:eastAsia="Times New Roman"/>
                <w:sz w:val="24"/>
                <w:szCs w:val="24"/>
                <w:lang w:eastAsia="lv-LV"/>
              </w:rPr>
              <w:t xml:space="preserve">ar </w:t>
            </w:r>
            <w:r w:rsidRPr="005668E7">
              <w:rPr>
                <w:rFonts w:eastAsia="Times New Roman"/>
                <w:sz w:val="24"/>
                <w:szCs w:val="24"/>
                <w:lang w:eastAsia="lv-LV"/>
              </w:rPr>
              <w:t xml:space="preserve">Deleģēšanas līgumā noteiktās </w:t>
            </w:r>
            <w:proofErr w:type="spellStart"/>
            <w:r w:rsidRPr="005668E7">
              <w:rPr>
                <w:rFonts w:eastAsia="Times New Roman"/>
                <w:sz w:val="24"/>
                <w:szCs w:val="24"/>
                <w:lang w:eastAsia="lv-LV"/>
              </w:rPr>
              <w:t>elektromobilitātes</w:t>
            </w:r>
            <w:proofErr w:type="spellEnd"/>
            <w:r w:rsidRPr="005668E7">
              <w:rPr>
                <w:rFonts w:eastAsia="Times New Roman"/>
                <w:sz w:val="24"/>
                <w:szCs w:val="24"/>
                <w:lang w:eastAsia="lv-LV"/>
              </w:rPr>
              <w:t xml:space="preserve"> infrastruktūras uzturēšan</w:t>
            </w:r>
            <w:r w:rsidR="002B561A" w:rsidRPr="005668E7">
              <w:rPr>
                <w:rFonts w:eastAsia="Times New Roman"/>
                <w:sz w:val="24"/>
                <w:szCs w:val="24"/>
                <w:lang w:eastAsia="lv-LV"/>
              </w:rPr>
              <w:t>u</w:t>
            </w:r>
            <w:r w:rsidRPr="005668E7">
              <w:rPr>
                <w:rFonts w:eastAsia="Times New Roman"/>
                <w:sz w:val="24"/>
                <w:szCs w:val="24"/>
                <w:lang w:eastAsia="lv-LV"/>
              </w:rPr>
              <w:t xml:space="preserve">, nav kvalificējama kā komercdarbības atbalsts līguma par Eiropas Savienības darbību 107.panta 1.punkta izpratnē, līdz ar to nav nepieciešams saskaņā ar Līguma par Eiropas Savienības darbību 108.panta 3.punktu sniegt Eiropas Komisijā valsts atbalsta paziņojumu. </w:t>
            </w:r>
          </w:p>
        </w:tc>
      </w:tr>
      <w:tr w:rsidR="005668E7" w:rsidRPr="005668E7" w14:paraId="02107C16"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59AC11F7"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Cita informācija</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393A064D" w14:textId="01D599A4" w:rsidR="0011249D" w:rsidRPr="005668E7" w:rsidRDefault="00CD26DC"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Nav</w:t>
            </w:r>
          </w:p>
        </w:tc>
      </w:tr>
      <w:tr w:rsidR="005668E7" w:rsidRPr="005668E7" w14:paraId="1EE9A4E6" w14:textId="77777777" w:rsidTr="00811322">
        <w:tc>
          <w:tcPr>
            <w:tcW w:w="500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750FBD" w14:textId="77777777" w:rsidR="0011249D" w:rsidRPr="005668E7" w:rsidRDefault="0011249D" w:rsidP="0011249D">
            <w:pPr>
              <w:spacing w:before="100" w:beforeAutospacing="1" w:line="300" w:lineRule="atLeast"/>
              <w:ind w:firstLine="0"/>
              <w:jc w:val="center"/>
              <w:rPr>
                <w:rFonts w:eastAsia="Times New Roman"/>
                <w:b/>
                <w:bCs/>
                <w:sz w:val="24"/>
                <w:szCs w:val="24"/>
                <w:lang w:eastAsia="lv-LV"/>
              </w:rPr>
            </w:pPr>
            <w:r w:rsidRPr="005668E7">
              <w:rPr>
                <w:rFonts w:eastAsia="Times New Roman"/>
                <w:b/>
                <w:bCs/>
                <w:sz w:val="24"/>
                <w:szCs w:val="24"/>
                <w:lang w:eastAsia="lv-LV"/>
              </w:rPr>
              <w:t>2. tabula</w:t>
            </w:r>
            <w:r w:rsidRPr="005668E7">
              <w:rPr>
                <w:rFonts w:eastAsia="Times New Roman"/>
                <w:b/>
                <w:bCs/>
                <w:sz w:val="24"/>
                <w:szCs w:val="24"/>
                <w:lang w:eastAsia="lv-LV"/>
              </w:rPr>
              <w:br/>
              <w:t>Ar tiesību akta projektu izpildītās vai uzņemtās saistības, kas izriet no starptautiskajiem tiesību aktiem vai starptautiskas institūcijas vai organizācijas dokumentiem.</w:t>
            </w:r>
            <w:r w:rsidRPr="005668E7">
              <w:rPr>
                <w:rFonts w:eastAsia="Times New Roman"/>
                <w:b/>
                <w:bCs/>
                <w:sz w:val="24"/>
                <w:szCs w:val="24"/>
                <w:lang w:eastAsia="lv-LV"/>
              </w:rPr>
              <w:br/>
              <w:t>Pasākumi šo saistību izpildei</w:t>
            </w:r>
          </w:p>
        </w:tc>
      </w:tr>
      <w:tr w:rsidR="005668E7" w:rsidRPr="005668E7" w14:paraId="17C0E423"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0467D0DE"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1DC488CD" w14:textId="12846032" w:rsidR="0011249D" w:rsidRPr="005668E7" w:rsidRDefault="00820313"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p>
        </w:tc>
      </w:tr>
      <w:tr w:rsidR="005668E7" w:rsidRPr="005668E7" w14:paraId="719DD4C9"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DFCC703"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A</w:t>
            </w:r>
          </w:p>
        </w:tc>
        <w:tc>
          <w:tcPr>
            <w:tcW w:w="1665"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6BB60D"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B</w:t>
            </w:r>
          </w:p>
        </w:tc>
        <w:tc>
          <w:tcPr>
            <w:tcW w:w="2181"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33E325" w14:textId="77777777" w:rsidR="0011249D" w:rsidRPr="005668E7" w:rsidRDefault="0011249D" w:rsidP="0011249D">
            <w:pPr>
              <w:spacing w:before="100" w:beforeAutospacing="1" w:line="300" w:lineRule="atLeast"/>
              <w:ind w:firstLine="0"/>
              <w:jc w:val="center"/>
              <w:rPr>
                <w:rFonts w:eastAsia="Times New Roman"/>
                <w:sz w:val="24"/>
                <w:szCs w:val="24"/>
                <w:lang w:eastAsia="lv-LV"/>
              </w:rPr>
            </w:pPr>
            <w:r w:rsidRPr="005668E7">
              <w:rPr>
                <w:rFonts w:eastAsia="Times New Roman"/>
                <w:sz w:val="24"/>
                <w:szCs w:val="24"/>
                <w:lang w:eastAsia="lv-LV"/>
              </w:rPr>
              <w:t>C</w:t>
            </w:r>
          </w:p>
        </w:tc>
      </w:tr>
      <w:tr w:rsidR="005668E7" w:rsidRPr="005668E7" w14:paraId="188ED05D"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4EF914C3"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Starptautiskās saistības (pēc būtības), kas izriet no norādītā starptautiskā dokumenta.</w:t>
            </w:r>
            <w:r w:rsidRPr="005668E7">
              <w:rPr>
                <w:rFonts w:eastAsia="Times New Roman"/>
                <w:sz w:val="24"/>
                <w:szCs w:val="24"/>
                <w:lang w:eastAsia="lv-LV"/>
              </w:rPr>
              <w:br/>
              <w:t>Konkrēti veicamie pasākumi vai uzdevumi, kas nepieciešami šo starptautisko saistību izpildei</w:t>
            </w:r>
          </w:p>
        </w:tc>
        <w:tc>
          <w:tcPr>
            <w:tcW w:w="1665"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49E4C7D" w14:textId="752CAFA8" w:rsidR="0011249D" w:rsidRPr="005668E7" w:rsidRDefault="00487A42"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r w:rsidR="00D815F3">
              <w:rPr>
                <w:rFonts w:eastAsia="Times New Roman"/>
                <w:sz w:val="24"/>
                <w:szCs w:val="24"/>
                <w:lang w:eastAsia="lv-LV"/>
              </w:rPr>
              <w:t>.</w:t>
            </w:r>
          </w:p>
        </w:tc>
        <w:tc>
          <w:tcPr>
            <w:tcW w:w="218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07E9347A" w14:textId="4E5BA735" w:rsidR="0011249D" w:rsidRPr="005668E7" w:rsidRDefault="00487A42"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r w:rsidR="00D815F3">
              <w:rPr>
                <w:rFonts w:eastAsia="Times New Roman"/>
                <w:sz w:val="24"/>
                <w:szCs w:val="24"/>
                <w:lang w:eastAsia="lv-LV"/>
              </w:rPr>
              <w:t>.</w:t>
            </w:r>
          </w:p>
        </w:tc>
      </w:tr>
      <w:tr w:rsidR="005668E7" w:rsidRPr="005668E7" w14:paraId="5316CA3B"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39DC416C"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Iekļauj informāciju atbilstoši instrukcijas 58.1. apakšpunktam</w:t>
            </w:r>
          </w:p>
        </w:tc>
        <w:tc>
          <w:tcPr>
            <w:tcW w:w="1665"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51C6AA91" w14:textId="51B3805F" w:rsidR="0011249D" w:rsidRPr="005668E7" w:rsidRDefault="00487A42"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r w:rsidR="00D815F3">
              <w:rPr>
                <w:rFonts w:eastAsia="Times New Roman"/>
                <w:sz w:val="24"/>
                <w:szCs w:val="24"/>
                <w:lang w:eastAsia="lv-LV"/>
              </w:rPr>
              <w:t>.</w:t>
            </w:r>
          </w:p>
        </w:tc>
        <w:tc>
          <w:tcPr>
            <w:tcW w:w="218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D8A70D0" w14:textId="2D2A7ABD" w:rsidR="0011249D" w:rsidRPr="005668E7" w:rsidRDefault="00487A42"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r w:rsidR="00D815F3">
              <w:rPr>
                <w:rFonts w:eastAsia="Times New Roman"/>
                <w:sz w:val="24"/>
                <w:szCs w:val="24"/>
                <w:lang w:eastAsia="lv-LV"/>
              </w:rPr>
              <w:t>.</w:t>
            </w:r>
          </w:p>
        </w:tc>
      </w:tr>
      <w:tr w:rsidR="005668E7" w:rsidRPr="005668E7" w14:paraId="201B56FC"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2C591E24"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Vai starptautiskajā dokumentā paredzētās saistības nav pretrunā ar jau esošajām Latvijas Republikas starptautiskajām saistībām</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71E60359" w14:textId="6E50A2F0" w:rsidR="0011249D" w:rsidRPr="005668E7" w:rsidRDefault="00487A42" w:rsidP="0011249D">
            <w:pPr>
              <w:spacing w:line="240" w:lineRule="auto"/>
              <w:ind w:firstLine="0"/>
              <w:jc w:val="left"/>
              <w:rPr>
                <w:rFonts w:eastAsia="Times New Roman"/>
                <w:sz w:val="24"/>
                <w:szCs w:val="24"/>
                <w:lang w:eastAsia="lv-LV"/>
              </w:rPr>
            </w:pPr>
            <w:r w:rsidRPr="00AD4676">
              <w:rPr>
                <w:rFonts w:eastAsia="Times New Roman"/>
                <w:sz w:val="24"/>
                <w:szCs w:val="24"/>
                <w:lang w:eastAsia="lv-LV"/>
              </w:rPr>
              <w:t>Projekts šo jomu neskar</w:t>
            </w:r>
            <w:r w:rsidR="00D815F3">
              <w:rPr>
                <w:rFonts w:eastAsia="Times New Roman"/>
                <w:sz w:val="24"/>
                <w:szCs w:val="24"/>
                <w:lang w:eastAsia="lv-LV"/>
              </w:rPr>
              <w:t>.</w:t>
            </w:r>
          </w:p>
        </w:tc>
      </w:tr>
      <w:tr w:rsidR="005668E7" w:rsidRPr="005668E7" w14:paraId="1406EE07" w14:textId="77777777" w:rsidTr="00811322">
        <w:tc>
          <w:tcPr>
            <w:tcW w:w="1154" w:type="pct"/>
            <w:tcBorders>
              <w:top w:val="outset" w:sz="6" w:space="0" w:color="414142"/>
              <w:left w:val="outset" w:sz="6" w:space="0" w:color="414142"/>
              <w:bottom w:val="outset" w:sz="6" w:space="0" w:color="414142"/>
              <w:right w:val="outset" w:sz="6" w:space="0" w:color="414142"/>
            </w:tcBorders>
            <w:shd w:val="clear" w:color="auto" w:fill="auto"/>
            <w:hideMark/>
          </w:tcPr>
          <w:p w14:paraId="53E4B984" w14:textId="77777777" w:rsidR="0011249D" w:rsidRPr="005668E7" w:rsidRDefault="0011249D"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Cita informācija</w:t>
            </w:r>
          </w:p>
        </w:tc>
        <w:tc>
          <w:tcPr>
            <w:tcW w:w="3846" w:type="pct"/>
            <w:gridSpan w:val="4"/>
            <w:tcBorders>
              <w:top w:val="outset" w:sz="6" w:space="0" w:color="414142"/>
              <w:left w:val="outset" w:sz="6" w:space="0" w:color="414142"/>
              <w:bottom w:val="outset" w:sz="6" w:space="0" w:color="414142"/>
              <w:right w:val="outset" w:sz="6" w:space="0" w:color="414142"/>
            </w:tcBorders>
            <w:shd w:val="clear" w:color="auto" w:fill="auto"/>
            <w:hideMark/>
          </w:tcPr>
          <w:p w14:paraId="08ADF118" w14:textId="2687B6A4" w:rsidR="0011249D" w:rsidRPr="005668E7" w:rsidRDefault="00CD26DC" w:rsidP="0011249D">
            <w:pPr>
              <w:spacing w:line="240" w:lineRule="auto"/>
              <w:ind w:firstLine="0"/>
              <w:jc w:val="left"/>
              <w:rPr>
                <w:rFonts w:eastAsia="Times New Roman"/>
                <w:sz w:val="24"/>
                <w:szCs w:val="24"/>
                <w:lang w:eastAsia="lv-LV"/>
              </w:rPr>
            </w:pPr>
            <w:r w:rsidRPr="005668E7">
              <w:rPr>
                <w:rFonts w:eastAsia="Times New Roman"/>
                <w:sz w:val="24"/>
                <w:szCs w:val="24"/>
                <w:lang w:eastAsia="lv-LV"/>
              </w:rPr>
              <w:t>Nav</w:t>
            </w:r>
            <w:r w:rsidR="00D815F3">
              <w:rPr>
                <w:rFonts w:eastAsia="Times New Roman"/>
                <w:sz w:val="24"/>
                <w:szCs w:val="24"/>
                <w:lang w:eastAsia="lv-LV"/>
              </w:rPr>
              <w:t>.</w:t>
            </w:r>
          </w:p>
        </w:tc>
      </w:tr>
    </w:tbl>
    <w:p w14:paraId="3FFA5C42" w14:textId="08B7CA57" w:rsidR="009A3F40" w:rsidRDefault="0011249D" w:rsidP="0011249D">
      <w:pPr>
        <w:spacing w:line="240" w:lineRule="auto"/>
        <w:ind w:firstLine="0"/>
        <w:jc w:val="left"/>
        <w:rPr>
          <w:rFonts w:ascii="Arial" w:eastAsia="Times New Roman" w:hAnsi="Arial" w:cs="Arial"/>
          <w:color w:val="414142"/>
          <w:sz w:val="24"/>
          <w:szCs w:val="24"/>
          <w:lang w:eastAsia="lv-LV"/>
        </w:rPr>
      </w:pPr>
      <w:r w:rsidRPr="0011249D">
        <w:rPr>
          <w:rFonts w:ascii="Arial" w:eastAsia="Times New Roman" w:hAnsi="Arial" w:cs="Arial"/>
          <w:color w:val="414142"/>
          <w:sz w:val="24"/>
          <w:szCs w:val="24"/>
          <w:lang w:eastAsia="lv-LV"/>
        </w:rPr>
        <w:t>   </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29"/>
        <w:gridCol w:w="2816"/>
        <w:gridCol w:w="238"/>
        <w:gridCol w:w="5990"/>
      </w:tblGrid>
      <w:tr w:rsidR="00463025" w:rsidRPr="00DD49B6" w14:paraId="1D3F80FC" w14:textId="77777777" w:rsidTr="00811322">
        <w:trPr>
          <w:trHeight w:val="421"/>
        </w:trPr>
        <w:tc>
          <w:tcPr>
            <w:tcW w:w="9781" w:type="dxa"/>
            <w:gridSpan w:val="5"/>
            <w:vAlign w:val="center"/>
          </w:tcPr>
          <w:p w14:paraId="4DE9CBE2" w14:textId="77777777" w:rsidR="00463025" w:rsidRPr="00DD49B6" w:rsidRDefault="00463025" w:rsidP="002B2ED2">
            <w:pPr>
              <w:pStyle w:val="naisnod"/>
              <w:spacing w:before="0" w:beforeAutospacing="0" w:after="120" w:afterAutospacing="0"/>
              <w:ind w:left="57" w:right="57"/>
              <w:jc w:val="center"/>
            </w:pPr>
            <w:r w:rsidRPr="00DD49B6">
              <w:rPr>
                <w:b/>
              </w:rPr>
              <w:t>VI. Sabiedrības līdzdalība un komunikācijas aktivitātes</w:t>
            </w:r>
          </w:p>
        </w:tc>
      </w:tr>
      <w:tr w:rsidR="0072009E" w:rsidRPr="00DD49B6" w14:paraId="0BEBD17B" w14:textId="77777777" w:rsidTr="00811322">
        <w:trPr>
          <w:trHeight w:val="553"/>
        </w:trPr>
        <w:tc>
          <w:tcPr>
            <w:tcW w:w="708" w:type="dxa"/>
          </w:tcPr>
          <w:p w14:paraId="2ABF3A25" w14:textId="0198022C" w:rsidR="0072009E" w:rsidRPr="00DD49B6" w:rsidRDefault="0072009E" w:rsidP="0072009E">
            <w:pPr>
              <w:tabs>
                <w:tab w:val="left" w:pos="170"/>
              </w:tabs>
              <w:spacing w:after="120" w:line="240" w:lineRule="auto"/>
              <w:ind w:left="57" w:right="57" w:firstLine="46"/>
              <w:rPr>
                <w:sz w:val="24"/>
                <w:szCs w:val="24"/>
                <w:lang w:eastAsia="lv-LV"/>
              </w:rPr>
            </w:pPr>
            <w:r>
              <w:rPr>
                <w:sz w:val="24"/>
                <w:szCs w:val="24"/>
                <w:lang w:eastAsia="lv-LV"/>
              </w:rPr>
              <w:t>1.</w:t>
            </w:r>
          </w:p>
        </w:tc>
        <w:tc>
          <w:tcPr>
            <w:tcW w:w="2845" w:type="dxa"/>
            <w:gridSpan w:val="2"/>
          </w:tcPr>
          <w:p w14:paraId="2843FBE5" w14:textId="196B67B1" w:rsidR="0072009E" w:rsidRPr="00DD49B6" w:rsidRDefault="0072009E" w:rsidP="0072009E">
            <w:pPr>
              <w:tabs>
                <w:tab w:val="left" w:pos="170"/>
              </w:tabs>
              <w:spacing w:after="120" w:line="240" w:lineRule="auto"/>
              <w:ind w:left="57" w:right="57" w:firstLine="46"/>
              <w:jc w:val="left"/>
              <w:rPr>
                <w:sz w:val="24"/>
                <w:szCs w:val="24"/>
                <w:lang w:eastAsia="lv-LV"/>
              </w:rPr>
            </w:pPr>
            <w:r w:rsidRPr="00DD49B6">
              <w:rPr>
                <w:sz w:val="24"/>
                <w:szCs w:val="24"/>
                <w:lang w:eastAsia="lv-LV"/>
              </w:rPr>
              <w:t>Plānotās sabiedrības līdzdalības un komunikācijas aktivitātes saistībā ar projektu</w:t>
            </w:r>
          </w:p>
        </w:tc>
        <w:tc>
          <w:tcPr>
            <w:tcW w:w="6228" w:type="dxa"/>
            <w:gridSpan w:val="2"/>
          </w:tcPr>
          <w:p w14:paraId="53234A72" w14:textId="20B59E0E" w:rsidR="0072009E" w:rsidRPr="00DD49B6" w:rsidRDefault="0072009E" w:rsidP="0072009E">
            <w:pPr>
              <w:shd w:val="clear" w:color="auto" w:fill="FFFFFF"/>
              <w:spacing w:after="120" w:line="240" w:lineRule="auto"/>
              <w:ind w:left="47" w:firstLine="0"/>
              <w:rPr>
                <w:sz w:val="24"/>
                <w:szCs w:val="24"/>
                <w:lang w:eastAsia="lv-LV"/>
              </w:rPr>
            </w:pPr>
            <w:r>
              <w:rPr>
                <w:sz w:val="24"/>
                <w:szCs w:val="24"/>
              </w:rPr>
              <w:t>Atbilstoši Ministru kabineta 2009.gada 25.augusta noteikumu Nr.970 „Sabiedrības līdzdalības kārtība attīstības plānošanas procesā” 7.4.</w:t>
            </w:r>
            <w:r>
              <w:rPr>
                <w:sz w:val="24"/>
                <w:szCs w:val="24"/>
                <w:vertAlign w:val="superscript"/>
              </w:rPr>
              <w:t xml:space="preserve">1 </w:t>
            </w:r>
            <w:r>
              <w:rPr>
                <w:sz w:val="24"/>
                <w:szCs w:val="24"/>
              </w:rPr>
              <w:t>apakšpunktam, sabiedrībai tika dota iespēja rakstiski sniegt viedokli par noteikumu projektu tā izstrādes stadijā.</w:t>
            </w:r>
          </w:p>
        </w:tc>
      </w:tr>
      <w:tr w:rsidR="0072009E" w:rsidRPr="00E46FBE" w14:paraId="5BBB0A7A" w14:textId="77777777" w:rsidTr="00811322">
        <w:trPr>
          <w:trHeight w:val="339"/>
        </w:trPr>
        <w:tc>
          <w:tcPr>
            <w:tcW w:w="708" w:type="dxa"/>
          </w:tcPr>
          <w:p w14:paraId="763941BC" w14:textId="433672A6" w:rsidR="0072009E" w:rsidRPr="00DD49B6" w:rsidRDefault="0072009E" w:rsidP="0072009E">
            <w:pPr>
              <w:spacing w:after="120" w:line="240" w:lineRule="auto"/>
              <w:ind w:left="57" w:right="57" w:firstLine="46"/>
              <w:rPr>
                <w:sz w:val="24"/>
                <w:szCs w:val="24"/>
                <w:lang w:eastAsia="lv-LV"/>
              </w:rPr>
            </w:pPr>
            <w:r>
              <w:rPr>
                <w:sz w:val="24"/>
                <w:szCs w:val="24"/>
                <w:lang w:eastAsia="lv-LV"/>
              </w:rPr>
              <w:t>2.</w:t>
            </w:r>
          </w:p>
        </w:tc>
        <w:tc>
          <w:tcPr>
            <w:tcW w:w="2845" w:type="dxa"/>
            <w:gridSpan w:val="2"/>
          </w:tcPr>
          <w:p w14:paraId="70D01BE5" w14:textId="50953D01" w:rsidR="0072009E" w:rsidRPr="00DD49B6" w:rsidRDefault="0072009E" w:rsidP="0072009E">
            <w:pPr>
              <w:spacing w:after="120" w:line="240" w:lineRule="auto"/>
              <w:ind w:left="57" w:right="57" w:firstLine="46"/>
              <w:rPr>
                <w:sz w:val="24"/>
                <w:szCs w:val="24"/>
                <w:lang w:eastAsia="lv-LV"/>
              </w:rPr>
            </w:pPr>
            <w:r w:rsidRPr="00DD49B6">
              <w:rPr>
                <w:sz w:val="24"/>
                <w:szCs w:val="24"/>
                <w:lang w:eastAsia="lv-LV"/>
              </w:rPr>
              <w:t>Sabiedrības līdzdalība projekta izstrādē</w:t>
            </w:r>
          </w:p>
        </w:tc>
        <w:tc>
          <w:tcPr>
            <w:tcW w:w="6228" w:type="dxa"/>
            <w:gridSpan w:val="2"/>
          </w:tcPr>
          <w:p w14:paraId="4D4233D9" w14:textId="3F0E15DB" w:rsidR="0072009E" w:rsidRDefault="0072009E" w:rsidP="0072009E">
            <w:pPr>
              <w:spacing w:line="240" w:lineRule="auto"/>
              <w:ind w:left="47" w:firstLine="0"/>
              <w:rPr>
                <w:bCs/>
                <w:sz w:val="24"/>
                <w:szCs w:val="24"/>
              </w:rPr>
            </w:pPr>
            <w:r>
              <w:rPr>
                <w:bCs/>
                <w:sz w:val="24"/>
                <w:szCs w:val="24"/>
              </w:rPr>
              <w:t>Paziņojums par līdzdalības iespējām tiesību akta izstrādes procesā ievietots Satiksmes ministrijas tīmekļa vietnē (</w:t>
            </w:r>
            <w:hyperlink r:id="rId8" w:history="1">
              <w:r>
                <w:rPr>
                  <w:rStyle w:val="Hyperlink"/>
                  <w:bCs/>
                  <w:sz w:val="24"/>
                  <w:szCs w:val="24"/>
                </w:rPr>
                <w:t>http://www.sam.gov.lv/sm/content/?cat=553</w:t>
              </w:r>
            </w:hyperlink>
            <w:r>
              <w:rPr>
                <w:bCs/>
                <w:sz w:val="24"/>
                <w:szCs w:val="24"/>
              </w:rPr>
              <w:t xml:space="preserve">) </w:t>
            </w:r>
            <w:r w:rsidRPr="005D78C2">
              <w:rPr>
                <w:bCs/>
                <w:sz w:val="24"/>
                <w:szCs w:val="24"/>
              </w:rPr>
              <w:t xml:space="preserve">2018.gada </w:t>
            </w:r>
            <w:r w:rsidR="009C7A7E" w:rsidRPr="005D78C2">
              <w:rPr>
                <w:bCs/>
                <w:sz w:val="24"/>
                <w:szCs w:val="24"/>
              </w:rPr>
              <w:t>2</w:t>
            </w:r>
            <w:r w:rsidRPr="005D78C2">
              <w:rPr>
                <w:bCs/>
                <w:sz w:val="24"/>
                <w:szCs w:val="24"/>
              </w:rPr>
              <w:t>.</w:t>
            </w:r>
            <w:r w:rsidR="009C7A7E" w:rsidRPr="005D78C2">
              <w:rPr>
                <w:bCs/>
                <w:sz w:val="24"/>
                <w:szCs w:val="24"/>
              </w:rPr>
              <w:t>maijā</w:t>
            </w:r>
            <w:r w:rsidRPr="005D78C2">
              <w:rPr>
                <w:bCs/>
                <w:sz w:val="24"/>
                <w:szCs w:val="24"/>
              </w:rPr>
              <w:t>.</w:t>
            </w:r>
            <w:r>
              <w:rPr>
                <w:bCs/>
                <w:sz w:val="24"/>
                <w:szCs w:val="24"/>
              </w:rPr>
              <w:t xml:space="preserve"> </w:t>
            </w:r>
          </w:p>
          <w:p w14:paraId="7ACB1394" w14:textId="269DDF8D" w:rsidR="0072009E" w:rsidRPr="00E46FBE" w:rsidRDefault="0072009E" w:rsidP="0072009E">
            <w:pPr>
              <w:shd w:val="clear" w:color="auto" w:fill="FFFFFF"/>
              <w:spacing w:line="240" w:lineRule="auto"/>
              <w:ind w:left="47" w:firstLine="0"/>
              <w:rPr>
                <w:sz w:val="24"/>
                <w:szCs w:val="24"/>
                <w:lang w:eastAsia="lv-LV"/>
              </w:rPr>
            </w:pPr>
          </w:p>
        </w:tc>
      </w:tr>
      <w:tr w:rsidR="0072009E" w:rsidRPr="00E46FBE" w14:paraId="4613A9E0" w14:textId="77777777" w:rsidTr="00811322">
        <w:trPr>
          <w:trHeight w:val="339"/>
        </w:trPr>
        <w:tc>
          <w:tcPr>
            <w:tcW w:w="708" w:type="dxa"/>
          </w:tcPr>
          <w:p w14:paraId="52AF55F4" w14:textId="16131F36" w:rsidR="0072009E" w:rsidRPr="00DD49B6" w:rsidRDefault="0072009E" w:rsidP="0072009E">
            <w:pPr>
              <w:spacing w:after="120" w:line="240" w:lineRule="auto"/>
              <w:ind w:left="57" w:right="57" w:firstLine="46"/>
              <w:rPr>
                <w:sz w:val="24"/>
                <w:szCs w:val="24"/>
                <w:lang w:eastAsia="lv-LV"/>
              </w:rPr>
            </w:pPr>
            <w:r>
              <w:rPr>
                <w:sz w:val="24"/>
                <w:szCs w:val="24"/>
                <w:lang w:eastAsia="lv-LV"/>
              </w:rPr>
              <w:t>3.</w:t>
            </w:r>
          </w:p>
        </w:tc>
        <w:tc>
          <w:tcPr>
            <w:tcW w:w="2845" w:type="dxa"/>
            <w:gridSpan w:val="2"/>
          </w:tcPr>
          <w:p w14:paraId="2B8158E5" w14:textId="60898753" w:rsidR="0072009E" w:rsidRPr="00DD49B6" w:rsidRDefault="0072009E" w:rsidP="0072009E">
            <w:pPr>
              <w:spacing w:after="120" w:line="240" w:lineRule="auto"/>
              <w:ind w:left="57" w:right="57" w:firstLine="46"/>
              <w:jc w:val="left"/>
              <w:rPr>
                <w:sz w:val="24"/>
                <w:szCs w:val="24"/>
                <w:lang w:eastAsia="lv-LV"/>
              </w:rPr>
            </w:pPr>
            <w:r w:rsidRPr="00DD49B6">
              <w:rPr>
                <w:sz w:val="24"/>
                <w:szCs w:val="24"/>
                <w:lang w:eastAsia="lv-LV"/>
              </w:rPr>
              <w:t>Sabiedrības līdzdalības rezultāti</w:t>
            </w:r>
          </w:p>
        </w:tc>
        <w:tc>
          <w:tcPr>
            <w:tcW w:w="6228" w:type="dxa"/>
            <w:gridSpan w:val="2"/>
          </w:tcPr>
          <w:p w14:paraId="1C3C0835" w14:textId="5D4CD366" w:rsidR="0072009E" w:rsidRDefault="0072009E" w:rsidP="0072009E">
            <w:pPr>
              <w:shd w:val="clear" w:color="auto" w:fill="FFFFFF"/>
              <w:spacing w:after="120" w:line="240" w:lineRule="auto"/>
              <w:ind w:left="47" w:firstLine="0"/>
              <w:rPr>
                <w:sz w:val="24"/>
                <w:szCs w:val="24"/>
                <w:lang w:eastAsia="lv-LV"/>
              </w:rPr>
            </w:pPr>
            <w:r>
              <w:rPr>
                <w:sz w:val="24"/>
                <w:szCs w:val="24"/>
              </w:rPr>
              <w:t>Sabiedrības atsauksmes nav saņemtas.</w:t>
            </w:r>
          </w:p>
        </w:tc>
      </w:tr>
      <w:tr w:rsidR="00463025" w:rsidRPr="00DD49B6" w14:paraId="5228F1F2" w14:textId="77777777" w:rsidTr="00811322">
        <w:trPr>
          <w:trHeight w:val="476"/>
        </w:trPr>
        <w:tc>
          <w:tcPr>
            <w:tcW w:w="708" w:type="dxa"/>
          </w:tcPr>
          <w:p w14:paraId="771E05D1" w14:textId="1FA8B239" w:rsidR="00463025" w:rsidRPr="00DD49B6" w:rsidRDefault="00463025" w:rsidP="002B2ED2">
            <w:pPr>
              <w:spacing w:after="120" w:line="240" w:lineRule="auto"/>
              <w:ind w:left="57" w:right="57" w:firstLine="46"/>
              <w:rPr>
                <w:sz w:val="24"/>
                <w:szCs w:val="24"/>
                <w:lang w:eastAsia="lv-LV"/>
              </w:rPr>
            </w:pPr>
            <w:r>
              <w:rPr>
                <w:sz w:val="24"/>
                <w:szCs w:val="24"/>
                <w:lang w:eastAsia="lv-LV"/>
              </w:rPr>
              <w:t>4.</w:t>
            </w:r>
          </w:p>
        </w:tc>
        <w:tc>
          <w:tcPr>
            <w:tcW w:w="2845" w:type="dxa"/>
            <w:gridSpan w:val="2"/>
          </w:tcPr>
          <w:p w14:paraId="318DD1F3" w14:textId="04210967" w:rsidR="00463025" w:rsidRPr="00DD49B6" w:rsidRDefault="00463025" w:rsidP="002B2ED2">
            <w:pPr>
              <w:spacing w:after="120" w:line="240" w:lineRule="auto"/>
              <w:ind w:left="57" w:right="57" w:firstLine="46"/>
              <w:rPr>
                <w:sz w:val="24"/>
                <w:szCs w:val="24"/>
                <w:lang w:eastAsia="lv-LV"/>
              </w:rPr>
            </w:pPr>
            <w:r>
              <w:rPr>
                <w:sz w:val="24"/>
                <w:szCs w:val="24"/>
                <w:lang w:eastAsia="lv-LV"/>
              </w:rPr>
              <w:t>Cita informācija</w:t>
            </w:r>
          </w:p>
        </w:tc>
        <w:tc>
          <w:tcPr>
            <w:tcW w:w="6228" w:type="dxa"/>
            <w:gridSpan w:val="2"/>
          </w:tcPr>
          <w:p w14:paraId="28BC12C6" w14:textId="77777777" w:rsidR="00463025" w:rsidRPr="00DD49B6" w:rsidRDefault="00463025" w:rsidP="002B2ED2">
            <w:pPr>
              <w:shd w:val="clear" w:color="auto" w:fill="FFFFFF"/>
              <w:spacing w:after="120" w:line="240" w:lineRule="auto"/>
              <w:ind w:left="47" w:firstLine="0"/>
              <w:rPr>
                <w:sz w:val="24"/>
                <w:szCs w:val="24"/>
                <w:lang w:eastAsia="lv-LV"/>
              </w:rPr>
            </w:pPr>
            <w:r>
              <w:rPr>
                <w:sz w:val="24"/>
                <w:szCs w:val="24"/>
                <w:lang w:eastAsia="lv-LV"/>
              </w:rPr>
              <w:t>Nav.</w:t>
            </w:r>
          </w:p>
        </w:tc>
      </w:tr>
      <w:tr w:rsidR="00532F34" w:rsidRPr="0027189F" w14:paraId="67C07A9D" w14:textId="77777777" w:rsidTr="00811322">
        <w:tblPrEx>
          <w:tblCellMar>
            <w:left w:w="108" w:type="dxa"/>
            <w:right w:w="108" w:type="dxa"/>
          </w:tblCellMar>
          <w:tblLook w:val="04A0" w:firstRow="1" w:lastRow="0" w:firstColumn="1" w:lastColumn="0" w:noHBand="0" w:noVBand="1"/>
        </w:tblPrEx>
        <w:tc>
          <w:tcPr>
            <w:tcW w:w="9781" w:type="dxa"/>
            <w:gridSpan w:val="5"/>
            <w:shd w:val="clear" w:color="auto" w:fill="auto"/>
          </w:tcPr>
          <w:p w14:paraId="04D7D985" w14:textId="77777777" w:rsidR="00532F34" w:rsidRPr="00AD4676" w:rsidRDefault="00532F34" w:rsidP="00E37BE8">
            <w:pPr>
              <w:spacing w:before="100" w:beforeAutospacing="1" w:after="120" w:line="240" w:lineRule="auto"/>
              <w:ind w:firstLine="0"/>
              <w:jc w:val="center"/>
              <w:rPr>
                <w:rFonts w:eastAsia="Times New Roman"/>
                <w:b/>
                <w:bCs/>
                <w:sz w:val="24"/>
                <w:szCs w:val="24"/>
                <w:lang w:eastAsia="lv-LV"/>
              </w:rPr>
            </w:pPr>
            <w:r w:rsidRPr="00AD4676">
              <w:rPr>
                <w:rFonts w:eastAsia="Times New Roman"/>
                <w:b/>
                <w:bCs/>
                <w:sz w:val="24"/>
                <w:szCs w:val="24"/>
                <w:lang w:eastAsia="lv-LV"/>
              </w:rPr>
              <w:lastRenderedPageBreak/>
              <w:t>VII. Tiesību akta projekta izpildes nodrošināšana un tās ietekme uz institūcijām</w:t>
            </w:r>
          </w:p>
        </w:tc>
      </w:tr>
      <w:tr w:rsidR="00463025" w:rsidRPr="0027189F" w14:paraId="5D2BDF52" w14:textId="77777777" w:rsidTr="00811322">
        <w:tblPrEx>
          <w:tblCellMar>
            <w:left w:w="108" w:type="dxa"/>
            <w:right w:w="108" w:type="dxa"/>
          </w:tblCellMar>
          <w:tblLook w:val="04A0" w:firstRow="1" w:lastRow="0" w:firstColumn="1" w:lastColumn="0" w:noHBand="0" w:noVBand="1"/>
        </w:tblPrEx>
        <w:trPr>
          <w:trHeight w:val="564"/>
        </w:trPr>
        <w:tc>
          <w:tcPr>
            <w:tcW w:w="737" w:type="dxa"/>
            <w:gridSpan w:val="2"/>
            <w:shd w:val="clear" w:color="auto" w:fill="auto"/>
          </w:tcPr>
          <w:p w14:paraId="03DAB5B7" w14:textId="0BD28AEA" w:rsidR="00463025" w:rsidRPr="00AD4676" w:rsidRDefault="00463025" w:rsidP="00463025">
            <w:pPr>
              <w:spacing w:after="120" w:line="240" w:lineRule="auto"/>
              <w:ind w:firstLine="0"/>
              <w:jc w:val="left"/>
              <w:rPr>
                <w:rFonts w:eastAsia="Times New Roman"/>
                <w:sz w:val="24"/>
                <w:szCs w:val="24"/>
                <w:lang w:eastAsia="lv-LV"/>
              </w:rPr>
            </w:pPr>
            <w:r>
              <w:rPr>
                <w:rFonts w:eastAsia="Times New Roman"/>
                <w:sz w:val="24"/>
                <w:szCs w:val="24"/>
                <w:lang w:eastAsia="lv-LV"/>
              </w:rPr>
              <w:t>1.</w:t>
            </w:r>
          </w:p>
        </w:tc>
        <w:tc>
          <w:tcPr>
            <w:tcW w:w="3054" w:type="dxa"/>
            <w:gridSpan w:val="2"/>
            <w:shd w:val="clear" w:color="auto" w:fill="auto"/>
          </w:tcPr>
          <w:p w14:paraId="5E2CB4D2" w14:textId="08DB67EF" w:rsidR="00463025" w:rsidRPr="00AD4676" w:rsidRDefault="00463025" w:rsidP="00463025">
            <w:pPr>
              <w:spacing w:after="120" w:line="240" w:lineRule="auto"/>
              <w:ind w:firstLine="0"/>
              <w:jc w:val="left"/>
              <w:rPr>
                <w:rFonts w:eastAsia="Times New Roman"/>
                <w:sz w:val="24"/>
                <w:szCs w:val="24"/>
                <w:lang w:eastAsia="lv-LV"/>
              </w:rPr>
            </w:pPr>
            <w:r w:rsidRPr="00AD4676">
              <w:rPr>
                <w:rFonts w:eastAsia="Times New Roman"/>
                <w:sz w:val="24"/>
                <w:szCs w:val="24"/>
                <w:lang w:eastAsia="lv-LV"/>
              </w:rPr>
              <w:t>Projekta izpildē iesaistītās institūcijas</w:t>
            </w:r>
          </w:p>
        </w:tc>
        <w:tc>
          <w:tcPr>
            <w:tcW w:w="5990" w:type="dxa"/>
            <w:shd w:val="clear" w:color="auto" w:fill="auto"/>
          </w:tcPr>
          <w:p w14:paraId="7421C9AE" w14:textId="77777777" w:rsidR="00463025" w:rsidRDefault="00463025" w:rsidP="00463025">
            <w:pPr>
              <w:spacing w:after="120" w:line="240" w:lineRule="auto"/>
              <w:ind w:firstLine="0"/>
              <w:rPr>
                <w:rFonts w:eastAsia="Times New Roman"/>
                <w:sz w:val="24"/>
                <w:szCs w:val="24"/>
                <w:lang w:eastAsia="lv-LV"/>
              </w:rPr>
            </w:pPr>
            <w:r w:rsidRPr="00AD4676">
              <w:rPr>
                <w:rFonts w:eastAsia="Times New Roman"/>
                <w:sz w:val="24"/>
                <w:szCs w:val="24"/>
                <w:lang w:eastAsia="lv-LV"/>
              </w:rPr>
              <w:t>Valsts akciju sabiedrība „Ceļu satiksmes drošības direkcija”.</w:t>
            </w:r>
          </w:p>
          <w:p w14:paraId="4F431FE8" w14:textId="77777777" w:rsidR="00463025" w:rsidRPr="00AD4676" w:rsidRDefault="00463025" w:rsidP="00463025">
            <w:pPr>
              <w:spacing w:after="120" w:line="240" w:lineRule="auto"/>
              <w:ind w:firstLine="0"/>
              <w:rPr>
                <w:rFonts w:eastAsia="Times New Roman"/>
                <w:sz w:val="24"/>
                <w:szCs w:val="24"/>
                <w:lang w:eastAsia="lv-LV"/>
              </w:rPr>
            </w:pPr>
          </w:p>
        </w:tc>
      </w:tr>
      <w:tr w:rsidR="00463025" w14:paraId="214E546B" w14:textId="77777777" w:rsidTr="00811322">
        <w:tblPrEx>
          <w:tblCellMar>
            <w:left w:w="108" w:type="dxa"/>
            <w:right w:w="108" w:type="dxa"/>
          </w:tblCellMar>
          <w:tblLook w:val="04A0" w:firstRow="1" w:lastRow="0" w:firstColumn="1" w:lastColumn="0" w:noHBand="0" w:noVBand="1"/>
        </w:tblPrEx>
        <w:trPr>
          <w:trHeight w:val="685"/>
        </w:trPr>
        <w:tc>
          <w:tcPr>
            <w:tcW w:w="737" w:type="dxa"/>
            <w:gridSpan w:val="2"/>
            <w:shd w:val="clear" w:color="auto" w:fill="auto"/>
          </w:tcPr>
          <w:p w14:paraId="39747DEC" w14:textId="414ECE62" w:rsidR="00463025" w:rsidRPr="00AD4676" w:rsidRDefault="00463025" w:rsidP="00463025">
            <w:pPr>
              <w:spacing w:after="120" w:line="240" w:lineRule="auto"/>
              <w:ind w:firstLine="0"/>
              <w:rPr>
                <w:rFonts w:eastAsia="Times New Roman"/>
                <w:sz w:val="24"/>
                <w:szCs w:val="24"/>
                <w:lang w:eastAsia="lv-LV"/>
              </w:rPr>
            </w:pPr>
            <w:r>
              <w:rPr>
                <w:rFonts w:eastAsia="Times New Roman"/>
                <w:sz w:val="24"/>
                <w:szCs w:val="24"/>
                <w:lang w:eastAsia="lv-LV"/>
              </w:rPr>
              <w:t>2.</w:t>
            </w:r>
          </w:p>
        </w:tc>
        <w:tc>
          <w:tcPr>
            <w:tcW w:w="3054" w:type="dxa"/>
            <w:gridSpan w:val="2"/>
            <w:shd w:val="clear" w:color="auto" w:fill="auto"/>
          </w:tcPr>
          <w:p w14:paraId="77233709" w14:textId="642EEC60" w:rsidR="00463025" w:rsidRPr="00AD4676" w:rsidRDefault="00463025" w:rsidP="00463025">
            <w:pPr>
              <w:spacing w:after="120" w:line="240" w:lineRule="auto"/>
              <w:ind w:firstLine="0"/>
              <w:rPr>
                <w:rFonts w:eastAsia="Times New Roman"/>
                <w:sz w:val="24"/>
                <w:szCs w:val="24"/>
                <w:lang w:eastAsia="lv-LV"/>
              </w:rPr>
            </w:pPr>
            <w:r w:rsidRPr="00AD4676">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990" w:type="dxa"/>
            <w:shd w:val="clear" w:color="auto" w:fill="auto"/>
          </w:tcPr>
          <w:p w14:paraId="1D0343D7" w14:textId="4EB1CFAC" w:rsidR="00463025" w:rsidRDefault="00463025" w:rsidP="00A2064D">
            <w:pPr>
              <w:spacing w:after="120" w:line="240" w:lineRule="auto"/>
              <w:ind w:firstLine="0"/>
            </w:pPr>
            <w:r w:rsidRPr="00AD4676">
              <w:rPr>
                <w:rFonts w:eastAsia="Times New Roman"/>
                <w:sz w:val="24"/>
                <w:szCs w:val="24"/>
                <w:lang w:eastAsia="lv-LV"/>
              </w:rPr>
              <w:t xml:space="preserve">Normatīvā akta izpilde tiks nodrošināta </w:t>
            </w:r>
            <w:r w:rsidR="00A2064D">
              <w:rPr>
                <w:rFonts w:eastAsia="Times New Roman"/>
                <w:sz w:val="24"/>
                <w:szCs w:val="24"/>
                <w:lang w:eastAsia="lv-LV"/>
              </w:rPr>
              <w:t>v</w:t>
            </w:r>
            <w:r w:rsidR="00A2064D" w:rsidRPr="00AD4676">
              <w:rPr>
                <w:rFonts w:eastAsia="Times New Roman"/>
                <w:sz w:val="24"/>
                <w:szCs w:val="24"/>
                <w:lang w:eastAsia="lv-LV"/>
              </w:rPr>
              <w:t>alsts akciju sabiedrība</w:t>
            </w:r>
            <w:r w:rsidR="00A2064D">
              <w:rPr>
                <w:rFonts w:eastAsia="Times New Roman"/>
                <w:sz w:val="24"/>
                <w:szCs w:val="24"/>
                <w:lang w:eastAsia="lv-LV"/>
              </w:rPr>
              <w:t>s</w:t>
            </w:r>
            <w:r w:rsidR="00A2064D" w:rsidRPr="00AD4676">
              <w:rPr>
                <w:rFonts w:eastAsia="Times New Roman"/>
                <w:sz w:val="24"/>
                <w:szCs w:val="24"/>
                <w:lang w:eastAsia="lv-LV"/>
              </w:rPr>
              <w:t xml:space="preserve"> „Ceļu satiksmes drošības direkcija”</w:t>
            </w:r>
            <w:r w:rsidR="00A2064D">
              <w:rPr>
                <w:rFonts w:eastAsia="Times New Roman"/>
                <w:sz w:val="24"/>
                <w:szCs w:val="24"/>
                <w:lang w:eastAsia="lv-LV"/>
              </w:rPr>
              <w:t xml:space="preserve"> līdzšinējo </w:t>
            </w:r>
            <w:r w:rsidRPr="00AD4676">
              <w:rPr>
                <w:rFonts w:eastAsia="Times New Roman"/>
                <w:sz w:val="24"/>
                <w:szCs w:val="24"/>
                <w:lang w:eastAsia="lv-LV"/>
              </w:rPr>
              <w:t>funkciju ietvaros.</w:t>
            </w:r>
          </w:p>
        </w:tc>
      </w:tr>
      <w:tr w:rsidR="00463025" w:rsidRPr="0027189F" w14:paraId="0E7A80C6" w14:textId="77777777" w:rsidTr="00811322">
        <w:tblPrEx>
          <w:tblCellMar>
            <w:left w:w="108" w:type="dxa"/>
            <w:right w:w="108" w:type="dxa"/>
          </w:tblCellMar>
          <w:tblLook w:val="04A0" w:firstRow="1" w:lastRow="0" w:firstColumn="1" w:lastColumn="0" w:noHBand="0" w:noVBand="1"/>
        </w:tblPrEx>
        <w:trPr>
          <w:trHeight w:val="416"/>
        </w:trPr>
        <w:tc>
          <w:tcPr>
            <w:tcW w:w="737" w:type="dxa"/>
            <w:gridSpan w:val="2"/>
            <w:shd w:val="clear" w:color="auto" w:fill="auto"/>
          </w:tcPr>
          <w:p w14:paraId="166B0345" w14:textId="2FD4F5F5" w:rsidR="00463025" w:rsidRPr="00AD4676" w:rsidRDefault="00463025" w:rsidP="00463025">
            <w:pPr>
              <w:spacing w:after="120" w:line="240" w:lineRule="auto"/>
              <w:ind w:firstLine="0"/>
              <w:jc w:val="left"/>
              <w:rPr>
                <w:rFonts w:eastAsia="Times New Roman"/>
                <w:sz w:val="24"/>
                <w:szCs w:val="24"/>
                <w:lang w:eastAsia="lv-LV"/>
              </w:rPr>
            </w:pPr>
            <w:r>
              <w:rPr>
                <w:rFonts w:eastAsia="Times New Roman"/>
                <w:sz w:val="24"/>
                <w:szCs w:val="24"/>
                <w:lang w:eastAsia="lv-LV"/>
              </w:rPr>
              <w:t>3.</w:t>
            </w:r>
          </w:p>
        </w:tc>
        <w:tc>
          <w:tcPr>
            <w:tcW w:w="3054" w:type="dxa"/>
            <w:gridSpan w:val="2"/>
            <w:shd w:val="clear" w:color="auto" w:fill="auto"/>
          </w:tcPr>
          <w:p w14:paraId="55094105" w14:textId="772F13AF" w:rsidR="00463025" w:rsidRPr="00AD4676" w:rsidRDefault="00463025" w:rsidP="00463025">
            <w:pPr>
              <w:spacing w:after="120" w:line="240" w:lineRule="auto"/>
              <w:ind w:firstLine="0"/>
              <w:jc w:val="left"/>
              <w:rPr>
                <w:rFonts w:eastAsia="Times New Roman"/>
                <w:sz w:val="24"/>
                <w:szCs w:val="24"/>
                <w:lang w:eastAsia="lv-LV"/>
              </w:rPr>
            </w:pPr>
            <w:r w:rsidRPr="00AD4676">
              <w:rPr>
                <w:rFonts w:eastAsia="Times New Roman"/>
                <w:sz w:val="24"/>
                <w:szCs w:val="24"/>
                <w:lang w:eastAsia="lv-LV"/>
              </w:rPr>
              <w:t>Cita informācija</w:t>
            </w:r>
          </w:p>
        </w:tc>
        <w:tc>
          <w:tcPr>
            <w:tcW w:w="5990" w:type="dxa"/>
            <w:shd w:val="clear" w:color="auto" w:fill="auto"/>
          </w:tcPr>
          <w:p w14:paraId="5F1046D7" w14:textId="77777777" w:rsidR="00463025" w:rsidRPr="00AD4676" w:rsidRDefault="00463025" w:rsidP="00463025">
            <w:pPr>
              <w:spacing w:after="120"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14:paraId="49FCDF96" w14:textId="77777777" w:rsidR="00811322" w:rsidRDefault="00811322" w:rsidP="00811322">
      <w:pPr>
        <w:keepNext/>
        <w:tabs>
          <w:tab w:val="left" w:pos="6840"/>
        </w:tabs>
        <w:spacing w:line="240" w:lineRule="auto"/>
        <w:ind w:firstLine="0"/>
        <w:jc w:val="left"/>
        <w:outlineLvl w:val="2"/>
        <w:rPr>
          <w:rFonts w:eastAsia="Times New Roman"/>
          <w:bCs/>
          <w:szCs w:val="24"/>
        </w:rPr>
      </w:pPr>
    </w:p>
    <w:p w14:paraId="5E44AD2C" w14:textId="77777777" w:rsidR="00811322" w:rsidRDefault="00811322" w:rsidP="00811322">
      <w:pPr>
        <w:keepNext/>
        <w:tabs>
          <w:tab w:val="left" w:pos="6840"/>
        </w:tabs>
        <w:spacing w:line="240" w:lineRule="auto"/>
        <w:ind w:firstLine="0"/>
        <w:jc w:val="left"/>
        <w:outlineLvl w:val="2"/>
        <w:rPr>
          <w:rFonts w:eastAsia="Times New Roman"/>
          <w:bCs/>
          <w:sz w:val="24"/>
          <w:szCs w:val="24"/>
        </w:rPr>
      </w:pPr>
    </w:p>
    <w:p w14:paraId="5290202F" w14:textId="051A553D" w:rsidR="00811322" w:rsidRPr="00811322" w:rsidRDefault="00811322" w:rsidP="00811322">
      <w:pPr>
        <w:keepNext/>
        <w:tabs>
          <w:tab w:val="left" w:pos="6840"/>
        </w:tabs>
        <w:spacing w:line="240" w:lineRule="auto"/>
        <w:ind w:left="-426" w:firstLine="0"/>
        <w:jc w:val="left"/>
        <w:outlineLvl w:val="2"/>
        <w:rPr>
          <w:rFonts w:eastAsia="Times New Roman"/>
          <w:bCs/>
          <w:sz w:val="24"/>
          <w:szCs w:val="24"/>
        </w:rPr>
      </w:pPr>
      <w:r w:rsidRPr="00811322">
        <w:rPr>
          <w:rFonts w:eastAsia="Times New Roman"/>
          <w:bCs/>
          <w:sz w:val="24"/>
          <w:szCs w:val="24"/>
        </w:rPr>
        <w:t>Satiksmes ministrs</w:t>
      </w:r>
      <w:r w:rsidRPr="00811322">
        <w:rPr>
          <w:rFonts w:eastAsia="Times New Roman"/>
          <w:bCs/>
          <w:sz w:val="24"/>
          <w:szCs w:val="24"/>
        </w:rPr>
        <w:tab/>
      </w:r>
      <w:r w:rsidRPr="00811322">
        <w:rPr>
          <w:rFonts w:eastAsia="Times New Roman"/>
          <w:bCs/>
          <w:sz w:val="24"/>
          <w:szCs w:val="24"/>
        </w:rPr>
        <w:tab/>
      </w:r>
      <w:r w:rsidRPr="00811322">
        <w:rPr>
          <w:rFonts w:eastAsia="Times New Roman"/>
          <w:bCs/>
          <w:sz w:val="24"/>
          <w:szCs w:val="24"/>
        </w:rPr>
        <w:tab/>
      </w:r>
      <w:proofErr w:type="spellStart"/>
      <w:r w:rsidRPr="00811322">
        <w:rPr>
          <w:rFonts w:eastAsia="Times New Roman"/>
          <w:bCs/>
          <w:sz w:val="24"/>
          <w:szCs w:val="24"/>
        </w:rPr>
        <w:t>U.Augulis</w:t>
      </w:r>
      <w:proofErr w:type="spellEnd"/>
    </w:p>
    <w:p w14:paraId="7E2F8210" w14:textId="77777777" w:rsidR="00811322" w:rsidRPr="00811322" w:rsidRDefault="00811322" w:rsidP="00811322">
      <w:pPr>
        <w:tabs>
          <w:tab w:val="center" w:pos="4536"/>
          <w:tab w:val="right" w:pos="8306"/>
        </w:tabs>
        <w:spacing w:line="240" w:lineRule="auto"/>
        <w:ind w:firstLine="0"/>
        <w:jc w:val="left"/>
        <w:rPr>
          <w:rFonts w:eastAsia="Times New Roman"/>
          <w:sz w:val="24"/>
          <w:szCs w:val="24"/>
          <w:lang w:eastAsia="lv-LV"/>
        </w:rPr>
      </w:pPr>
    </w:p>
    <w:p w14:paraId="7F9D9B97" w14:textId="1CB4B028" w:rsidR="00811322" w:rsidRDefault="00811322" w:rsidP="00811322">
      <w:pPr>
        <w:tabs>
          <w:tab w:val="center" w:pos="4536"/>
          <w:tab w:val="right" w:pos="8306"/>
        </w:tabs>
        <w:spacing w:line="240" w:lineRule="auto"/>
        <w:ind w:firstLine="0"/>
        <w:jc w:val="left"/>
        <w:rPr>
          <w:rFonts w:eastAsia="Times New Roman"/>
          <w:sz w:val="24"/>
          <w:szCs w:val="24"/>
          <w:lang w:eastAsia="lv-LV"/>
        </w:rPr>
      </w:pPr>
    </w:p>
    <w:p w14:paraId="5AD6BA48" w14:textId="7AB54E7E" w:rsidR="00811322" w:rsidRDefault="00811322" w:rsidP="00811322">
      <w:pPr>
        <w:tabs>
          <w:tab w:val="center" w:pos="4536"/>
          <w:tab w:val="right" w:pos="8306"/>
        </w:tabs>
        <w:spacing w:line="240" w:lineRule="auto"/>
        <w:ind w:firstLine="0"/>
        <w:jc w:val="left"/>
        <w:rPr>
          <w:rFonts w:eastAsia="Times New Roman"/>
          <w:sz w:val="24"/>
          <w:szCs w:val="24"/>
          <w:lang w:eastAsia="lv-LV"/>
        </w:rPr>
      </w:pPr>
    </w:p>
    <w:p w14:paraId="18913F06" w14:textId="77777777" w:rsidR="00811322" w:rsidRPr="00811322" w:rsidRDefault="00811322" w:rsidP="00811322">
      <w:pPr>
        <w:tabs>
          <w:tab w:val="center" w:pos="4536"/>
          <w:tab w:val="right" w:pos="8306"/>
        </w:tabs>
        <w:spacing w:line="240" w:lineRule="auto"/>
        <w:ind w:firstLine="0"/>
        <w:jc w:val="left"/>
        <w:rPr>
          <w:rFonts w:eastAsia="Times New Roman"/>
          <w:sz w:val="24"/>
          <w:szCs w:val="24"/>
          <w:lang w:eastAsia="lv-LV"/>
        </w:rPr>
      </w:pPr>
    </w:p>
    <w:p w14:paraId="5C66F2C1" w14:textId="77777777" w:rsidR="00811322" w:rsidRPr="00811322" w:rsidRDefault="00811322" w:rsidP="00811322">
      <w:pPr>
        <w:keepNext/>
        <w:tabs>
          <w:tab w:val="left" w:pos="6840"/>
        </w:tabs>
        <w:spacing w:line="240" w:lineRule="auto"/>
        <w:ind w:left="-426" w:firstLine="0"/>
        <w:jc w:val="left"/>
        <w:outlineLvl w:val="2"/>
        <w:rPr>
          <w:rFonts w:eastAsia="Times New Roman"/>
          <w:bCs/>
          <w:sz w:val="24"/>
          <w:szCs w:val="24"/>
        </w:rPr>
      </w:pPr>
      <w:r w:rsidRPr="00811322">
        <w:rPr>
          <w:rFonts w:eastAsia="Times New Roman"/>
          <w:bCs/>
          <w:sz w:val="24"/>
          <w:szCs w:val="24"/>
        </w:rPr>
        <w:t>Vīza: Valsts sekretārs</w:t>
      </w:r>
      <w:r w:rsidRPr="00811322">
        <w:rPr>
          <w:rFonts w:eastAsia="Times New Roman"/>
          <w:bCs/>
          <w:sz w:val="24"/>
          <w:szCs w:val="24"/>
        </w:rPr>
        <w:tab/>
      </w:r>
      <w:r w:rsidRPr="00811322">
        <w:rPr>
          <w:rFonts w:eastAsia="Times New Roman"/>
          <w:bCs/>
          <w:sz w:val="24"/>
          <w:szCs w:val="24"/>
        </w:rPr>
        <w:tab/>
      </w:r>
      <w:r w:rsidRPr="00811322">
        <w:rPr>
          <w:rFonts w:eastAsia="Times New Roman"/>
          <w:bCs/>
          <w:sz w:val="24"/>
          <w:szCs w:val="24"/>
        </w:rPr>
        <w:tab/>
      </w:r>
      <w:proofErr w:type="spellStart"/>
      <w:r w:rsidRPr="00811322">
        <w:rPr>
          <w:rFonts w:eastAsia="Times New Roman"/>
          <w:bCs/>
          <w:sz w:val="24"/>
          <w:szCs w:val="24"/>
        </w:rPr>
        <w:t>K.Ozoliņš</w:t>
      </w:r>
      <w:proofErr w:type="spellEnd"/>
    </w:p>
    <w:p w14:paraId="6DCC42D2" w14:textId="77777777" w:rsidR="002031E0" w:rsidRDefault="002031E0" w:rsidP="00E37BE8">
      <w:pPr>
        <w:spacing w:after="120" w:line="240" w:lineRule="auto"/>
        <w:jc w:val="left"/>
        <w:rPr>
          <w:rFonts w:eastAsia="Times New Roman"/>
          <w:szCs w:val="28"/>
          <w:lang w:eastAsia="lv-LV"/>
        </w:rPr>
      </w:pPr>
    </w:p>
    <w:p w14:paraId="3F9B0004" w14:textId="77777777" w:rsidR="005E015B" w:rsidRDefault="005E015B" w:rsidP="00E37BE8">
      <w:pPr>
        <w:pStyle w:val="Header"/>
        <w:spacing w:after="120"/>
        <w:ind w:firstLine="0"/>
        <w:rPr>
          <w:sz w:val="20"/>
          <w:szCs w:val="20"/>
        </w:rPr>
      </w:pPr>
    </w:p>
    <w:p w14:paraId="5C60EFEB" w14:textId="77777777" w:rsidR="00811322" w:rsidRPr="00811322" w:rsidRDefault="00811322" w:rsidP="00811322">
      <w:pPr>
        <w:spacing w:line="240" w:lineRule="auto"/>
        <w:ind w:left="-567" w:firstLine="0"/>
        <w:jc w:val="left"/>
        <w:rPr>
          <w:sz w:val="20"/>
          <w:szCs w:val="20"/>
          <w:lang w:eastAsia="lv-LV"/>
        </w:rPr>
      </w:pPr>
      <w:r w:rsidRPr="00811322">
        <w:rPr>
          <w:sz w:val="20"/>
          <w:szCs w:val="20"/>
          <w:lang w:eastAsia="lv-LV"/>
        </w:rPr>
        <w:t>05.06.2018.</w:t>
      </w:r>
    </w:p>
    <w:p w14:paraId="0DE0E2CA" w14:textId="798FCCE7" w:rsidR="00811322" w:rsidRPr="00811322" w:rsidRDefault="00811322" w:rsidP="00811322">
      <w:pPr>
        <w:spacing w:line="240" w:lineRule="auto"/>
        <w:ind w:left="-567" w:firstLine="0"/>
        <w:jc w:val="left"/>
        <w:rPr>
          <w:sz w:val="20"/>
          <w:szCs w:val="20"/>
          <w:lang w:eastAsia="lv-LV"/>
        </w:rPr>
      </w:pPr>
      <w:r>
        <w:rPr>
          <w:sz w:val="20"/>
          <w:szCs w:val="20"/>
          <w:lang w:eastAsia="lv-LV"/>
        </w:rPr>
        <w:t>2443</w:t>
      </w:r>
    </w:p>
    <w:p w14:paraId="07691FC0" w14:textId="77777777" w:rsidR="00811322" w:rsidRPr="00811322" w:rsidRDefault="00811322" w:rsidP="00811322">
      <w:pPr>
        <w:spacing w:line="240" w:lineRule="auto"/>
        <w:ind w:left="-567" w:firstLine="0"/>
        <w:jc w:val="left"/>
        <w:rPr>
          <w:sz w:val="20"/>
          <w:szCs w:val="20"/>
          <w:lang w:eastAsia="lv-LV"/>
        </w:rPr>
      </w:pPr>
      <w:r w:rsidRPr="00811322">
        <w:rPr>
          <w:sz w:val="20"/>
          <w:szCs w:val="20"/>
          <w:lang w:eastAsia="lv-LV"/>
        </w:rPr>
        <w:t>Lauris Miķelsons 67028323</w:t>
      </w:r>
    </w:p>
    <w:p w14:paraId="66F3BD59" w14:textId="77777777" w:rsidR="00811322" w:rsidRPr="00811322" w:rsidRDefault="00811322" w:rsidP="00811322">
      <w:pPr>
        <w:spacing w:line="240" w:lineRule="auto"/>
        <w:ind w:left="-567" w:firstLine="0"/>
        <w:jc w:val="left"/>
        <w:rPr>
          <w:sz w:val="20"/>
          <w:szCs w:val="20"/>
          <w:lang w:eastAsia="lv-LV"/>
        </w:rPr>
      </w:pPr>
      <w:r w:rsidRPr="00811322">
        <w:rPr>
          <w:rFonts w:eastAsia="Times New Roman"/>
          <w:sz w:val="20"/>
          <w:szCs w:val="20"/>
          <w:lang w:eastAsia="lv-LV"/>
        </w:rPr>
        <w:t>Lauris.Mikelsons@sam.gov.lv</w:t>
      </w:r>
    </w:p>
    <w:p w14:paraId="7200980A" w14:textId="77777777" w:rsidR="0076134E" w:rsidRDefault="0076134E" w:rsidP="00E37BE8">
      <w:pPr>
        <w:pStyle w:val="Header"/>
        <w:spacing w:after="120"/>
        <w:ind w:firstLine="0"/>
        <w:rPr>
          <w:sz w:val="20"/>
          <w:szCs w:val="20"/>
        </w:rPr>
      </w:pPr>
    </w:p>
    <w:p w14:paraId="5D3E4711" w14:textId="321B51B2" w:rsidR="00721B24" w:rsidRPr="008A7BCE" w:rsidRDefault="00721B24" w:rsidP="00E37BE8">
      <w:pPr>
        <w:pStyle w:val="Header"/>
        <w:spacing w:after="120"/>
        <w:ind w:firstLine="0"/>
        <w:rPr>
          <w:sz w:val="20"/>
          <w:szCs w:val="20"/>
        </w:rPr>
      </w:pPr>
    </w:p>
    <w:sectPr w:rsidR="00721B24" w:rsidRPr="008A7BCE" w:rsidSect="00811322">
      <w:headerReference w:type="default" r:id="rId9"/>
      <w:footerReference w:type="default" r:id="rId10"/>
      <w:footerReference w:type="first" r:id="rId11"/>
      <w:pgSz w:w="11906" w:h="16838"/>
      <w:pgMar w:top="1134" w:right="1134" w:bottom="1134" w:left="1701" w:header="709"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D183" w14:textId="77777777" w:rsidR="00A06353" w:rsidRDefault="00A06353" w:rsidP="00E65F54">
      <w:pPr>
        <w:spacing w:line="240" w:lineRule="auto"/>
      </w:pPr>
      <w:r>
        <w:separator/>
      </w:r>
    </w:p>
  </w:endnote>
  <w:endnote w:type="continuationSeparator" w:id="0">
    <w:p w14:paraId="3A0750C7" w14:textId="77777777" w:rsidR="00A06353" w:rsidRDefault="00A06353"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C468" w14:textId="77777777" w:rsidR="00811322" w:rsidRPr="002031E0" w:rsidRDefault="00811322" w:rsidP="00811322">
    <w:pPr>
      <w:pStyle w:val="Footer"/>
      <w:ind w:firstLine="0"/>
    </w:pPr>
    <w:r w:rsidRPr="002031E0">
      <w:rPr>
        <w:sz w:val="20"/>
        <w:szCs w:val="20"/>
      </w:rPr>
      <w:t>SMAnot_</w:t>
    </w:r>
    <w:r>
      <w:rPr>
        <w:sz w:val="20"/>
        <w:szCs w:val="20"/>
      </w:rPr>
      <w:t>0506</w:t>
    </w:r>
    <w:r w:rsidRPr="002031E0">
      <w:rPr>
        <w:sz w:val="20"/>
        <w:szCs w:val="20"/>
      </w:rPr>
      <w:t>18_cenradis</w:t>
    </w:r>
  </w:p>
  <w:p w14:paraId="771354D2" w14:textId="0E4D7AE1" w:rsidR="00E82832" w:rsidRPr="002031E0" w:rsidRDefault="00E82832" w:rsidP="002031E0">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5F0" w14:textId="72B38546" w:rsidR="00E82832" w:rsidRPr="002031E0" w:rsidRDefault="002031E0" w:rsidP="002031E0">
    <w:pPr>
      <w:pStyle w:val="Footer"/>
      <w:ind w:firstLine="0"/>
    </w:pPr>
    <w:r w:rsidRPr="002031E0">
      <w:rPr>
        <w:sz w:val="20"/>
        <w:szCs w:val="20"/>
      </w:rPr>
      <w:t>SMAnot_</w:t>
    </w:r>
    <w:r w:rsidR="00811322">
      <w:rPr>
        <w:sz w:val="20"/>
        <w:szCs w:val="20"/>
      </w:rPr>
      <w:t>0506</w:t>
    </w:r>
    <w:r w:rsidRPr="002031E0">
      <w:rPr>
        <w:sz w:val="20"/>
        <w:szCs w:val="20"/>
      </w:rPr>
      <w:t>18_cenradis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E558" w14:textId="77777777" w:rsidR="00A06353" w:rsidRDefault="00A06353" w:rsidP="00E65F54">
      <w:pPr>
        <w:spacing w:line="240" w:lineRule="auto"/>
      </w:pPr>
      <w:r>
        <w:separator/>
      </w:r>
    </w:p>
  </w:footnote>
  <w:footnote w:type="continuationSeparator" w:id="0">
    <w:p w14:paraId="04E2D844" w14:textId="77777777" w:rsidR="00A06353" w:rsidRDefault="00A06353" w:rsidP="00E65F54">
      <w:pPr>
        <w:spacing w:line="240" w:lineRule="auto"/>
      </w:pPr>
      <w:r>
        <w:continuationSeparator/>
      </w:r>
    </w:p>
  </w:footnote>
  <w:footnote w:id="1">
    <w:p w14:paraId="43098FFE" w14:textId="3AA1772C" w:rsidR="00161634" w:rsidRPr="00161634" w:rsidRDefault="00161634" w:rsidP="00811322">
      <w:pPr>
        <w:pStyle w:val="FootnoteText"/>
        <w:ind w:firstLine="0"/>
        <w:rPr>
          <w:sz w:val="18"/>
        </w:rPr>
      </w:pPr>
      <w:r>
        <w:rPr>
          <w:rStyle w:val="FootnoteReference"/>
        </w:rPr>
        <w:footnoteRef/>
      </w:r>
      <w:r>
        <w:t xml:space="preserve"> </w:t>
      </w:r>
      <w:r w:rsidRPr="00161634">
        <w:rPr>
          <w:szCs w:val="24"/>
        </w:rPr>
        <w:t>Eiropas Parlamenta un Padomes 2014.gada 22.oktobra Direktīva 2014/94/ES par alternatīvo degvielu infrastruktūras ieviešanu</w:t>
      </w:r>
    </w:p>
  </w:footnote>
  <w:footnote w:id="2">
    <w:p w14:paraId="4AE95105" w14:textId="77777777" w:rsidR="007C33E8" w:rsidRDefault="007C33E8" w:rsidP="00811322">
      <w:pPr>
        <w:pStyle w:val="FootnoteText"/>
        <w:ind w:firstLine="0"/>
      </w:pPr>
      <w:r>
        <w:rPr>
          <w:rStyle w:val="FootnoteReference"/>
        </w:rPr>
        <w:footnoteRef/>
      </w:r>
      <w:r>
        <w:t xml:space="preserve"> </w:t>
      </w:r>
      <w:r w:rsidRPr="00EB3DF9">
        <w:t>Degvielas patēriņš tiek noteikts atbilstoši spēkā esošo ES tehnisko normatīvu prasībām, izmantojot NEDC testa cikla metodiku un var atšķirties no reālā degvielas patēriņa.</w:t>
      </w:r>
    </w:p>
  </w:footnote>
  <w:footnote w:id="3">
    <w:p w14:paraId="23FC7F91" w14:textId="77777777" w:rsidR="00522311" w:rsidRDefault="00522311" w:rsidP="00811322">
      <w:pPr>
        <w:pStyle w:val="FootnoteText"/>
        <w:ind w:firstLine="0"/>
      </w:pPr>
      <w:r>
        <w:rPr>
          <w:rStyle w:val="FootnoteReference"/>
        </w:rPr>
        <w:footnoteRef/>
      </w:r>
      <w:r>
        <w:t xml:space="preserve"> </w:t>
      </w:r>
      <w:r w:rsidRPr="00EB3DF9">
        <w:t xml:space="preserve">Atbilstoši </w:t>
      </w:r>
      <w:r>
        <w:t xml:space="preserve">ETL </w:t>
      </w:r>
      <w:r w:rsidRPr="00EB3DF9">
        <w:t>ražotāj</w:t>
      </w:r>
      <w:r>
        <w:t>u</w:t>
      </w:r>
      <w:r w:rsidRPr="00EB3DF9">
        <w:t xml:space="preserve"> sniegtajiem datiem par elektroenerģijas patēriņu, kas var atšķirties no faktiskā elektroenerģijas patēriņa.</w:t>
      </w:r>
    </w:p>
  </w:footnote>
  <w:footnote w:id="4">
    <w:p w14:paraId="1E23C01D" w14:textId="77777777" w:rsidR="00522311" w:rsidRDefault="00522311" w:rsidP="00811322">
      <w:pPr>
        <w:pStyle w:val="FootnoteText"/>
        <w:ind w:firstLine="0"/>
      </w:pPr>
      <w:r>
        <w:rPr>
          <w:rStyle w:val="FootnoteReference"/>
        </w:rPr>
        <w:footnoteRef/>
      </w:r>
      <w:r>
        <w:t xml:space="preserve"> </w:t>
      </w:r>
      <w:hyperlink r:id="rId1" w:history="1">
        <w:r w:rsidRPr="00C55401">
          <w:rPr>
            <w:rFonts w:eastAsia="Times New Roman"/>
            <w:lang w:eastAsia="lv-LV"/>
          </w:rPr>
          <w:t>Avots: http://elmo.ee/pricing/</w:t>
        </w:r>
      </w:hyperlink>
    </w:p>
  </w:footnote>
  <w:footnote w:id="5">
    <w:p w14:paraId="5C8DEB08" w14:textId="77777777" w:rsidR="00522311" w:rsidRDefault="00522311" w:rsidP="00811322">
      <w:pPr>
        <w:pStyle w:val="FootnoteText"/>
        <w:ind w:firstLine="0"/>
      </w:pPr>
      <w:r>
        <w:rPr>
          <w:rStyle w:val="FootnoteReference"/>
        </w:rPr>
        <w:footnoteRef/>
      </w:r>
      <w:r>
        <w:t xml:space="preserve"> </w:t>
      </w:r>
      <w:r w:rsidRPr="00C55401">
        <w:t>Avot</w:t>
      </w:r>
      <w:r>
        <w:t xml:space="preserve">s: https://map.chargedrive.com/  un </w:t>
      </w:r>
      <w:r w:rsidRPr="007E29EC">
        <w:t>www.gronnkontakt.no</w:t>
      </w:r>
    </w:p>
  </w:footnote>
  <w:footnote w:id="6">
    <w:p w14:paraId="4B7E6B38" w14:textId="77777777" w:rsidR="00522311" w:rsidRPr="007E29EC" w:rsidRDefault="00522311" w:rsidP="00811322">
      <w:pPr>
        <w:pStyle w:val="FootnoteText"/>
        <w:ind w:firstLine="0"/>
      </w:pPr>
      <w:r>
        <w:rPr>
          <w:rStyle w:val="FootnoteReference"/>
        </w:rPr>
        <w:footnoteRef/>
      </w:r>
      <w:r>
        <w:t xml:space="preserve"> </w:t>
      </w:r>
      <w:r w:rsidRPr="007E29EC">
        <w:t xml:space="preserve">Avots: </w:t>
      </w:r>
      <w:hyperlink r:id="rId2" w:history="1">
        <w:r w:rsidRPr="007E29EC">
          <w:rPr>
            <w:rStyle w:val="Hyperlink"/>
            <w:color w:val="auto"/>
            <w:u w:val="none"/>
          </w:rPr>
          <w:t>http://app.virta.fi/</w:t>
        </w:r>
      </w:hyperlink>
      <w:r w:rsidRPr="007E29EC">
        <w:t xml:space="preserve"> </w:t>
      </w:r>
      <w:r>
        <w:t>un https://map.chargedrive.com/</w:t>
      </w:r>
    </w:p>
  </w:footnote>
  <w:footnote w:id="7">
    <w:p w14:paraId="4BE430F7" w14:textId="77777777" w:rsidR="00522311" w:rsidRDefault="00522311" w:rsidP="00811322">
      <w:pPr>
        <w:pStyle w:val="FootnoteText"/>
        <w:ind w:firstLine="0"/>
      </w:pPr>
      <w:r>
        <w:rPr>
          <w:rStyle w:val="FootnoteReference"/>
        </w:rPr>
        <w:footnoteRef/>
      </w:r>
      <w:r>
        <w:t xml:space="preserve"> </w:t>
      </w:r>
      <w:r w:rsidRPr="007E29EC">
        <w:t>Avots: https://map.chargedrive.com/</w:t>
      </w:r>
    </w:p>
  </w:footnote>
  <w:footnote w:id="8">
    <w:p w14:paraId="0C37439C" w14:textId="77777777" w:rsidR="00522311" w:rsidRDefault="00522311" w:rsidP="00811322">
      <w:pPr>
        <w:pStyle w:val="FootnoteText"/>
        <w:ind w:firstLine="0"/>
      </w:pPr>
      <w:r>
        <w:rPr>
          <w:rStyle w:val="FootnoteReference"/>
        </w:rPr>
        <w:footnoteRef/>
      </w:r>
      <w:r>
        <w:t xml:space="preserve"> </w:t>
      </w:r>
      <w:r w:rsidRPr="007E29EC">
        <w:t>Avots: http://www.sodetrel-mobilite.fr/cb/portal/#/offer</w:t>
      </w:r>
    </w:p>
  </w:footnote>
  <w:footnote w:id="9">
    <w:p w14:paraId="3F295CE9" w14:textId="77777777" w:rsidR="00522311" w:rsidRDefault="00522311" w:rsidP="00811322">
      <w:pPr>
        <w:pStyle w:val="FootnoteText"/>
        <w:ind w:firstLine="0"/>
      </w:pPr>
      <w:r>
        <w:rPr>
          <w:rStyle w:val="FootnoteReference"/>
        </w:rPr>
        <w:footnoteRef/>
      </w:r>
      <w:r>
        <w:t xml:space="preserve"> </w:t>
      </w:r>
      <w:r w:rsidRPr="007E29EC">
        <w:t>Avots: https://ella.at/leistungen/</w:t>
      </w:r>
    </w:p>
  </w:footnote>
  <w:footnote w:id="10">
    <w:p w14:paraId="4DE2F4BF" w14:textId="42ACFBA2" w:rsidR="00C75CE1" w:rsidRDefault="00C75CE1" w:rsidP="00811322">
      <w:pPr>
        <w:pStyle w:val="FootnoteText"/>
        <w:ind w:firstLine="0"/>
      </w:pPr>
      <w:r>
        <w:rPr>
          <w:rStyle w:val="FootnoteReference"/>
        </w:rPr>
        <w:footnoteRef/>
      </w:r>
      <w:r>
        <w:t xml:space="preserve"> </w:t>
      </w:r>
      <w:r w:rsidRPr="00C75CE1">
        <w:t>Ministru kabineta 2013.gada 27.decembra rīkojums Nr.683 „Par Transporta attīstības pamatnostādnēm 2014. – 2020.gadam”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F28F" w14:textId="13BD8E21" w:rsidR="00E82832" w:rsidRDefault="00E82832" w:rsidP="0047322B">
    <w:pPr>
      <w:pStyle w:val="Header"/>
      <w:ind w:firstLine="0"/>
      <w:jc w:val="center"/>
    </w:pPr>
    <w:r>
      <w:fldChar w:fldCharType="begin"/>
    </w:r>
    <w:r>
      <w:instrText xml:space="preserve"> PAGE   \* MERGEFORMAT </w:instrText>
    </w:r>
    <w:r>
      <w:fldChar w:fldCharType="separate"/>
    </w:r>
    <w:r w:rsidR="008003B5">
      <w:rPr>
        <w:noProof/>
      </w:rPr>
      <w:t>11</w:t>
    </w:r>
    <w:r>
      <w:fldChar w:fldCharType="end"/>
    </w:r>
  </w:p>
  <w:p w14:paraId="509A498A" w14:textId="77777777" w:rsidR="00E82832" w:rsidRDefault="00E8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356FF8"/>
    <w:multiLevelType w:val="hybridMultilevel"/>
    <w:tmpl w:val="B864867C"/>
    <w:lvl w:ilvl="0" w:tplc="B478F0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0430BD"/>
    <w:multiLevelType w:val="hybridMultilevel"/>
    <w:tmpl w:val="F4F61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A02059"/>
    <w:multiLevelType w:val="hybridMultilevel"/>
    <w:tmpl w:val="5434CC46"/>
    <w:lvl w:ilvl="0" w:tplc="04260011">
      <w:start w:val="1"/>
      <w:numFmt w:val="decimal"/>
      <w:lvlText w:val="%1)"/>
      <w:lvlJc w:val="left"/>
      <w:pPr>
        <w:ind w:left="722" w:hanging="360"/>
      </w:p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5"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FFC1A08"/>
    <w:multiLevelType w:val="hybridMultilevel"/>
    <w:tmpl w:val="907EB69A"/>
    <w:lvl w:ilvl="0" w:tplc="091E0E00">
      <w:start w:val="1"/>
      <w:numFmt w:val="bullet"/>
      <w:lvlText w:val="-"/>
      <w:lvlJc w:val="left"/>
      <w:pPr>
        <w:ind w:left="362" w:hanging="360"/>
      </w:pPr>
      <w:rPr>
        <w:rFonts w:ascii="Times New Roman" w:eastAsia="Times New Roman" w:hAnsi="Times New Roman" w:cs="Times New Roman" w:hint="default"/>
      </w:rPr>
    </w:lvl>
    <w:lvl w:ilvl="1" w:tplc="04260003" w:tentative="1">
      <w:start w:val="1"/>
      <w:numFmt w:val="bullet"/>
      <w:lvlText w:val="o"/>
      <w:lvlJc w:val="left"/>
      <w:pPr>
        <w:ind w:left="1082" w:hanging="360"/>
      </w:pPr>
      <w:rPr>
        <w:rFonts w:ascii="Courier New" w:hAnsi="Courier New" w:cs="Courier New" w:hint="default"/>
      </w:rPr>
    </w:lvl>
    <w:lvl w:ilvl="2" w:tplc="04260005" w:tentative="1">
      <w:start w:val="1"/>
      <w:numFmt w:val="bullet"/>
      <w:lvlText w:val=""/>
      <w:lvlJc w:val="left"/>
      <w:pPr>
        <w:ind w:left="1802" w:hanging="360"/>
      </w:pPr>
      <w:rPr>
        <w:rFonts w:ascii="Wingdings" w:hAnsi="Wingdings" w:hint="default"/>
      </w:rPr>
    </w:lvl>
    <w:lvl w:ilvl="3" w:tplc="04260001" w:tentative="1">
      <w:start w:val="1"/>
      <w:numFmt w:val="bullet"/>
      <w:lvlText w:val=""/>
      <w:lvlJc w:val="left"/>
      <w:pPr>
        <w:ind w:left="2522" w:hanging="360"/>
      </w:pPr>
      <w:rPr>
        <w:rFonts w:ascii="Symbol" w:hAnsi="Symbol" w:hint="default"/>
      </w:rPr>
    </w:lvl>
    <w:lvl w:ilvl="4" w:tplc="04260003" w:tentative="1">
      <w:start w:val="1"/>
      <w:numFmt w:val="bullet"/>
      <w:lvlText w:val="o"/>
      <w:lvlJc w:val="left"/>
      <w:pPr>
        <w:ind w:left="3242" w:hanging="360"/>
      </w:pPr>
      <w:rPr>
        <w:rFonts w:ascii="Courier New" w:hAnsi="Courier New" w:cs="Courier New" w:hint="default"/>
      </w:rPr>
    </w:lvl>
    <w:lvl w:ilvl="5" w:tplc="04260005" w:tentative="1">
      <w:start w:val="1"/>
      <w:numFmt w:val="bullet"/>
      <w:lvlText w:val=""/>
      <w:lvlJc w:val="left"/>
      <w:pPr>
        <w:ind w:left="3962" w:hanging="360"/>
      </w:pPr>
      <w:rPr>
        <w:rFonts w:ascii="Wingdings" w:hAnsi="Wingdings" w:hint="default"/>
      </w:rPr>
    </w:lvl>
    <w:lvl w:ilvl="6" w:tplc="04260001" w:tentative="1">
      <w:start w:val="1"/>
      <w:numFmt w:val="bullet"/>
      <w:lvlText w:val=""/>
      <w:lvlJc w:val="left"/>
      <w:pPr>
        <w:ind w:left="4682" w:hanging="360"/>
      </w:pPr>
      <w:rPr>
        <w:rFonts w:ascii="Symbol" w:hAnsi="Symbol" w:hint="default"/>
      </w:rPr>
    </w:lvl>
    <w:lvl w:ilvl="7" w:tplc="04260003" w:tentative="1">
      <w:start w:val="1"/>
      <w:numFmt w:val="bullet"/>
      <w:lvlText w:val="o"/>
      <w:lvlJc w:val="left"/>
      <w:pPr>
        <w:ind w:left="5402" w:hanging="360"/>
      </w:pPr>
      <w:rPr>
        <w:rFonts w:ascii="Courier New" w:hAnsi="Courier New" w:cs="Courier New" w:hint="default"/>
      </w:rPr>
    </w:lvl>
    <w:lvl w:ilvl="8" w:tplc="04260005" w:tentative="1">
      <w:start w:val="1"/>
      <w:numFmt w:val="bullet"/>
      <w:lvlText w:val=""/>
      <w:lvlJc w:val="left"/>
      <w:pPr>
        <w:ind w:left="6122" w:hanging="360"/>
      </w:pPr>
      <w:rPr>
        <w:rFonts w:ascii="Wingdings" w:hAnsi="Wingdings" w:hint="default"/>
      </w:rPr>
    </w:lvl>
  </w:abstractNum>
  <w:abstractNum w:abstractNumId="7" w15:restartNumberingAfterBreak="0">
    <w:nsid w:val="79E3395B"/>
    <w:multiLevelType w:val="hybridMultilevel"/>
    <w:tmpl w:val="89F64638"/>
    <w:lvl w:ilvl="0" w:tplc="04260011">
      <w:start w:val="1"/>
      <w:numFmt w:val="decimal"/>
      <w:lvlText w:val="%1)"/>
      <w:lvlJc w:val="left"/>
      <w:pPr>
        <w:ind w:left="362" w:hanging="360"/>
      </w:pPr>
      <w:rPr>
        <w:rFonts w:hint="default"/>
      </w:rPr>
    </w:lvl>
    <w:lvl w:ilvl="1" w:tplc="04260019" w:tentative="1">
      <w:start w:val="1"/>
      <w:numFmt w:val="lowerLetter"/>
      <w:lvlText w:val="%2."/>
      <w:lvlJc w:val="left"/>
      <w:pPr>
        <w:ind w:left="1082" w:hanging="360"/>
      </w:pPr>
    </w:lvl>
    <w:lvl w:ilvl="2" w:tplc="0426001B" w:tentative="1">
      <w:start w:val="1"/>
      <w:numFmt w:val="lowerRoman"/>
      <w:lvlText w:val="%3."/>
      <w:lvlJc w:val="right"/>
      <w:pPr>
        <w:ind w:left="1802" w:hanging="180"/>
      </w:pPr>
    </w:lvl>
    <w:lvl w:ilvl="3" w:tplc="0426000F" w:tentative="1">
      <w:start w:val="1"/>
      <w:numFmt w:val="decimal"/>
      <w:lvlText w:val="%4."/>
      <w:lvlJc w:val="left"/>
      <w:pPr>
        <w:ind w:left="2522" w:hanging="360"/>
      </w:pPr>
    </w:lvl>
    <w:lvl w:ilvl="4" w:tplc="04260019" w:tentative="1">
      <w:start w:val="1"/>
      <w:numFmt w:val="lowerLetter"/>
      <w:lvlText w:val="%5."/>
      <w:lvlJc w:val="left"/>
      <w:pPr>
        <w:ind w:left="3242" w:hanging="360"/>
      </w:pPr>
    </w:lvl>
    <w:lvl w:ilvl="5" w:tplc="0426001B" w:tentative="1">
      <w:start w:val="1"/>
      <w:numFmt w:val="lowerRoman"/>
      <w:lvlText w:val="%6."/>
      <w:lvlJc w:val="right"/>
      <w:pPr>
        <w:ind w:left="3962" w:hanging="180"/>
      </w:pPr>
    </w:lvl>
    <w:lvl w:ilvl="6" w:tplc="0426000F" w:tentative="1">
      <w:start w:val="1"/>
      <w:numFmt w:val="decimal"/>
      <w:lvlText w:val="%7."/>
      <w:lvlJc w:val="left"/>
      <w:pPr>
        <w:ind w:left="4682" w:hanging="360"/>
      </w:pPr>
    </w:lvl>
    <w:lvl w:ilvl="7" w:tplc="04260019" w:tentative="1">
      <w:start w:val="1"/>
      <w:numFmt w:val="lowerLetter"/>
      <w:lvlText w:val="%8."/>
      <w:lvlJc w:val="left"/>
      <w:pPr>
        <w:ind w:left="5402" w:hanging="360"/>
      </w:pPr>
    </w:lvl>
    <w:lvl w:ilvl="8" w:tplc="0426001B" w:tentative="1">
      <w:start w:val="1"/>
      <w:numFmt w:val="lowerRoman"/>
      <w:lvlText w:val="%9."/>
      <w:lvlJc w:val="right"/>
      <w:pPr>
        <w:ind w:left="6122"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9F"/>
    <w:rsid w:val="00007801"/>
    <w:rsid w:val="00013446"/>
    <w:rsid w:val="00013BBF"/>
    <w:rsid w:val="00015C0B"/>
    <w:rsid w:val="000305C4"/>
    <w:rsid w:val="0003680E"/>
    <w:rsid w:val="00036A37"/>
    <w:rsid w:val="00036B0B"/>
    <w:rsid w:val="000439EF"/>
    <w:rsid w:val="000448D7"/>
    <w:rsid w:val="00044BB5"/>
    <w:rsid w:val="000450A5"/>
    <w:rsid w:val="0004524B"/>
    <w:rsid w:val="00047D4B"/>
    <w:rsid w:val="00063F9F"/>
    <w:rsid w:val="00066615"/>
    <w:rsid w:val="00066D08"/>
    <w:rsid w:val="000750A1"/>
    <w:rsid w:val="00076734"/>
    <w:rsid w:val="00080A88"/>
    <w:rsid w:val="000811EA"/>
    <w:rsid w:val="00082E0D"/>
    <w:rsid w:val="00084CB3"/>
    <w:rsid w:val="00091C3F"/>
    <w:rsid w:val="00094458"/>
    <w:rsid w:val="00096C21"/>
    <w:rsid w:val="000A069E"/>
    <w:rsid w:val="000B5D90"/>
    <w:rsid w:val="000B7137"/>
    <w:rsid w:val="000C02D8"/>
    <w:rsid w:val="000C2BF2"/>
    <w:rsid w:val="000C5F83"/>
    <w:rsid w:val="000C6584"/>
    <w:rsid w:val="000E0598"/>
    <w:rsid w:val="000E10EA"/>
    <w:rsid w:val="000E2943"/>
    <w:rsid w:val="000F0627"/>
    <w:rsid w:val="000F1021"/>
    <w:rsid w:val="00103B16"/>
    <w:rsid w:val="001044AA"/>
    <w:rsid w:val="001057D9"/>
    <w:rsid w:val="00105EAD"/>
    <w:rsid w:val="00110B1B"/>
    <w:rsid w:val="0011249D"/>
    <w:rsid w:val="00112B76"/>
    <w:rsid w:val="00117C0A"/>
    <w:rsid w:val="00120C4F"/>
    <w:rsid w:val="001229AC"/>
    <w:rsid w:val="001277CE"/>
    <w:rsid w:val="00127A0B"/>
    <w:rsid w:val="00131CC5"/>
    <w:rsid w:val="0013479B"/>
    <w:rsid w:val="0013670F"/>
    <w:rsid w:val="0015499E"/>
    <w:rsid w:val="00155DBC"/>
    <w:rsid w:val="001572C5"/>
    <w:rsid w:val="001572CA"/>
    <w:rsid w:val="00161634"/>
    <w:rsid w:val="001627B5"/>
    <w:rsid w:val="00165690"/>
    <w:rsid w:val="00167D64"/>
    <w:rsid w:val="00174519"/>
    <w:rsid w:val="0017730B"/>
    <w:rsid w:val="00181B7C"/>
    <w:rsid w:val="001844CC"/>
    <w:rsid w:val="00184718"/>
    <w:rsid w:val="001848C9"/>
    <w:rsid w:val="001851C0"/>
    <w:rsid w:val="00187275"/>
    <w:rsid w:val="00190F90"/>
    <w:rsid w:val="00193C20"/>
    <w:rsid w:val="001970F9"/>
    <w:rsid w:val="001A21CC"/>
    <w:rsid w:val="001B1801"/>
    <w:rsid w:val="001B1BF5"/>
    <w:rsid w:val="001B1FF9"/>
    <w:rsid w:val="001B2B88"/>
    <w:rsid w:val="001B328E"/>
    <w:rsid w:val="001B46BB"/>
    <w:rsid w:val="001B75EE"/>
    <w:rsid w:val="001C0D5F"/>
    <w:rsid w:val="001C0F56"/>
    <w:rsid w:val="001D35B7"/>
    <w:rsid w:val="001D5EEA"/>
    <w:rsid w:val="001E609C"/>
    <w:rsid w:val="001E685A"/>
    <w:rsid w:val="001E6D57"/>
    <w:rsid w:val="001F0C3A"/>
    <w:rsid w:val="001F4D7A"/>
    <w:rsid w:val="00200D00"/>
    <w:rsid w:val="00201B0C"/>
    <w:rsid w:val="00202EEF"/>
    <w:rsid w:val="002031E0"/>
    <w:rsid w:val="00204F40"/>
    <w:rsid w:val="0020575A"/>
    <w:rsid w:val="0020589F"/>
    <w:rsid w:val="00206DCB"/>
    <w:rsid w:val="00207E7D"/>
    <w:rsid w:val="00212E4A"/>
    <w:rsid w:val="00217600"/>
    <w:rsid w:val="00217856"/>
    <w:rsid w:val="00222114"/>
    <w:rsid w:val="00223560"/>
    <w:rsid w:val="00227D24"/>
    <w:rsid w:val="002325C3"/>
    <w:rsid w:val="002333FB"/>
    <w:rsid w:val="002338F3"/>
    <w:rsid w:val="002348E0"/>
    <w:rsid w:val="00242A73"/>
    <w:rsid w:val="002431F8"/>
    <w:rsid w:val="00245706"/>
    <w:rsid w:val="00246B95"/>
    <w:rsid w:val="00254AAA"/>
    <w:rsid w:val="00254E6C"/>
    <w:rsid w:val="0025541C"/>
    <w:rsid w:val="002679F7"/>
    <w:rsid w:val="0027189F"/>
    <w:rsid w:val="002747E2"/>
    <w:rsid w:val="0027493E"/>
    <w:rsid w:val="002833B3"/>
    <w:rsid w:val="00285042"/>
    <w:rsid w:val="00287F35"/>
    <w:rsid w:val="00290A97"/>
    <w:rsid w:val="0029370D"/>
    <w:rsid w:val="00295CAB"/>
    <w:rsid w:val="002968C8"/>
    <w:rsid w:val="00296CB4"/>
    <w:rsid w:val="00297B97"/>
    <w:rsid w:val="002A06E9"/>
    <w:rsid w:val="002A15B0"/>
    <w:rsid w:val="002A2DD8"/>
    <w:rsid w:val="002A3144"/>
    <w:rsid w:val="002A469E"/>
    <w:rsid w:val="002A5F4F"/>
    <w:rsid w:val="002A7E09"/>
    <w:rsid w:val="002B34AC"/>
    <w:rsid w:val="002B561A"/>
    <w:rsid w:val="002B7116"/>
    <w:rsid w:val="002C009C"/>
    <w:rsid w:val="002C04A6"/>
    <w:rsid w:val="002C2B61"/>
    <w:rsid w:val="002C30D8"/>
    <w:rsid w:val="002C5EB8"/>
    <w:rsid w:val="002D0167"/>
    <w:rsid w:val="002D4754"/>
    <w:rsid w:val="002D4B17"/>
    <w:rsid w:val="002D728B"/>
    <w:rsid w:val="002E61AA"/>
    <w:rsid w:val="002F07D2"/>
    <w:rsid w:val="002F6F2D"/>
    <w:rsid w:val="00304890"/>
    <w:rsid w:val="0031015C"/>
    <w:rsid w:val="003143C8"/>
    <w:rsid w:val="00315DA2"/>
    <w:rsid w:val="003168A9"/>
    <w:rsid w:val="0032218D"/>
    <w:rsid w:val="00327DE0"/>
    <w:rsid w:val="003305F2"/>
    <w:rsid w:val="00333C49"/>
    <w:rsid w:val="003367F2"/>
    <w:rsid w:val="003424A2"/>
    <w:rsid w:val="00354129"/>
    <w:rsid w:val="0035438C"/>
    <w:rsid w:val="003555F8"/>
    <w:rsid w:val="00366AE1"/>
    <w:rsid w:val="00370CD2"/>
    <w:rsid w:val="003719BE"/>
    <w:rsid w:val="00375022"/>
    <w:rsid w:val="0037515C"/>
    <w:rsid w:val="003762F4"/>
    <w:rsid w:val="003777D2"/>
    <w:rsid w:val="00387089"/>
    <w:rsid w:val="0039150C"/>
    <w:rsid w:val="003924D7"/>
    <w:rsid w:val="0039258A"/>
    <w:rsid w:val="003A031D"/>
    <w:rsid w:val="003A313F"/>
    <w:rsid w:val="003A5C85"/>
    <w:rsid w:val="003B3844"/>
    <w:rsid w:val="003C027D"/>
    <w:rsid w:val="003D723A"/>
    <w:rsid w:val="003D7BD5"/>
    <w:rsid w:val="003E013A"/>
    <w:rsid w:val="003F21D8"/>
    <w:rsid w:val="003F2842"/>
    <w:rsid w:val="003F2ACF"/>
    <w:rsid w:val="003F4A5D"/>
    <w:rsid w:val="003F6573"/>
    <w:rsid w:val="003F73ED"/>
    <w:rsid w:val="003F74C5"/>
    <w:rsid w:val="003F75B7"/>
    <w:rsid w:val="00410D4D"/>
    <w:rsid w:val="00416B05"/>
    <w:rsid w:val="0041799B"/>
    <w:rsid w:val="00421A23"/>
    <w:rsid w:val="00422720"/>
    <w:rsid w:val="0042286A"/>
    <w:rsid w:val="00423C68"/>
    <w:rsid w:val="0042467D"/>
    <w:rsid w:val="00425826"/>
    <w:rsid w:val="00426BBB"/>
    <w:rsid w:val="00436222"/>
    <w:rsid w:val="00436CFA"/>
    <w:rsid w:val="00437DD4"/>
    <w:rsid w:val="00440491"/>
    <w:rsid w:val="00444FC0"/>
    <w:rsid w:val="00446EB0"/>
    <w:rsid w:val="00447906"/>
    <w:rsid w:val="00454938"/>
    <w:rsid w:val="00455628"/>
    <w:rsid w:val="00463025"/>
    <w:rsid w:val="00466E24"/>
    <w:rsid w:val="0047322B"/>
    <w:rsid w:val="0047727A"/>
    <w:rsid w:val="00484362"/>
    <w:rsid w:val="004871FD"/>
    <w:rsid w:val="00487A42"/>
    <w:rsid w:val="00487FC9"/>
    <w:rsid w:val="00497897"/>
    <w:rsid w:val="00497F28"/>
    <w:rsid w:val="004A557F"/>
    <w:rsid w:val="004B14CA"/>
    <w:rsid w:val="004B749B"/>
    <w:rsid w:val="004C51F7"/>
    <w:rsid w:val="004D7D18"/>
    <w:rsid w:val="004F24E5"/>
    <w:rsid w:val="004F4EAC"/>
    <w:rsid w:val="004F5900"/>
    <w:rsid w:val="00500A65"/>
    <w:rsid w:val="00503C44"/>
    <w:rsid w:val="00504EE4"/>
    <w:rsid w:val="00505A3E"/>
    <w:rsid w:val="0050644E"/>
    <w:rsid w:val="00513367"/>
    <w:rsid w:val="00513C82"/>
    <w:rsid w:val="005174DD"/>
    <w:rsid w:val="00517927"/>
    <w:rsid w:val="00522311"/>
    <w:rsid w:val="00522578"/>
    <w:rsid w:val="005248DA"/>
    <w:rsid w:val="00526D42"/>
    <w:rsid w:val="00526EB3"/>
    <w:rsid w:val="0053189A"/>
    <w:rsid w:val="00532F34"/>
    <w:rsid w:val="00536A82"/>
    <w:rsid w:val="0054240C"/>
    <w:rsid w:val="005424DF"/>
    <w:rsid w:val="005543C7"/>
    <w:rsid w:val="00556218"/>
    <w:rsid w:val="0056523D"/>
    <w:rsid w:val="005668E7"/>
    <w:rsid w:val="00575475"/>
    <w:rsid w:val="00576115"/>
    <w:rsid w:val="00576233"/>
    <w:rsid w:val="00580B45"/>
    <w:rsid w:val="0058386F"/>
    <w:rsid w:val="00584812"/>
    <w:rsid w:val="00584C26"/>
    <w:rsid w:val="00585852"/>
    <w:rsid w:val="0059207F"/>
    <w:rsid w:val="00593809"/>
    <w:rsid w:val="005A0227"/>
    <w:rsid w:val="005A0851"/>
    <w:rsid w:val="005A3223"/>
    <w:rsid w:val="005A4EA4"/>
    <w:rsid w:val="005A5D16"/>
    <w:rsid w:val="005B5B9F"/>
    <w:rsid w:val="005C413A"/>
    <w:rsid w:val="005D526E"/>
    <w:rsid w:val="005D642F"/>
    <w:rsid w:val="005D78C2"/>
    <w:rsid w:val="005E015B"/>
    <w:rsid w:val="005E07E7"/>
    <w:rsid w:val="005E41FC"/>
    <w:rsid w:val="0060264C"/>
    <w:rsid w:val="0060734C"/>
    <w:rsid w:val="0061427A"/>
    <w:rsid w:val="00616318"/>
    <w:rsid w:val="00631409"/>
    <w:rsid w:val="00636A6A"/>
    <w:rsid w:val="00647112"/>
    <w:rsid w:val="00654A6B"/>
    <w:rsid w:val="00654B07"/>
    <w:rsid w:val="00655313"/>
    <w:rsid w:val="0065770B"/>
    <w:rsid w:val="00660E38"/>
    <w:rsid w:val="00662953"/>
    <w:rsid w:val="0066319E"/>
    <w:rsid w:val="00664D98"/>
    <w:rsid w:val="006753BC"/>
    <w:rsid w:val="006816B6"/>
    <w:rsid w:val="00681A6F"/>
    <w:rsid w:val="00681EFB"/>
    <w:rsid w:val="00690C83"/>
    <w:rsid w:val="00691740"/>
    <w:rsid w:val="006917EE"/>
    <w:rsid w:val="006961F1"/>
    <w:rsid w:val="0069642A"/>
    <w:rsid w:val="00697697"/>
    <w:rsid w:val="006A0656"/>
    <w:rsid w:val="006A3498"/>
    <w:rsid w:val="006A4908"/>
    <w:rsid w:val="006B0A13"/>
    <w:rsid w:val="006B4029"/>
    <w:rsid w:val="006B545A"/>
    <w:rsid w:val="006B6926"/>
    <w:rsid w:val="006B7E23"/>
    <w:rsid w:val="006C11D8"/>
    <w:rsid w:val="006C51CB"/>
    <w:rsid w:val="006D2E7F"/>
    <w:rsid w:val="006D731E"/>
    <w:rsid w:val="006E0766"/>
    <w:rsid w:val="006E74FA"/>
    <w:rsid w:val="006F7F1F"/>
    <w:rsid w:val="00710A4F"/>
    <w:rsid w:val="00713572"/>
    <w:rsid w:val="00716594"/>
    <w:rsid w:val="0072009E"/>
    <w:rsid w:val="00721B24"/>
    <w:rsid w:val="00730FCA"/>
    <w:rsid w:val="0073167E"/>
    <w:rsid w:val="007323E8"/>
    <w:rsid w:val="00732A78"/>
    <w:rsid w:val="0073728A"/>
    <w:rsid w:val="007463F7"/>
    <w:rsid w:val="00747754"/>
    <w:rsid w:val="00752546"/>
    <w:rsid w:val="00755A65"/>
    <w:rsid w:val="00757000"/>
    <w:rsid w:val="0076134E"/>
    <w:rsid w:val="0076696A"/>
    <w:rsid w:val="00767A00"/>
    <w:rsid w:val="007749B3"/>
    <w:rsid w:val="007758CA"/>
    <w:rsid w:val="00783107"/>
    <w:rsid w:val="00787478"/>
    <w:rsid w:val="00787BB0"/>
    <w:rsid w:val="00787C00"/>
    <w:rsid w:val="00790A91"/>
    <w:rsid w:val="00794A30"/>
    <w:rsid w:val="00797177"/>
    <w:rsid w:val="007A3A6B"/>
    <w:rsid w:val="007A4EA2"/>
    <w:rsid w:val="007A5EC4"/>
    <w:rsid w:val="007B478B"/>
    <w:rsid w:val="007B7C1D"/>
    <w:rsid w:val="007C174A"/>
    <w:rsid w:val="007C33E8"/>
    <w:rsid w:val="007C3E62"/>
    <w:rsid w:val="007C60A2"/>
    <w:rsid w:val="007D15C0"/>
    <w:rsid w:val="007D1DF0"/>
    <w:rsid w:val="007D6C45"/>
    <w:rsid w:val="007E29EC"/>
    <w:rsid w:val="007E35AC"/>
    <w:rsid w:val="007E51C5"/>
    <w:rsid w:val="007E6A04"/>
    <w:rsid w:val="007E73A0"/>
    <w:rsid w:val="008003B5"/>
    <w:rsid w:val="0080047B"/>
    <w:rsid w:val="00804696"/>
    <w:rsid w:val="008057EB"/>
    <w:rsid w:val="00811322"/>
    <w:rsid w:val="00814FA6"/>
    <w:rsid w:val="00820313"/>
    <w:rsid w:val="00822AAD"/>
    <w:rsid w:val="00824503"/>
    <w:rsid w:val="0083425F"/>
    <w:rsid w:val="00847F94"/>
    <w:rsid w:val="0085087A"/>
    <w:rsid w:val="00852D5C"/>
    <w:rsid w:val="00854F94"/>
    <w:rsid w:val="008574F8"/>
    <w:rsid w:val="00860458"/>
    <w:rsid w:val="0086118D"/>
    <w:rsid w:val="0086133C"/>
    <w:rsid w:val="00863B95"/>
    <w:rsid w:val="008655A1"/>
    <w:rsid w:val="008656E3"/>
    <w:rsid w:val="00870832"/>
    <w:rsid w:val="0087516B"/>
    <w:rsid w:val="008769E1"/>
    <w:rsid w:val="008831E7"/>
    <w:rsid w:val="0088322B"/>
    <w:rsid w:val="00887251"/>
    <w:rsid w:val="0089232A"/>
    <w:rsid w:val="00896DAF"/>
    <w:rsid w:val="008A0E41"/>
    <w:rsid w:val="008A4766"/>
    <w:rsid w:val="008A6B3D"/>
    <w:rsid w:val="008A7AB1"/>
    <w:rsid w:val="008A7BCE"/>
    <w:rsid w:val="008B1726"/>
    <w:rsid w:val="008B2833"/>
    <w:rsid w:val="008C096F"/>
    <w:rsid w:val="008C0BDD"/>
    <w:rsid w:val="008C1E49"/>
    <w:rsid w:val="008C261A"/>
    <w:rsid w:val="008D0901"/>
    <w:rsid w:val="008D5AF0"/>
    <w:rsid w:val="008E4E9E"/>
    <w:rsid w:val="008E4FDC"/>
    <w:rsid w:val="0090061C"/>
    <w:rsid w:val="00901AE9"/>
    <w:rsid w:val="00902794"/>
    <w:rsid w:val="00903C74"/>
    <w:rsid w:val="009071CB"/>
    <w:rsid w:val="00907DDF"/>
    <w:rsid w:val="00910277"/>
    <w:rsid w:val="009106B5"/>
    <w:rsid w:val="00914657"/>
    <w:rsid w:val="0091751B"/>
    <w:rsid w:val="009178DD"/>
    <w:rsid w:val="0092450C"/>
    <w:rsid w:val="0092596D"/>
    <w:rsid w:val="00927D6D"/>
    <w:rsid w:val="00930308"/>
    <w:rsid w:val="0093431A"/>
    <w:rsid w:val="00934564"/>
    <w:rsid w:val="00937C0D"/>
    <w:rsid w:val="00937F72"/>
    <w:rsid w:val="00943440"/>
    <w:rsid w:val="009454B9"/>
    <w:rsid w:val="00946458"/>
    <w:rsid w:val="00955439"/>
    <w:rsid w:val="00956493"/>
    <w:rsid w:val="009604CA"/>
    <w:rsid w:val="00960EAE"/>
    <w:rsid w:val="009627D4"/>
    <w:rsid w:val="00963E18"/>
    <w:rsid w:val="00965AE0"/>
    <w:rsid w:val="009671D1"/>
    <w:rsid w:val="00974550"/>
    <w:rsid w:val="009748D4"/>
    <w:rsid w:val="00982781"/>
    <w:rsid w:val="00982B15"/>
    <w:rsid w:val="00986FAE"/>
    <w:rsid w:val="00991B21"/>
    <w:rsid w:val="00994742"/>
    <w:rsid w:val="00996F00"/>
    <w:rsid w:val="009A3C69"/>
    <w:rsid w:val="009A3F40"/>
    <w:rsid w:val="009A421A"/>
    <w:rsid w:val="009A778F"/>
    <w:rsid w:val="009B33F9"/>
    <w:rsid w:val="009B3A3C"/>
    <w:rsid w:val="009C220D"/>
    <w:rsid w:val="009C7640"/>
    <w:rsid w:val="009C7A7E"/>
    <w:rsid w:val="009D111F"/>
    <w:rsid w:val="009D208B"/>
    <w:rsid w:val="009D3FC0"/>
    <w:rsid w:val="009D46CC"/>
    <w:rsid w:val="009D7511"/>
    <w:rsid w:val="009E3CEB"/>
    <w:rsid w:val="009E3D75"/>
    <w:rsid w:val="009E45B1"/>
    <w:rsid w:val="009E67A2"/>
    <w:rsid w:val="009F41F4"/>
    <w:rsid w:val="00A059EA"/>
    <w:rsid w:val="00A05F81"/>
    <w:rsid w:val="00A06353"/>
    <w:rsid w:val="00A12CE2"/>
    <w:rsid w:val="00A15D3D"/>
    <w:rsid w:val="00A2064D"/>
    <w:rsid w:val="00A20999"/>
    <w:rsid w:val="00A221D2"/>
    <w:rsid w:val="00A24F5C"/>
    <w:rsid w:val="00A26D09"/>
    <w:rsid w:val="00A274F1"/>
    <w:rsid w:val="00A328BE"/>
    <w:rsid w:val="00A41420"/>
    <w:rsid w:val="00A42A7F"/>
    <w:rsid w:val="00A46EBC"/>
    <w:rsid w:val="00A503E2"/>
    <w:rsid w:val="00A52ACA"/>
    <w:rsid w:val="00A55E62"/>
    <w:rsid w:val="00A71C25"/>
    <w:rsid w:val="00A760A2"/>
    <w:rsid w:val="00A80307"/>
    <w:rsid w:val="00A83747"/>
    <w:rsid w:val="00A87A31"/>
    <w:rsid w:val="00A92FBE"/>
    <w:rsid w:val="00AA0D2C"/>
    <w:rsid w:val="00AA3A6B"/>
    <w:rsid w:val="00AA5E1A"/>
    <w:rsid w:val="00AB60FA"/>
    <w:rsid w:val="00AC4412"/>
    <w:rsid w:val="00AD09F2"/>
    <w:rsid w:val="00AE3109"/>
    <w:rsid w:val="00AE3BC9"/>
    <w:rsid w:val="00AF3922"/>
    <w:rsid w:val="00B035C8"/>
    <w:rsid w:val="00B05DF1"/>
    <w:rsid w:val="00B172F1"/>
    <w:rsid w:val="00B22711"/>
    <w:rsid w:val="00B30FA4"/>
    <w:rsid w:val="00B30FC5"/>
    <w:rsid w:val="00B46DC3"/>
    <w:rsid w:val="00B53085"/>
    <w:rsid w:val="00B60338"/>
    <w:rsid w:val="00B61CE7"/>
    <w:rsid w:val="00B702BF"/>
    <w:rsid w:val="00B7138B"/>
    <w:rsid w:val="00B71C57"/>
    <w:rsid w:val="00B72A9D"/>
    <w:rsid w:val="00B7345C"/>
    <w:rsid w:val="00B75DAF"/>
    <w:rsid w:val="00B769C9"/>
    <w:rsid w:val="00B82878"/>
    <w:rsid w:val="00B82E01"/>
    <w:rsid w:val="00B91243"/>
    <w:rsid w:val="00B94DED"/>
    <w:rsid w:val="00BA50FA"/>
    <w:rsid w:val="00BA51FB"/>
    <w:rsid w:val="00BB2269"/>
    <w:rsid w:val="00BB440D"/>
    <w:rsid w:val="00BB634E"/>
    <w:rsid w:val="00BC7652"/>
    <w:rsid w:val="00BD058E"/>
    <w:rsid w:val="00BD3180"/>
    <w:rsid w:val="00BE046E"/>
    <w:rsid w:val="00BE5E2C"/>
    <w:rsid w:val="00BF514B"/>
    <w:rsid w:val="00BF7600"/>
    <w:rsid w:val="00BF7837"/>
    <w:rsid w:val="00C053B1"/>
    <w:rsid w:val="00C070E9"/>
    <w:rsid w:val="00C10433"/>
    <w:rsid w:val="00C15D2E"/>
    <w:rsid w:val="00C16A02"/>
    <w:rsid w:val="00C1785E"/>
    <w:rsid w:val="00C17EEB"/>
    <w:rsid w:val="00C20D78"/>
    <w:rsid w:val="00C23DE7"/>
    <w:rsid w:val="00C25EDD"/>
    <w:rsid w:val="00C26472"/>
    <w:rsid w:val="00C371A7"/>
    <w:rsid w:val="00C42C20"/>
    <w:rsid w:val="00C43201"/>
    <w:rsid w:val="00C4728B"/>
    <w:rsid w:val="00C55401"/>
    <w:rsid w:val="00C610A5"/>
    <w:rsid w:val="00C63F56"/>
    <w:rsid w:val="00C7402F"/>
    <w:rsid w:val="00C75076"/>
    <w:rsid w:val="00C75CE1"/>
    <w:rsid w:val="00C81E24"/>
    <w:rsid w:val="00C84CA4"/>
    <w:rsid w:val="00C86BD9"/>
    <w:rsid w:val="00C92CC2"/>
    <w:rsid w:val="00C9413E"/>
    <w:rsid w:val="00C94874"/>
    <w:rsid w:val="00CA08FB"/>
    <w:rsid w:val="00CA1E38"/>
    <w:rsid w:val="00CA4684"/>
    <w:rsid w:val="00CC171D"/>
    <w:rsid w:val="00CC1A72"/>
    <w:rsid w:val="00CC3B6A"/>
    <w:rsid w:val="00CC5382"/>
    <w:rsid w:val="00CC7161"/>
    <w:rsid w:val="00CD26DC"/>
    <w:rsid w:val="00CD58CE"/>
    <w:rsid w:val="00CD5941"/>
    <w:rsid w:val="00CE253E"/>
    <w:rsid w:val="00CE3764"/>
    <w:rsid w:val="00CE5AD2"/>
    <w:rsid w:val="00CF1AC4"/>
    <w:rsid w:val="00CF3DEC"/>
    <w:rsid w:val="00CF56A5"/>
    <w:rsid w:val="00D12520"/>
    <w:rsid w:val="00D16F48"/>
    <w:rsid w:val="00D21B79"/>
    <w:rsid w:val="00D22876"/>
    <w:rsid w:val="00D2556D"/>
    <w:rsid w:val="00D25800"/>
    <w:rsid w:val="00D25915"/>
    <w:rsid w:val="00D332B2"/>
    <w:rsid w:val="00D33E56"/>
    <w:rsid w:val="00D55924"/>
    <w:rsid w:val="00D56814"/>
    <w:rsid w:val="00D56FCA"/>
    <w:rsid w:val="00D57AEC"/>
    <w:rsid w:val="00D600CB"/>
    <w:rsid w:val="00D625FA"/>
    <w:rsid w:val="00D66415"/>
    <w:rsid w:val="00D7143F"/>
    <w:rsid w:val="00D7191A"/>
    <w:rsid w:val="00D752F8"/>
    <w:rsid w:val="00D762AE"/>
    <w:rsid w:val="00D815F3"/>
    <w:rsid w:val="00D8487A"/>
    <w:rsid w:val="00D87F9C"/>
    <w:rsid w:val="00D92789"/>
    <w:rsid w:val="00D95C11"/>
    <w:rsid w:val="00DA3807"/>
    <w:rsid w:val="00DA4116"/>
    <w:rsid w:val="00DA79FC"/>
    <w:rsid w:val="00DB5570"/>
    <w:rsid w:val="00DB68E7"/>
    <w:rsid w:val="00DC0BAA"/>
    <w:rsid w:val="00DC1B56"/>
    <w:rsid w:val="00DC2F9A"/>
    <w:rsid w:val="00DC3D8A"/>
    <w:rsid w:val="00DC7E7B"/>
    <w:rsid w:val="00DD0E48"/>
    <w:rsid w:val="00DD34A1"/>
    <w:rsid w:val="00DE4A48"/>
    <w:rsid w:val="00DE6125"/>
    <w:rsid w:val="00DF2ED1"/>
    <w:rsid w:val="00E0069B"/>
    <w:rsid w:val="00E06266"/>
    <w:rsid w:val="00E135D7"/>
    <w:rsid w:val="00E213EF"/>
    <w:rsid w:val="00E2406E"/>
    <w:rsid w:val="00E2413C"/>
    <w:rsid w:val="00E27AA4"/>
    <w:rsid w:val="00E35600"/>
    <w:rsid w:val="00E36609"/>
    <w:rsid w:val="00E37335"/>
    <w:rsid w:val="00E37BE8"/>
    <w:rsid w:val="00E565AF"/>
    <w:rsid w:val="00E603C2"/>
    <w:rsid w:val="00E633B2"/>
    <w:rsid w:val="00E65F54"/>
    <w:rsid w:val="00E6730E"/>
    <w:rsid w:val="00E76369"/>
    <w:rsid w:val="00E767CF"/>
    <w:rsid w:val="00E82832"/>
    <w:rsid w:val="00E864EE"/>
    <w:rsid w:val="00E93554"/>
    <w:rsid w:val="00E943C7"/>
    <w:rsid w:val="00EA3BE3"/>
    <w:rsid w:val="00EA63D3"/>
    <w:rsid w:val="00EB0C72"/>
    <w:rsid w:val="00EB3DF9"/>
    <w:rsid w:val="00EB3EF8"/>
    <w:rsid w:val="00EC10C4"/>
    <w:rsid w:val="00EC20CA"/>
    <w:rsid w:val="00EC5C42"/>
    <w:rsid w:val="00EC6F2C"/>
    <w:rsid w:val="00EC79C9"/>
    <w:rsid w:val="00ED7A55"/>
    <w:rsid w:val="00EE0D7C"/>
    <w:rsid w:val="00EF1B68"/>
    <w:rsid w:val="00EF5E10"/>
    <w:rsid w:val="00F0219F"/>
    <w:rsid w:val="00F05597"/>
    <w:rsid w:val="00F06D33"/>
    <w:rsid w:val="00F10303"/>
    <w:rsid w:val="00F1660A"/>
    <w:rsid w:val="00F166F2"/>
    <w:rsid w:val="00F20C12"/>
    <w:rsid w:val="00F22805"/>
    <w:rsid w:val="00F24D66"/>
    <w:rsid w:val="00F37C48"/>
    <w:rsid w:val="00F42240"/>
    <w:rsid w:val="00F44FD7"/>
    <w:rsid w:val="00F51F60"/>
    <w:rsid w:val="00F53109"/>
    <w:rsid w:val="00F5374E"/>
    <w:rsid w:val="00F570A2"/>
    <w:rsid w:val="00F57CEC"/>
    <w:rsid w:val="00F61C44"/>
    <w:rsid w:val="00F647AC"/>
    <w:rsid w:val="00F70DE6"/>
    <w:rsid w:val="00F72E89"/>
    <w:rsid w:val="00F73489"/>
    <w:rsid w:val="00F77785"/>
    <w:rsid w:val="00F80E85"/>
    <w:rsid w:val="00F814BE"/>
    <w:rsid w:val="00F82EC3"/>
    <w:rsid w:val="00F83CC8"/>
    <w:rsid w:val="00F902F1"/>
    <w:rsid w:val="00FA0642"/>
    <w:rsid w:val="00FA42A5"/>
    <w:rsid w:val="00FA5938"/>
    <w:rsid w:val="00FA599E"/>
    <w:rsid w:val="00FA5BB3"/>
    <w:rsid w:val="00FB0E1A"/>
    <w:rsid w:val="00FB7922"/>
    <w:rsid w:val="00FC2928"/>
    <w:rsid w:val="00FC387F"/>
    <w:rsid w:val="00FC5194"/>
    <w:rsid w:val="00FC7346"/>
    <w:rsid w:val="00FD02AC"/>
    <w:rsid w:val="00FD0D3B"/>
    <w:rsid w:val="00FE2170"/>
    <w:rsid w:val="00FE33BA"/>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82BE"/>
  <w15:docId w15:val="{BC51EDE2-D2E9-4878-AEA8-15150F4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 w:type="paragraph" w:styleId="FootnoteText">
    <w:name w:val="footnote text"/>
    <w:basedOn w:val="Normal"/>
    <w:link w:val="FootnoteTextChar"/>
    <w:uiPriority w:val="99"/>
    <w:semiHidden/>
    <w:unhideWhenUsed/>
    <w:rsid w:val="00161634"/>
    <w:pPr>
      <w:spacing w:line="240" w:lineRule="auto"/>
    </w:pPr>
    <w:rPr>
      <w:sz w:val="20"/>
      <w:szCs w:val="20"/>
    </w:rPr>
  </w:style>
  <w:style w:type="character" w:customStyle="1" w:styleId="FootnoteTextChar">
    <w:name w:val="Footnote Text Char"/>
    <w:basedOn w:val="DefaultParagraphFont"/>
    <w:link w:val="FootnoteText"/>
    <w:uiPriority w:val="99"/>
    <w:semiHidden/>
    <w:rsid w:val="00161634"/>
    <w:rPr>
      <w:lang w:eastAsia="en-US"/>
    </w:rPr>
  </w:style>
  <w:style w:type="character" w:styleId="FootnoteReference">
    <w:name w:val="footnote reference"/>
    <w:basedOn w:val="DefaultParagraphFont"/>
    <w:uiPriority w:val="99"/>
    <w:semiHidden/>
    <w:unhideWhenUsed/>
    <w:rsid w:val="00161634"/>
    <w:rPr>
      <w:vertAlign w:val="superscript"/>
    </w:rPr>
  </w:style>
  <w:style w:type="character" w:customStyle="1" w:styleId="UnresolvedMention1">
    <w:name w:val="Unresolved Mention1"/>
    <w:basedOn w:val="DefaultParagraphFont"/>
    <w:uiPriority w:val="99"/>
    <w:semiHidden/>
    <w:unhideWhenUsed/>
    <w:rsid w:val="00C554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159204351">
      <w:bodyDiv w:val="1"/>
      <w:marLeft w:val="0"/>
      <w:marRight w:val="0"/>
      <w:marTop w:val="0"/>
      <w:marBottom w:val="0"/>
      <w:divBdr>
        <w:top w:val="none" w:sz="0" w:space="0" w:color="auto"/>
        <w:left w:val="none" w:sz="0" w:space="0" w:color="auto"/>
        <w:bottom w:val="none" w:sz="0" w:space="0" w:color="auto"/>
        <w:right w:val="none" w:sz="0" w:space="0" w:color="auto"/>
      </w:divBdr>
      <w:divsChild>
        <w:div w:id="1390031372">
          <w:marLeft w:val="0"/>
          <w:marRight w:val="0"/>
          <w:marTop w:val="240"/>
          <w:marBottom w:val="0"/>
          <w:divBdr>
            <w:top w:val="none" w:sz="0" w:space="0" w:color="auto"/>
            <w:left w:val="none" w:sz="0" w:space="0" w:color="auto"/>
            <w:bottom w:val="none" w:sz="0" w:space="0" w:color="auto"/>
            <w:right w:val="none" w:sz="0" w:space="0" w:color="auto"/>
          </w:divBdr>
        </w:div>
      </w:divsChild>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61334363">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447000250">
      <w:bodyDiv w:val="1"/>
      <w:marLeft w:val="0"/>
      <w:marRight w:val="0"/>
      <w:marTop w:val="0"/>
      <w:marBottom w:val="0"/>
      <w:divBdr>
        <w:top w:val="none" w:sz="0" w:space="0" w:color="auto"/>
        <w:left w:val="none" w:sz="0" w:space="0" w:color="auto"/>
        <w:bottom w:val="none" w:sz="0" w:space="0" w:color="auto"/>
        <w:right w:val="none" w:sz="0" w:space="0" w:color="auto"/>
      </w:divBdr>
    </w:div>
    <w:div w:id="1514686789">
      <w:bodyDiv w:val="1"/>
      <w:marLeft w:val="0"/>
      <w:marRight w:val="0"/>
      <w:marTop w:val="0"/>
      <w:marBottom w:val="0"/>
      <w:divBdr>
        <w:top w:val="none" w:sz="0" w:space="0" w:color="auto"/>
        <w:left w:val="none" w:sz="0" w:space="0" w:color="auto"/>
        <w:bottom w:val="none" w:sz="0" w:space="0" w:color="auto"/>
        <w:right w:val="none" w:sz="0" w:space="0" w:color="auto"/>
      </w:divBdr>
    </w:div>
    <w:div w:id="1553537139">
      <w:bodyDiv w:val="1"/>
      <w:marLeft w:val="0"/>
      <w:marRight w:val="0"/>
      <w:marTop w:val="0"/>
      <w:marBottom w:val="0"/>
      <w:divBdr>
        <w:top w:val="none" w:sz="0" w:space="0" w:color="auto"/>
        <w:left w:val="none" w:sz="0" w:space="0" w:color="auto"/>
        <w:bottom w:val="none" w:sz="0" w:space="0" w:color="auto"/>
        <w:right w:val="none" w:sz="0" w:space="0" w:color="auto"/>
      </w:divBdr>
    </w:div>
    <w:div w:id="17334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pp.virta.fi/" TargetMode="External"/><Relationship Id="rId1" Type="http://schemas.openxmlformats.org/officeDocument/2006/relationships/hyperlink" Target="http://elmo.ee/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48E3-C3A5-4001-9F0A-564C4EA3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12296</Words>
  <Characters>7010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24.septembra noteikumos Nr.1000 “Valsts akciju sabiedrības "Ceļu satiksmes drošības direkcija” publisko maksas pakalpojumu cenrādis” sākotnējās ietekmes novērtējuma ziņojums (anot</vt:lpstr>
    </vt:vector>
  </TitlesOfParts>
  <Company>Satiksmes ministrija</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24.septembra noteikumos Nr.1000 “Valsts akciju sabiedrības "Ceļu satiksmes drošības direkcija” publisko maksas pakalpojumu cenrādis” sākotnējās ietekmes novērtējuma ziņojums (anotācija</dc:title>
  <dc:subject>anotācija</dc:subject>
  <dc:creator>Lauris.Mikelsons@sam.gov.lv</dc:creator>
  <cp:keywords/>
  <dc:description>pauls.beinarovics@csdd.gov.lv
67025725</dc:description>
  <cp:lastModifiedBy>Lauris Miķelsons</cp:lastModifiedBy>
  <cp:revision>5</cp:revision>
  <cp:lastPrinted>2018-04-11T09:15:00Z</cp:lastPrinted>
  <dcterms:created xsi:type="dcterms:W3CDTF">2018-06-01T11:23:00Z</dcterms:created>
  <dcterms:modified xsi:type="dcterms:W3CDTF">2018-06-05T09:18:00Z</dcterms:modified>
</cp:coreProperties>
</file>