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817A4" w:rsidRPr="007D043F" w:rsidP="00E817A4" w14:paraId="293721DB" w14:textId="15A54D4A">
      <w:pPr>
        <w:jc w:val="center"/>
        <w:rPr>
          <w:b/>
          <w:sz w:val="28"/>
        </w:rPr>
      </w:pPr>
      <w:r>
        <w:rPr>
          <w:b/>
          <w:color w:val="000000" w:themeColor="text1"/>
          <w:sz w:val="28"/>
        </w:rPr>
        <w:t xml:space="preserve">Sākotnējās ietekmes novērtējuma ziņojums (anotācija) Darbības programmas “Izaugsme un nodarbinātība” </w:t>
      </w:r>
      <w:r w:rsidRPr="005817EF">
        <w:rPr>
          <w:b/>
          <w:color w:val="000000" w:themeColor="text1"/>
          <w:sz w:val="28"/>
        </w:rPr>
        <w:t>5.2.1.specifiskā atbalsta mērķa “Veicināt dažāda veida atkritumu atkārtotu izmantošanu, pārstrādi un reģenerāciju” 5.2.1.2.pasākuma “Atkritumu pārstrādes veicināšana”</w:t>
      </w:r>
      <w:r>
        <w:rPr>
          <w:b/>
          <w:color w:val="000000" w:themeColor="text1"/>
          <w:sz w:val="28"/>
        </w:rPr>
        <w:t xml:space="preserve">, </w:t>
      </w:r>
      <w:r w:rsidRPr="00C52EF4">
        <w:rPr>
          <w:b/>
          <w:color w:val="000000" w:themeColor="text1"/>
          <w:sz w:val="28"/>
        </w:rPr>
        <w:t>5.3.1. specifiskā atbalsta mērķa “Attīstīt un uzlabot ūdensapgādes un</w:t>
      </w:r>
      <w:r>
        <w:rPr>
          <w:b/>
          <w:color w:val="000000" w:themeColor="text1"/>
          <w:sz w:val="28"/>
          <w:szCs w:val="28"/>
        </w:rPr>
        <w:t xml:space="preserve"> </w:t>
      </w:r>
      <w:r w:rsidRPr="00C52EF4">
        <w:rPr>
          <w:b/>
          <w:color w:val="000000" w:themeColor="text1"/>
          <w:sz w:val="28"/>
        </w:rPr>
        <w:t>kanalizācijas si</w:t>
      </w:r>
      <w:r>
        <w:rPr>
          <w:b/>
          <w:color w:val="000000" w:themeColor="text1"/>
          <w:sz w:val="28"/>
        </w:rPr>
        <w:t xml:space="preserve">stēmas pakalpojumu kvalitāti un </w:t>
      </w:r>
      <w:r w:rsidRPr="00C52EF4">
        <w:rPr>
          <w:b/>
          <w:color w:val="000000" w:themeColor="text1"/>
          <w:sz w:val="28"/>
        </w:rPr>
        <w:t>nodrošināt pieslēgšanas iespējas”</w:t>
      </w:r>
      <w:r>
        <w:rPr>
          <w:b/>
          <w:color w:val="000000" w:themeColor="text1"/>
          <w:sz w:val="28"/>
        </w:rPr>
        <w:t xml:space="preserve"> un 5.1.1. specifiskā atbalsta mērķa “Novērst plūdu un krasta erozijas risku apdraudējumu pilsētu teritorijās” projektu iesniegumu otrās un trešās atlases kārtas</w:t>
      </w:r>
      <w:r>
        <w:rPr>
          <w:b/>
          <w:color w:val="000000" w:themeColor="text1"/>
          <w:sz w:val="28"/>
          <w:szCs w:val="28"/>
        </w:rPr>
        <w:t xml:space="preserve"> </w:t>
      </w:r>
      <w:r>
        <w:rPr>
          <w:b/>
          <w:color w:val="000000" w:themeColor="text1"/>
          <w:sz w:val="28"/>
        </w:rPr>
        <w:t xml:space="preserve">īstenošanas </w:t>
      </w:r>
      <w:r w:rsidRPr="00E6418E" w:rsidR="00F51A96">
        <w:rPr>
          <w:b/>
          <w:sz w:val="28"/>
        </w:rPr>
        <w:t xml:space="preserve">noteikumu </w:t>
      </w:r>
      <w:r w:rsidRPr="00E6418E" w:rsidR="00857F7D">
        <w:rPr>
          <w:b/>
          <w:sz w:val="28"/>
        </w:rPr>
        <w:t>grozījumiem</w:t>
      </w:r>
    </w:p>
    <w:p w:rsidR="00E817A4" w:rsidRPr="007D043F" w:rsidP="00E817A4" w14:paraId="431AA420" w14:textId="77777777">
      <w:pPr>
        <w:jc w:val="center"/>
        <w:rPr>
          <w:b/>
          <w:sz w:val="8"/>
        </w:rPr>
      </w:pPr>
    </w:p>
    <w:p w:rsidR="00E817A4" w:rsidRPr="007D043F" w:rsidP="00E817A4" w14:paraId="70174A18" w14:textId="77777777">
      <w:pPr>
        <w:jc w:val="center"/>
        <w:rPr>
          <w:b/>
          <w:sz w:val="14"/>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6804"/>
      </w:tblGrid>
      <w:tr w14:paraId="51565A09" w14:textId="77777777" w:rsidTr="00C604B4">
        <w:tblPrEx>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48827F31" w14:textId="77777777">
            <w:pPr>
              <w:pStyle w:val="ListParagraph"/>
              <w:tabs>
                <w:tab w:val="left" w:pos="2268"/>
                <w:tab w:val="left" w:pos="2410"/>
              </w:tabs>
              <w:ind w:left="1080"/>
              <w:jc w:val="center"/>
              <w:rPr>
                <w:b/>
                <w:sz w:val="24"/>
                <w:szCs w:val="24"/>
                <w:lang w:eastAsia="en-US"/>
              </w:rPr>
            </w:pPr>
            <w:r w:rsidRPr="00C242BB">
              <w:rPr>
                <w:b/>
                <w:sz w:val="24"/>
                <w:szCs w:val="24"/>
                <w:lang w:eastAsia="en-US"/>
              </w:rPr>
              <w:t>Tiesību akta projekta anotācijas kopsavilkums</w:t>
            </w:r>
          </w:p>
        </w:tc>
      </w:tr>
      <w:tr w14:paraId="3F9F917A" w14:textId="77777777" w:rsidTr="00C604B4">
        <w:tblPrEx>
          <w:tblW w:w="9351" w:type="dxa"/>
          <w:tblLayout w:type="fixed"/>
          <w:tblLook w:val="04A0"/>
        </w:tblPrEx>
        <w:tc>
          <w:tcPr>
            <w:tcW w:w="2547"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rsidR="00E817A4" w:rsidRPr="007D043F" w:rsidP="00C604B4" w14:paraId="78C8DFEF" w14:textId="77777777">
            <w:pPr>
              <w:pStyle w:val="ListParagraph"/>
              <w:spacing w:after="60"/>
              <w:ind w:left="0"/>
              <w:rPr>
                <w:rFonts w:eastAsia="Calibri"/>
                <w:bCs/>
                <w:sz w:val="24"/>
                <w:szCs w:val="24"/>
              </w:rPr>
            </w:pPr>
            <w:r w:rsidRPr="007D043F">
              <w:rPr>
                <w:sz w:val="24"/>
                <w:szCs w:val="24"/>
              </w:rPr>
              <w:t>Mērķis, risinājums un projekta spēkā stāšanās laiks (500 zīmes bez atstarpēm)</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817A4" w:rsidRPr="00FC5215" w:rsidP="0002151E" w14:paraId="4D43DDC4" w14:textId="66ECF1FB">
            <w:pPr>
              <w:pStyle w:val="ListParagraph"/>
              <w:spacing w:after="120"/>
              <w:ind w:left="0"/>
              <w:contextualSpacing w:val="0"/>
              <w:jc w:val="both"/>
              <w:rPr>
                <w:rFonts w:eastAsia="Calibri"/>
                <w:bCs/>
                <w:sz w:val="24"/>
                <w:szCs w:val="24"/>
              </w:rPr>
            </w:pPr>
            <w:r w:rsidRPr="00FC5215">
              <w:rPr>
                <w:rFonts w:eastAsia="Calibri"/>
                <w:bCs/>
                <w:sz w:val="24"/>
                <w:szCs w:val="24"/>
              </w:rPr>
              <w:t>Ministru kabineta (turpmāk – MK) noteikumu projekti paredz Eiropas Savienības (turpmāk – ES) fondu finansējuma (</w:t>
            </w:r>
            <w:r w:rsidRPr="00437742" w:rsidR="00437742">
              <w:rPr>
                <w:sz w:val="24"/>
              </w:rPr>
              <w:t>8 851 446</w:t>
            </w:r>
            <w:r w:rsidRPr="00437742" w:rsidR="00BA5503">
              <w:rPr>
                <w:sz w:val="28"/>
                <w:szCs w:val="24"/>
              </w:rPr>
              <w:t xml:space="preserve"> </w:t>
            </w:r>
            <w:r w:rsidRPr="00FC5215" w:rsidR="00BA5503">
              <w:rPr>
                <w:i/>
                <w:sz w:val="24"/>
                <w:szCs w:val="24"/>
              </w:rPr>
              <w:t>euro</w:t>
            </w:r>
            <w:r w:rsidRPr="00FC5215">
              <w:rPr>
                <w:rFonts w:eastAsia="Calibri"/>
                <w:bCs/>
                <w:sz w:val="24"/>
                <w:szCs w:val="24"/>
              </w:rPr>
              <w:t>)</w:t>
            </w:r>
            <w:r w:rsidRPr="00FC5215">
              <w:rPr>
                <w:rFonts w:eastAsia="Calibri"/>
                <w:bCs/>
                <w:i/>
                <w:sz w:val="24"/>
                <w:szCs w:val="24"/>
              </w:rPr>
              <w:t xml:space="preserve"> </w:t>
            </w:r>
            <w:r w:rsidRPr="00FC5215">
              <w:rPr>
                <w:rFonts w:eastAsia="Calibri"/>
                <w:bCs/>
                <w:sz w:val="24"/>
                <w:szCs w:val="24"/>
              </w:rPr>
              <w:t>pārdali 5.2.1.2.pasākuma “Atkritumu pārstrādes veicināšana” trešajā projektu iesniegumu atlases kārtā augstāko punktu skaitu ieguvu</w:t>
            </w:r>
            <w:r w:rsidRPr="00FC5215" w:rsidR="00C93B39">
              <w:rPr>
                <w:rFonts w:eastAsia="Calibri"/>
                <w:bCs/>
                <w:sz w:val="24"/>
                <w:szCs w:val="24"/>
              </w:rPr>
              <w:t>šo projektu apstiprināšanai un</w:t>
            </w:r>
            <w:r w:rsidRPr="00FC5215" w:rsidR="00B34412">
              <w:rPr>
                <w:rFonts w:eastAsia="Calibri"/>
                <w:bCs/>
                <w:sz w:val="24"/>
                <w:szCs w:val="24"/>
              </w:rPr>
              <w:t xml:space="preserve"> darbības prog</w:t>
            </w:r>
            <w:r w:rsidRPr="00FC5215" w:rsidR="00C93B39">
              <w:rPr>
                <w:rFonts w:eastAsia="Calibri"/>
                <w:bCs/>
                <w:sz w:val="24"/>
                <w:szCs w:val="24"/>
              </w:rPr>
              <w:t>r</w:t>
            </w:r>
            <w:r w:rsidRPr="00FC5215" w:rsidR="00B34412">
              <w:rPr>
                <w:rFonts w:eastAsia="Calibri"/>
                <w:bCs/>
                <w:sz w:val="24"/>
                <w:szCs w:val="24"/>
              </w:rPr>
              <w:t xml:space="preserve">ammas </w:t>
            </w:r>
            <w:r w:rsidRPr="00FC5215" w:rsidR="00B34412">
              <w:rPr>
                <w:sz w:val="24"/>
                <w:szCs w:val="24"/>
              </w:rPr>
              <w:t xml:space="preserve">“Izaugsme un nodarbinātība” (turpmāk – DP) </w:t>
            </w:r>
            <w:r w:rsidRPr="00FC5215">
              <w:rPr>
                <w:rFonts w:eastAsia="Calibri"/>
                <w:bCs/>
                <w:sz w:val="24"/>
                <w:szCs w:val="24"/>
              </w:rPr>
              <w:t>rādītāju sasniegšanai.  Risinājums paredz finansējuma pārdales un snieguma rezerves izmaiņas.</w:t>
            </w:r>
          </w:p>
        </w:tc>
      </w:tr>
    </w:tbl>
    <w:p w:rsidR="00E817A4" w:rsidRPr="007D043F" w:rsidP="00E817A4" w14:paraId="679CD706" w14:textId="77777777">
      <w:pPr>
        <w:jc w:val="center"/>
        <w:rPr>
          <w:b/>
          <w:sz w:val="18"/>
          <w:szCs w:val="28"/>
        </w:rPr>
      </w:pPr>
    </w:p>
    <w:tbl>
      <w:tblPr>
        <w:tblpPr w:leftFromText="180" w:rightFromText="180" w:vertAnchor="text" w:tblpXSpec="right" w:tblpY="1"/>
        <w:tblOverlap w:val="neve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1985"/>
        <w:gridCol w:w="6810"/>
      </w:tblGrid>
      <w:tr w14:paraId="0C5CE797" w14:textId="77777777" w:rsidTr="007C28FF">
        <w:tblPrEx>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35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06F1FBFE" w14:textId="77777777">
            <w:pPr>
              <w:pStyle w:val="ListParagraph"/>
              <w:tabs>
                <w:tab w:val="left" w:pos="2268"/>
                <w:tab w:val="left" w:pos="2410"/>
              </w:tabs>
              <w:ind w:left="1080"/>
              <w:jc w:val="center"/>
              <w:rPr>
                <w:b/>
                <w:sz w:val="24"/>
                <w:szCs w:val="24"/>
                <w:lang w:eastAsia="en-US"/>
              </w:rPr>
            </w:pPr>
            <w:r w:rsidRPr="00C242BB">
              <w:rPr>
                <w:b/>
                <w:bCs/>
                <w:sz w:val="24"/>
                <w:szCs w:val="24"/>
              </w:rPr>
              <w:t>I. Tiesību akta projekta izstrādes nepieciešamība</w:t>
            </w:r>
          </w:p>
        </w:tc>
      </w:tr>
      <w:tr w14:paraId="7A446377" w14:textId="77777777" w:rsidTr="007C28FF">
        <w:tblPrEx>
          <w:tblW w:w="9357" w:type="dxa"/>
          <w:tblLayout w:type="fixed"/>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632D34B1" w14:textId="77777777">
            <w:pPr>
              <w:jc w:val="center"/>
              <w:rPr>
                <w:lang w:eastAsia="en-US"/>
              </w:rPr>
            </w:pPr>
            <w:r w:rsidRPr="007D043F">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rsidR="00E817A4" w:rsidRPr="007D043F" w:rsidP="00C604B4" w14:paraId="584B43EA" w14:textId="77777777">
            <w:pPr>
              <w:tabs>
                <w:tab w:val="left" w:pos="1904"/>
              </w:tabs>
              <w:rPr>
                <w:lang w:eastAsia="en-US"/>
              </w:rPr>
            </w:pPr>
            <w:r w:rsidRPr="007D043F">
              <w:t>Pamatojums</w:t>
            </w:r>
          </w:p>
        </w:tc>
        <w:tc>
          <w:tcPr>
            <w:tcW w:w="6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7A4" w:rsidRPr="007D043F" w:rsidP="0002151E" w14:paraId="5A794B23" w14:textId="496AB1C5">
            <w:pPr>
              <w:pStyle w:val="ListParagraph"/>
              <w:spacing w:after="120"/>
              <w:ind w:left="0"/>
              <w:jc w:val="both"/>
              <w:rPr>
                <w:rFonts w:eastAsia="Calibri"/>
                <w:bCs/>
                <w:sz w:val="24"/>
                <w:szCs w:val="24"/>
              </w:rPr>
            </w:pPr>
            <w:r w:rsidRPr="007D043F">
              <w:rPr>
                <w:rFonts w:eastAsia="Calibri"/>
                <w:bCs/>
                <w:sz w:val="24"/>
                <w:szCs w:val="24"/>
              </w:rPr>
              <w:t>MK noteikumu projekti “Grozījumi Ministru kabineta 2016. gada 30. augusta noteikumos Nr. 588 “Darbības programmas “Izaugsme un nodarbinātība” 5.2.1.specifiskā atbalsta mērķa “Veicināt dažāda veida atkritumu atkārtotu izmantošanu, pārstrādi un reģenerāciju” 5.2.1.2.pasākuma “Atkritumu pārstrādes veicināšana” īstenošanas noteikumi”” (turpmāk – MK noteikumu</w:t>
            </w:r>
            <w:r w:rsidRPr="007D043F" w:rsidR="009623F3">
              <w:rPr>
                <w:rFonts w:eastAsia="Calibri"/>
                <w:bCs/>
                <w:sz w:val="24"/>
                <w:szCs w:val="24"/>
              </w:rPr>
              <w:t xml:space="preserve"> projekts par 5.2.1.2.pasākumu)</w:t>
            </w:r>
            <w:r w:rsidR="0002151E">
              <w:rPr>
                <w:rFonts w:eastAsia="Calibri"/>
                <w:bCs/>
                <w:sz w:val="24"/>
                <w:szCs w:val="24"/>
              </w:rPr>
              <w:t xml:space="preserve">, </w:t>
            </w:r>
            <w:r w:rsidRPr="007D043F">
              <w:rPr>
                <w:rFonts w:eastAsia="Calibri"/>
                <w:bCs/>
                <w:sz w:val="24"/>
                <w:szCs w:val="24"/>
              </w:rPr>
              <w:t>“Grozījumi Ministru kabineta 2016. gada 21.</w:t>
            </w:r>
            <w:r w:rsidRPr="007D043F" w:rsidR="00C93B39">
              <w:rPr>
                <w:rFonts w:eastAsia="Calibri"/>
                <w:bCs/>
                <w:sz w:val="24"/>
                <w:szCs w:val="24"/>
              </w:rPr>
              <w:t> </w:t>
            </w:r>
            <w:r w:rsidRPr="007D043F">
              <w:rPr>
                <w:rFonts w:eastAsia="Calibri"/>
                <w:bCs/>
                <w:sz w:val="24"/>
                <w:szCs w:val="24"/>
              </w:rPr>
              <w:t>jūnija noteikumos Nr.403 “Darbības programmas “Izaugsme un nodarbinātība” 5.3.1. specifiskā atbalsta mērķa “Attīstīt un uzlabot ūdensapgādes un kanalizācijas sistēmas pakalpojumu kvalitāti un nodrošināt pieslēgšanas iespējas” īstenošanas noteikumi”” (turpmāk – MK noteikumu projekts par SAM 5.3.1.)</w:t>
            </w:r>
            <w:r w:rsidR="0002151E">
              <w:rPr>
                <w:rFonts w:eastAsia="Calibri"/>
                <w:bCs/>
                <w:sz w:val="24"/>
                <w:szCs w:val="24"/>
              </w:rPr>
              <w:t xml:space="preserve"> un </w:t>
            </w:r>
            <w:r w:rsidRPr="00E817A4" w:rsidR="0002151E">
              <w:rPr>
                <w:rFonts w:eastAsia="Calibri"/>
                <w:bCs/>
                <w:sz w:val="24"/>
                <w:szCs w:val="24"/>
              </w:rPr>
              <w:t>“Grozījumi Ministru kabineta 2016.gada 9.augusta noteikumos Nr.519 “Darbības programmas “Izaugsme un nodarbinātība” 5.1.1.specifiskā atbalsta mērķa “Novērst plūdu un krasta erozijas risku apdraudējumu pilsētu teritorijās” projektu iesniegumu otrās un trešās atlases kārtas īstenošanas noteikumi”” (turpmāk – MK noteikumu projekts par SAM 5.1.1.)</w:t>
            </w:r>
            <w:r w:rsidRPr="007D043F">
              <w:rPr>
                <w:rFonts w:eastAsia="Calibri"/>
                <w:bCs/>
                <w:sz w:val="24"/>
                <w:szCs w:val="24"/>
              </w:rPr>
              <w:t xml:space="preserve"> izstrādāti atbilstoši ES struktūrfondu un Kohēzijas fonda 2014.–2020. gada plānošanas perioda vadības likuma 20. panta 13. punktam.</w:t>
            </w:r>
          </w:p>
        </w:tc>
      </w:tr>
      <w:tr w14:paraId="670EBF73" w14:textId="77777777" w:rsidTr="007C28FF">
        <w:tblPrEx>
          <w:tblW w:w="9357" w:type="dxa"/>
          <w:tblLayout w:type="fixed"/>
          <w:tblLook w:val="04A0"/>
        </w:tblPrEx>
        <w:trPr>
          <w:trHeight w:val="558"/>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2CA8BFB2" w14:textId="77777777">
            <w:pPr>
              <w:jc w:val="center"/>
              <w:rPr>
                <w:lang w:eastAsia="en-US"/>
              </w:rPr>
            </w:pPr>
            <w:r w:rsidRPr="007D043F">
              <w:t>2.</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rsidR="00E817A4" w:rsidRPr="007D043F" w:rsidP="00C604B4" w14:paraId="60CEE60E" w14:textId="77777777">
            <w:pPr>
              <w:rPr>
                <w:lang w:eastAsia="en-US"/>
              </w:rPr>
            </w:pPr>
            <w:r w:rsidRPr="007D043F">
              <w:t>Pašreizējā situācija un problēmas, kuru risināšanai tiesību akta projekts izstrādāts, tiesiskā regulējuma mērķis un būtība</w:t>
            </w:r>
          </w:p>
        </w:tc>
        <w:tc>
          <w:tcPr>
            <w:tcW w:w="6810" w:type="dxa"/>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7C5C917B" w14:textId="77777777">
            <w:pPr>
              <w:spacing w:after="120"/>
              <w:jc w:val="both"/>
              <w:rPr>
                <w:bCs/>
                <w:u w:val="single"/>
              </w:rPr>
            </w:pPr>
            <w:r w:rsidRPr="007D043F">
              <w:rPr>
                <w:bCs/>
                <w:u w:val="single"/>
              </w:rPr>
              <w:t xml:space="preserve">Pašreizējā situācija </w:t>
            </w:r>
          </w:p>
          <w:p w:rsidR="005444E6" w:rsidRPr="007D043F" w:rsidP="005444E6" w14:paraId="4F0000B3" w14:textId="09CA867A">
            <w:pPr>
              <w:spacing w:after="120"/>
              <w:jc w:val="both"/>
            </w:pPr>
            <w:r w:rsidRPr="007D043F">
              <w:t>2014.-2020. gada ES fondu plānošanas perioda DP ietvaros tiek īstenots 5.3.1.specifiskais atbalsta mērķis “</w:t>
            </w:r>
            <w:r w:rsidRPr="007D043F">
              <w:rPr>
                <w:bCs/>
              </w:rPr>
              <w:t xml:space="preserve">Attīstīt un uzlabot ūdensapgādes un kanalizācijas sistēmas pakalpojumu kvalitāti un nodrošināt pieslēgšanas iespējas” (turpmāk – SAM 5.3.1.). Tā ietvaros ir izsludinātas trīs atlases kārtas, kur iesniegto, vērtēšanā un īstenošanā esošo projektu skaits ir 48 un projektos pieprasīti 103 milj. </w:t>
            </w:r>
            <w:r w:rsidRPr="007D043F">
              <w:rPr>
                <w:bCs/>
                <w:i/>
              </w:rPr>
              <w:t>euro</w:t>
            </w:r>
            <w:r w:rsidRPr="007D043F">
              <w:rPr>
                <w:bCs/>
              </w:rPr>
              <w:t xml:space="preserve"> Kohēzijas fonda (turpmāk – KF) finansējuma, kas ir par </w:t>
            </w:r>
            <w:r w:rsidR="00FF1F14">
              <w:rPr>
                <w:bCs/>
              </w:rPr>
              <w:t>5,43</w:t>
            </w:r>
            <w:r w:rsidRPr="007D043F">
              <w:rPr>
                <w:bCs/>
              </w:rPr>
              <w:t xml:space="preserve"> milj. </w:t>
            </w:r>
            <w:r w:rsidRPr="007D043F">
              <w:rPr>
                <w:bCs/>
                <w:i/>
              </w:rPr>
              <w:t>euro</w:t>
            </w:r>
            <w:r w:rsidRPr="007D043F">
              <w:rPr>
                <w:bCs/>
              </w:rPr>
              <w:t xml:space="preserve"> mazāk, nekā projektiem sākotnēji tika plānots.</w:t>
            </w:r>
            <w:r>
              <w:rPr>
                <w:bCs/>
              </w:rPr>
              <w:t xml:space="preserve"> </w:t>
            </w:r>
            <w:r w:rsidRPr="007D043F">
              <w:t xml:space="preserve">Pieprasītā </w:t>
            </w:r>
            <w:r w:rsidRPr="007D043F">
              <w:t>finansējuma samazinājumu veido aglomerācijas, kas projekta iesniegumos nepieprasīja tām maksimāli pieejamo KF finansējuma apmēru, galvenokārt projektu dzīvotspējas un izmaksu efektivitātes apsvērumu dēļ</w:t>
            </w:r>
            <w:r w:rsidRPr="00C242BB">
              <w:t>.</w:t>
            </w:r>
            <w:r>
              <w:rPr>
                <w:bCs/>
              </w:rPr>
              <w:t xml:space="preserve"> Tāpat SAM 5.3.1. ir nesadalīts, ceturtajai projektu iesniegumu atlases kārtai paredzēts finansējums (</w:t>
            </w:r>
            <w:r w:rsidR="00FF1F14">
              <w:rPr>
                <w:bCs/>
              </w:rPr>
              <w:t>7,01</w:t>
            </w:r>
            <w:r>
              <w:rPr>
                <w:bCs/>
              </w:rPr>
              <w:t xml:space="preserve"> milj. </w:t>
            </w:r>
            <w:r w:rsidRPr="00DD058A">
              <w:rPr>
                <w:bCs/>
                <w:i/>
              </w:rPr>
              <w:t>euro</w:t>
            </w:r>
            <w:r>
              <w:rPr>
                <w:bCs/>
              </w:rPr>
              <w:t>)</w:t>
            </w:r>
          </w:p>
          <w:p w:rsidR="005444E6" w:rsidRPr="007D043F" w:rsidP="005444E6" w14:paraId="4E27AF0A" w14:textId="07696F37">
            <w:pPr>
              <w:spacing w:after="120"/>
              <w:jc w:val="both"/>
            </w:pPr>
            <w:r w:rsidRPr="007D043F">
              <w:t xml:space="preserve">Savukārt specifiskā atbalsta mērķa 5.2.1. “Veicināt dažāda veida atkritumu atkārtotu izmantošanu, pārstrādi un reģenerāciju” (turpmāk – SAM 5.2.1.) ietvaros tiek īstenots 5.2.1.2.pasākums “Atkritumu pārstrādes veicināšana” (turpmāk – 5.2.1.2.pasākums), kur atklātā projektu iesniegumu atlasē izsludinātas trīs atlases kārtas. Pirmās un otrās atlases kārtas ietvaros apstiprināti seši projekti, kas nodrošina iznākuma rādītāja vērtības izpildi tikai 31% apmērā. 2018. gada 1. martā noslēdzās trešās projektu iesniegumu atlases kārtas projektu iesniegšanas termiņš. Projektu iesniedzēju interese par bioloģiski noārdāmu atkritumu (turpmāk – BNA) pārstrādes iekārtu izveidi ir ļoti augsta, uz ko norāda atlasē pieteikto projektu vairākkārtīgs KF finansējuma pieprasījums, nekā atlases kārtā pieejams. Tāpat iesniegtie projekti paredz augstu DP noteikto SAM 5.2.1. iznākuma rādītāja i.5.2.1.ak (CO17) “Atkritumu pārstrādes jaudas pieaugums” sniegumu un iespēju nodrošināt rādītāja pilnīgu izpildi. Trešajai projektu iesniegumu atlases kārtai ir būtiska ietekme, lai sekmētu </w:t>
            </w:r>
            <w:r w:rsidR="00E94E1F">
              <w:t xml:space="preserve">Padomes 2008.gada 19.novembra </w:t>
            </w:r>
            <w:r>
              <w:t>Direktīvā</w:t>
            </w:r>
            <w:r w:rsidRPr="000973FF">
              <w:t xml:space="preserve"> 2008/98/EK </w:t>
            </w:r>
            <w:r w:rsidRPr="00DD058A">
              <w:rPr>
                <w:i/>
              </w:rPr>
              <w:t>par atkritumiem un par dažu direktīvu atcelšanu</w:t>
            </w:r>
            <w:r>
              <w:t xml:space="preserve">, </w:t>
            </w:r>
            <w:r w:rsidRPr="007D043F">
              <w:t xml:space="preserve">Padomes 1999. gada 26. aprīļa Direktīvā 1999/31/EK </w:t>
            </w:r>
            <w:r w:rsidRPr="007D043F">
              <w:rPr>
                <w:i/>
              </w:rPr>
              <w:t>par atkritumu poligoniem</w:t>
            </w:r>
            <w:r w:rsidRPr="007D043F">
              <w:t xml:space="preserve"> un nacionālajos tiesību aktos noteiktos mērķus attiecībā uz sadzīves atkritumu</w:t>
            </w:r>
            <w:r w:rsidR="00FF1F14">
              <w:t xml:space="preserve"> dalīto</w:t>
            </w:r>
            <w:r>
              <w:t xml:space="preserve"> vākšan</w:t>
            </w:r>
            <w:r w:rsidR="00FF1F14">
              <w:t>u</w:t>
            </w:r>
            <w:r>
              <w:t>, pārstrād</w:t>
            </w:r>
            <w:r w:rsidR="00FF1F14">
              <w:t>i</w:t>
            </w:r>
            <w:r>
              <w:t xml:space="preserve"> un</w:t>
            </w:r>
            <w:r w:rsidRPr="007D043F">
              <w:t xml:space="preserve"> poligonos apglabājamo atkritumu apjoma samazināšanu, jo īpaši attiecībā uz BNA.</w:t>
            </w:r>
            <w:r>
              <w:t xml:space="preserve"> </w:t>
            </w:r>
          </w:p>
          <w:p w:rsidR="005444E6" w:rsidP="005444E6" w14:paraId="6372EE91" w14:textId="36E6E85F">
            <w:pPr>
              <w:spacing w:after="120"/>
              <w:jc w:val="both"/>
            </w:pPr>
            <w:r w:rsidRPr="007D043F">
              <w:t xml:space="preserve">Ņemot vērā augsto projektu iesniedzēju interesi par 5.2.1.2.pasākuma trešo projektu iesniegumu atlases kārtu un šīs kārtas rezultātu būtisko ietekmi uz DP noteikto rādītāju sasniegšanu, kā arī ES un nacionālajos tiesību aktos noteikto prasību izpildi, </w:t>
            </w:r>
            <w:r w:rsidR="00573465">
              <w:t xml:space="preserve">Vides aizsardzības un reģionālās attīstības ministrija (turpmāk – </w:t>
            </w:r>
            <w:r w:rsidRPr="007D043F">
              <w:t>VARAM</w:t>
            </w:r>
            <w:r w:rsidR="00573465">
              <w:t>)</w:t>
            </w:r>
            <w:r w:rsidRPr="007D043F">
              <w:t xml:space="preserve">, lai varētu atbalstīt iespējami lielāku skaitu efektīvu un </w:t>
            </w:r>
            <w:r w:rsidRPr="007D043F">
              <w:t>mērķorientētu</w:t>
            </w:r>
            <w:r w:rsidRPr="007D043F">
              <w:t xml:space="preserve"> projektu, ierosina pārdalīt KF finansējumu </w:t>
            </w:r>
            <w:r w:rsidR="00040C75">
              <w:t>8 851 446</w:t>
            </w:r>
            <w:r w:rsidRPr="007D043F">
              <w:t xml:space="preserve"> </w:t>
            </w:r>
            <w:r w:rsidRPr="007D043F">
              <w:rPr>
                <w:i/>
              </w:rPr>
              <w:t>euro</w:t>
            </w:r>
            <w:r w:rsidRPr="007D043F">
              <w:t xml:space="preserve"> apmērā no SAM 5.3.1. uz 5.2.1.2.pasākuma trešo projektu iesniegumu atlases kārtu. KF finansējumu </w:t>
            </w:r>
            <w:r w:rsidR="00040C75">
              <w:t>8 851 446</w:t>
            </w:r>
            <w:r w:rsidR="00FF1F14">
              <w:t xml:space="preserve"> </w:t>
            </w:r>
            <w:r w:rsidRPr="007D043F">
              <w:rPr>
                <w:i/>
              </w:rPr>
              <w:t xml:space="preserve">euro </w:t>
            </w:r>
            <w:r w:rsidRPr="007D043F">
              <w:t xml:space="preserve">apmērā veido finansējuma atlikumi no pirmajām trīs projektu iesniegumu atlases kārtām, kā arī </w:t>
            </w:r>
            <w:r w:rsidR="00FF1F14">
              <w:t xml:space="preserve">daļa </w:t>
            </w:r>
            <w:r w:rsidRPr="007D043F">
              <w:t>ceturtajā atlases kārtā noteikt</w:t>
            </w:r>
            <w:r w:rsidR="00FF1F14">
              <w:t>ā nesadalītā finansējuma</w:t>
            </w:r>
            <w:r w:rsidRPr="007D043F">
              <w:t>.</w:t>
            </w:r>
          </w:p>
          <w:p w:rsidR="005444E6" w:rsidP="005444E6" w14:paraId="4B372C02" w14:textId="77777777">
            <w:pPr>
              <w:spacing w:after="120"/>
              <w:jc w:val="both"/>
            </w:pPr>
            <w:r>
              <w:t xml:space="preserve">Finansējuma pārdale uz </w:t>
            </w:r>
            <w:r w:rsidRPr="007D043F">
              <w:t>5.2.1.2.pasākuma trešo projektu iesniegumu atlases kārtu</w:t>
            </w:r>
            <w:r>
              <w:t>, nevis jaunas atlases uzsaukšana ir izvēlēta kā labākais risinājums, lai neaizkavētu finansējuma apguvi un neradītu papildu administratīvo slogu projektu iesniedzējiem, atkārtoti sagatavojot un iesniedzot projektus.</w:t>
            </w:r>
          </w:p>
          <w:p w:rsidR="002372CA" w:rsidRPr="00E817A4" w:rsidP="002372CA" w14:paraId="29D79F5F" w14:textId="7AA03C32">
            <w:pPr>
              <w:spacing w:after="120"/>
              <w:jc w:val="both"/>
            </w:pPr>
            <w:r w:rsidRPr="00E817A4">
              <w:rPr>
                <w:bCs/>
              </w:rPr>
              <w:t>5.1.1.specifiskā atbalsta mērķa “Novērst plūdu un krasta erozijas risku apdraudējumu pilsētu teritorijās” (turpmāk – SAM 5.1.1.) otrās projektu iesniegumu atlases kārtas projektu iesniegšanas termiņā  netika iesniegts projekts</w:t>
            </w:r>
            <w:bookmarkStart w:id="0" w:name="_GoBack"/>
            <w:bookmarkEnd w:id="0"/>
            <w:r w:rsidR="007E7BB9">
              <w:rPr>
                <w:bCs/>
              </w:rPr>
              <w:t xml:space="preserve"> par</w:t>
            </w:r>
            <w:r w:rsidRPr="00E817A4">
              <w:rPr>
                <w:bCs/>
              </w:rPr>
              <w:t xml:space="preserve"> </w:t>
            </w:r>
            <w:r w:rsidR="007E7BB9">
              <w:rPr>
                <w:bCs/>
              </w:rPr>
              <w:t>sūkņu stacijas</w:t>
            </w:r>
            <w:r w:rsidRPr="00E817A4">
              <w:rPr>
                <w:bCs/>
              </w:rPr>
              <w:t xml:space="preserve"> </w:t>
            </w:r>
            <w:r w:rsidR="007E7BB9">
              <w:rPr>
                <w:bCs/>
              </w:rPr>
              <w:t xml:space="preserve"> Daugavpilī, </w:t>
            </w:r>
            <w:r w:rsidRPr="00E817A4">
              <w:rPr>
                <w:bCs/>
              </w:rPr>
              <w:t>Laucesas upes rajonā</w:t>
            </w:r>
            <w:r w:rsidR="007E7BB9">
              <w:rPr>
                <w:bCs/>
              </w:rPr>
              <w:t xml:space="preserve"> izbūvi. Projektam tika plānots </w:t>
            </w:r>
            <w:r w:rsidRPr="00E817A4">
              <w:rPr>
                <w:bCs/>
              </w:rPr>
              <w:t>Eiropas Reģionālās attīstības fond</w:t>
            </w:r>
            <w:r w:rsidR="007E7BB9">
              <w:rPr>
                <w:bCs/>
              </w:rPr>
              <w:t xml:space="preserve">a (turpmāk – ERAF) finansējums </w:t>
            </w:r>
            <w:r w:rsidRPr="00E817A4">
              <w:rPr>
                <w:bCs/>
              </w:rPr>
              <w:t xml:space="preserve">2 550 000 </w:t>
            </w:r>
            <w:r w:rsidRPr="00E817A4">
              <w:rPr>
                <w:bCs/>
                <w:i/>
              </w:rPr>
              <w:t>euro</w:t>
            </w:r>
            <w:r w:rsidRPr="00E817A4">
              <w:rPr>
                <w:bCs/>
              </w:rPr>
              <w:t xml:space="preserve">. 2018.gadā netiek plānotas papildu projektu iesniegumu atlases, </w:t>
            </w:r>
            <w:r w:rsidRPr="00E817A4">
              <w:rPr>
                <w:bCs/>
              </w:rPr>
              <w:t>atliekot atbalsta sniegšanu jaunu projektu īstenošanai pēc 2018.gada 31.decembra</w:t>
            </w:r>
            <w:r w:rsidR="00351E30">
              <w:rPr>
                <w:bCs/>
              </w:rPr>
              <w:t>, izvērtējot starpposma rezultātu izpildi</w:t>
            </w:r>
            <w:r w:rsidRPr="00E817A4">
              <w:rPr>
                <w:bCs/>
              </w:rPr>
              <w:t>.</w:t>
            </w:r>
          </w:p>
          <w:p w:rsidR="002372CA" w:rsidP="002372CA" w14:paraId="01AA5C40" w14:textId="4F532192">
            <w:pPr>
              <w:spacing w:after="120"/>
              <w:jc w:val="both"/>
            </w:pPr>
            <w:r>
              <w:t>Veicot DP finansējuma datu pārbaudi attiecībā uz grozījumiem, ar kuriem tika izveidots specifiskais atbalsta mērķis 5.6.3. “Vēsturiski piesārņoto vietu sanācija” (MK 2017.gada 29.marta rīkojums Nr.160</w:t>
            </w:r>
            <w:r>
              <w:rPr>
                <w:rStyle w:val="FootnoteReference"/>
              </w:rPr>
              <w:footnoteReference w:id="3"/>
            </w:r>
            <w:r>
              <w:t xml:space="preserve">), tika </w:t>
            </w:r>
            <w:r>
              <w:rPr>
                <w:lang w:eastAsia="en-US"/>
              </w:rPr>
              <w:t>koriģēts DP 5.prioritārā virziena “Vides aizsardzība un resursu izmantošanas efektivitāte” (turpmāk – 5.prioritārais virziens) finanšu rezerves apjoms starp KF un ERAF. Veicot grozījumus, tika konstatēts, ka netiek nodrošināta atbilstība Regulas Nr.1303/2013</w:t>
            </w:r>
            <w:r>
              <w:rPr>
                <w:rStyle w:val="FootnoteReference"/>
                <w:lang w:eastAsia="en-US"/>
              </w:rPr>
              <w:footnoteReference w:id="4"/>
            </w:r>
            <w:r>
              <w:rPr>
                <w:lang w:eastAsia="en-US"/>
              </w:rPr>
              <w:t xml:space="preserve"> </w:t>
            </w:r>
            <w:r w:rsidR="00857F7D">
              <w:rPr>
                <w:lang w:eastAsia="en-US"/>
              </w:rPr>
              <w:t xml:space="preserve">(turpmāk – Regula Nr.1303/2013) </w:t>
            </w:r>
            <w:r>
              <w:rPr>
                <w:lang w:eastAsia="en-US"/>
              </w:rPr>
              <w:t>22.pantam – proti, atbilstoši Regula</w:t>
            </w:r>
            <w:r w:rsidR="00857F7D">
              <w:rPr>
                <w:lang w:eastAsia="en-US"/>
              </w:rPr>
              <w:t>i Nr.1303/2013</w:t>
            </w:r>
            <w:r>
              <w:rPr>
                <w:lang w:eastAsia="en-US"/>
              </w:rPr>
              <w:t xml:space="preserve"> ir jānodrošina Partnerības līgumā noteiktais finanšu rezerves apjoms 6% apmērā katram no fondiem. Izvērtējot kopējo situāciju, tika secināts, ka 5.prioritārā virziena ietvaros finanšu rezerve KF ir noteikta par 914 929 </w:t>
            </w:r>
            <w:r w:rsidRPr="002372CA">
              <w:rPr>
                <w:i/>
                <w:lang w:eastAsia="en-US"/>
              </w:rPr>
              <w:t>euro</w:t>
            </w:r>
            <w:r>
              <w:rPr>
                <w:lang w:eastAsia="en-US"/>
              </w:rPr>
              <w:t xml:space="preserve"> lielāka, savukārt ERAF par 914 929 </w:t>
            </w:r>
            <w:r w:rsidRPr="002372CA">
              <w:rPr>
                <w:i/>
                <w:lang w:eastAsia="en-US"/>
              </w:rPr>
              <w:t>euro</w:t>
            </w:r>
            <w:r>
              <w:rPr>
                <w:lang w:eastAsia="en-US"/>
              </w:rPr>
              <w:t xml:space="preserve"> mazāka. Attiecīgi, lai novērstu identificēto situāciju, </w:t>
            </w:r>
            <w:r w:rsidR="00857F7D">
              <w:rPr>
                <w:lang w:eastAsia="en-US"/>
              </w:rPr>
              <w:t>tiek ierosināts veikt</w:t>
            </w:r>
            <w:r>
              <w:rPr>
                <w:lang w:eastAsia="en-US"/>
              </w:rPr>
              <w:t xml:space="preserve"> šādas darbības:</w:t>
            </w:r>
          </w:p>
          <w:p w:rsidR="002372CA" w:rsidRPr="00857F7D" w:rsidP="00857F7D" w14:paraId="7FA1A3EB" w14:textId="2AD95AE2">
            <w:pPr>
              <w:pStyle w:val="ListParagraph"/>
              <w:numPr>
                <w:ilvl w:val="0"/>
                <w:numId w:val="8"/>
              </w:numPr>
              <w:ind w:left="317" w:hanging="317"/>
              <w:contextualSpacing w:val="0"/>
              <w:jc w:val="both"/>
              <w:rPr>
                <w:rFonts w:eastAsia="Calibri"/>
                <w:sz w:val="24"/>
                <w:szCs w:val="24"/>
                <w:lang w:eastAsia="en-US"/>
              </w:rPr>
            </w:pPr>
            <w:r w:rsidRPr="00857F7D">
              <w:rPr>
                <w:rFonts w:eastAsia="Calibri"/>
                <w:sz w:val="24"/>
                <w:szCs w:val="24"/>
                <w:lang w:eastAsia="en-US"/>
              </w:rPr>
              <w:t xml:space="preserve">veikt grozījumus MK noteikumos par 5.1.1.SAM </w:t>
            </w:r>
            <w:r w:rsidR="00857F7D">
              <w:rPr>
                <w:rFonts w:eastAsia="Calibri"/>
                <w:sz w:val="24"/>
                <w:szCs w:val="24"/>
                <w:lang w:eastAsia="en-US"/>
              </w:rPr>
              <w:t xml:space="preserve">otrās un trešās projektu iesniegumu atlases kārtas </w:t>
            </w:r>
            <w:r w:rsidRPr="00857F7D">
              <w:rPr>
                <w:rFonts w:eastAsia="Calibri"/>
                <w:sz w:val="24"/>
                <w:szCs w:val="24"/>
                <w:lang w:eastAsia="en-US"/>
              </w:rPr>
              <w:t xml:space="preserve">īstenošanu, par 914 929 </w:t>
            </w:r>
            <w:r w:rsidRPr="00857F7D" w:rsidR="00857F7D">
              <w:rPr>
                <w:rFonts w:eastAsia="Calibri"/>
                <w:i/>
                <w:sz w:val="24"/>
                <w:szCs w:val="24"/>
                <w:lang w:eastAsia="en-US"/>
              </w:rPr>
              <w:t>euro</w:t>
            </w:r>
            <w:r w:rsidRPr="00857F7D">
              <w:rPr>
                <w:rFonts w:eastAsia="Calibri"/>
                <w:sz w:val="24"/>
                <w:szCs w:val="24"/>
                <w:lang w:eastAsia="en-US"/>
              </w:rPr>
              <w:t xml:space="preserve"> palielinot finanšu rezervi (proti, par 914 929 </w:t>
            </w:r>
            <w:r w:rsidRPr="00857F7D" w:rsidR="00857F7D">
              <w:rPr>
                <w:rFonts w:eastAsia="Calibri"/>
                <w:i/>
                <w:sz w:val="24"/>
                <w:szCs w:val="24"/>
                <w:lang w:eastAsia="en-US"/>
              </w:rPr>
              <w:t>euro</w:t>
            </w:r>
            <w:r w:rsidRPr="00857F7D">
              <w:rPr>
                <w:rFonts w:eastAsia="Calibri"/>
                <w:sz w:val="24"/>
                <w:szCs w:val="24"/>
                <w:lang w:eastAsia="en-US"/>
              </w:rPr>
              <w:t xml:space="preserve"> samazinot</w:t>
            </w:r>
            <w:r w:rsidR="00857F7D">
              <w:rPr>
                <w:rFonts w:eastAsia="Calibri"/>
                <w:sz w:val="24"/>
                <w:szCs w:val="24"/>
                <w:lang w:eastAsia="en-US"/>
              </w:rPr>
              <w:t xml:space="preserve"> līdz 2018.gada 31.decembrim</w:t>
            </w:r>
            <w:r w:rsidRPr="00857F7D">
              <w:rPr>
                <w:rFonts w:eastAsia="Calibri"/>
                <w:sz w:val="24"/>
                <w:szCs w:val="24"/>
                <w:lang w:eastAsia="en-US"/>
              </w:rPr>
              <w:t xml:space="preserve"> pieejamo finansējumu);</w:t>
            </w:r>
          </w:p>
          <w:p w:rsidR="002372CA" w:rsidP="00857F7D" w14:paraId="41FD9F46" w14:textId="4D2FE893">
            <w:pPr>
              <w:pStyle w:val="ListParagraph"/>
              <w:numPr>
                <w:ilvl w:val="0"/>
                <w:numId w:val="8"/>
              </w:numPr>
              <w:ind w:left="317" w:hanging="317"/>
              <w:contextualSpacing w:val="0"/>
              <w:jc w:val="both"/>
              <w:rPr>
                <w:rFonts w:eastAsia="Calibri"/>
                <w:sz w:val="24"/>
                <w:szCs w:val="24"/>
                <w:lang w:eastAsia="en-US"/>
              </w:rPr>
            </w:pPr>
            <w:r w:rsidRPr="00857F7D">
              <w:rPr>
                <w:rFonts w:eastAsia="Calibri"/>
                <w:sz w:val="24"/>
                <w:szCs w:val="24"/>
                <w:lang w:eastAsia="en-US"/>
              </w:rPr>
              <w:t xml:space="preserve">veikt grozījumus MK noteikumos par 5.2.1.2.pasākuma īstenošanu, par 914 929 </w:t>
            </w:r>
            <w:r w:rsidRPr="00857F7D" w:rsidR="00857F7D">
              <w:rPr>
                <w:rFonts w:eastAsia="Calibri"/>
                <w:i/>
                <w:sz w:val="24"/>
                <w:szCs w:val="24"/>
                <w:lang w:eastAsia="en-US"/>
              </w:rPr>
              <w:t>euro</w:t>
            </w:r>
            <w:r w:rsidRPr="00857F7D">
              <w:rPr>
                <w:rFonts w:eastAsia="Calibri"/>
                <w:sz w:val="24"/>
                <w:szCs w:val="24"/>
                <w:lang w:eastAsia="en-US"/>
              </w:rPr>
              <w:t xml:space="preserve"> samazinot finanšu rezervi (proti, par 914 929 </w:t>
            </w:r>
            <w:r w:rsidRPr="00857F7D" w:rsidR="00857F7D">
              <w:rPr>
                <w:rFonts w:eastAsia="Calibri"/>
                <w:i/>
                <w:sz w:val="24"/>
                <w:szCs w:val="24"/>
                <w:lang w:eastAsia="en-US"/>
              </w:rPr>
              <w:t>euro</w:t>
            </w:r>
            <w:r w:rsidRPr="00857F7D">
              <w:rPr>
                <w:rFonts w:eastAsia="Calibri"/>
                <w:sz w:val="24"/>
                <w:szCs w:val="24"/>
                <w:lang w:eastAsia="en-US"/>
              </w:rPr>
              <w:t xml:space="preserve"> palielinot </w:t>
            </w:r>
            <w:r w:rsidR="00857F7D">
              <w:rPr>
                <w:rFonts w:eastAsia="Calibri"/>
                <w:sz w:val="24"/>
                <w:szCs w:val="24"/>
                <w:lang w:eastAsia="en-US"/>
              </w:rPr>
              <w:t xml:space="preserve">līdz 2018.gada 31.decembrim </w:t>
            </w:r>
            <w:r w:rsidRPr="00857F7D">
              <w:rPr>
                <w:rFonts w:eastAsia="Calibri"/>
                <w:sz w:val="24"/>
                <w:szCs w:val="24"/>
                <w:lang w:eastAsia="en-US"/>
              </w:rPr>
              <w:t>pieejamo finansējumu).</w:t>
            </w:r>
          </w:p>
          <w:p w:rsidR="00857F7D" w:rsidP="00857F7D" w14:paraId="41FA390D" w14:textId="77777777">
            <w:pPr>
              <w:pStyle w:val="ListParagraph"/>
              <w:ind w:left="317"/>
              <w:contextualSpacing w:val="0"/>
              <w:jc w:val="both"/>
              <w:rPr>
                <w:rFonts w:eastAsia="Calibri"/>
                <w:sz w:val="24"/>
                <w:szCs w:val="24"/>
                <w:lang w:eastAsia="en-US"/>
              </w:rPr>
            </w:pPr>
          </w:p>
          <w:p w:rsidR="00857F7D" w:rsidRPr="00857F7D" w:rsidP="00857F7D" w14:paraId="376B85E9" w14:textId="546A34E3">
            <w:pPr>
              <w:jc w:val="both"/>
              <w:rPr>
                <w:lang w:eastAsia="en-US"/>
              </w:rPr>
            </w:pPr>
            <w:r>
              <w:rPr>
                <w:lang w:eastAsia="en-US"/>
              </w:rPr>
              <w:t xml:space="preserve">Tādējādi kopējais KF finansējums, kas pieejams 5.2.1.2.pasākuma trešās projektu iesniegumu atlases kārtas projektu apstiprināšanai, var tikt palielināts par </w:t>
            </w:r>
            <w:r w:rsidR="00040C75">
              <w:rPr>
                <w:lang w:eastAsia="en-US"/>
              </w:rPr>
              <w:t>9 766 375</w:t>
            </w:r>
            <w:r>
              <w:rPr>
                <w:lang w:eastAsia="en-US"/>
              </w:rPr>
              <w:t xml:space="preserve"> </w:t>
            </w:r>
            <w:r w:rsidRPr="00C16256">
              <w:rPr>
                <w:i/>
                <w:lang w:eastAsia="en-US"/>
              </w:rPr>
              <w:t>euro</w:t>
            </w:r>
            <w:r>
              <w:rPr>
                <w:lang w:eastAsia="en-US"/>
              </w:rPr>
              <w:t xml:space="preserve">, kur </w:t>
            </w:r>
            <w:r w:rsidR="00040C75">
              <w:t>8 851 446</w:t>
            </w:r>
            <w:r>
              <w:t xml:space="preserve"> </w:t>
            </w:r>
            <w:r w:rsidRPr="007D043F">
              <w:rPr>
                <w:i/>
              </w:rPr>
              <w:t>euro</w:t>
            </w:r>
            <w:r>
              <w:t xml:space="preserve"> tiek pārdalīts no SAM 5.3.1., bet 914 929 </w:t>
            </w:r>
            <w:r w:rsidRPr="00C16256">
              <w:rPr>
                <w:i/>
              </w:rPr>
              <w:t>euro</w:t>
            </w:r>
            <w:r>
              <w:t xml:space="preserve"> tiek </w:t>
            </w:r>
            <w:r w:rsidR="00C16256">
              <w:t>pārcelti no SAM 5.2.1. snieguma rezerves.</w:t>
            </w:r>
          </w:p>
          <w:p w:rsidR="00C16256" w:rsidP="005444E6" w14:paraId="2331022A" w14:textId="77777777">
            <w:pPr>
              <w:spacing w:after="120"/>
              <w:jc w:val="both"/>
            </w:pPr>
          </w:p>
          <w:p w:rsidR="00E817A4" w:rsidRPr="007D043F" w:rsidP="00C604B4" w14:paraId="14943264" w14:textId="7B42A182">
            <w:pPr>
              <w:spacing w:after="120"/>
              <w:jc w:val="both"/>
            </w:pPr>
            <w:r w:rsidRPr="007D043F">
              <w:rPr>
                <w:b/>
                <w:bCs/>
                <w:u w:val="single"/>
              </w:rPr>
              <w:t>Tiesiskā regulējuma mērķis un būtība</w:t>
            </w:r>
          </w:p>
          <w:p w:rsidR="00E817A4" w:rsidRPr="007D043F" w:rsidP="005258E6" w14:paraId="70487C32" w14:textId="70324FAF">
            <w:pPr>
              <w:pStyle w:val="ListParagraph"/>
              <w:spacing w:after="120"/>
              <w:ind w:left="0"/>
              <w:contextualSpacing w:val="0"/>
              <w:jc w:val="both"/>
              <w:rPr>
                <w:rFonts w:eastAsia="Calibri"/>
                <w:bCs/>
                <w:sz w:val="24"/>
                <w:szCs w:val="24"/>
              </w:rPr>
            </w:pPr>
            <w:r w:rsidRPr="007D043F">
              <w:rPr>
                <w:rFonts w:eastAsia="Calibri"/>
                <w:b/>
                <w:bCs/>
                <w:sz w:val="24"/>
                <w:szCs w:val="24"/>
              </w:rPr>
              <w:t>MK noteikumu projekts par 5.2.1.2.pasākumu paredz</w:t>
            </w:r>
            <w:r w:rsidRPr="007D043F" w:rsidR="005258E6">
              <w:rPr>
                <w:rFonts w:eastAsia="Calibri"/>
                <w:bCs/>
                <w:sz w:val="24"/>
                <w:szCs w:val="24"/>
              </w:rPr>
              <w:t xml:space="preserve"> </w:t>
            </w:r>
            <w:r w:rsidRPr="007D043F">
              <w:rPr>
                <w:rFonts w:eastAsia="Calibri"/>
                <w:bCs/>
                <w:sz w:val="24"/>
                <w:szCs w:val="24"/>
              </w:rPr>
              <w:t xml:space="preserve">palielināt trešās projektu iesniegumu atlases kārtai pieejamo finansējumu par </w:t>
            </w:r>
            <w:r w:rsidRPr="00040C75" w:rsidR="00040C75">
              <w:rPr>
                <w:sz w:val="24"/>
                <w:szCs w:val="24"/>
                <w:lang w:eastAsia="en-US"/>
              </w:rPr>
              <w:t>9 766 375</w:t>
            </w:r>
            <w:r w:rsidRPr="00040C75" w:rsidR="009623F3">
              <w:rPr>
                <w:rFonts w:eastAsia="Calibri"/>
                <w:bCs/>
                <w:sz w:val="24"/>
                <w:szCs w:val="24"/>
              </w:rPr>
              <w:t xml:space="preserve"> </w:t>
            </w:r>
            <w:r w:rsidRPr="007D043F">
              <w:rPr>
                <w:rFonts w:eastAsia="Calibri"/>
                <w:bCs/>
                <w:i/>
                <w:sz w:val="24"/>
                <w:szCs w:val="24"/>
              </w:rPr>
              <w:t>euro</w:t>
            </w:r>
            <w:r w:rsidRPr="00C242BB">
              <w:rPr>
                <w:rFonts w:eastAsia="Calibri"/>
                <w:bCs/>
                <w:sz w:val="24"/>
                <w:szCs w:val="24"/>
              </w:rPr>
              <w:t xml:space="preserve">, </w:t>
            </w:r>
            <w:r w:rsidRPr="00C242BB" w:rsidR="009623F3">
              <w:rPr>
                <w:rFonts w:eastAsia="Calibri"/>
                <w:bCs/>
                <w:sz w:val="24"/>
                <w:szCs w:val="24"/>
              </w:rPr>
              <w:t>pārdalot to</w:t>
            </w:r>
            <w:r w:rsidRPr="007D043F">
              <w:rPr>
                <w:rFonts w:eastAsia="Calibri"/>
                <w:bCs/>
                <w:sz w:val="24"/>
                <w:szCs w:val="24"/>
              </w:rPr>
              <w:t xml:space="preserve"> no SAM 5.3.1</w:t>
            </w:r>
            <w:r w:rsidR="00C16256">
              <w:rPr>
                <w:rFonts w:eastAsia="Calibri"/>
                <w:bCs/>
                <w:sz w:val="24"/>
                <w:szCs w:val="24"/>
              </w:rPr>
              <w:t>, kā arī daļu KF finansējuma pārceļot no SAM 5.2.1. snieguma rezerves</w:t>
            </w:r>
            <w:r w:rsidRPr="007D043F">
              <w:rPr>
                <w:rFonts w:eastAsia="Calibri"/>
                <w:bCs/>
                <w:sz w:val="24"/>
                <w:szCs w:val="24"/>
              </w:rPr>
              <w:t>.</w:t>
            </w:r>
          </w:p>
          <w:p w:rsidR="00E817A4" w:rsidRPr="007D043F" w:rsidP="009623F3" w14:paraId="286BFB4D" w14:textId="530AFEE8">
            <w:pPr>
              <w:spacing w:after="120"/>
              <w:jc w:val="both"/>
              <w:rPr>
                <w:bCs/>
              </w:rPr>
            </w:pPr>
            <w:r w:rsidRPr="007D043F">
              <w:rPr>
                <w:bCs/>
              </w:rPr>
              <w:t xml:space="preserve">Papildus </w:t>
            </w:r>
            <w:r w:rsidRPr="007D043F" w:rsidR="00B34412">
              <w:rPr>
                <w:bCs/>
              </w:rPr>
              <w:t>MK noteikumu projekts par 5.2.1.2.pasākumu</w:t>
            </w:r>
            <w:r w:rsidRPr="007D043F" w:rsidR="009623F3">
              <w:rPr>
                <w:bCs/>
              </w:rPr>
              <w:t xml:space="preserve"> </w:t>
            </w:r>
            <w:r w:rsidRPr="007D043F">
              <w:rPr>
                <w:bCs/>
              </w:rPr>
              <w:t xml:space="preserve">ietver finanšu rādītāja precizēšanu (samazināšanu par </w:t>
            </w:r>
            <w:r w:rsidRPr="007D043F">
              <w:t xml:space="preserve">4 679 613 </w:t>
            </w:r>
            <w:r w:rsidRPr="007D043F">
              <w:rPr>
                <w:i/>
              </w:rPr>
              <w:t>euro</w:t>
            </w:r>
            <w:r w:rsidRPr="007D043F">
              <w:t>)</w:t>
            </w:r>
            <w:r w:rsidRPr="007D043F">
              <w:rPr>
                <w:bCs/>
              </w:rPr>
              <w:t xml:space="preserve">, nodrošinot DP </w:t>
            </w:r>
            <w:r w:rsidR="00FC5215">
              <w:t>5.prioritārā virziena</w:t>
            </w:r>
            <w:r w:rsidRPr="007D043F" w:rsidR="00FC5215">
              <w:rPr>
                <w:bCs/>
              </w:rPr>
              <w:t xml:space="preserve"> </w:t>
            </w:r>
            <w:r w:rsidRPr="007D043F">
              <w:rPr>
                <w:bCs/>
              </w:rPr>
              <w:t xml:space="preserve">KF finanšu rādītāju atbilstību DP ietvertajam snieguma ietvara rādītājam. Samazinot finanšu rādītāju, tiks nodrošināta atbilstība starp plānošanas dokumentiem un tiesību aktiem, atvieglojot prognožu izstrādi un ziņojumu sagatavošanu, sniedzot salāgotu un vienotu informāciju. Samazinājumam nav </w:t>
            </w:r>
            <w:r w:rsidRPr="007D043F">
              <w:rPr>
                <w:bCs/>
              </w:rPr>
              <w:t xml:space="preserve">ietekmes uz 5.2.1.2.pasākuma trešo projektu iesniegumu atlases kārtu, jo netiek mainīti nosacījumi projektu </w:t>
            </w:r>
            <w:r w:rsidRPr="007D043F" w:rsidR="00FD5333">
              <w:rPr>
                <w:bCs/>
              </w:rPr>
              <w:t xml:space="preserve">ieviešanā. Sīkāk skatīt sadaļā </w:t>
            </w:r>
            <w:r w:rsidRPr="007D043F">
              <w:rPr>
                <w:bCs/>
              </w:rPr>
              <w:t>“</w:t>
            </w:r>
            <w:r w:rsidRPr="007D043F">
              <w:t xml:space="preserve">Skaidrojums par </w:t>
            </w:r>
            <w:r w:rsidRPr="007D043F">
              <w:rPr>
                <w:bCs/>
              </w:rPr>
              <w:t>5.2.1.2.pasākuma finanšu rādītāja atbilstību DP ietvertajam snieguma ietvara rādītājam”</w:t>
            </w:r>
            <w:r w:rsidRPr="007D043F" w:rsidR="00A624C7">
              <w:rPr>
                <w:bCs/>
              </w:rPr>
              <w:t>.</w:t>
            </w:r>
          </w:p>
          <w:p w:rsidR="00E817A4" w:rsidRPr="007D043F" w:rsidP="00C604B4" w14:paraId="473F1BDF" w14:textId="77777777">
            <w:pPr>
              <w:spacing w:after="120"/>
              <w:jc w:val="both"/>
              <w:rPr>
                <w:bCs/>
              </w:rPr>
            </w:pPr>
            <w:r w:rsidRPr="007D043F">
              <w:rPr>
                <w:b/>
                <w:bCs/>
              </w:rPr>
              <w:t>MK noteikumu projekts par SAM 5.3.1. paredz</w:t>
            </w:r>
            <w:r w:rsidRPr="007D043F">
              <w:rPr>
                <w:bCs/>
              </w:rPr>
              <w:t>:</w:t>
            </w:r>
          </w:p>
          <w:p w:rsidR="00E817A4" w:rsidRPr="007D043F" w:rsidP="00C604B4" w14:paraId="5B1D08AF" w14:textId="0769466D">
            <w:pPr>
              <w:pStyle w:val="ListParagraph"/>
              <w:numPr>
                <w:ilvl w:val="0"/>
                <w:numId w:val="2"/>
              </w:numPr>
              <w:spacing w:after="120"/>
              <w:ind w:left="317" w:hanging="284"/>
              <w:contextualSpacing w:val="0"/>
              <w:jc w:val="both"/>
              <w:rPr>
                <w:rFonts w:eastAsia="Calibri"/>
                <w:bCs/>
                <w:sz w:val="24"/>
                <w:szCs w:val="24"/>
              </w:rPr>
            </w:pPr>
            <w:r w:rsidRPr="007D043F">
              <w:rPr>
                <w:rFonts w:eastAsia="Calibri"/>
                <w:bCs/>
                <w:sz w:val="24"/>
                <w:szCs w:val="24"/>
              </w:rPr>
              <w:t xml:space="preserve">par </w:t>
            </w:r>
            <w:r w:rsidRPr="00040C75" w:rsidR="00040C75">
              <w:rPr>
                <w:sz w:val="24"/>
                <w:szCs w:val="24"/>
              </w:rPr>
              <w:t>8 851 446</w:t>
            </w:r>
            <w:r w:rsidRPr="00040C75">
              <w:rPr>
                <w:rFonts w:eastAsia="Calibri"/>
                <w:bCs/>
                <w:sz w:val="24"/>
                <w:szCs w:val="24"/>
              </w:rPr>
              <w:t xml:space="preserve"> </w:t>
            </w:r>
            <w:r w:rsidRPr="007D043F">
              <w:rPr>
                <w:rFonts w:eastAsia="Calibri"/>
                <w:bCs/>
                <w:i/>
                <w:sz w:val="24"/>
                <w:szCs w:val="24"/>
              </w:rPr>
              <w:t>euro</w:t>
            </w:r>
            <w:r w:rsidRPr="007D043F">
              <w:rPr>
                <w:rFonts w:eastAsia="Calibri"/>
                <w:bCs/>
                <w:sz w:val="24"/>
                <w:szCs w:val="24"/>
              </w:rPr>
              <w:t xml:space="preserve"> samazināt KF finansējuma apmēru, ko veido pirmajā līdz trešajā projektu iesniegumu atlasē nepieprasītais finansējums, kā arī </w:t>
            </w:r>
            <w:r w:rsidR="00C16256">
              <w:rPr>
                <w:rFonts w:eastAsia="Calibri"/>
                <w:bCs/>
                <w:sz w:val="24"/>
                <w:szCs w:val="24"/>
              </w:rPr>
              <w:t>daļa nesadalītā</w:t>
            </w:r>
            <w:r w:rsidRPr="007D043F">
              <w:rPr>
                <w:rFonts w:eastAsia="Calibri"/>
                <w:bCs/>
                <w:sz w:val="24"/>
                <w:szCs w:val="24"/>
              </w:rPr>
              <w:t xml:space="preserve"> SAM 5.3.1.finansējum</w:t>
            </w:r>
            <w:r w:rsidR="00C16256">
              <w:rPr>
                <w:rFonts w:eastAsia="Calibri"/>
                <w:bCs/>
                <w:sz w:val="24"/>
                <w:szCs w:val="24"/>
              </w:rPr>
              <w:t>a</w:t>
            </w:r>
            <w:r w:rsidRPr="007D043F">
              <w:rPr>
                <w:rFonts w:eastAsia="Calibri"/>
                <w:bCs/>
                <w:sz w:val="24"/>
                <w:szCs w:val="24"/>
              </w:rPr>
              <w:t xml:space="preserve">, kas </w:t>
            </w:r>
            <w:r w:rsidR="00C16256">
              <w:rPr>
                <w:rFonts w:eastAsia="Calibri"/>
                <w:bCs/>
                <w:sz w:val="24"/>
                <w:szCs w:val="24"/>
              </w:rPr>
              <w:t>paredzēta</w:t>
            </w:r>
            <w:r w:rsidRPr="007D043F">
              <w:rPr>
                <w:rFonts w:eastAsia="Calibri"/>
                <w:bCs/>
                <w:sz w:val="24"/>
                <w:szCs w:val="24"/>
              </w:rPr>
              <w:t xml:space="preserve"> ceturtajai atlases kārtai;</w:t>
            </w:r>
          </w:p>
          <w:p w:rsidR="00E817A4" w:rsidP="00C604B4" w14:paraId="39FB7354" w14:textId="1D05E84D">
            <w:pPr>
              <w:pStyle w:val="ListParagraph"/>
              <w:numPr>
                <w:ilvl w:val="0"/>
                <w:numId w:val="2"/>
              </w:numPr>
              <w:spacing w:after="120"/>
              <w:ind w:left="317" w:hanging="284"/>
              <w:contextualSpacing w:val="0"/>
              <w:jc w:val="both"/>
              <w:rPr>
                <w:rFonts w:eastAsia="Calibri"/>
                <w:bCs/>
                <w:sz w:val="24"/>
                <w:szCs w:val="24"/>
              </w:rPr>
            </w:pPr>
            <w:r w:rsidRPr="007D043F">
              <w:rPr>
                <w:rFonts w:eastAsia="Calibri"/>
                <w:bCs/>
                <w:sz w:val="24"/>
                <w:szCs w:val="24"/>
              </w:rPr>
              <w:t>precizēt pirmajā un otrajā projektu iesniegumu atlasē maksimālo aglomerācijām pieejamo KF finansējumu</w:t>
            </w:r>
            <w:r w:rsidR="00C16256">
              <w:rPr>
                <w:rFonts w:eastAsia="Calibri"/>
                <w:bCs/>
                <w:sz w:val="24"/>
                <w:szCs w:val="24"/>
              </w:rPr>
              <w:t xml:space="preserve"> un sasniedzamo iznākuma rādītāju</w:t>
            </w:r>
            <w:r w:rsidRPr="007D043F">
              <w:rPr>
                <w:rFonts w:eastAsia="Calibri"/>
                <w:bCs/>
                <w:sz w:val="24"/>
                <w:szCs w:val="24"/>
              </w:rPr>
              <w:t>, ņemot vērā aktuāl</w:t>
            </w:r>
            <w:r w:rsidR="00C16256">
              <w:rPr>
                <w:rFonts w:eastAsia="Calibri"/>
                <w:bCs/>
                <w:sz w:val="24"/>
                <w:szCs w:val="24"/>
              </w:rPr>
              <w:t>o informāciju</w:t>
            </w:r>
            <w:r w:rsidRPr="007D043F">
              <w:rPr>
                <w:rFonts w:eastAsia="Calibri"/>
                <w:bCs/>
                <w:sz w:val="24"/>
                <w:szCs w:val="24"/>
              </w:rPr>
              <w:t xml:space="preserve"> līgum</w:t>
            </w:r>
            <w:r w:rsidR="00C16256">
              <w:rPr>
                <w:rFonts w:eastAsia="Calibri"/>
                <w:bCs/>
                <w:sz w:val="24"/>
                <w:szCs w:val="24"/>
              </w:rPr>
              <w:t>os</w:t>
            </w:r>
            <w:r w:rsidRPr="007D043F">
              <w:rPr>
                <w:rFonts w:eastAsia="Calibri"/>
                <w:bCs/>
                <w:sz w:val="24"/>
                <w:szCs w:val="24"/>
              </w:rPr>
              <w:t xml:space="preserve"> </w:t>
            </w:r>
            <w:r w:rsidR="00C16256">
              <w:rPr>
                <w:rFonts w:eastAsia="Calibri"/>
                <w:bCs/>
                <w:sz w:val="24"/>
                <w:szCs w:val="24"/>
              </w:rPr>
              <w:t>un</w:t>
            </w:r>
            <w:r w:rsidRPr="007D043F">
              <w:rPr>
                <w:rFonts w:eastAsia="Calibri"/>
                <w:bCs/>
                <w:sz w:val="24"/>
                <w:szCs w:val="24"/>
              </w:rPr>
              <w:t xml:space="preserve"> vienošanās par projektu īstenošanu.</w:t>
            </w:r>
            <w:r w:rsidR="00310C09">
              <w:rPr>
                <w:rFonts w:eastAsia="Calibri"/>
                <w:bCs/>
                <w:sz w:val="24"/>
                <w:szCs w:val="24"/>
              </w:rPr>
              <w:t xml:space="preserve"> Grozījumi neietekmē SAM 5.3.1. finansējuma saņēmējus, jo projektu vērtēšana ir noslēgusies vai arī izvirzītie nosacījumi (attiecas tikai uz 3 projektiem) iesnieguma precizēšanai neietekmē pieprasītā KF finansējuma apjomu vai iznākuma rādītāja vērtību</w:t>
            </w:r>
            <w:r w:rsidR="00C42239">
              <w:rPr>
                <w:rFonts w:eastAsia="Calibri"/>
                <w:bCs/>
                <w:sz w:val="24"/>
                <w:szCs w:val="24"/>
              </w:rPr>
              <w:t>.</w:t>
            </w:r>
          </w:p>
          <w:p w:rsidR="00C16256" w:rsidRPr="007D043F" w:rsidP="00C16256" w14:paraId="1B158EE7" w14:textId="250E7195">
            <w:pPr>
              <w:spacing w:after="120"/>
              <w:jc w:val="both"/>
              <w:rPr>
                <w:bCs/>
              </w:rPr>
            </w:pPr>
            <w:r w:rsidRPr="007D043F">
              <w:rPr>
                <w:b/>
                <w:bCs/>
              </w:rPr>
              <w:t>M</w:t>
            </w:r>
            <w:r>
              <w:rPr>
                <w:b/>
                <w:bCs/>
              </w:rPr>
              <w:t>K noteikumu projekts par SAM 5.1</w:t>
            </w:r>
            <w:r w:rsidRPr="007D043F">
              <w:rPr>
                <w:b/>
                <w:bCs/>
              </w:rPr>
              <w:t>.1. paredz</w:t>
            </w:r>
            <w:r w:rsidRPr="007D043F">
              <w:rPr>
                <w:bCs/>
              </w:rPr>
              <w:t>:</w:t>
            </w:r>
          </w:p>
          <w:p w:rsidR="00E94E1F" w:rsidP="00C16256" w14:paraId="389BDE61" w14:textId="6CAF6A49">
            <w:pPr>
              <w:pStyle w:val="ListParagraph"/>
              <w:numPr>
                <w:ilvl w:val="0"/>
                <w:numId w:val="2"/>
              </w:numPr>
              <w:spacing w:after="120"/>
              <w:ind w:left="317" w:hanging="284"/>
              <w:contextualSpacing w:val="0"/>
              <w:jc w:val="both"/>
              <w:rPr>
                <w:rFonts w:eastAsia="Calibri"/>
                <w:bCs/>
                <w:sz w:val="24"/>
                <w:szCs w:val="24"/>
              </w:rPr>
            </w:pPr>
            <w:r w:rsidRPr="00E817A4">
              <w:rPr>
                <w:rFonts w:eastAsia="Calibri"/>
                <w:bCs/>
                <w:sz w:val="24"/>
                <w:szCs w:val="24"/>
              </w:rPr>
              <w:t xml:space="preserve">par </w:t>
            </w:r>
            <w:r>
              <w:rPr>
                <w:rFonts w:eastAsia="Calibri"/>
                <w:bCs/>
                <w:sz w:val="24"/>
                <w:szCs w:val="24"/>
              </w:rPr>
              <w:t>914 929</w:t>
            </w:r>
            <w:r w:rsidRPr="00E817A4">
              <w:rPr>
                <w:rFonts w:eastAsia="Calibri"/>
                <w:bCs/>
                <w:sz w:val="24"/>
                <w:szCs w:val="24"/>
              </w:rPr>
              <w:t xml:space="preserve"> </w:t>
            </w:r>
            <w:r w:rsidRPr="00E817A4">
              <w:rPr>
                <w:rFonts w:eastAsia="Calibri"/>
                <w:bCs/>
                <w:i/>
                <w:sz w:val="24"/>
                <w:szCs w:val="24"/>
              </w:rPr>
              <w:t>euro</w:t>
            </w:r>
            <w:r w:rsidRPr="00E817A4">
              <w:rPr>
                <w:rFonts w:eastAsia="Calibri"/>
                <w:bCs/>
                <w:sz w:val="24"/>
                <w:szCs w:val="24"/>
              </w:rPr>
              <w:t xml:space="preserve"> </w:t>
            </w:r>
            <w:r>
              <w:rPr>
                <w:rFonts w:eastAsia="Calibri"/>
                <w:bCs/>
                <w:sz w:val="24"/>
                <w:szCs w:val="24"/>
              </w:rPr>
              <w:t>samazināt</w:t>
            </w:r>
            <w:r w:rsidRPr="00E817A4">
              <w:rPr>
                <w:rFonts w:eastAsia="Calibri"/>
                <w:bCs/>
                <w:sz w:val="24"/>
                <w:szCs w:val="24"/>
              </w:rPr>
              <w:t xml:space="preserve"> </w:t>
            </w:r>
            <w:r>
              <w:rPr>
                <w:rFonts w:eastAsia="Calibri"/>
                <w:bCs/>
                <w:sz w:val="24"/>
                <w:szCs w:val="24"/>
              </w:rPr>
              <w:t>līdz 2018.gada 31.decembrim pieejamo</w:t>
            </w:r>
            <w:r w:rsidRPr="00E817A4">
              <w:rPr>
                <w:rFonts w:eastAsia="Calibri"/>
                <w:bCs/>
                <w:sz w:val="24"/>
                <w:szCs w:val="24"/>
              </w:rPr>
              <w:t xml:space="preserve"> ERAF finansējumu, vienlaicīgi</w:t>
            </w:r>
            <w:r w:rsidR="00351E30">
              <w:rPr>
                <w:rFonts w:eastAsia="Calibri"/>
                <w:bCs/>
                <w:sz w:val="24"/>
                <w:szCs w:val="24"/>
              </w:rPr>
              <w:t xml:space="preserve"> precizējot otrās projektu iesniegumu atlases kārtas projektu sarakstu, ņemot vērā informāciju par </w:t>
            </w:r>
            <w:r w:rsidRPr="00E817A4">
              <w:rPr>
                <w:rFonts w:eastAsia="Calibri"/>
                <w:bCs/>
                <w:sz w:val="24"/>
                <w:szCs w:val="24"/>
              </w:rPr>
              <w:t xml:space="preserve">neiesniegto projektu, kam tika paredzēts ERAF finansējums 2 550 000 </w:t>
            </w:r>
            <w:r w:rsidRPr="00E817A4">
              <w:rPr>
                <w:rFonts w:eastAsia="Calibri"/>
                <w:bCs/>
                <w:i/>
                <w:sz w:val="24"/>
                <w:szCs w:val="24"/>
              </w:rPr>
              <w:t>euro</w:t>
            </w:r>
            <w:r>
              <w:rPr>
                <w:rFonts w:eastAsia="Calibri"/>
                <w:bCs/>
                <w:sz w:val="24"/>
                <w:szCs w:val="24"/>
              </w:rPr>
              <w:t xml:space="preserve">. </w:t>
            </w:r>
            <w:r>
              <w:rPr>
                <w:rFonts w:eastAsia="Calibri"/>
                <w:bCs/>
                <w:sz w:val="24"/>
                <w:szCs w:val="24"/>
              </w:rPr>
              <w:t xml:space="preserve">Līdz ar to SAM 5.1.1. otrajā atlases kārtā ir izveidojies ERAF nesadalītais finansējums 1 635 071 </w:t>
            </w:r>
            <w:r w:rsidRPr="007E7BB9">
              <w:rPr>
                <w:rFonts w:eastAsia="Calibri"/>
                <w:bCs/>
                <w:i/>
                <w:sz w:val="24"/>
                <w:szCs w:val="24"/>
              </w:rPr>
              <w:t>euro</w:t>
            </w:r>
            <w:r>
              <w:rPr>
                <w:rFonts w:eastAsia="Calibri"/>
                <w:bCs/>
                <w:sz w:val="24"/>
                <w:szCs w:val="24"/>
              </w:rPr>
              <w:t>;</w:t>
            </w:r>
          </w:p>
          <w:p w:rsidR="00AB6378" w:rsidP="00AB6378" w14:paraId="115AF14C" w14:textId="1106C009">
            <w:pPr>
              <w:pStyle w:val="ListParagraph"/>
              <w:numPr>
                <w:ilvl w:val="0"/>
                <w:numId w:val="2"/>
              </w:numPr>
              <w:spacing w:after="120"/>
              <w:ind w:left="317" w:hanging="284"/>
              <w:contextualSpacing w:val="0"/>
              <w:jc w:val="both"/>
              <w:rPr>
                <w:rFonts w:eastAsia="Calibri"/>
                <w:bCs/>
                <w:sz w:val="24"/>
                <w:szCs w:val="24"/>
              </w:rPr>
            </w:pPr>
            <w:r w:rsidRPr="00E817A4">
              <w:rPr>
                <w:rFonts w:eastAsia="Calibri"/>
                <w:bCs/>
                <w:sz w:val="24"/>
                <w:szCs w:val="24"/>
              </w:rPr>
              <w:t>tehnisku precizējuma veikšanu, nosakot pienākumu finansējuma saņēmējam turpmākos trīs gadus pēc projekta īstenošanas ik gadu sniegt informāciju sadarbības iestādei par objekta ar enerģijas patēriņu (piemēram, sūkņu stacijas) enerģijas patēriņu pirms un pēc projekta īstenošanas atbilstoši Energoefektivitātes likuma 15.panta ceturtajai daļai. Šī prasība ir attiecināma tikai uz tiem projektiem, kuros tiek paredzēti objekti ar e</w:t>
            </w:r>
            <w:r w:rsidR="007E7BB9">
              <w:rPr>
                <w:rFonts w:eastAsia="Calibri"/>
                <w:bCs/>
                <w:sz w:val="24"/>
                <w:szCs w:val="24"/>
              </w:rPr>
              <w:t xml:space="preserve">nerģijas patēriņu. Prasība par </w:t>
            </w:r>
            <w:r w:rsidRPr="00E817A4">
              <w:rPr>
                <w:rFonts w:eastAsia="Calibri"/>
                <w:bCs/>
                <w:sz w:val="24"/>
                <w:szCs w:val="24"/>
              </w:rPr>
              <w:t>enerģijas patēriņa ziņošanu jau ietverta SAM 5.1.1 ietvaros noslēgtajās vienošanās par projektu īstenošanu</w:t>
            </w:r>
            <w:r w:rsidR="007E7BB9">
              <w:rPr>
                <w:rFonts w:eastAsia="Calibri"/>
                <w:bCs/>
                <w:sz w:val="24"/>
                <w:szCs w:val="24"/>
              </w:rPr>
              <w:t xml:space="preserve"> un neradīs papildu administratīvo slogu finansējuma saņēmējiem</w:t>
            </w:r>
            <w:r w:rsidRPr="00E817A4">
              <w:rPr>
                <w:rFonts w:eastAsia="Calibri"/>
                <w:bCs/>
                <w:sz w:val="24"/>
                <w:szCs w:val="24"/>
              </w:rPr>
              <w:t>.</w:t>
            </w:r>
          </w:p>
          <w:p w:rsidR="009E4F2F" w:rsidP="009E4F2F" w14:paraId="564F2AE3" w14:textId="053F38F5">
            <w:pPr>
              <w:spacing w:after="120"/>
              <w:jc w:val="both"/>
            </w:pPr>
            <w:r>
              <w:t xml:space="preserve">Par snieguma rezerves nesadalītā finansējuma (55 375 </w:t>
            </w:r>
            <w:r w:rsidRPr="00E94E1F">
              <w:rPr>
                <w:i/>
              </w:rPr>
              <w:t>euro</w:t>
            </w:r>
            <w:r>
              <w:t xml:space="preserve">) un līdz 2018.gada 31.decembrim pieejamā ERAF nesadalītā finansējuma (1 635 071 </w:t>
            </w:r>
            <w:r w:rsidRPr="00E94E1F">
              <w:rPr>
                <w:i/>
              </w:rPr>
              <w:t>euro</w:t>
            </w:r>
            <w:r>
              <w:t xml:space="preserve">) izmantošanu </w:t>
            </w:r>
            <w:r>
              <w:t>tiks lemts</w:t>
            </w:r>
            <w:r w:rsidR="00B06830">
              <w:t xml:space="preserve"> vēlāk</w:t>
            </w:r>
            <w:r>
              <w:t>, izvērtējot aktuālo informāciju par nepieciešamajiem pasākumiem plūdu risku samazināšanai</w:t>
            </w:r>
            <w:r w:rsidR="00351E30">
              <w:t xml:space="preserve"> un kopējo DP 5.prioritārā virziena snieguma ietvara izpildi</w:t>
            </w:r>
            <w:r>
              <w:t>.</w:t>
            </w:r>
          </w:p>
          <w:p w:rsidR="00E817A4" w:rsidRPr="007D043F" w:rsidP="00C604B4" w14:paraId="4FE04287" w14:textId="4D9DC6F9">
            <w:pPr>
              <w:spacing w:after="120"/>
              <w:jc w:val="both"/>
              <w:rPr>
                <w:b/>
                <w:u w:val="single"/>
              </w:rPr>
            </w:pPr>
            <w:r w:rsidRPr="007D043F">
              <w:rPr>
                <w:b/>
                <w:u w:val="single"/>
              </w:rPr>
              <w:t xml:space="preserve">Pārdales ietekmes uz </w:t>
            </w:r>
            <w:r w:rsidR="00385072">
              <w:rPr>
                <w:b/>
                <w:u w:val="single"/>
              </w:rPr>
              <w:t>uzraudzības rādītāju sasniegumu</w:t>
            </w:r>
          </w:p>
          <w:p w:rsidR="007C28FF" w:rsidP="007C28FF" w14:paraId="7D8FDE9D" w14:textId="0F709FD6">
            <w:pPr>
              <w:pStyle w:val="CommentText"/>
              <w:spacing w:after="120"/>
              <w:jc w:val="both"/>
              <w:rPr>
                <w:sz w:val="24"/>
                <w:szCs w:val="24"/>
              </w:rPr>
            </w:pPr>
            <w:r w:rsidRPr="00DD058A">
              <w:rPr>
                <w:sz w:val="24"/>
                <w:szCs w:val="24"/>
              </w:rPr>
              <w:t xml:space="preserve">Finansējuma pārdale pozitīvi ietekmēs </w:t>
            </w:r>
            <w:r w:rsidR="00942A04">
              <w:rPr>
                <w:sz w:val="24"/>
                <w:szCs w:val="24"/>
              </w:rPr>
              <w:t>DP</w:t>
            </w:r>
            <w:r w:rsidRPr="00DD058A">
              <w:rPr>
                <w:sz w:val="24"/>
                <w:szCs w:val="24"/>
              </w:rPr>
              <w:t xml:space="preserve"> noteikto </w:t>
            </w:r>
            <w:r w:rsidRPr="00AB6378">
              <w:rPr>
                <w:b/>
                <w:sz w:val="24"/>
                <w:szCs w:val="24"/>
              </w:rPr>
              <w:t xml:space="preserve">SAM 5.2.1 </w:t>
            </w:r>
            <w:r w:rsidRPr="00DD058A">
              <w:rPr>
                <w:sz w:val="24"/>
                <w:szCs w:val="24"/>
              </w:rPr>
              <w:t xml:space="preserve">rādītāju i.5.2.1.ak (CO17) “Atkritumu pārstrādes jaudas pieaugums”, ļaujot apstiprināt projektus tādā apmērā, lai nodrošinātu iznākuma rādītāja vērtības sniegumu </w:t>
            </w:r>
            <w:r w:rsidR="007E7BB9">
              <w:rPr>
                <w:sz w:val="24"/>
                <w:szCs w:val="24"/>
              </w:rPr>
              <w:t>aptuveni</w:t>
            </w:r>
            <w:r w:rsidR="00197B1B">
              <w:rPr>
                <w:sz w:val="24"/>
                <w:szCs w:val="24"/>
              </w:rPr>
              <w:t xml:space="preserve"> 9</w:t>
            </w:r>
            <w:r w:rsidR="0095449B">
              <w:rPr>
                <w:sz w:val="24"/>
                <w:szCs w:val="24"/>
              </w:rPr>
              <w:t>4</w:t>
            </w:r>
            <w:r w:rsidR="00197B1B">
              <w:rPr>
                <w:sz w:val="24"/>
                <w:szCs w:val="24"/>
              </w:rPr>
              <w:t xml:space="preserve">% </w:t>
            </w:r>
            <w:r w:rsidRPr="00DD058A">
              <w:rPr>
                <w:sz w:val="24"/>
                <w:szCs w:val="24"/>
              </w:rPr>
              <w:t>apmērā</w:t>
            </w:r>
            <w:r w:rsidR="00437742">
              <w:rPr>
                <w:sz w:val="24"/>
                <w:szCs w:val="24"/>
              </w:rPr>
              <w:t>. Tāpat ta</w:t>
            </w:r>
            <w:r w:rsidRPr="00DD058A">
              <w:rPr>
                <w:sz w:val="24"/>
                <w:szCs w:val="24"/>
              </w:rPr>
              <w:t xml:space="preserve">s nepieciešams, lai līdz 2020.gadam veicinātu Padomes Direktīvā 1999/31/EK </w:t>
            </w:r>
            <w:r w:rsidRPr="007C28FF">
              <w:rPr>
                <w:i/>
                <w:sz w:val="24"/>
                <w:szCs w:val="24"/>
              </w:rPr>
              <w:t>par atkritumu poligoniem</w:t>
            </w:r>
            <w:r w:rsidRPr="00DD058A">
              <w:rPr>
                <w:sz w:val="24"/>
                <w:szCs w:val="24"/>
              </w:rPr>
              <w:t xml:space="preserve"> un nacionālajos tiesību aktos </w:t>
            </w:r>
            <w:r w:rsidRPr="00DD058A">
              <w:rPr>
                <w:sz w:val="24"/>
                <w:szCs w:val="24"/>
              </w:rPr>
              <w:t xml:space="preserve">noteikto mērķu sasniegšanu attiecībā uz sadzīves atkritumu apglabāšanas poligonos apglabājamo atkritumu apjoma samazināšanu, jo īpaši attiecībā uz BNA. Direktīva 1999/31/EK </w:t>
            </w:r>
            <w:r w:rsidRPr="007C28FF">
              <w:rPr>
                <w:i/>
                <w:sz w:val="24"/>
                <w:szCs w:val="24"/>
              </w:rPr>
              <w:t>par atkritumu poligoniem</w:t>
            </w:r>
            <w:r w:rsidRPr="00DD058A">
              <w:rPr>
                <w:sz w:val="24"/>
                <w:szCs w:val="24"/>
              </w:rPr>
              <w:t xml:space="preserve"> nosaka nepieciešamību </w:t>
            </w:r>
            <w:r w:rsidR="007E7BB9">
              <w:rPr>
                <w:sz w:val="24"/>
                <w:szCs w:val="24"/>
              </w:rPr>
              <w:t xml:space="preserve">līdz 2020.gadam </w:t>
            </w:r>
            <w:r w:rsidRPr="00DD058A">
              <w:rPr>
                <w:sz w:val="24"/>
                <w:szCs w:val="24"/>
              </w:rPr>
              <w:t xml:space="preserve">samazināt apglabājamo bioloģiski noārdāmo mājsaimniecības atkritumu daudzumu vismaz līdz 35% no 1995.gadā apglabātā bioloģiski noārdāmo atkritumu daudzuma.  </w:t>
            </w:r>
            <w:r w:rsidR="00AB6378">
              <w:rPr>
                <w:sz w:val="24"/>
                <w:szCs w:val="24"/>
              </w:rPr>
              <w:t xml:space="preserve">EK </w:t>
            </w:r>
            <w:r w:rsidRPr="00DD058A" w:rsidR="005444E6">
              <w:rPr>
                <w:sz w:val="24"/>
                <w:szCs w:val="24"/>
              </w:rPr>
              <w:t xml:space="preserve">2017.gadā </w:t>
            </w:r>
            <w:r w:rsidRPr="00DD058A">
              <w:rPr>
                <w:sz w:val="24"/>
                <w:szCs w:val="24"/>
              </w:rPr>
              <w:t>ir uzsākusi</w:t>
            </w:r>
            <w:r w:rsidR="005444E6">
              <w:rPr>
                <w:sz w:val="24"/>
                <w:szCs w:val="24"/>
              </w:rPr>
              <w:t xml:space="preserve"> vairākas</w:t>
            </w:r>
            <w:r w:rsidRPr="00DD058A">
              <w:rPr>
                <w:sz w:val="24"/>
                <w:szCs w:val="24"/>
              </w:rPr>
              <w:t xml:space="preserve"> pārbaudes poligonos </w:t>
            </w:r>
            <w:r w:rsidR="007E7BB9">
              <w:rPr>
                <w:sz w:val="24"/>
                <w:szCs w:val="24"/>
              </w:rPr>
              <w:t>–</w:t>
            </w:r>
            <w:r w:rsidRPr="00DD058A">
              <w:rPr>
                <w:sz w:val="24"/>
                <w:szCs w:val="24"/>
              </w:rPr>
              <w:t xml:space="preserve"> </w:t>
            </w:r>
            <w:r w:rsidR="007E7BB9">
              <w:rPr>
                <w:sz w:val="24"/>
                <w:szCs w:val="24"/>
              </w:rPr>
              <w:t>ir saņemts agrās brīdināšanas ziņojums</w:t>
            </w:r>
            <w:r w:rsidRPr="00DD058A">
              <w:rPr>
                <w:sz w:val="24"/>
                <w:szCs w:val="24"/>
              </w:rPr>
              <w:t xml:space="preserve"> par 50% pārstrādes mērķa sasniegšanu saskaņā ar </w:t>
            </w:r>
            <w:r w:rsidRPr="007C28FF">
              <w:rPr>
                <w:sz w:val="24"/>
                <w:szCs w:val="24"/>
              </w:rPr>
              <w:t>direktīvu</w:t>
            </w:r>
            <w:r w:rsidRPr="007C28FF">
              <w:rPr>
                <w:i/>
                <w:sz w:val="24"/>
                <w:szCs w:val="24"/>
              </w:rPr>
              <w:t xml:space="preserve"> </w:t>
            </w:r>
            <w:r w:rsidRPr="00DD058A">
              <w:rPr>
                <w:sz w:val="24"/>
                <w:szCs w:val="24"/>
              </w:rPr>
              <w:t xml:space="preserve">2008/98/EK </w:t>
            </w:r>
            <w:r w:rsidRPr="007C28FF">
              <w:rPr>
                <w:i/>
                <w:sz w:val="24"/>
                <w:szCs w:val="24"/>
              </w:rPr>
              <w:t>par atkritumiem un par dažu direktīvu atcelšanu</w:t>
            </w:r>
            <w:r w:rsidRPr="00DD058A">
              <w:rPr>
                <w:sz w:val="24"/>
                <w:szCs w:val="24"/>
              </w:rPr>
              <w:t>, kā arī par sagatavošanu apglabāšanai un par BNA stabilizāciju,</w:t>
            </w:r>
            <w:r w:rsidR="005444E6">
              <w:rPr>
                <w:sz w:val="24"/>
                <w:szCs w:val="24"/>
              </w:rPr>
              <w:t xml:space="preserve"> -</w:t>
            </w:r>
            <w:r w:rsidRPr="00DD058A">
              <w:rPr>
                <w:sz w:val="24"/>
                <w:szCs w:val="24"/>
              </w:rPr>
              <w:t xml:space="preserve"> </w:t>
            </w:r>
            <w:r>
              <w:rPr>
                <w:sz w:val="24"/>
                <w:szCs w:val="24"/>
              </w:rPr>
              <w:t xml:space="preserve">t.sk., </w:t>
            </w:r>
            <w:r w:rsidRPr="00DD058A">
              <w:rPr>
                <w:sz w:val="24"/>
                <w:szCs w:val="24"/>
              </w:rPr>
              <w:t xml:space="preserve">ievērojot jau EK identificēto būtisko nepieciešamību Latvijā intensificēt atkritumu pārstrādi, lai izpildītu vides </w:t>
            </w:r>
            <w:r w:rsidRPr="00DD058A">
              <w:rPr>
                <w:i/>
                <w:sz w:val="24"/>
                <w:szCs w:val="24"/>
              </w:rPr>
              <w:t>acquis</w:t>
            </w:r>
            <w:r w:rsidRPr="00DD058A">
              <w:rPr>
                <w:sz w:val="24"/>
                <w:szCs w:val="24"/>
              </w:rPr>
              <w:t xml:space="preserve"> atkritumu jomā. Šo vides </w:t>
            </w:r>
            <w:r w:rsidRPr="00DD058A">
              <w:rPr>
                <w:i/>
                <w:sz w:val="24"/>
                <w:szCs w:val="24"/>
              </w:rPr>
              <w:t>acquis</w:t>
            </w:r>
            <w:r w:rsidRPr="00DD058A">
              <w:rPr>
                <w:sz w:val="24"/>
                <w:szCs w:val="24"/>
              </w:rPr>
              <w:t xml:space="preserve"> prasību neizpildes gadījumā pēc 2020.gada Latvijai var tikt piemē</w:t>
            </w:r>
            <w:r w:rsidR="007E7BB9">
              <w:rPr>
                <w:sz w:val="24"/>
                <w:szCs w:val="24"/>
              </w:rPr>
              <w:t>rota pārkāpumu procedūra. Tādēļ</w:t>
            </w:r>
            <w:r w:rsidRPr="00DD058A">
              <w:rPr>
                <w:sz w:val="24"/>
                <w:szCs w:val="24"/>
              </w:rPr>
              <w:t xml:space="preserve"> pilnvērtīga ES fondu finansējuma ieguldījumu atkritumu pārstrādes sistēmas pilnveidei Latvijā ir ļoti būtiska nozīme ne tikai no DP rādītāju izpildes viedokļa, bet arī nozares turpmākās attīstības un normatīvo prasību izpildes viedokļa.</w:t>
            </w:r>
          </w:p>
          <w:p w:rsidR="00AB6378" w:rsidRPr="00E817A4" w:rsidP="00AB6378" w14:paraId="552D9DD6" w14:textId="3C340D00">
            <w:pPr>
              <w:spacing w:after="120"/>
              <w:jc w:val="both"/>
            </w:pPr>
            <w:r w:rsidRPr="00E817A4">
              <w:t xml:space="preserve">Pārdales neietekmē </w:t>
            </w:r>
            <w:r w:rsidRPr="00AB6378">
              <w:rPr>
                <w:b/>
              </w:rPr>
              <w:t>SAM 5.1.1</w:t>
            </w:r>
            <w:r w:rsidRPr="00E817A4">
              <w:t xml:space="preserve">. plānotos iznākuma rādītājus, jo pozitīva </w:t>
            </w:r>
            <w:r w:rsidR="009E4F2F">
              <w:t>EK</w:t>
            </w:r>
            <w:r w:rsidRPr="00E817A4">
              <w:t xml:space="preserve"> lēmuma gadījumā projektus varēs īstenot pilnā apmērā. Kopējais finansējums SAM 5.1.1. netiek samazināts.</w:t>
            </w:r>
            <w:r w:rsidR="00F47E13">
              <w:t xml:space="preserve"> </w:t>
            </w:r>
          </w:p>
          <w:p w:rsidR="005258E6" w:rsidRPr="007D043F" w:rsidP="00C17D0C" w14:paraId="33F83A6E" w14:textId="3CCEE14E">
            <w:pPr>
              <w:spacing w:after="120"/>
              <w:jc w:val="both"/>
            </w:pPr>
            <w:r w:rsidRPr="007D043F">
              <w:t xml:space="preserve">VARAM, veicot </w:t>
            </w:r>
            <w:r w:rsidRPr="007D043F">
              <w:rPr>
                <w:b/>
              </w:rPr>
              <w:t>SAM 5.3.1.</w:t>
            </w:r>
            <w:r w:rsidRPr="007D043F">
              <w:t xml:space="preserve"> investīciju analīzi, </w:t>
            </w:r>
            <w:r w:rsidR="00197B1B">
              <w:t>ir secinājusi, ka f</w:t>
            </w:r>
            <w:r w:rsidRPr="007D043F">
              <w:t>i</w:t>
            </w:r>
            <w:r w:rsidR="00197B1B">
              <w:t xml:space="preserve">nansējuma pārdales rezultātā, </w:t>
            </w:r>
            <w:r w:rsidRPr="007D043F">
              <w:t>īstenojot SAM 5.3.1. ceturto projektu iesniegumu atlases kārtu</w:t>
            </w:r>
            <w:r w:rsidR="00197B1B">
              <w:t xml:space="preserve"> samazināta KF ietvarā</w:t>
            </w:r>
            <w:r w:rsidRPr="007D043F">
              <w:t xml:space="preserve">, DP iznākuma </w:t>
            </w:r>
            <w:r w:rsidRPr="007D043F" w:rsidR="00C93B39">
              <w:t>rādītāja</w:t>
            </w:r>
            <w:r w:rsidRPr="007D043F">
              <w:t xml:space="preserve"> i.5.3.1.ak (CO19) “Uzlabotas notekūdeņu attīrīšanas sistēmas apkalpoto iedzīvotāju skaita </w:t>
            </w:r>
            <w:r w:rsidRPr="007D043F" w:rsidR="00C93B39">
              <w:t>pieaugums</w:t>
            </w:r>
            <w:r w:rsidRPr="007D043F">
              <w:t xml:space="preserve"> (CE)”</w:t>
            </w:r>
            <w:r w:rsidR="00BB38C4">
              <w:t xml:space="preserve"> </w:t>
            </w:r>
            <w:r w:rsidRPr="007D043F">
              <w:t>vērtība 2023.</w:t>
            </w:r>
            <w:r w:rsidRPr="007D043F" w:rsidR="00C93B39">
              <w:t> </w:t>
            </w:r>
            <w:r w:rsidRPr="007D043F">
              <w:t xml:space="preserve">gadā </w:t>
            </w:r>
            <w:r w:rsidR="00197B1B">
              <w:t xml:space="preserve">var </w:t>
            </w:r>
            <w:r w:rsidR="00BB38C4">
              <w:t>sasniegt</w:t>
            </w:r>
            <w:r w:rsidRPr="007D043F">
              <w:t xml:space="preserve"> </w:t>
            </w:r>
            <w:r w:rsidR="00197B1B">
              <w:t>3</w:t>
            </w:r>
            <w:r w:rsidR="0095449B">
              <w:t>8</w:t>
            </w:r>
            <w:r w:rsidR="00197B1B">
              <w:t xml:space="preserve"> </w:t>
            </w:r>
            <w:r w:rsidR="0095449B">
              <w:t>847</w:t>
            </w:r>
            <w:r w:rsidR="00BB38C4">
              <w:t xml:space="preserve"> iedzīvotājus</w:t>
            </w:r>
            <w:r w:rsidRPr="007D043F" w:rsidR="00C93B39">
              <w:t xml:space="preserve"> jeb </w:t>
            </w:r>
            <w:r w:rsidR="0095449B">
              <w:t>93</w:t>
            </w:r>
            <w:r w:rsidR="00197B1B">
              <w:t xml:space="preserve">% no </w:t>
            </w:r>
            <w:r w:rsidRPr="007D043F" w:rsidR="00C93B39">
              <w:t>DP</w:t>
            </w:r>
            <w:r w:rsidRPr="007D043F">
              <w:t xml:space="preserve"> rādītāja 41 790 iedzīvotāji (atbilstoši</w:t>
            </w:r>
            <w:r w:rsidRPr="007D043F" w:rsidR="00592FE9">
              <w:t xml:space="preserve"> </w:t>
            </w:r>
            <w:r w:rsidRPr="007D043F">
              <w:t>MK 2018. gada 26. februāra rīkojumam Nr.69 “Grozījumi Eiropas Savienības struktūrfondu un Kohēzijas fonda 2014.-2020. gada plānošanas perioda darbības programmā “Izaugsme un nodarbinātība”)</w:t>
            </w:r>
            <w:r w:rsidR="00197B1B">
              <w:t xml:space="preserve">. </w:t>
            </w:r>
            <w:r w:rsidR="00BE3448">
              <w:t xml:space="preserve"> Tātad </w:t>
            </w:r>
            <w:r w:rsidR="00D4161E">
              <w:t>palielinājums būtu par gandrīz 2</w:t>
            </w:r>
            <w:r w:rsidR="00BE3448">
              <w:t>%</w:t>
            </w:r>
            <w:r w:rsidRPr="007D043F" w:rsidR="00BE3448">
              <w:t xml:space="preserve">. </w:t>
            </w:r>
            <w:r w:rsidR="00BB38C4">
              <w:t>Aprē</w:t>
            </w:r>
            <w:r w:rsidR="00BE3448">
              <w:t>ķins veikts ar n</w:t>
            </w:r>
            <w:r w:rsidR="00BB38C4">
              <w:t xml:space="preserve">osacījumu, ka viena </w:t>
            </w:r>
            <w:r w:rsidR="00BB38C4">
              <w:t>pieslēguma</w:t>
            </w:r>
            <w:r w:rsidR="00BB38C4">
              <w:t xml:space="preserve"> izveides KF izmaksas nepārsniedz 5000 </w:t>
            </w:r>
            <w:r w:rsidRPr="00BB38C4" w:rsidR="00BB38C4">
              <w:rPr>
                <w:i/>
              </w:rPr>
              <w:t>euro</w:t>
            </w:r>
            <w:r w:rsidR="00BB38C4">
              <w:t xml:space="preserve">. </w:t>
            </w:r>
          </w:p>
          <w:p w:rsidR="009E261B" w:rsidRPr="007D043F" w:rsidP="009E261B" w14:paraId="7E83EEFF" w14:textId="7B0A369D">
            <w:pPr>
              <w:spacing w:after="120"/>
              <w:jc w:val="both"/>
              <w:rPr>
                <w:rFonts w:eastAsiaTheme="minorHAnsi"/>
              </w:rPr>
            </w:pPr>
            <w:r w:rsidRPr="007D043F">
              <w:t xml:space="preserve">Plānotās izmaiņas neietekmēs starpposma snieguma ietvara rādītāja izpildi (1175 iedzīvotāji). </w:t>
            </w:r>
            <w:r w:rsidR="00BB38C4">
              <w:t xml:space="preserve">2018.gada </w:t>
            </w:r>
            <w:r w:rsidR="0095449B">
              <w:t>maijā</w:t>
            </w:r>
            <w:r w:rsidRPr="007D043F">
              <w:t xml:space="preserve"> projektu ietvaros sasniegtā starpposma rādītāja vērtība </w:t>
            </w:r>
            <w:r w:rsidRPr="007D043F">
              <w:rPr>
                <w:rFonts w:eastAsiaTheme="minorHAnsi"/>
              </w:rPr>
              <w:t xml:space="preserve">kopā </w:t>
            </w:r>
            <w:r w:rsidRPr="007D043F" w:rsidR="00D066AE">
              <w:rPr>
                <w:rFonts w:eastAsiaTheme="minorHAnsi"/>
              </w:rPr>
              <w:t xml:space="preserve">ir </w:t>
            </w:r>
            <w:r w:rsidRPr="007D043F">
              <w:rPr>
                <w:rFonts w:eastAsiaTheme="minorHAnsi"/>
              </w:rPr>
              <w:t>1019 iedzīvotāji jeb 87% no snieguma ietvara rādītāja.</w:t>
            </w:r>
          </w:p>
          <w:p w:rsidR="00C17D0C" w:rsidRPr="007D043F" w:rsidP="009E261B" w14:paraId="2FC478EE" w14:textId="78AE4647">
            <w:pPr>
              <w:pStyle w:val="NoSpacing"/>
              <w:spacing w:after="120"/>
              <w:ind w:left="34"/>
              <w:jc w:val="both"/>
              <w:rPr>
                <w:rFonts w:ascii="Times New Roman" w:hAnsi="Times New Roman"/>
                <w:color w:val="auto"/>
                <w:sz w:val="24"/>
              </w:rPr>
            </w:pPr>
            <w:r>
              <w:rPr>
                <w:rFonts w:ascii="Times New Roman" w:hAnsi="Times New Roman"/>
                <w:color w:val="auto"/>
                <w:sz w:val="24"/>
              </w:rPr>
              <w:t>Papildus</w:t>
            </w:r>
            <w:r w:rsidRPr="007D043F" w:rsidR="00857F7D">
              <w:rPr>
                <w:rFonts w:ascii="Times New Roman" w:hAnsi="Times New Roman"/>
                <w:color w:val="auto"/>
                <w:sz w:val="24"/>
              </w:rPr>
              <w:t xml:space="preserve"> vairākos SAM 5.3.1. projektos ir konstatē</w:t>
            </w:r>
            <w:r w:rsidRPr="007D043F" w:rsidR="009E261B">
              <w:rPr>
                <w:rFonts w:ascii="Times New Roman" w:hAnsi="Times New Roman"/>
                <w:color w:val="auto"/>
                <w:sz w:val="24"/>
              </w:rPr>
              <w:t>t</w:t>
            </w:r>
            <w:r w:rsidRPr="007D043F" w:rsidR="00857F7D">
              <w:rPr>
                <w:rFonts w:ascii="Times New Roman" w:hAnsi="Times New Roman"/>
                <w:color w:val="auto"/>
                <w:sz w:val="24"/>
              </w:rPr>
              <w:t xml:space="preserve">s finansējuma atlikums, ko ir pieļaujams izmantot tikai jaunu </w:t>
            </w:r>
            <w:r w:rsidRPr="007D043F" w:rsidR="00857F7D">
              <w:rPr>
                <w:rFonts w:ascii="Times New Roman" w:hAnsi="Times New Roman"/>
                <w:color w:val="auto"/>
                <w:sz w:val="24"/>
              </w:rPr>
              <w:t>pieslēgumu</w:t>
            </w:r>
            <w:r w:rsidRPr="007D043F" w:rsidR="00857F7D">
              <w:rPr>
                <w:rFonts w:ascii="Times New Roman" w:hAnsi="Times New Roman"/>
                <w:color w:val="auto"/>
                <w:sz w:val="24"/>
              </w:rPr>
              <w:t xml:space="preserve"> veidošanai. Attiecīgi ir prognozējams, ka ar </w:t>
            </w:r>
            <w:r w:rsidRPr="007D043F" w:rsidR="009E261B">
              <w:rPr>
                <w:rFonts w:ascii="Times New Roman" w:hAnsi="Times New Roman"/>
                <w:color w:val="auto"/>
                <w:sz w:val="24"/>
              </w:rPr>
              <w:t>projektiem piešķirto</w:t>
            </w:r>
            <w:r w:rsidRPr="007D043F" w:rsidR="00857F7D">
              <w:rPr>
                <w:rFonts w:ascii="Times New Roman" w:hAnsi="Times New Roman"/>
                <w:color w:val="auto"/>
                <w:sz w:val="24"/>
              </w:rPr>
              <w:t xml:space="preserve"> finansējuma apjomu tiks nodrošināts lielāks </w:t>
            </w:r>
            <w:r w:rsidRPr="007D043F" w:rsidR="00857F7D">
              <w:rPr>
                <w:rFonts w:ascii="Times New Roman" w:hAnsi="Times New Roman"/>
                <w:color w:val="auto"/>
                <w:sz w:val="24"/>
              </w:rPr>
              <w:t>pieslēgumu</w:t>
            </w:r>
            <w:r w:rsidRPr="007D043F" w:rsidR="00857F7D">
              <w:rPr>
                <w:rFonts w:ascii="Times New Roman" w:hAnsi="Times New Roman"/>
                <w:color w:val="auto"/>
                <w:sz w:val="24"/>
              </w:rPr>
              <w:t xml:space="preserve"> </w:t>
            </w:r>
            <w:r w:rsidRPr="007D043F" w:rsidR="009E261B">
              <w:rPr>
                <w:rFonts w:ascii="Times New Roman" w:hAnsi="Times New Roman"/>
                <w:color w:val="auto"/>
                <w:sz w:val="24"/>
              </w:rPr>
              <w:t>skaits</w:t>
            </w:r>
            <w:r w:rsidRPr="007D043F" w:rsidR="00857F7D">
              <w:rPr>
                <w:rFonts w:ascii="Times New Roman" w:hAnsi="Times New Roman"/>
                <w:color w:val="auto"/>
                <w:sz w:val="24"/>
              </w:rPr>
              <w:t xml:space="preserve"> kā </w:t>
            </w:r>
            <w:r w:rsidRPr="007D043F" w:rsidR="009E261B">
              <w:rPr>
                <w:rFonts w:ascii="Times New Roman" w:hAnsi="Times New Roman"/>
                <w:color w:val="auto"/>
                <w:sz w:val="24"/>
              </w:rPr>
              <w:t xml:space="preserve">sākotnēji </w:t>
            </w:r>
            <w:r w:rsidRPr="007D043F" w:rsidR="00857F7D">
              <w:rPr>
                <w:rFonts w:ascii="Times New Roman" w:hAnsi="Times New Roman"/>
                <w:color w:val="auto"/>
                <w:sz w:val="24"/>
              </w:rPr>
              <w:t>apstiprinātajos projektos.</w:t>
            </w:r>
            <w:r w:rsidRPr="007D043F" w:rsidR="009E261B">
              <w:rPr>
                <w:rFonts w:ascii="Times New Roman" w:hAnsi="Times New Roman"/>
                <w:color w:val="auto"/>
                <w:sz w:val="24"/>
              </w:rPr>
              <w:t xml:space="preserve"> </w:t>
            </w:r>
          </w:p>
          <w:p w:rsidR="00F34A56" w:rsidP="00DC2C96" w14:paraId="66C514AD" w14:textId="77777777">
            <w:pPr>
              <w:shd w:val="clear" w:color="auto" w:fill="FFFFFF"/>
              <w:spacing w:after="120"/>
              <w:jc w:val="both"/>
            </w:pPr>
            <w:r w:rsidRPr="007D043F">
              <w:rPr>
                <w:rFonts w:eastAsia="ヒラギノ角ゴ Pro W3"/>
                <w:lang w:eastAsia="en-US"/>
              </w:rPr>
              <w:t>Savukārt gadījumā, ja projekta īstenošanas laikā netiek sasniegt</w:t>
            </w:r>
            <w:r w:rsidRPr="007D043F" w:rsidR="006A678E">
              <w:rPr>
                <w:rFonts w:eastAsia="ヒラギノ角ゴ Pro W3"/>
                <w:lang w:eastAsia="en-US"/>
              </w:rPr>
              <w:t>as</w:t>
            </w:r>
            <w:r w:rsidRPr="007D043F">
              <w:rPr>
                <w:rFonts w:eastAsia="ヒラギノ角ゴ Pro W3"/>
                <w:lang w:eastAsia="en-US"/>
              </w:rPr>
              <w:t xml:space="preserve"> SA</w:t>
            </w:r>
            <w:r w:rsidRPr="007D043F" w:rsidR="00D54516">
              <w:rPr>
                <w:rFonts w:eastAsia="ヒラギノ角ゴ Pro W3"/>
                <w:lang w:eastAsia="en-US"/>
              </w:rPr>
              <w:t>M</w:t>
            </w:r>
            <w:r w:rsidRPr="007D043F">
              <w:rPr>
                <w:rFonts w:eastAsia="ヒラギノ角ゴ Pro W3"/>
                <w:lang w:eastAsia="en-US"/>
              </w:rPr>
              <w:t xml:space="preserve"> 5.3.1. </w:t>
            </w:r>
            <w:r w:rsidRPr="007D043F" w:rsidR="00D54516">
              <w:rPr>
                <w:rFonts w:eastAsia="ヒラギノ角ゴ Pro W3"/>
                <w:lang w:eastAsia="en-US"/>
              </w:rPr>
              <w:t xml:space="preserve">projekta </w:t>
            </w:r>
            <w:r w:rsidRPr="007D043F">
              <w:rPr>
                <w:rFonts w:eastAsia="ヒラギノ角ゴ Pro W3"/>
                <w:lang w:eastAsia="en-US"/>
              </w:rPr>
              <w:t>plānot</w:t>
            </w:r>
            <w:r w:rsidRPr="007D043F" w:rsidR="00D54516">
              <w:rPr>
                <w:rFonts w:eastAsia="ヒラギノ角ゴ Pro W3"/>
                <w:lang w:eastAsia="en-US"/>
              </w:rPr>
              <w:t>ā</w:t>
            </w:r>
            <w:r w:rsidRPr="007D043F" w:rsidR="006A678E">
              <w:rPr>
                <w:rFonts w:eastAsia="ヒラギノ角ゴ Pro W3"/>
                <w:lang w:eastAsia="en-US"/>
              </w:rPr>
              <w:t>s</w:t>
            </w:r>
            <w:r w:rsidRPr="007D043F">
              <w:rPr>
                <w:rFonts w:eastAsia="ヒラギノ角ゴ Pro W3"/>
                <w:lang w:eastAsia="en-US"/>
              </w:rPr>
              <w:t xml:space="preserve"> vērtības,</w:t>
            </w:r>
            <w:r w:rsidRPr="007D043F" w:rsidR="00D54516">
              <w:rPr>
                <w:rFonts w:eastAsia="ヒラギノ角ゴ Pro W3"/>
                <w:lang w:eastAsia="en-US"/>
              </w:rPr>
              <w:t xml:space="preserve"> </w:t>
            </w:r>
            <w:r>
              <w:rPr>
                <w:rFonts w:eastAsia="ヒラギノ角ゴ Pro W3"/>
                <w:lang w:eastAsia="en-US"/>
              </w:rPr>
              <w:t>atbilstoši 2016. gada 21. jūnija</w:t>
            </w:r>
            <w:r w:rsidRPr="007D043F" w:rsidR="00D54516">
              <w:rPr>
                <w:rFonts w:eastAsia="ヒラギノ角ゴ Pro W3"/>
                <w:lang w:eastAsia="en-US"/>
              </w:rPr>
              <w:t xml:space="preserve"> Ministru kabineta noteikumiem Nr. 403 </w:t>
            </w:r>
            <w:r>
              <w:rPr>
                <w:rFonts w:eastAsia="ヒラギノ角ゴ Pro W3"/>
                <w:lang w:eastAsia="en-US"/>
              </w:rPr>
              <w:t>“Darbības programmas “Izaugsme un nodarbinātība”</w:t>
            </w:r>
            <w:r w:rsidRPr="007D043F" w:rsidR="00D54516">
              <w:rPr>
                <w:rFonts w:eastAsia="ヒラギノ角ゴ Pro W3"/>
                <w:lang w:eastAsia="en-US"/>
              </w:rPr>
              <w:t xml:space="preserve"> 5.</w:t>
            </w:r>
            <w:r>
              <w:rPr>
                <w:rFonts w:eastAsia="ヒラギノ角ゴ Pro W3"/>
                <w:lang w:eastAsia="en-US"/>
              </w:rPr>
              <w:t>3.1. specifiskā atbalsta mērķa “</w:t>
            </w:r>
            <w:r w:rsidRPr="007D043F" w:rsidR="00D54516">
              <w:rPr>
                <w:rFonts w:eastAsia="ヒラギノ角ゴ Pro W3"/>
                <w:lang w:eastAsia="en-US"/>
              </w:rPr>
              <w:t>Attīstīt un uzlabot ūdensapgādes un kanalizācijas sistēmas pakalpojumu kvalitāti un nodrošināt pieslēg</w:t>
            </w:r>
            <w:r>
              <w:rPr>
                <w:rFonts w:eastAsia="ヒラギノ角ゴ Pro W3"/>
                <w:lang w:eastAsia="en-US"/>
              </w:rPr>
              <w:t xml:space="preserve">šanas iespējas” </w:t>
            </w:r>
            <w:r w:rsidRPr="007D043F" w:rsidR="00D54516">
              <w:rPr>
                <w:rFonts w:eastAsia="ヒラギノ角ゴ Pro W3"/>
                <w:lang w:eastAsia="en-US"/>
              </w:rPr>
              <w:t>īstenošanas noteikumi</w:t>
            </w:r>
            <w:r>
              <w:rPr>
                <w:rFonts w:eastAsia="ヒラギノ角ゴ Pro W3"/>
                <w:lang w:eastAsia="en-US"/>
              </w:rPr>
              <w:t>”</w:t>
            </w:r>
            <w:r w:rsidRPr="007D043F">
              <w:t xml:space="preserve"> </w:t>
            </w:r>
            <w:r w:rsidRPr="007D043F" w:rsidR="00BE1E5F">
              <w:t>tiks</w:t>
            </w:r>
            <w:r w:rsidRPr="007D043F">
              <w:t xml:space="preserve"> pielietota atmaksājamā palīdzība</w:t>
            </w:r>
            <w:r w:rsidRPr="007D043F" w:rsidR="00BE1E5F">
              <w:t xml:space="preserve">, kas </w:t>
            </w:r>
            <w:r w:rsidRPr="007D043F" w:rsidR="00BE1E5F">
              <w:t>ļaus novirzīt saņemto finansējumu citu projektu īstenošanai un DP noteikto mērķu sasniegšanai</w:t>
            </w:r>
            <w:r w:rsidRPr="007D043F">
              <w:t>.</w:t>
            </w:r>
          </w:p>
          <w:p w:rsidR="001E1A18" w:rsidRPr="007D043F" w:rsidP="00C17D0C" w14:paraId="6193CFC0" w14:textId="19AA7EED">
            <w:pPr>
              <w:spacing w:after="120"/>
              <w:ind w:right="40"/>
              <w:jc w:val="both"/>
            </w:pPr>
            <w:r>
              <w:t>SAM 5.3.1. r</w:t>
            </w:r>
            <w:r w:rsidRPr="007D043F" w:rsidR="00857F7D">
              <w:t xml:space="preserve">ezultāta </w:t>
            </w:r>
            <w:r>
              <w:t>un iznākuma rādītāja</w:t>
            </w:r>
            <w:r w:rsidRPr="007D043F" w:rsidR="00857F7D">
              <w:t xml:space="preserve"> </w:t>
            </w:r>
            <w:r w:rsidRPr="007D043F" w:rsidR="00D54516">
              <w:t xml:space="preserve">izpilde </w:t>
            </w:r>
            <w:r w:rsidRPr="007D043F" w:rsidR="00857F7D">
              <w:t>ir cieši atkarīga ne tikai no SAM</w:t>
            </w:r>
            <w:r w:rsidRPr="007D043F" w:rsidR="001C3F58">
              <w:t xml:space="preserve"> 5.3.1.</w:t>
            </w:r>
            <w:r w:rsidRPr="007D043F" w:rsidR="00011C20">
              <w:t xml:space="preserve"> </w:t>
            </w:r>
            <w:r w:rsidRPr="007D043F" w:rsidR="00857F7D">
              <w:t xml:space="preserve">projektiem, bet arī no citu pārvaldības instrumentu pielietojuma, lai veicinātu ūdenssaimniecības attīstību </w:t>
            </w:r>
            <w:r w:rsidRPr="007D043F" w:rsidR="00011C20">
              <w:t xml:space="preserve">visā </w:t>
            </w:r>
            <w:r w:rsidRPr="007D043F" w:rsidR="00857F7D">
              <w:t>valst</w:t>
            </w:r>
            <w:r w:rsidRPr="007D043F" w:rsidR="001C3F58">
              <w:t xml:space="preserve">ī, kā arī </w:t>
            </w:r>
            <w:r w:rsidRPr="007D043F" w:rsidR="001C3F58">
              <w:rPr>
                <w:rStyle w:val="FontStyle73"/>
                <w:sz w:val="24"/>
                <w:szCs w:val="24"/>
              </w:rPr>
              <w:t>pieslēgumus</w:t>
            </w:r>
            <w:r w:rsidRPr="007D043F" w:rsidR="001C3F58">
              <w:rPr>
                <w:rStyle w:val="FontStyle73"/>
                <w:sz w:val="24"/>
                <w:szCs w:val="24"/>
              </w:rPr>
              <w:t xml:space="preserve"> centralizētajiem kanalizācijas tīkliem</w:t>
            </w:r>
            <w:r w:rsidRPr="007D043F" w:rsidR="001C3F58">
              <w:t xml:space="preserve">. </w:t>
            </w:r>
            <w:r w:rsidRPr="007D043F" w:rsidR="00857F7D">
              <w:t xml:space="preserve">Piemēram, </w:t>
            </w:r>
            <w:r w:rsidRPr="007D043F" w:rsidR="001C3F58">
              <w:t>no 2016.</w:t>
            </w:r>
            <w:r w:rsidR="00F34A56">
              <w:t> </w:t>
            </w:r>
            <w:r w:rsidRPr="007D043F" w:rsidR="001C3F58">
              <w:t>gada 1.</w:t>
            </w:r>
            <w:r w:rsidR="00F34A56">
              <w:t> </w:t>
            </w:r>
            <w:r w:rsidRPr="007D043F" w:rsidR="001C3F58">
              <w:t xml:space="preserve">janvāra spēkā esošais </w:t>
            </w:r>
            <w:r w:rsidRPr="007D043F" w:rsidR="00857F7D">
              <w:t xml:space="preserve">Ūdenssaimniecības pakalpojumu likums </w:t>
            </w:r>
            <w:r w:rsidRPr="007D043F" w:rsidR="00857F7D">
              <w:rPr>
                <w:bCs/>
              </w:rPr>
              <w:t xml:space="preserve">nosaka </w:t>
            </w:r>
            <w:r w:rsidRPr="007D043F" w:rsidR="00857F7D">
              <w:t xml:space="preserve">ūdenssaimniecības pakalpojumu sniegšanas un lietošanas kārtību, ūdenssaimniecības pakalpojumu sniedzēja un lietotāja pienākumus un tiesības pakalpojumu sniegšanā, kā arī </w:t>
            </w:r>
            <w:r w:rsidRPr="007D043F" w:rsidR="00857F7D">
              <w:rPr>
                <w:rStyle w:val="FontStyle73"/>
                <w:sz w:val="24"/>
                <w:szCs w:val="24"/>
              </w:rPr>
              <w:t xml:space="preserve">nodrošina regulējumu individuālo risinājumu izmantošanai, lai stimulētu iedzīvotājus ierīkot </w:t>
            </w:r>
            <w:r w:rsidRPr="007D043F" w:rsidR="00857F7D">
              <w:rPr>
                <w:rStyle w:val="FontStyle73"/>
                <w:sz w:val="24"/>
                <w:szCs w:val="24"/>
              </w:rPr>
              <w:t>pieslēgumus</w:t>
            </w:r>
            <w:r w:rsidRPr="007D043F" w:rsidR="00857F7D">
              <w:rPr>
                <w:rStyle w:val="FontStyle73"/>
                <w:sz w:val="24"/>
                <w:szCs w:val="24"/>
              </w:rPr>
              <w:t xml:space="preserve"> centralizētajiem kanalizācijas t</w:t>
            </w:r>
            <w:r w:rsidR="00351E30">
              <w:rPr>
                <w:rStyle w:val="FontStyle73"/>
                <w:sz w:val="24"/>
                <w:szCs w:val="24"/>
              </w:rPr>
              <w:t>īkliem, t.sk.</w:t>
            </w:r>
            <w:r w:rsidRPr="007D043F" w:rsidR="00857F7D">
              <w:rPr>
                <w:lang w:eastAsia="en-US"/>
              </w:rPr>
              <w:t>:</w:t>
            </w:r>
          </w:p>
          <w:p w:rsidR="001E1A18" w:rsidRPr="007D043F" w:rsidP="00994C77" w14:paraId="7E95EA30" w14:textId="14BC5360">
            <w:pPr>
              <w:pStyle w:val="ListParagraph"/>
              <w:numPr>
                <w:ilvl w:val="0"/>
                <w:numId w:val="10"/>
              </w:numPr>
              <w:spacing w:after="120"/>
              <w:ind w:left="459" w:hanging="425"/>
              <w:contextualSpacing w:val="0"/>
              <w:jc w:val="both"/>
              <w:rPr>
                <w:sz w:val="24"/>
                <w:szCs w:val="24"/>
              </w:rPr>
            </w:pPr>
            <w:r w:rsidRPr="007D043F">
              <w:rPr>
                <w:sz w:val="24"/>
                <w:szCs w:val="24"/>
              </w:rPr>
              <w:t xml:space="preserve">Ministru kabineta </w:t>
            </w:r>
            <w:r w:rsidRPr="007D043F" w:rsidR="0074131C">
              <w:rPr>
                <w:sz w:val="24"/>
                <w:szCs w:val="24"/>
              </w:rPr>
              <w:t>noteikumi</w:t>
            </w:r>
            <w:r>
              <w:rPr>
                <w:rStyle w:val="FootnoteReference"/>
                <w:sz w:val="24"/>
                <w:szCs w:val="24"/>
              </w:rPr>
              <w:footnoteReference w:id="5"/>
            </w:r>
            <w:r w:rsidRPr="007D043F" w:rsidR="0074131C">
              <w:rPr>
                <w:sz w:val="24"/>
                <w:szCs w:val="24"/>
              </w:rPr>
              <w:t xml:space="preserve"> </w:t>
            </w:r>
            <w:r w:rsidRPr="007D043F">
              <w:rPr>
                <w:sz w:val="24"/>
                <w:szCs w:val="24"/>
              </w:rPr>
              <w:t>nosaka vienotas prasības sabiedrisko ūdenssaimniecības pakalpojumu sniegšanai un lietošanai, kārtību, kādā nekustamo īpašumu pieslēdz centralizētajai ūdensapgādes vai kanalizācijas sistēmai, ūdenssaimniecības pakalpojumu uzskaites un norēķinu kārtību;</w:t>
            </w:r>
          </w:p>
          <w:p w:rsidR="001E1A18" w:rsidRPr="00F34A56" w:rsidP="00994C77" w14:paraId="183DAC12" w14:textId="32F7D78C">
            <w:pPr>
              <w:pStyle w:val="ListParagraph"/>
              <w:numPr>
                <w:ilvl w:val="0"/>
                <w:numId w:val="10"/>
              </w:numPr>
              <w:spacing w:after="120"/>
              <w:ind w:left="459" w:hanging="425"/>
              <w:contextualSpacing w:val="0"/>
              <w:jc w:val="both"/>
              <w:rPr>
                <w:sz w:val="24"/>
                <w:szCs w:val="24"/>
              </w:rPr>
            </w:pPr>
            <w:r w:rsidRPr="007D043F">
              <w:rPr>
                <w:sz w:val="24"/>
                <w:szCs w:val="24"/>
              </w:rPr>
              <w:t>Ministru kabineta noteikumi</w:t>
            </w:r>
            <w:r>
              <w:rPr>
                <w:rStyle w:val="FootnoteReference"/>
                <w:sz w:val="24"/>
                <w:szCs w:val="24"/>
              </w:rPr>
              <w:footnoteReference w:id="6"/>
            </w:r>
            <w:r w:rsidRPr="007D043F">
              <w:rPr>
                <w:sz w:val="24"/>
                <w:szCs w:val="24"/>
              </w:rPr>
              <w:t xml:space="preserve"> nosaka prasības</w:t>
            </w:r>
            <w:r w:rsidRPr="007D043F" w:rsidR="0074131C">
              <w:rPr>
                <w:sz w:val="24"/>
                <w:szCs w:val="24"/>
              </w:rPr>
              <w:t xml:space="preserve"> individuālo attīrīšanas sistēmu (turpmāk -</w:t>
            </w:r>
            <w:r w:rsidRPr="007D043F">
              <w:rPr>
                <w:sz w:val="24"/>
                <w:szCs w:val="24"/>
              </w:rPr>
              <w:t xml:space="preserve"> IAS</w:t>
            </w:r>
            <w:r w:rsidRPr="007D043F" w:rsidR="0074131C">
              <w:rPr>
                <w:sz w:val="24"/>
                <w:szCs w:val="24"/>
              </w:rPr>
              <w:t>)</w:t>
            </w:r>
            <w:r w:rsidRPr="007D043F">
              <w:rPr>
                <w:sz w:val="24"/>
                <w:szCs w:val="24"/>
              </w:rPr>
              <w:t xml:space="preserve"> īpašniekam nodrošināt to hermētiskumu, regulāru apkopi, satura izvešanu, dod pilnvarojumu pašvaldībām veidot šādu</w:t>
            </w:r>
            <w:r w:rsidR="00F34A56">
              <w:rPr>
                <w:sz w:val="24"/>
                <w:szCs w:val="24"/>
              </w:rPr>
              <w:t>s</w:t>
            </w:r>
            <w:r w:rsidRPr="007D043F">
              <w:rPr>
                <w:sz w:val="24"/>
                <w:szCs w:val="24"/>
              </w:rPr>
              <w:t xml:space="preserve"> IAS reģistrus un noteikt to kontroles un uzraudzības kārtību, kā arī izvirzīt prasības asenizatoriem, kas IAS savāktos notekūdeņus nogādā attīrīšanai centralizētajās notekūdeņu attīrīšanas iekārtās. </w:t>
            </w:r>
            <w:r w:rsidRPr="00F34A56">
              <w:rPr>
                <w:sz w:val="24"/>
                <w:szCs w:val="24"/>
              </w:rPr>
              <w:t>Līdz ar to, valsts izstrādātais normatīvais regulējums pared</w:t>
            </w:r>
            <w:r w:rsidR="00F34A56">
              <w:rPr>
                <w:sz w:val="24"/>
                <w:szCs w:val="24"/>
              </w:rPr>
              <w:t>z pasākumus, lai noteiktu stingr</w:t>
            </w:r>
            <w:r w:rsidRPr="00F34A56">
              <w:rPr>
                <w:sz w:val="24"/>
                <w:szCs w:val="24"/>
              </w:rPr>
              <w:t xml:space="preserve">ākas prasības individuālo </w:t>
            </w:r>
            <w:r w:rsidRPr="00F34A56">
              <w:rPr>
                <w:sz w:val="24"/>
                <w:szCs w:val="24"/>
              </w:rPr>
              <w:t>nosēdaku</w:t>
            </w:r>
            <w:r w:rsidRPr="00F34A56">
              <w:rPr>
                <w:sz w:val="24"/>
                <w:szCs w:val="24"/>
              </w:rPr>
              <w:t xml:space="preserve"> lietotājiem, kas attiecīgi veicinās pieslēgšanos pie centralizētās</w:t>
            </w:r>
            <w:r w:rsidR="00F34A56">
              <w:rPr>
                <w:sz w:val="24"/>
                <w:szCs w:val="24"/>
              </w:rPr>
              <w:t xml:space="preserve"> notekūdeņu savākšanas sistēmas;</w:t>
            </w:r>
          </w:p>
          <w:p w:rsidR="00C17D0C" w:rsidRPr="007D043F" w:rsidP="00994C77" w14:paraId="0D55BE1A" w14:textId="0E8C0A0D">
            <w:pPr>
              <w:pStyle w:val="ListParagraph"/>
              <w:numPr>
                <w:ilvl w:val="0"/>
                <w:numId w:val="10"/>
              </w:numPr>
              <w:ind w:left="459" w:hanging="425"/>
              <w:contextualSpacing w:val="0"/>
              <w:jc w:val="both"/>
              <w:rPr>
                <w:sz w:val="24"/>
                <w:szCs w:val="24"/>
              </w:rPr>
            </w:pPr>
            <w:r w:rsidRPr="007D043F">
              <w:rPr>
                <w:sz w:val="24"/>
                <w:szCs w:val="24"/>
              </w:rPr>
              <w:t xml:space="preserve">Ūdenssaimniecības pakalpojumu likuma 6. panta sestā daļa noteic, ka pašvaldības var izdot saistošos noteikumus par līdzfinansējuma piešķiršanu, lai nekustamo īpašumu pieslēgtu centralizētajai ūdensapgādes vai centralizētajai kanalizācijas sistēmai. Daudzās aglomerācijās (t.sk., piemēram, Jelgavā, Siguldā, Tukumā, Ventspilī) pašvaldības ir pieņēmušas šādus saistošos noteikumus, kas sniedz atbalstu iedzīvotājiem un motivē tos ierīkot </w:t>
            </w:r>
            <w:r w:rsidRPr="007D043F">
              <w:rPr>
                <w:sz w:val="24"/>
                <w:szCs w:val="24"/>
              </w:rPr>
              <w:t>pieslēgumus</w:t>
            </w:r>
            <w:r w:rsidRPr="007D043F">
              <w:rPr>
                <w:sz w:val="24"/>
                <w:szCs w:val="24"/>
              </w:rPr>
              <w:t xml:space="preserve"> centralizētajai kanalizācijas sistēmai. </w:t>
            </w:r>
          </w:p>
          <w:p w:rsidR="00C17D0C" w:rsidRPr="007D043F" w:rsidP="00C17D0C" w14:paraId="2D6A42E1" w14:textId="77777777">
            <w:pPr>
              <w:pStyle w:val="ListParagraph"/>
              <w:ind w:left="742"/>
              <w:contextualSpacing w:val="0"/>
              <w:jc w:val="both"/>
              <w:rPr>
                <w:sz w:val="24"/>
                <w:szCs w:val="24"/>
              </w:rPr>
            </w:pPr>
          </w:p>
          <w:p w:rsidR="00C17D0C" w:rsidP="00385072" w14:paraId="584681C5" w14:textId="3F25E4DA">
            <w:pPr>
              <w:jc w:val="both"/>
            </w:pPr>
            <w:r w:rsidRPr="007D043F">
              <w:t>Arī VARAM kā atbildīgā iestāde veic pasākumus, lai projektu ietvaros veicinātu rādītāju izpildi, pi</w:t>
            </w:r>
            <w:r w:rsidR="00385072">
              <w:t>emēram</w:t>
            </w:r>
            <w:r w:rsidRPr="007D043F" w:rsidR="00385072">
              <w:t xml:space="preserve"> no tehniskās palīdzības projekta Nr. 10.1.2.0/15/TP/011 „Eiropas Sociālā fonda atbalsts Vides aizsardzības un reģionālās attīstības ministrijai publicitātes pasākumu par Kohēzijas politikas fondiem nodrošināšanai” organizē seminārus</w:t>
            </w:r>
            <w:r w:rsidR="00385072">
              <w:t>, rīko i</w:t>
            </w:r>
            <w:r w:rsidRPr="007D043F" w:rsidR="00385072">
              <w:t xml:space="preserve">ndividuālās tikšanās ar finansējuma saņēmējiem, lai veicinātu uzraudzības rādītāju izpildi un intensificētu maksājumu </w:t>
            </w:r>
            <w:r w:rsidRPr="007D043F" w:rsidR="00385072">
              <w:t>plūsmu, kā arī plāno organizēt komunikācijas pasākumus ūdenssaimniecības jomā.</w:t>
            </w:r>
            <w:r w:rsidR="00385072">
              <w:t xml:space="preserve"> Tāpat, </w:t>
            </w:r>
            <w:r w:rsidRPr="007D043F">
              <w:t xml:space="preserve">iesniedzot projekta iesniegumu, katram finansējuma saņēmējam ir jāiesniedz ar pašvaldību saskaņots </w:t>
            </w:r>
            <w:r w:rsidRPr="007D043F">
              <w:t>pieslēgumu</w:t>
            </w:r>
            <w:r w:rsidRPr="007D043F">
              <w:t xml:space="preserve"> nodrošinājuma plāns projektā plānoto </w:t>
            </w:r>
            <w:r w:rsidRPr="007D043F">
              <w:t>pieslēgumu</w:t>
            </w:r>
            <w:r w:rsidRPr="007D043F">
              <w:t xml:space="preserve"> centralizētajai kanalizācijas sistēmai izveidei, kas parāda plānoto starpposma rādītāju (attiecināms uz pirmo atlases kārt</w:t>
            </w:r>
            <w:r w:rsidRPr="007D043F" w:rsidR="0074131C">
              <w:t>u</w:t>
            </w:r>
            <w:r w:rsidRPr="007D043F">
              <w:t xml:space="preserve">), projekta iznākuma rādītāju sasniegšanas plānu projekta īstenošanas laikā, kā arī tālāku </w:t>
            </w:r>
            <w:r w:rsidRPr="007D043F">
              <w:t>pieslēgumu</w:t>
            </w:r>
            <w:r w:rsidRPr="007D043F">
              <w:t xml:space="preserve"> nodrošināšanas plānu pēc projekta ī</w:t>
            </w:r>
            <w:r w:rsidR="00F34A56">
              <w:t>stenošanas</w:t>
            </w:r>
            <w:r w:rsidR="00385072">
              <w:t xml:space="preserve">. Savukārt, lai </w:t>
            </w:r>
            <w:r w:rsidRPr="007D043F">
              <w:t xml:space="preserve">nodrošinātu plānu izpildi, pašvaldības un finansējuma saņēmēji piedāvā iedzīvotājiem dažādus atbalsta pasākumus (piemēram, nomaksa, </w:t>
            </w:r>
            <w:r w:rsidRPr="007D043F">
              <w:t>līdzmaksājums</w:t>
            </w:r>
            <w:r w:rsidRPr="007D043F">
              <w:t>, bezmaksas projektēšana, u.c.), kā arī veic informēšanas un sab</w:t>
            </w:r>
            <w:r w:rsidR="00385072">
              <w:t>iedrības izglītošanas pasākumus.</w:t>
            </w:r>
          </w:p>
          <w:p w:rsidR="00385072" w:rsidRPr="007D043F" w:rsidP="00385072" w14:paraId="2BC95FDB" w14:textId="77777777">
            <w:pPr>
              <w:jc w:val="both"/>
            </w:pPr>
          </w:p>
          <w:p w:rsidR="00E817A4" w:rsidRPr="007D043F" w:rsidP="00C604B4" w14:paraId="5A0A4884" w14:textId="79368339">
            <w:pPr>
              <w:spacing w:after="120"/>
              <w:jc w:val="both"/>
              <w:rPr>
                <w:b/>
                <w:u w:val="single"/>
              </w:rPr>
            </w:pPr>
            <w:r w:rsidRPr="007D043F">
              <w:rPr>
                <w:b/>
                <w:u w:val="single"/>
              </w:rPr>
              <w:t>I</w:t>
            </w:r>
            <w:r w:rsidR="00385072">
              <w:rPr>
                <w:b/>
                <w:u w:val="single"/>
              </w:rPr>
              <w:t>ntervences kodi</w:t>
            </w:r>
          </w:p>
          <w:p w:rsidR="00E817A4" w:rsidRPr="007D043F" w:rsidP="00C604B4" w14:paraId="578CE0CB" w14:textId="07110373">
            <w:pPr>
              <w:spacing w:after="120"/>
              <w:jc w:val="both"/>
            </w:pPr>
            <w:r w:rsidRPr="007D043F">
              <w:t>Ierosinātie grozījumi ietekmē DP norādīto finansējuma sadalījumu pa intervences kodiem, tomēr tas nemaina koeficientu, ar ko aprēķina atbalstu klimata pārmaiņu mērķu sasniegšanai,</w:t>
            </w:r>
            <w:r w:rsidRPr="007D043F" w:rsidR="00C93B39">
              <w:t xml:space="preserve"> jo ietekmētie intervences kodi </w:t>
            </w:r>
            <w:r w:rsidRPr="007D043F">
              <w:t>(</w:t>
            </w:r>
            <w:r w:rsidRPr="007D043F">
              <w:rPr>
                <w:i/>
              </w:rPr>
              <w:t xml:space="preserve">22. Notekūdeņu attīrīšana </w:t>
            </w:r>
            <w:r w:rsidRPr="007D043F">
              <w:t>–</w:t>
            </w:r>
            <w:r w:rsidRPr="007D043F">
              <w:rPr>
                <w:i/>
              </w:rPr>
              <w:t xml:space="preserve"> </w:t>
            </w:r>
            <w:r w:rsidRPr="007D043F">
              <w:t xml:space="preserve">samazinājums par </w:t>
            </w:r>
            <w:r w:rsidR="00D57FD0">
              <w:t>8 851 446</w:t>
            </w:r>
            <w:r w:rsidRPr="007D043F">
              <w:t xml:space="preserve"> </w:t>
            </w:r>
            <w:r w:rsidRPr="007D043F">
              <w:rPr>
                <w:i/>
              </w:rPr>
              <w:t>euro</w:t>
            </w:r>
            <w:r w:rsidRPr="007D043F" w:rsidR="00592FE9">
              <w:rPr>
                <w:i/>
              </w:rPr>
              <w:t xml:space="preserve"> </w:t>
            </w:r>
            <w:r w:rsidRPr="007D043F">
              <w:t xml:space="preserve">un </w:t>
            </w:r>
            <w:r w:rsidRPr="007D043F">
              <w:rPr>
                <w:i/>
              </w:rPr>
              <w:t xml:space="preserve">17. Sadzīves atkritumu apsaimniekošana (tostarp apjoma samazināšanas, šķirošanas, pārstrādes pasākumi </w:t>
            </w:r>
            <w:r w:rsidRPr="007D043F">
              <w:t xml:space="preserve">– palielinājums par </w:t>
            </w:r>
            <w:r w:rsidR="00D57FD0">
              <w:t>8 851 446</w:t>
            </w:r>
            <w:r w:rsidRPr="007D043F">
              <w:t xml:space="preserve"> </w:t>
            </w:r>
            <w:r w:rsidRPr="007D043F">
              <w:rPr>
                <w:i/>
              </w:rPr>
              <w:t>euro</w:t>
            </w:r>
            <w:r w:rsidRPr="007D043F">
              <w:t xml:space="preserve">) ir ar 0% ietekmi. Saskaņā ar </w:t>
            </w:r>
            <w:r w:rsidR="00BE3448">
              <w:t>EK</w:t>
            </w:r>
            <w:r w:rsidRPr="007D043F">
              <w:t xml:space="preserve"> norādēm (2015.</w:t>
            </w:r>
            <w:r w:rsidRPr="007D043F" w:rsidR="00592FE9">
              <w:t> </w:t>
            </w:r>
            <w:r w:rsidRPr="007D043F">
              <w:t>gada 7.</w:t>
            </w:r>
            <w:r w:rsidRPr="007D043F" w:rsidR="00592FE9">
              <w:t> </w:t>
            </w:r>
            <w:r w:rsidRPr="007D043F">
              <w:t xml:space="preserve">oktobra </w:t>
            </w:r>
            <w:r w:rsidR="00BE3448">
              <w:t xml:space="preserve">EK </w:t>
            </w:r>
            <w:r w:rsidRPr="007D043F">
              <w:t>vēstule</w:t>
            </w:r>
            <w:r w:rsidRPr="007D043F" w:rsidR="00592FE9">
              <w:t xml:space="preserve"> Latvijai</w:t>
            </w:r>
            <w:r w:rsidRPr="007D043F">
              <w:t xml:space="preserve"> Nr.4144518) intervences kodu dalījums nenosaka izmaksu </w:t>
            </w:r>
            <w:r w:rsidRPr="007D043F">
              <w:t>attiecināmību</w:t>
            </w:r>
            <w:r w:rsidRPr="007D043F">
              <w:t>, un finansējuma dalījums kodos</w:t>
            </w:r>
            <w:r w:rsidR="00BE3448">
              <w:t xml:space="preserve"> DP</w:t>
            </w:r>
            <w:r w:rsidRPr="007D043F">
              <w:t xml:space="preserve"> ir indikatīvs, kā norādīts Eiropas Strukturālo un Investīciju fondu ekspertu grupas informatīvajā dokumentā attiecībā uz intervences kodu piemērošanu</w:t>
            </w:r>
            <w:r>
              <w:rPr>
                <w:rStyle w:val="FootnoteReference"/>
              </w:rPr>
              <w:footnoteReference w:id="7"/>
            </w:r>
            <w:r w:rsidRPr="007D043F">
              <w:t xml:space="preserve">. </w:t>
            </w:r>
            <w:r w:rsidR="00F47E13">
              <w:t xml:space="preserve"> Finansējuma pārdales neietekmē intervences kodus, kas attiecas uz SAM 5.1.1.</w:t>
            </w:r>
          </w:p>
          <w:p w:rsidR="00E817A4" w:rsidRPr="007D043F" w:rsidP="00C604B4" w14:paraId="5298BAB7" w14:textId="77777777">
            <w:pPr>
              <w:spacing w:after="120"/>
              <w:jc w:val="both"/>
              <w:rPr>
                <w:b/>
                <w:u w:val="single"/>
              </w:rPr>
            </w:pPr>
            <w:r w:rsidRPr="007D043F">
              <w:rPr>
                <w:b/>
                <w:u w:val="single"/>
              </w:rPr>
              <w:t xml:space="preserve">Skaidrojums par </w:t>
            </w:r>
            <w:r w:rsidRPr="007D043F">
              <w:rPr>
                <w:b/>
                <w:bCs/>
                <w:u w:val="single"/>
              </w:rPr>
              <w:t>5.2.1.2.pasākuma finanšu rādītāja atbilstību DP ietvertajam snieguma ietvara rādītājam</w:t>
            </w:r>
          </w:p>
          <w:p w:rsidR="00E817A4" w:rsidRPr="007D043F" w:rsidP="00C604B4" w14:paraId="483FD8B2" w14:textId="5650C02D">
            <w:pPr>
              <w:spacing w:after="120"/>
              <w:jc w:val="both"/>
            </w:pPr>
            <w:r>
              <w:t>DP 5.prioritārā virziena</w:t>
            </w:r>
            <w:r w:rsidRPr="007D043F" w:rsidR="00857F7D">
              <w:t xml:space="preserve"> snieguma ietvara finanšu rādītājs, kas jāsasniedz tajos specifiskajos atbalsta mērķos (turpmāk – SAM), kas tiek finansēti ar KF atbalstu, noteikts 46 013 028 </w:t>
            </w:r>
            <w:r w:rsidRPr="007D043F" w:rsidR="00857F7D">
              <w:rPr>
                <w:i/>
              </w:rPr>
              <w:t xml:space="preserve">euro, </w:t>
            </w:r>
            <w:r w:rsidRPr="007D043F" w:rsidR="00857F7D">
              <w:t xml:space="preserve">aprēķinos par visiem SAM piemērojot standarta KF atbalsta likmi 85%. </w:t>
            </w:r>
          </w:p>
          <w:p w:rsidR="00E817A4" w:rsidRPr="007D043F" w:rsidP="00C604B4" w14:paraId="5468F2D0" w14:textId="77777777">
            <w:pPr>
              <w:spacing w:after="120"/>
              <w:jc w:val="both"/>
            </w:pPr>
            <w:r w:rsidRPr="007D043F">
              <w:t xml:space="preserve">SAM 5.2.1. pasākumu īstenošanas MK noteikumos iekļautais finanšu rādītājs, summēts ar SAM 5.3.1. un SAM 5.4.2. “Nodrošināt vides monitoringa un kontroles sistēmas attīstību un savlaicīgu vides risku novēršanu, kā arī sabiedrības līdzdalību vides pārvaldībā” (turpmāk - SAM 5.4.2.) attiecīgā rādītāja vērtībām, pārsniedz DP noteikto 5.prioritārā virziena finanšu rādītāju par 4 679 613 </w:t>
            </w:r>
            <w:r w:rsidRPr="007D043F">
              <w:rPr>
                <w:i/>
              </w:rPr>
              <w:t>euro</w:t>
            </w:r>
            <w:r w:rsidRPr="007D043F">
              <w:t>. Pārsniegumu radījusi samazinātas KF atbalsta likmes piemērošana aprēķinos par SAM 5.2.1., jo sākotnēji tika plānots, ka investīcijas piešķirs tikai paziņotas valsts atbalsta shēmas ietvaros, kur maksimālā KF atbalsta likme ir 35%.</w:t>
            </w:r>
          </w:p>
          <w:p w:rsidR="00E817A4" w:rsidRPr="007D043F" w:rsidP="00C604B4" w14:paraId="593800B5" w14:textId="0A0DD8BA">
            <w:pPr>
              <w:spacing w:after="120"/>
              <w:jc w:val="both"/>
            </w:pPr>
            <w:r w:rsidRPr="007D043F">
              <w:t>Ievērojot to, ka lielākā daļa SAM 5.2.1. investīciju tiek plānota BNA pārstrādes iekārtu izveide</w:t>
            </w:r>
            <w:r w:rsidRPr="007D043F" w:rsidR="00592FE9">
              <w:t xml:space="preserve">i ar 85% atbalsta intensitāti, </w:t>
            </w:r>
            <w:r w:rsidRPr="007D043F">
              <w:t xml:space="preserve">ir pamatoti </w:t>
            </w:r>
            <w:r w:rsidRPr="007D043F">
              <w:t xml:space="preserve">samazināt MK noteikumos par 5.2.1.2.pasākuma īstenošanu noteikto finanšu rādītāju par 4 679 613 </w:t>
            </w:r>
            <w:r w:rsidRPr="007D043F">
              <w:rPr>
                <w:i/>
              </w:rPr>
              <w:t>euro</w:t>
            </w:r>
            <w:r w:rsidRPr="007D043F">
              <w:t xml:space="preserve">. </w:t>
            </w:r>
          </w:p>
          <w:p w:rsidR="00E817A4" w:rsidRPr="007D043F" w:rsidP="00C604B4" w14:paraId="54801637" w14:textId="4853C51A">
            <w:pPr>
              <w:spacing w:after="120"/>
              <w:jc w:val="both"/>
            </w:pPr>
            <w:r w:rsidRPr="007D043F">
              <w:t xml:space="preserve">Samazinot SAM 5.2.1. snieguma ietvara rādītāju, bet summējot to ar SAM 5.3.1. un SAM 5.4.2. rādītājiem, KF kopējā snieguma ietvara rādītāja vērtība ir 46 013 028 </w:t>
            </w:r>
            <w:r w:rsidRPr="007D043F">
              <w:rPr>
                <w:i/>
              </w:rPr>
              <w:t>euro</w:t>
            </w:r>
            <w:r w:rsidRPr="007D043F">
              <w:t xml:space="preserve"> un tā atbilst sākotnēji DP 5.prioritārajam virzienam noteiktajam apmēram.</w:t>
            </w:r>
          </w:p>
          <w:p w:rsidR="00E817A4" w:rsidRPr="007D043F" w:rsidP="00C604B4" w14:paraId="50E11C7D" w14:textId="77777777">
            <w:pPr>
              <w:spacing w:after="120"/>
              <w:jc w:val="both"/>
            </w:pPr>
            <w:r w:rsidRPr="007D043F">
              <w:t>Vienlaicīgi tiek precizēts arī 5.2.1.2.pasākuma pirmajā atlases kārtā piesaistāmais līdzfinansējuma apmērs, atbilstoši apstiprinātajos projektos plānotajam (ievērojot 35% un 65% finansējuma dalījumu).</w:t>
            </w:r>
          </w:p>
        </w:tc>
      </w:tr>
      <w:tr w14:paraId="5C0CA317" w14:textId="77777777" w:rsidTr="007C28FF">
        <w:tblPrEx>
          <w:tblW w:w="9357" w:type="dxa"/>
          <w:tblLayout w:type="fixed"/>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3BD38907" w14:textId="676F142C">
            <w:pPr>
              <w:jc w:val="center"/>
              <w:rPr>
                <w:lang w:eastAsia="en-US"/>
              </w:rPr>
            </w:pPr>
            <w:r w:rsidRPr="007D043F">
              <w:t>3.</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rsidR="00E817A4" w:rsidRPr="007D043F" w:rsidP="00C604B4" w14:paraId="3D3C9AC0" w14:textId="77777777">
            <w:pPr>
              <w:rPr>
                <w:lang w:eastAsia="en-US"/>
              </w:rPr>
            </w:pPr>
            <w:r w:rsidRPr="007D043F">
              <w:t>Projekta izstrādē iesaistītās institūcijas un publiskas personas kapitālsabiedrības</w:t>
            </w:r>
          </w:p>
        </w:tc>
        <w:tc>
          <w:tcPr>
            <w:tcW w:w="6810" w:type="dxa"/>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59097CFC" w14:textId="77777777">
            <w:pPr>
              <w:pStyle w:val="naiskr"/>
              <w:spacing w:before="0" w:beforeAutospacing="0" w:after="120" w:afterAutospacing="0"/>
              <w:ind w:right="57"/>
              <w:jc w:val="both"/>
            </w:pPr>
            <w:r w:rsidRPr="007D043F">
              <w:t>Nav</w:t>
            </w:r>
          </w:p>
        </w:tc>
      </w:tr>
      <w:tr w14:paraId="57EDA265" w14:textId="77777777" w:rsidTr="00DC2C96">
        <w:tblPrEx>
          <w:tblW w:w="9357" w:type="dxa"/>
          <w:tblLayout w:type="fixed"/>
          <w:tblLook w:val="04A0"/>
        </w:tblPrEx>
        <w:trPr>
          <w:trHeight w:val="84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6BD9977F" w14:textId="77777777">
            <w:pPr>
              <w:jc w:val="center"/>
              <w:rPr>
                <w:lang w:eastAsia="en-US"/>
              </w:rPr>
            </w:pPr>
            <w:r w:rsidRPr="007D043F">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817A4" w:rsidRPr="007D043F" w:rsidP="00C604B4" w14:paraId="1595E3CB" w14:textId="77777777">
            <w:pPr>
              <w:ind w:left="-44"/>
              <w:rPr>
                <w:lang w:eastAsia="en-US"/>
              </w:rPr>
            </w:pPr>
            <w:r w:rsidRPr="007D043F">
              <w:t>Cita informācija</w:t>
            </w:r>
          </w:p>
        </w:tc>
        <w:tc>
          <w:tcPr>
            <w:tcW w:w="6810" w:type="dxa"/>
            <w:tcBorders>
              <w:top w:val="single" w:sz="4" w:space="0" w:color="auto"/>
              <w:left w:val="single" w:sz="4" w:space="0" w:color="auto"/>
              <w:bottom w:val="single" w:sz="4" w:space="0" w:color="auto"/>
              <w:right w:val="single" w:sz="4" w:space="0" w:color="auto"/>
            </w:tcBorders>
            <w:shd w:val="clear" w:color="auto" w:fill="auto"/>
            <w:hideMark/>
          </w:tcPr>
          <w:p w:rsidR="00E817A4" w:rsidP="00DC2C96" w14:paraId="72E95B08" w14:textId="77777777">
            <w:pPr>
              <w:shd w:val="clear" w:color="auto" w:fill="FFFFFF"/>
              <w:spacing w:after="120"/>
              <w:ind w:right="34"/>
              <w:jc w:val="both"/>
            </w:pPr>
            <w:r w:rsidRPr="007D043F">
              <w:t>MK noteikumu projektā</w:t>
            </w:r>
            <w:r w:rsidRPr="007D043F" w:rsidR="00A92540">
              <w:t xml:space="preserve"> par 5.2.1.2.pasākumu</w:t>
            </w:r>
            <w:r w:rsidRPr="007D043F">
              <w:t xml:space="preserve"> iekļauts grozījums, kas tika virzīts saskaņošanai Valsts sekretāru sanāksmē (VSS-177). Saskaņošanas laikā par grozījumu netika saņemti iebildumi. Ņemot vērā šo MK noteikumu projekta steidzamības pamatojumu, lietderīgi bija apvienot paredzētās izmaiņas, atsaucot Valsts sekretāru sanāksmē virzīto normatīvo aktu un iekļaujot to šajā MK noteikumu projektā, nemainot pamatojumu.</w:t>
            </w:r>
          </w:p>
          <w:p w:rsidR="006C3528" w:rsidP="006C3528" w14:paraId="06C4BB0B" w14:textId="77777777">
            <w:pPr>
              <w:shd w:val="clear" w:color="auto" w:fill="FFFFFF"/>
              <w:spacing w:after="120"/>
              <w:ind w:right="34"/>
              <w:jc w:val="both"/>
            </w:pPr>
            <w:r>
              <w:t>MK noteikumu projekts par SAM 5.3.1. jau ņemta vērā KF finansējuma pārdales ietekme, kas veikta līdz ar MK 2018.gada 24.aprīļa noteikumiem Nr.237 “G</w:t>
            </w:r>
            <w:r w:rsidRPr="005A57FB">
              <w:t>rozījumi Ministru kabineta 2016. gada</w:t>
            </w:r>
            <w:r>
              <w:t xml:space="preserve"> 21. jūnija noteikumos Nr. 403 “Darbības programmas “Izaugsme un nodarbinātība”</w:t>
            </w:r>
            <w:r w:rsidRPr="005A57FB">
              <w:t xml:space="preserve"> 5.</w:t>
            </w:r>
            <w:r>
              <w:t>3.1. specifiskā atbalsta mērķa “</w:t>
            </w:r>
            <w:r w:rsidRPr="005A57FB">
              <w:t>Attīstīt un uzlabot ūdensapgādes un kanalizācijas sistēmas pakalpojumu kvalitāti un n</w:t>
            </w:r>
            <w:r>
              <w:t>odrošināt pieslēgšanas iespējas”</w:t>
            </w:r>
            <w:r w:rsidRPr="005A57FB">
              <w:t xml:space="preserve"> īstenošanas noteik</w:t>
            </w:r>
            <w:r>
              <w:t>umi”.</w:t>
            </w:r>
          </w:p>
          <w:p w:rsidR="00DC2C96" w:rsidP="00994C77" w14:paraId="79D12A02" w14:textId="6DEFF072">
            <w:pPr>
              <w:shd w:val="clear" w:color="auto" w:fill="FFFFFF"/>
              <w:spacing w:after="120"/>
              <w:ind w:right="34"/>
              <w:jc w:val="both"/>
            </w:pPr>
            <w:r>
              <w:t xml:space="preserve">Tā kā 5.2.1.2.pasākuma ietvaros KF finansējums komersantiem, kas nav sabiedriskā pakalpojuma sniedzēji, tiek piešķirts kā valsts atbalsts paziņotas atbalsta shēmas SA.46525 “Atbalsts atkritumu pārstrādes veicināšanai” ietvarā (saskaņā ar Reģionālā atbalsta pamatnostādnēm 2014.-2020.gadam), VARAM ir secinājusi, ka kopējais KF finansējums, salīdzinot ar paziņoto atbalsta shēmu un ņemot vērā ierosinātos grozījumus, būs palielināts kopumā par vairāk kā 20%. Līdz ar to VARAM nodrošinās paziņojuma iesniegšanu EK par iepriekš minētās atbalsta shēmas budžeta izmaiņām. Šādu kārtību nosaka Komisijas 2004.gada 21.aprīļa Regulas (EK) Nr.794/2004, </w:t>
            </w:r>
            <w:r>
              <w:rPr>
                <w:i/>
              </w:rPr>
              <w:t>ar ko īsteno Padomes Regulu (EK) Nr.659/1999, ar kuru nosaka sīki izstrādātus noteikumus EK Līguma 93.panta piemērošanai</w:t>
            </w:r>
            <w:r>
              <w:t xml:space="preserve"> ceturtā panta otrā daļa.</w:t>
            </w:r>
          </w:p>
          <w:p w:rsidR="00705244" w:rsidRPr="00C242BB" w:rsidP="00DC2C96" w14:paraId="32509194" w14:textId="7E2AD956">
            <w:pPr>
              <w:shd w:val="clear" w:color="auto" w:fill="FFFFFF"/>
              <w:spacing w:after="120"/>
              <w:ind w:right="34"/>
              <w:jc w:val="both"/>
            </w:pPr>
            <w:r>
              <w:t>Līdz ar to MK noteikumu projekts par 5.2.1.2.pasākumu paredz, ka grozījumi attiecībā uz kopējo KF finansējumu un tā dalījumu pa projektu iesniegumu atlases kārtām stāsies spēkā piecu darba dienu laikā pēc EK pozitīva lēmuma pieņemšanas par izmaiņu veikšanu atbalsta programmā, VARAM publicējot attiecīgu paziņojumu oficiālajā izdevumā “Latvijas Vēstnesis”.</w:t>
            </w:r>
            <w:r>
              <w:t xml:space="preserve"> </w:t>
            </w:r>
          </w:p>
        </w:tc>
      </w:tr>
    </w:tbl>
    <w:p w:rsidR="00E817A4" w:rsidRPr="007D043F" w:rsidP="00E817A4" w14:paraId="527BEF68" w14:textId="77777777">
      <w:pPr>
        <w:rPr>
          <w:vanish/>
        </w:rPr>
      </w:pPr>
    </w:p>
    <w:p w:rsidR="00E817A4" w:rsidRPr="007D043F" w:rsidP="00E817A4" w14:paraId="779C4624" w14:textId="77777777">
      <w:pPr>
        <w:jc w:val="both"/>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47"/>
        <w:gridCol w:w="2627"/>
        <w:gridCol w:w="5982"/>
      </w:tblGrid>
      <w:tr w14:paraId="38595A1B" w14:textId="77777777" w:rsidTr="00592FE9">
        <w:tblPrEx>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7A4" w:rsidRPr="007D043F" w:rsidP="00C604B4" w14:paraId="413BB95B" w14:textId="77777777">
            <w:pPr>
              <w:pStyle w:val="naisnod"/>
              <w:spacing w:before="0" w:beforeAutospacing="0" w:after="0" w:afterAutospacing="0"/>
              <w:ind w:left="57" w:right="57"/>
              <w:jc w:val="center"/>
              <w:rPr>
                <w:b/>
              </w:rPr>
            </w:pPr>
            <w:r w:rsidRPr="007D043F">
              <w:rPr>
                <w:b/>
              </w:rPr>
              <w:t>II. Tiesību akta projekta ietekme uz sabiedrību, tautsaimniecības attīstību</w:t>
            </w:r>
          </w:p>
          <w:p w:rsidR="00E817A4" w:rsidRPr="007D043F" w:rsidP="00C604B4" w14:paraId="2B42AFA7" w14:textId="77777777">
            <w:pPr>
              <w:jc w:val="center"/>
              <w:rPr>
                <w:rFonts w:ascii="Arial" w:eastAsia="Times New Roman" w:hAnsi="Arial" w:cs="Arial"/>
                <w:b/>
                <w:bCs/>
                <w:sz w:val="20"/>
                <w:szCs w:val="20"/>
              </w:rPr>
            </w:pPr>
            <w:r w:rsidRPr="007D043F">
              <w:rPr>
                <w:b/>
              </w:rPr>
              <w:t>un administratīvo slogu</w:t>
            </w:r>
          </w:p>
        </w:tc>
      </w:tr>
      <w:tr w14:paraId="3917B7BE" w14:textId="77777777" w:rsidTr="00592FE9">
        <w:tblPrEx>
          <w:tblW w:w="5166" w:type="pct"/>
          <w:tblInd w:w="-292" w:type="dxa"/>
          <w:shd w:val="clear" w:color="auto" w:fill="FFFFFF"/>
          <w:tblCellMar>
            <w:top w:w="30" w:type="dxa"/>
            <w:left w:w="30" w:type="dxa"/>
            <w:bottom w:w="30" w:type="dxa"/>
            <w:right w:w="30" w:type="dxa"/>
          </w:tblCellMar>
          <w:tblLook w:val="04A0"/>
        </w:tblPrEx>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56E29FBD" w14:textId="77777777">
            <w:r w:rsidRPr="007D043F">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C242BB" w:rsidP="00C604B4" w14:paraId="4F16FF02" w14:textId="77777777">
            <w:r w:rsidRPr="007D043F">
              <w:t xml:space="preserve">Sabiedrības </w:t>
            </w:r>
            <w:r w:rsidRPr="007D043F">
              <w:t>mērķgrupas</w:t>
            </w:r>
            <w:r w:rsidRPr="007D043F">
              <w:t>, kuras tiesiskais regulējums ietekmē vai varētu ietekmēt</w:t>
            </w:r>
          </w:p>
        </w:tc>
        <w:tc>
          <w:tcPr>
            <w:tcW w:w="3196" w:type="pct"/>
            <w:tcBorders>
              <w:top w:val="outset" w:sz="6" w:space="0" w:color="414142"/>
              <w:left w:val="outset" w:sz="6" w:space="0" w:color="414142"/>
              <w:bottom w:val="outset" w:sz="6" w:space="0" w:color="414142"/>
              <w:right w:val="outset" w:sz="6" w:space="0" w:color="414142"/>
            </w:tcBorders>
            <w:shd w:val="clear" w:color="auto" w:fill="FFFFFF"/>
          </w:tcPr>
          <w:p w:rsidR="00E817A4" w:rsidRPr="00C242BB" w:rsidP="00C604B4" w14:paraId="4041D867" w14:textId="0EAEC5D0">
            <w:pPr>
              <w:ind w:right="111"/>
              <w:jc w:val="both"/>
              <w:rPr>
                <w:iCs/>
              </w:rPr>
            </w:pPr>
            <w:r w:rsidRPr="007D043F">
              <w:t>MK noteikumu projekti ietekmē tiešās pārvaldes iestādes, kas iesaistītas ES fondu vadībā (vadošā iestāde, atbildīgā iestāde, sadarbības iestāde u.c.), kā arī potenciālos finansējuma saņēmējus.</w:t>
            </w:r>
          </w:p>
        </w:tc>
      </w:tr>
      <w:tr w14:paraId="5C6A05DC" w14:textId="77777777" w:rsidTr="00592FE9">
        <w:tblPrEx>
          <w:tblW w:w="5166" w:type="pct"/>
          <w:tblInd w:w="-292" w:type="dxa"/>
          <w:shd w:val="clear" w:color="auto" w:fill="FFFFFF"/>
          <w:tblCellMar>
            <w:top w:w="30" w:type="dxa"/>
            <w:left w:w="30" w:type="dxa"/>
            <w:bottom w:w="30" w:type="dxa"/>
            <w:right w:w="30" w:type="dxa"/>
          </w:tblCellMar>
          <w:tblLook w:val="04A0"/>
        </w:tblPrEx>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5DF0C312" w14:textId="77777777">
            <w:r w:rsidRPr="007D043F">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C242BB" w:rsidP="00C604B4" w14:paraId="78787B94" w14:textId="77777777">
            <w:r w:rsidRPr="007D043F">
              <w:t>Tiesiskā regulējuma ietekme uz tautsaimniecību un administratīvo slogu</w:t>
            </w:r>
          </w:p>
        </w:tc>
        <w:tc>
          <w:tcPr>
            <w:tcW w:w="3196" w:type="pct"/>
            <w:tcBorders>
              <w:top w:val="outset" w:sz="6" w:space="0" w:color="414142"/>
              <w:left w:val="outset" w:sz="6" w:space="0" w:color="414142"/>
              <w:bottom w:val="outset" w:sz="6" w:space="0" w:color="414142"/>
              <w:right w:val="outset" w:sz="6" w:space="0" w:color="414142"/>
            </w:tcBorders>
            <w:shd w:val="clear" w:color="auto" w:fill="FFFFFF"/>
          </w:tcPr>
          <w:p w:rsidR="00E817A4" w:rsidRPr="007D043F" w:rsidP="00DC2C96" w14:paraId="4129C823" w14:textId="4BFD6E48">
            <w:pPr>
              <w:spacing w:after="120"/>
              <w:ind w:right="113"/>
              <w:jc w:val="both"/>
            </w:pPr>
            <w:r w:rsidRPr="007D043F">
              <w:t>Gan sadarbības iestādei, gan atbildīgajai iestādei ir izveidojusies prakse projektu iesniegumu atlases dokumentācijas sagatavošanā un precizēšanā, tamdēļ netiek p</w:t>
            </w:r>
            <w:r w:rsidRPr="007D043F" w:rsidR="00A92540">
              <w:t xml:space="preserve">lānots, ka MK noteikumu </w:t>
            </w:r>
            <w:r w:rsidRPr="007D043F" w:rsidR="00592FE9">
              <w:t xml:space="preserve">projekti </w:t>
            </w:r>
            <w:r w:rsidRPr="007D043F">
              <w:t>radītu ietekmi uz institūciju administratīvo slogu, kas būtiski atšķirtos no līdzšinējās ES fondu vadības prakses.</w:t>
            </w:r>
          </w:p>
          <w:p w:rsidR="00E817A4" w:rsidP="00DC2C96" w14:paraId="1CCE8D21" w14:textId="77777777">
            <w:pPr>
              <w:spacing w:after="120"/>
              <w:ind w:right="113"/>
              <w:jc w:val="both"/>
            </w:pPr>
            <w:r w:rsidRPr="007D043F">
              <w:t>Grozījum</w:t>
            </w:r>
            <w:r w:rsidRPr="007D043F" w:rsidR="00535186">
              <w:t>u</w:t>
            </w:r>
            <w:r w:rsidRPr="007D043F">
              <w:t>s attiecībā un finanšu rādītāja samazināšanu un finansējuma izmaiņām paredz veikt izmaiņas datu tabulās, kurās nea</w:t>
            </w:r>
            <w:r w:rsidRPr="007D043F" w:rsidR="00A92540">
              <w:t>tkarīgi no MK noteikumu projektiem</w:t>
            </w:r>
            <w:r w:rsidRPr="007D043F">
              <w:t xml:space="preserve"> saistītās darbības izmaiņas tiek veiktas regulāri.</w:t>
            </w:r>
          </w:p>
          <w:p w:rsidR="00EF73D6" w:rsidRPr="007D043F" w:rsidP="00C604B4" w14:paraId="7AEFCBCA" w14:textId="1B89D1C6">
            <w:pPr>
              <w:ind w:right="111"/>
              <w:jc w:val="both"/>
            </w:pPr>
            <w:r>
              <w:t>MK noteikumu projektā par SAM 5.1.1. ietvertais pienākums sniegt informāciju par enerģijas patēriņu finansējuma saņēmējam nerada papildu administratīvo slogu, jo minētā p</w:t>
            </w:r>
            <w:r>
              <w:rPr>
                <w:bCs/>
              </w:rPr>
              <w:t xml:space="preserve">rasība </w:t>
            </w:r>
            <w:r w:rsidRPr="00E817A4">
              <w:rPr>
                <w:bCs/>
              </w:rPr>
              <w:t>jau ietverta SAM 5.1.1 ietvaros noslēgtajās vienošanās par projektu īstenošanu.</w:t>
            </w:r>
            <w:r>
              <w:rPr>
                <w:bCs/>
              </w:rPr>
              <w:t xml:space="preserve"> Tādējādi attiecīgais grozījums </w:t>
            </w:r>
            <w:r>
              <w:t>MK noteikumu projektā par SAM 5.1.1. nostiprina tiesību aktā jau šobrīd pastāvošo pienākumu finansējuma saņēmējam, nevis uzliek to veikt papildus.</w:t>
            </w:r>
          </w:p>
        </w:tc>
      </w:tr>
      <w:tr w14:paraId="1928B46F" w14:textId="77777777" w:rsidTr="00592FE9">
        <w:tblPrEx>
          <w:tblW w:w="5166" w:type="pct"/>
          <w:tblInd w:w="-292" w:type="dxa"/>
          <w:shd w:val="clear" w:color="auto" w:fill="FFFFFF"/>
          <w:tblCellMar>
            <w:top w:w="30" w:type="dxa"/>
            <w:left w:w="30" w:type="dxa"/>
            <w:bottom w:w="30" w:type="dxa"/>
            <w:right w:w="30" w:type="dxa"/>
          </w:tblCellMar>
          <w:tblLook w:val="04A0"/>
        </w:tblPrEx>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6A6F9DF7" w14:textId="77777777">
            <w:r w:rsidRPr="007D043F">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C242BB" w:rsidP="00C604B4" w14:paraId="570BECCA" w14:textId="77777777">
            <w:r w:rsidRPr="007D043F">
              <w:t>Administratīvo izmaksu monetārs novērtējums</w:t>
            </w:r>
          </w:p>
        </w:tc>
        <w:tc>
          <w:tcPr>
            <w:tcW w:w="3196" w:type="pct"/>
            <w:tcBorders>
              <w:top w:val="outset" w:sz="6" w:space="0" w:color="414142"/>
              <w:left w:val="outset" w:sz="6" w:space="0" w:color="414142"/>
              <w:bottom w:val="outset" w:sz="6" w:space="0" w:color="414142"/>
              <w:right w:val="outset" w:sz="6" w:space="0" w:color="414142"/>
            </w:tcBorders>
            <w:shd w:val="clear" w:color="auto" w:fill="FFFFFF"/>
          </w:tcPr>
          <w:p w:rsidR="00E817A4" w:rsidRPr="007D043F" w:rsidP="00C604B4" w14:paraId="7F87D5F9" w14:textId="77777777">
            <w:pPr>
              <w:spacing w:before="100" w:beforeAutospacing="1" w:after="100" w:afterAutospacing="1" w:line="293" w:lineRule="atLeast"/>
              <w:ind w:right="111"/>
              <w:jc w:val="both"/>
              <w:rPr>
                <w:iCs/>
              </w:rPr>
            </w:pPr>
            <w:r w:rsidRPr="007D043F">
              <w:rPr>
                <w:bCs/>
              </w:rPr>
              <w:t>Projekts šo jomu neskar</w:t>
            </w:r>
          </w:p>
        </w:tc>
      </w:tr>
      <w:tr w14:paraId="60E77966" w14:textId="77777777" w:rsidTr="00592FE9">
        <w:tblPrEx>
          <w:tblW w:w="5166" w:type="pct"/>
          <w:tblInd w:w="-292" w:type="dxa"/>
          <w:shd w:val="clear" w:color="auto" w:fill="FFFFFF"/>
          <w:tblCellMar>
            <w:top w:w="30" w:type="dxa"/>
            <w:left w:w="30" w:type="dxa"/>
            <w:bottom w:w="30" w:type="dxa"/>
            <w:right w:w="30" w:type="dxa"/>
          </w:tblCellMar>
          <w:tblLook w:val="04A0"/>
        </w:tblPrEx>
        <w:tc>
          <w:tcPr>
            <w:tcW w:w="399" w:type="pct"/>
            <w:tcBorders>
              <w:top w:val="outset" w:sz="6" w:space="0" w:color="414142"/>
              <w:left w:val="outset" w:sz="6" w:space="0" w:color="414142"/>
              <w:bottom w:val="outset" w:sz="6" w:space="0" w:color="414142"/>
              <w:right w:val="outset" w:sz="6" w:space="0" w:color="414142"/>
            </w:tcBorders>
            <w:shd w:val="clear" w:color="auto" w:fill="FFFFFF"/>
          </w:tcPr>
          <w:p w:rsidR="00E817A4" w:rsidRPr="007D043F" w:rsidP="00C604B4" w14:paraId="499ECD48" w14:textId="77777777">
            <w:r w:rsidRPr="007D043F">
              <w:t>4.</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rsidR="00E817A4" w:rsidRPr="007D043F" w:rsidP="00C604B4" w14:paraId="6C361D84" w14:textId="77777777">
            <w:r w:rsidRPr="007D043F">
              <w:t>Atbilstības izmaksu monetārs novērtējums</w:t>
            </w:r>
          </w:p>
        </w:tc>
        <w:tc>
          <w:tcPr>
            <w:tcW w:w="3196" w:type="pct"/>
            <w:tcBorders>
              <w:top w:val="outset" w:sz="6" w:space="0" w:color="414142"/>
              <w:left w:val="outset" w:sz="6" w:space="0" w:color="414142"/>
              <w:bottom w:val="outset" w:sz="6" w:space="0" w:color="414142"/>
              <w:right w:val="outset" w:sz="6" w:space="0" w:color="414142"/>
            </w:tcBorders>
            <w:shd w:val="clear" w:color="auto" w:fill="FFFFFF"/>
          </w:tcPr>
          <w:p w:rsidR="00E817A4" w:rsidRPr="00C242BB" w:rsidP="00C604B4" w14:paraId="73175367" w14:textId="77777777">
            <w:pPr>
              <w:spacing w:before="100" w:beforeAutospacing="1" w:after="100" w:afterAutospacing="1" w:line="293" w:lineRule="atLeast"/>
              <w:ind w:right="111"/>
              <w:jc w:val="both"/>
              <w:rPr>
                <w:bCs/>
              </w:rPr>
            </w:pPr>
            <w:r w:rsidRPr="007D043F">
              <w:t>Nav</w:t>
            </w:r>
          </w:p>
        </w:tc>
      </w:tr>
      <w:tr w14:paraId="60A475CD" w14:textId="77777777" w:rsidTr="00592FE9">
        <w:tblPrEx>
          <w:tblW w:w="5166" w:type="pct"/>
          <w:tblInd w:w="-292" w:type="dxa"/>
          <w:shd w:val="clear" w:color="auto" w:fill="FFFFFF"/>
          <w:tblCellMar>
            <w:top w:w="30" w:type="dxa"/>
            <w:left w:w="30" w:type="dxa"/>
            <w:bottom w:w="30" w:type="dxa"/>
            <w:right w:w="30" w:type="dxa"/>
          </w:tblCellMar>
          <w:tblLook w:val="04A0"/>
        </w:tblPrEx>
        <w:tc>
          <w:tcPr>
            <w:tcW w:w="399" w:type="pct"/>
            <w:tcBorders>
              <w:top w:val="outset" w:sz="6" w:space="0" w:color="414142"/>
              <w:left w:val="outset" w:sz="6" w:space="0" w:color="414142"/>
              <w:bottom w:val="outset" w:sz="6" w:space="0" w:color="414142"/>
              <w:right w:val="outset" w:sz="6" w:space="0" w:color="414142"/>
            </w:tcBorders>
            <w:shd w:val="clear" w:color="auto" w:fill="FFFFFF"/>
          </w:tcPr>
          <w:p w:rsidR="00E817A4" w:rsidRPr="007D043F" w:rsidP="00C604B4" w14:paraId="2B2915F2" w14:textId="77777777">
            <w:r w:rsidRPr="007D043F">
              <w:t>5.</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rsidR="00E817A4" w:rsidRPr="007D043F" w:rsidP="00C604B4" w14:paraId="623BC139" w14:textId="77777777">
            <w:r w:rsidRPr="007D043F">
              <w:t>Cita informācija</w:t>
            </w:r>
          </w:p>
        </w:tc>
        <w:tc>
          <w:tcPr>
            <w:tcW w:w="3196" w:type="pct"/>
            <w:tcBorders>
              <w:top w:val="outset" w:sz="6" w:space="0" w:color="414142"/>
              <w:left w:val="outset" w:sz="6" w:space="0" w:color="414142"/>
              <w:bottom w:val="outset" w:sz="6" w:space="0" w:color="414142"/>
              <w:right w:val="outset" w:sz="6" w:space="0" w:color="414142"/>
            </w:tcBorders>
            <w:shd w:val="clear" w:color="auto" w:fill="FFFFFF"/>
          </w:tcPr>
          <w:p w:rsidR="00E817A4" w:rsidRPr="00C242BB" w:rsidP="00C604B4" w14:paraId="29709F85" w14:textId="77777777">
            <w:pPr>
              <w:spacing w:before="100" w:beforeAutospacing="1" w:after="100" w:afterAutospacing="1" w:line="293" w:lineRule="atLeast"/>
              <w:rPr>
                <w:iCs/>
              </w:rPr>
            </w:pPr>
            <w:r w:rsidRPr="007D043F">
              <w:t>Nav</w:t>
            </w:r>
          </w:p>
        </w:tc>
      </w:tr>
    </w:tbl>
    <w:p w:rsidR="00E817A4" w:rsidRPr="007D043F" w:rsidP="00E817A4" w14:paraId="20481410" w14:textId="77777777">
      <w:pPr>
        <w:rPr>
          <w:i/>
          <w:iCs/>
        </w:rPr>
      </w:pPr>
    </w:p>
    <w:tbl>
      <w:tblPr>
        <w:tblW w:w="5163" w:type="pct"/>
        <w:tblInd w:w="-289" w:type="dxa"/>
        <w:tblCellMar>
          <w:left w:w="0" w:type="dxa"/>
          <w:right w:w="0" w:type="dxa"/>
        </w:tblCellMar>
        <w:tblLook w:val="04A0"/>
      </w:tblPr>
      <w:tblGrid>
        <w:gridCol w:w="1664"/>
        <w:gridCol w:w="945"/>
        <w:gridCol w:w="1068"/>
        <w:gridCol w:w="1141"/>
        <w:gridCol w:w="1138"/>
        <w:gridCol w:w="1132"/>
        <w:gridCol w:w="1136"/>
        <w:gridCol w:w="1132"/>
      </w:tblGrid>
      <w:tr w14:paraId="3C1E2562" w14:textId="77777777" w:rsidTr="00F34A56">
        <w:tblPrEx>
          <w:tblW w:w="5163" w:type="pct"/>
          <w:tblInd w:w="-289" w:type="dxa"/>
          <w:tblCellMar>
            <w:left w:w="0" w:type="dxa"/>
            <w:right w:w="0" w:type="dxa"/>
          </w:tblCellMar>
          <w:tblLook w:val="04A0"/>
        </w:tblPrEx>
        <w:trPr>
          <w:trHeight w:val="395"/>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5F4D1B7" w14:textId="77777777">
            <w:pPr>
              <w:spacing w:line="256" w:lineRule="auto"/>
              <w:jc w:val="center"/>
              <w:rPr>
                <w:b/>
                <w:bCs/>
                <w:iCs/>
                <w:lang w:eastAsia="en-US"/>
              </w:rPr>
            </w:pPr>
            <w:r w:rsidRPr="007D043F">
              <w:rPr>
                <w:b/>
                <w:bCs/>
                <w:iCs/>
                <w:lang w:eastAsia="en-US"/>
              </w:rPr>
              <w:t>III. Tiesību akta projekta ietekme uz valsts budžetu un pašvaldību budžetiem</w:t>
            </w:r>
          </w:p>
        </w:tc>
      </w:tr>
      <w:tr w14:paraId="4E0897E1" w14:textId="77777777" w:rsidTr="00F34A56">
        <w:tblPrEx>
          <w:tblW w:w="5163" w:type="pct"/>
          <w:tblInd w:w="-289" w:type="dxa"/>
          <w:tblCellMar>
            <w:left w:w="0" w:type="dxa"/>
            <w:right w:w="0" w:type="dxa"/>
          </w:tblCellMar>
          <w:tblLook w:val="04A0"/>
        </w:tblPrEx>
        <w:trPr>
          <w:trHeight w:val="305"/>
        </w:trPr>
        <w:tc>
          <w:tcPr>
            <w:tcW w:w="889" w:type="pct"/>
            <w:vMerge w:val="restar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B8CFA83" w14:textId="77777777">
            <w:pPr>
              <w:spacing w:line="256" w:lineRule="auto"/>
              <w:jc w:val="center"/>
              <w:rPr>
                <w:iCs/>
                <w:sz w:val="22"/>
                <w:szCs w:val="22"/>
                <w:lang w:eastAsia="en-US"/>
              </w:rPr>
            </w:pPr>
            <w:r w:rsidRPr="007D043F">
              <w:rPr>
                <w:iCs/>
                <w:sz w:val="22"/>
                <w:szCs w:val="22"/>
                <w:lang w:eastAsia="en-US"/>
              </w:rPr>
              <w:t>Rādītāji</w:t>
            </w:r>
          </w:p>
        </w:tc>
        <w:tc>
          <w:tcPr>
            <w:tcW w:w="107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A737299" w14:textId="77777777">
            <w:pPr>
              <w:spacing w:line="256" w:lineRule="auto"/>
              <w:jc w:val="center"/>
              <w:rPr>
                <w:iCs/>
                <w:sz w:val="22"/>
                <w:szCs w:val="22"/>
                <w:lang w:eastAsia="en-US"/>
              </w:rPr>
            </w:pPr>
            <w:r w:rsidRPr="007D043F">
              <w:rPr>
                <w:iCs/>
                <w:sz w:val="22"/>
                <w:szCs w:val="22"/>
                <w:lang w:eastAsia="en-US"/>
              </w:rPr>
              <w:t>2018</w:t>
            </w:r>
          </w:p>
        </w:tc>
        <w:tc>
          <w:tcPr>
            <w:tcW w:w="3035" w:type="pct"/>
            <w:gridSpan w:val="5"/>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A000690" w14:textId="77777777">
            <w:pPr>
              <w:spacing w:line="256" w:lineRule="auto"/>
              <w:jc w:val="center"/>
              <w:rPr>
                <w:iCs/>
                <w:sz w:val="22"/>
                <w:szCs w:val="22"/>
                <w:lang w:eastAsia="en-US"/>
              </w:rPr>
            </w:pPr>
            <w:r w:rsidRPr="007D043F">
              <w:rPr>
                <w:iCs/>
                <w:sz w:val="22"/>
                <w:szCs w:val="22"/>
                <w:lang w:eastAsia="en-US"/>
              </w:rPr>
              <w:t>Turpmākie trīs gadi (</w:t>
            </w:r>
            <w:r w:rsidRPr="007D043F">
              <w:rPr>
                <w:i/>
                <w:iCs/>
                <w:sz w:val="22"/>
                <w:szCs w:val="22"/>
                <w:lang w:eastAsia="en-US"/>
              </w:rPr>
              <w:t>euro</w:t>
            </w:r>
            <w:r w:rsidRPr="007D043F">
              <w:rPr>
                <w:iCs/>
                <w:sz w:val="22"/>
                <w:szCs w:val="22"/>
                <w:lang w:eastAsia="en-US"/>
              </w:rPr>
              <w:t>)</w:t>
            </w:r>
          </w:p>
        </w:tc>
      </w:tr>
      <w:tr w14:paraId="162E2F41" w14:textId="77777777" w:rsidTr="00705244">
        <w:tblPrEx>
          <w:tblW w:w="5163" w:type="pct"/>
          <w:tblInd w:w="-289" w:type="dxa"/>
          <w:tblCellMar>
            <w:left w:w="0" w:type="dxa"/>
            <w:right w:w="0" w:type="dxa"/>
          </w:tblCellMar>
          <w:tblLook w:val="04A0"/>
        </w:tblPrEx>
        <w:tc>
          <w:tcPr>
            <w:tcW w:w="889" w:type="pct"/>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AB77D36" w14:textId="77777777">
            <w:pPr>
              <w:spacing w:line="256" w:lineRule="auto"/>
              <w:rPr>
                <w:iCs/>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C4B5EBB" w14:textId="77777777">
            <w:pPr>
              <w:spacing w:line="256" w:lineRule="auto"/>
              <w:jc w:val="center"/>
              <w:rPr>
                <w:iCs/>
                <w:sz w:val="22"/>
                <w:szCs w:val="22"/>
                <w:lang w:eastAsia="en-US"/>
              </w:rPr>
            </w:pPr>
          </w:p>
        </w:tc>
        <w:tc>
          <w:tcPr>
            <w:tcW w:w="1218" w:type="pct"/>
            <w:gridSpan w:val="2"/>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27DE4CD" w14:textId="77777777">
            <w:pPr>
              <w:spacing w:line="256" w:lineRule="auto"/>
              <w:jc w:val="center"/>
              <w:rPr>
                <w:iCs/>
                <w:sz w:val="22"/>
                <w:szCs w:val="22"/>
                <w:lang w:eastAsia="en-US"/>
              </w:rPr>
            </w:pPr>
            <w:r w:rsidRPr="007D043F">
              <w:rPr>
                <w:iCs/>
                <w:sz w:val="22"/>
                <w:szCs w:val="22"/>
                <w:lang w:eastAsia="en-US"/>
              </w:rPr>
              <w:t>2019</w:t>
            </w:r>
          </w:p>
        </w:tc>
        <w:tc>
          <w:tcPr>
            <w:tcW w:w="1212" w:type="pct"/>
            <w:gridSpan w:val="2"/>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2BF8782" w14:textId="77777777">
            <w:pPr>
              <w:spacing w:line="256" w:lineRule="auto"/>
              <w:jc w:val="center"/>
              <w:rPr>
                <w:iCs/>
                <w:sz w:val="22"/>
                <w:szCs w:val="22"/>
                <w:lang w:eastAsia="en-US"/>
              </w:rPr>
            </w:pPr>
            <w:r w:rsidRPr="007D043F">
              <w:rPr>
                <w:iCs/>
                <w:sz w:val="22"/>
                <w:szCs w:val="22"/>
                <w:lang w:eastAsia="en-US"/>
              </w:rPr>
              <w:t>2020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8BE4371" w14:textId="77777777">
            <w:pPr>
              <w:spacing w:line="256" w:lineRule="auto"/>
              <w:jc w:val="center"/>
              <w:rPr>
                <w:iCs/>
                <w:sz w:val="22"/>
                <w:szCs w:val="22"/>
                <w:lang w:eastAsia="en-US"/>
              </w:rPr>
            </w:pPr>
            <w:r w:rsidRPr="007D043F">
              <w:rPr>
                <w:iCs/>
                <w:sz w:val="22"/>
                <w:szCs w:val="22"/>
                <w:lang w:eastAsia="en-US"/>
              </w:rPr>
              <w:t>2021</w:t>
            </w:r>
          </w:p>
        </w:tc>
      </w:tr>
      <w:tr w14:paraId="2A620477" w14:textId="77777777" w:rsidTr="00705244">
        <w:tblPrEx>
          <w:tblW w:w="5163" w:type="pct"/>
          <w:tblInd w:w="-289" w:type="dxa"/>
          <w:tblCellMar>
            <w:left w:w="0" w:type="dxa"/>
            <w:right w:w="0" w:type="dxa"/>
          </w:tblCellMar>
          <w:tblLook w:val="04A0"/>
        </w:tblPrEx>
        <w:tc>
          <w:tcPr>
            <w:tcW w:w="889" w:type="pct"/>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4D784FE" w14:textId="77777777">
            <w:pPr>
              <w:spacing w:line="256" w:lineRule="auto"/>
              <w:rPr>
                <w:iCs/>
                <w:sz w:val="22"/>
                <w:szCs w:val="22"/>
                <w:lang w:eastAsia="en-US"/>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B15B679" w14:textId="77777777">
            <w:pPr>
              <w:spacing w:line="256" w:lineRule="auto"/>
              <w:jc w:val="center"/>
              <w:rPr>
                <w:iCs/>
                <w:sz w:val="22"/>
                <w:szCs w:val="22"/>
                <w:lang w:eastAsia="en-US"/>
              </w:rPr>
            </w:pPr>
            <w:r w:rsidRPr="007D043F">
              <w:rPr>
                <w:iCs/>
                <w:sz w:val="22"/>
                <w:szCs w:val="22"/>
                <w:lang w:eastAsia="en-US"/>
              </w:rPr>
              <w:t>saskaņā ar valsts budžetu kārtējam gadam</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B06349E" w14:textId="77777777">
            <w:pPr>
              <w:spacing w:line="256" w:lineRule="auto"/>
              <w:jc w:val="center"/>
              <w:rPr>
                <w:iCs/>
                <w:sz w:val="22"/>
                <w:szCs w:val="22"/>
                <w:lang w:eastAsia="en-US"/>
              </w:rPr>
            </w:pPr>
            <w:r w:rsidRPr="007D043F">
              <w:rPr>
                <w:iCs/>
                <w:sz w:val="22"/>
                <w:szCs w:val="22"/>
                <w:lang w:eastAsia="en-US"/>
              </w:rPr>
              <w:t>izmaiņas kārtējā gadā, salīdzinot ar valsts budžetu kārtējam gadam</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81D8A7B" w14:textId="77777777">
            <w:pPr>
              <w:spacing w:line="256" w:lineRule="auto"/>
              <w:jc w:val="center"/>
              <w:rPr>
                <w:iCs/>
                <w:sz w:val="22"/>
                <w:szCs w:val="22"/>
                <w:lang w:eastAsia="en-US"/>
              </w:rPr>
            </w:pPr>
            <w:r w:rsidRPr="007D043F">
              <w:rPr>
                <w:iCs/>
                <w:sz w:val="22"/>
                <w:szCs w:val="22"/>
                <w:lang w:eastAsia="en-US"/>
              </w:rPr>
              <w:t>saskaņā ar vidēja termiņa budžeta ietvaru</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0567EE7" w14:textId="77777777">
            <w:pPr>
              <w:spacing w:line="256" w:lineRule="auto"/>
              <w:jc w:val="center"/>
              <w:rPr>
                <w:iCs/>
                <w:sz w:val="22"/>
                <w:szCs w:val="22"/>
                <w:lang w:eastAsia="en-US"/>
              </w:rPr>
            </w:pPr>
            <w:r w:rsidRPr="007D043F">
              <w:rPr>
                <w:iCs/>
                <w:sz w:val="22"/>
                <w:szCs w:val="22"/>
                <w:lang w:eastAsia="en-US"/>
              </w:rPr>
              <w:t>izmaiņas, salīdzinot ar vidēja termiņa budžeta ietvaru 2019. gadam</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14F452D" w14:textId="77777777">
            <w:pPr>
              <w:spacing w:line="256" w:lineRule="auto"/>
              <w:jc w:val="center"/>
              <w:rPr>
                <w:iCs/>
                <w:sz w:val="22"/>
                <w:szCs w:val="22"/>
                <w:lang w:eastAsia="en-US"/>
              </w:rPr>
            </w:pPr>
            <w:r w:rsidRPr="007D043F">
              <w:rPr>
                <w:iCs/>
                <w:sz w:val="22"/>
                <w:szCs w:val="22"/>
                <w:lang w:eastAsia="en-US"/>
              </w:rPr>
              <w:t>saskaņā ar vidēja termiņa budžeta ietvaru</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91DA058" w14:textId="77777777">
            <w:pPr>
              <w:spacing w:line="256" w:lineRule="auto"/>
              <w:jc w:val="center"/>
              <w:rPr>
                <w:iCs/>
                <w:sz w:val="22"/>
                <w:szCs w:val="22"/>
                <w:lang w:eastAsia="en-US"/>
              </w:rPr>
            </w:pPr>
            <w:r w:rsidRPr="007D043F">
              <w:rPr>
                <w:iCs/>
                <w:sz w:val="22"/>
                <w:szCs w:val="22"/>
                <w:lang w:eastAsia="en-US"/>
              </w:rPr>
              <w:t>izmaiņas, salīdzinot ar vidēja termiņa budžeta ietvaru 2020. gadam</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09D3760" w14:textId="77777777">
            <w:pPr>
              <w:spacing w:line="256" w:lineRule="auto"/>
              <w:jc w:val="center"/>
              <w:rPr>
                <w:iCs/>
                <w:sz w:val="22"/>
                <w:szCs w:val="22"/>
                <w:lang w:eastAsia="en-US"/>
              </w:rPr>
            </w:pPr>
            <w:r w:rsidRPr="007D043F">
              <w:rPr>
                <w:iCs/>
                <w:sz w:val="22"/>
                <w:szCs w:val="22"/>
                <w:lang w:eastAsia="en-US"/>
              </w:rPr>
              <w:t>izmaiņas, salīdzinot ar vidēja termiņa budžeta ietvaru 2020. gadam</w:t>
            </w:r>
          </w:p>
        </w:tc>
      </w:tr>
      <w:tr w14:paraId="48084BFE"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D52119E" w14:textId="77777777">
            <w:pPr>
              <w:spacing w:line="256" w:lineRule="auto"/>
              <w:jc w:val="center"/>
              <w:rPr>
                <w:iCs/>
                <w:sz w:val="22"/>
                <w:szCs w:val="22"/>
                <w:lang w:eastAsia="en-US"/>
              </w:rPr>
            </w:pPr>
            <w:r w:rsidRPr="007D043F">
              <w:rPr>
                <w:iCs/>
                <w:sz w:val="22"/>
                <w:szCs w:val="22"/>
                <w:lang w:eastAsia="en-US"/>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07A84D9" w14:textId="77777777">
            <w:pPr>
              <w:spacing w:line="256" w:lineRule="auto"/>
              <w:jc w:val="center"/>
              <w:rPr>
                <w:iCs/>
                <w:sz w:val="22"/>
                <w:szCs w:val="22"/>
                <w:lang w:eastAsia="en-US"/>
              </w:rPr>
            </w:pPr>
            <w:r w:rsidRPr="007D043F">
              <w:rPr>
                <w:iCs/>
                <w:sz w:val="22"/>
                <w:szCs w:val="22"/>
                <w:lang w:eastAsia="en-US"/>
              </w:rPr>
              <w:t>2</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7473BA2" w14:textId="77777777">
            <w:pPr>
              <w:spacing w:line="256" w:lineRule="auto"/>
              <w:jc w:val="center"/>
              <w:rPr>
                <w:iCs/>
                <w:sz w:val="22"/>
                <w:szCs w:val="22"/>
                <w:lang w:eastAsia="en-US"/>
              </w:rPr>
            </w:pPr>
            <w:r w:rsidRPr="007D043F">
              <w:rPr>
                <w:iCs/>
                <w:sz w:val="22"/>
                <w:szCs w:val="22"/>
                <w:lang w:eastAsia="en-US"/>
              </w:rPr>
              <w:t>3</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2C779ED" w14:textId="77777777">
            <w:pPr>
              <w:spacing w:line="256" w:lineRule="auto"/>
              <w:jc w:val="center"/>
              <w:rPr>
                <w:iCs/>
                <w:sz w:val="22"/>
                <w:szCs w:val="22"/>
                <w:lang w:eastAsia="en-US"/>
              </w:rPr>
            </w:pPr>
            <w:r w:rsidRPr="007D043F">
              <w:rPr>
                <w:iCs/>
                <w:sz w:val="22"/>
                <w:szCs w:val="22"/>
                <w:lang w:eastAsia="en-US"/>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99D408A" w14:textId="77777777">
            <w:pPr>
              <w:spacing w:line="256" w:lineRule="auto"/>
              <w:jc w:val="center"/>
              <w:rPr>
                <w:iCs/>
                <w:sz w:val="22"/>
                <w:szCs w:val="22"/>
                <w:lang w:eastAsia="en-US"/>
              </w:rPr>
            </w:pPr>
            <w:r w:rsidRPr="007D043F">
              <w:rPr>
                <w:iCs/>
                <w:sz w:val="22"/>
                <w:szCs w:val="22"/>
                <w:lang w:eastAsia="en-US"/>
              </w:rPr>
              <w:t>5</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0C1E29D" w14:textId="77777777">
            <w:pPr>
              <w:spacing w:line="256" w:lineRule="auto"/>
              <w:jc w:val="center"/>
              <w:rPr>
                <w:iCs/>
                <w:sz w:val="22"/>
                <w:szCs w:val="22"/>
                <w:lang w:eastAsia="en-US"/>
              </w:rPr>
            </w:pPr>
            <w:r w:rsidRPr="007D043F">
              <w:rPr>
                <w:iCs/>
                <w:sz w:val="22"/>
                <w:szCs w:val="22"/>
                <w:lang w:eastAsia="en-US"/>
              </w:rPr>
              <w:t>6</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91F4F31" w14:textId="77777777">
            <w:pPr>
              <w:spacing w:line="256" w:lineRule="auto"/>
              <w:jc w:val="center"/>
              <w:rPr>
                <w:iCs/>
                <w:sz w:val="22"/>
                <w:szCs w:val="22"/>
                <w:lang w:eastAsia="en-US"/>
              </w:rPr>
            </w:pPr>
            <w:r w:rsidRPr="007D043F">
              <w:rPr>
                <w:iCs/>
                <w:sz w:val="22"/>
                <w:szCs w:val="22"/>
                <w:lang w:eastAsia="en-US"/>
              </w:rPr>
              <w:t>7</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12DE072" w14:textId="77777777">
            <w:pPr>
              <w:spacing w:line="256" w:lineRule="auto"/>
              <w:jc w:val="center"/>
              <w:rPr>
                <w:iCs/>
                <w:sz w:val="22"/>
                <w:szCs w:val="22"/>
                <w:lang w:eastAsia="en-US"/>
              </w:rPr>
            </w:pPr>
            <w:r w:rsidRPr="007D043F">
              <w:rPr>
                <w:iCs/>
                <w:sz w:val="22"/>
                <w:szCs w:val="22"/>
                <w:lang w:eastAsia="en-US"/>
              </w:rPr>
              <w:t>8</w:t>
            </w:r>
          </w:p>
        </w:tc>
      </w:tr>
      <w:tr w14:paraId="0354F3F4"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015837EA" w14:textId="77777777">
            <w:pPr>
              <w:spacing w:line="256" w:lineRule="auto"/>
              <w:rPr>
                <w:iCs/>
                <w:sz w:val="22"/>
                <w:szCs w:val="22"/>
                <w:lang w:eastAsia="en-US"/>
              </w:rPr>
            </w:pPr>
            <w:r w:rsidRPr="007D043F">
              <w:rPr>
                <w:iCs/>
                <w:sz w:val="22"/>
                <w:szCs w:val="22"/>
                <w:lang w:eastAsia="en-US"/>
              </w:rPr>
              <w:t>1. Budžeta ieņēmumi</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065C5B4"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B5E5EFC" w14:textId="77777777">
            <w:pPr>
              <w:spacing w:line="256"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E6ED1A8" w14:textId="77777777">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C6E15F6"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64D68FE" w14:textId="77777777">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2C19E09"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8D876DD" w14:textId="77777777">
            <w:pPr>
              <w:spacing w:line="256" w:lineRule="auto"/>
              <w:jc w:val="center"/>
              <w:rPr>
                <w:iCs/>
                <w:sz w:val="22"/>
                <w:szCs w:val="22"/>
                <w:lang w:eastAsia="en-US"/>
              </w:rPr>
            </w:pPr>
            <w:r w:rsidRPr="007D043F">
              <w:rPr>
                <w:iCs/>
                <w:sz w:val="22"/>
                <w:szCs w:val="22"/>
                <w:lang w:eastAsia="en-US"/>
              </w:rPr>
              <w:t>0</w:t>
            </w:r>
          </w:p>
        </w:tc>
      </w:tr>
      <w:tr w14:paraId="6D8ACDED"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6D1F7ED3" w14:textId="77777777">
            <w:pPr>
              <w:spacing w:line="256" w:lineRule="auto"/>
              <w:rPr>
                <w:iCs/>
                <w:sz w:val="22"/>
                <w:szCs w:val="22"/>
                <w:lang w:eastAsia="en-US"/>
              </w:rPr>
            </w:pPr>
            <w:r w:rsidRPr="007D043F">
              <w:rPr>
                <w:iCs/>
                <w:sz w:val="22"/>
                <w:szCs w:val="22"/>
                <w:lang w:eastAsia="en-US"/>
              </w:rPr>
              <w:t xml:space="preserve">1.1. valsts pamatbudžets, tai skaitā ieņēmumi no maksas pakalpojumiem un </w:t>
            </w:r>
            <w:r w:rsidRPr="007D043F">
              <w:rPr>
                <w:iCs/>
                <w:sz w:val="22"/>
                <w:szCs w:val="22"/>
                <w:lang w:eastAsia="en-US"/>
              </w:rPr>
              <w:t>citi pašu ieņēmumi</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C5164C8"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9942E71" w14:textId="77777777">
            <w:pPr>
              <w:spacing w:line="256"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4C65A2E" w14:textId="77777777">
            <w:pPr>
              <w:spacing w:line="256" w:lineRule="auto"/>
              <w:jc w:val="center"/>
              <w:rPr>
                <w:iCs/>
                <w:sz w:val="22"/>
                <w:szCs w:val="22"/>
                <w:lang w:eastAsia="en-US"/>
              </w:rPr>
            </w:pPr>
            <w:r w:rsidRPr="007D043F">
              <w:rPr>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87E41DF"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EB1D377" w14:textId="77777777">
            <w:pPr>
              <w:spacing w:line="256" w:lineRule="auto"/>
              <w:jc w:val="center"/>
              <w:rPr>
                <w:iCs/>
                <w:sz w:val="22"/>
                <w:szCs w:val="22"/>
                <w:lang w:eastAsia="en-US"/>
              </w:rPr>
            </w:pPr>
            <w:r w:rsidRPr="007D043F">
              <w:rPr>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70A52B3"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2136807" w14:textId="77777777">
            <w:pPr>
              <w:spacing w:line="256" w:lineRule="auto"/>
              <w:jc w:val="center"/>
              <w:rPr>
                <w:iCs/>
                <w:sz w:val="22"/>
                <w:szCs w:val="22"/>
                <w:lang w:eastAsia="en-US"/>
              </w:rPr>
            </w:pPr>
            <w:r w:rsidRPr="007D043F">
              <w:rPr>
                <w:iCs/>
                <w:sz w:val="22"/>
                <w:szCs w:val="22"/>
                <w:lang w:eastAsia="en-US"/>
              </w:rPr>
              <w:t>0</w:t>
            </w:r>
          </w:p>
        </w:tc>
      </w:tr>
      <w:tr w14:paraId="074791CA"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Mar>
              <w:right w:w="57" w:type="dxa"/>
            </w:tcMar>
            <w:hideMark/>
          </w:tcPr>
          <w:p w:rsidR="00D57FD0" w:rsidRPr="007D043F" w:rsidP="00D57FD0" w14:paraId="010AE0D5" w14:textId="77777777">
            <w:pPr>
              <w:spacing w:line="256" w:lineRule="auto"/>
              <w:jc w:val="right"/>
              <w:rPr>
                <w:b/>
                <w:iCs/>
                <w:sz w:val="22"/>
                <w:szCs w:val="22"/>
                <w:lang w:eastAsia="en-US"/>
              </w:rPr>
            </w:pPr>
            <w:r w:rsidRPr="007D043F">
              <w:rPr>
                <w:b/>
                <w:iCs/>
                <w:sz w:val="22"/>
                <w:szCs w:val="22"/>
                <w:lang w:eastAsia="en-US"/>
              </w:rPr>
              <w:t>t.sk. SAM 5.3.1.</w:t>
            </w:r>
          </w:p>
        </w:tc>
        <w:tc>
          <w:tcPr>
            <w:tcW w:w="5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195FF5DE"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1167F8C1" w14:textId="749B5687">
            <w:pPr>
              <w:spacing w:line="256" w:lineRule="auto"/>
              <w:jc w:val="center"/>
              <w:rPr>
                <w:sz w:val="22"/>
                <w:szCs w:val="22"/>
                <w:lang w:eastAsia="en-US"/>
              </w:rPr>
            </w:pPr>
            <w:r w:rsidRPr="007D043F">
              <w:rPr>
                <w:sz w:val="22"/>
                <w:szCs w:val="22"/>
                <w:lang w:eastAsia="en-US"/>
              </w:rPr>
              <w:t>-</w:t>
            </w:r>
            <w:r>
              <w:rPr>
                <w:sz w:val="22"/>
                <w:szCs w:val="22"/>
                <w:lang w:eastAsia="en-US"/>
              </w:rPr>
              <w:t>1 421 311</w:t>
            </w:r>
          </w:p>
        </w:tc>
        <w:tc>
          <w:tcPr>
            <w:tcW w:w="610"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5CBEBE72" w14:textId="77777777">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1C9CF1B2" w14:textId="32953B6E">
            <w:pPr>
              <w:spacing w:line="256" w:lineRule="auto"/>
              <w:jc w:val="center"/>
              <w:rPr>
                <w:sz w:val="22"/>
                <w:szCs w:val="22"/>
                <w:lang w:eastAsia="en-US"/>
              </w:rPr>
            </w:pPr>
            <w:r w:rsidRPr="007D043F">
              <w:rPr>
                <w:sz w:val="22"/>
                <w:szCs w:val="22"/>
                <w:lang w:eastAsia="en-US"/>
              </w:rPr>
              <w:t>-</w:t>
            </w:r>
            <w:r>
              <w:rPr>
                <w:sz w:val="22"/>
                <w:szCs w:val="22"/>
                <w:lang w:eastAsia="en-US"/>
              </w:rPr>
              <w:t>4 313 610</w:t>
            </w:r>
          </w:p>
        </w:tc>
        <w:tc>
          <w:tcPr>
            <w:tcW w:w="6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4BF10664" w14:textId="77777777">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788F042A" w14:textId="45546DBC">
            <w:pPr>
              <w:spacing w:line="256" w:lineRule="auto"/>
              <w:jc w:val="center"/>
              <w:rPr>
                <w:sz w:val="22"/>
                <w:szCs w:val="22"/>
                <w:lang w:eastAsia="en-US"/>
              </w:rPr>
            </w:pPr>
            <w:r w:rsidRPr="007D043F">
              <w:rPr>
                <w:sz w:val="22"/>
                <w:szCs w:val="22"/>
                <w:lang w:eastAsia="en-US"/>
              </w:rPr>
              <w:t>-</w:t>
            </w:r>
            <w:r>
              <w:rPr>
                <w:sz w:val="22"/>
                <w:szCs w:val="22"/>
                <w:lang w:eastAsia="en-US"/>
              </w:rPr>
              <w:t>2 158 594</w:t>
            </w:r>
          </w:p>
        </w:tc>
        <w:tc>
          <w:tcPr>
            <w:tcW w:w="6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219FB74C" w14:textId="345C5728">
            <w:pPr>
              <w:spacing w:line="256" w:lineRule="auto"/>
              <w:jc w:val="center"/>
              <w:rPr>
                <w:iCs/>
                <w:sz w:val="22"/>
                <w:szCs w:val="22"/>
                <w:lang w:eastAsia="en-US"/>
              </w:rPr>
            </w:pPr>
            <w:r>
              <w:rPr>
                <w:iCs/>
                <w:sz w:val="22"/>
                <w:szCs w:val="22"/>
                <w:lang w:eastAsia="en-US"/>
              </w:rPr>
              <w:t>-957 931</w:t>
            </w:r>
          </w:p>
        </w:tc>
      </w:tr>
      <w:tr w14:paraId="68D08797"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Mar>
              <w:right w:w="57" w:type="dxa"/>
            </w:tcMar>
            <w:hideMark/>
          </w:tcPr>
          <w:p w:rsidR="00D57FD0" w:rsidRPr="007D043F" w:rsidP="00D57FD0" w14:paraId="5FB0A82E" w14:textId="77777777">
            <w:pPr>
              <w:spacing w:line="256" w:lineRule="auto"/>
              <w:jc w:val="right"/>
              <w:rPr>
                <w:b/>
                <w:iCs/>
                <w:sz w:val="22"/>
                <w:szCs w:val="22"/>
                <w:lang w:eastAsia="en-US"/>
              </w:rPr>
            </w:pPr>
            <w:r w:rsidRPr="007D043F">
              <w:rPr>
                <w:b/>
                <w:iCs/>
                <w:sz w:val="22"/>
                <w:szCs w:val="22"/>
                <w:lang w:eastAsia="en-US"/>
              </w:rPr>
              <w:t>t.sk. 5.2.1.2. pasākums</w:t>
            </w:r>
          </w:p>
        </w:tc>
        <w:tc>
          <w:tcPr>
            <w:tcW w:w="5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1730D696"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47A50538" w14:textId="0997EBCF">
            <w:pPr>
              <w:spacing w:line="256" w:lineRule="auto"/>
              <w:jc w:val="center"/>
              <w:rPr>
                <w:sz w:val="22"/>
                <w:szCs w:val="22"/>
                <w:lang w:eastAsia="en-US"/>
              </w:rPr>
            </w:pPr>
            <w:r>
              <w:rPr>
                <w:sz w:val="22"/>
                <w:szCs w:val="22"/>
                <w:lang w:eastAsia="en-US"/>
              </w:rPr>
              <w:t>1 421 311</w:t>
            </w:r>
          </w:p>
        </w:tc>
        <w:tc>
          <w:tcPr>
            <w:tcW w:w="610"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20C60F2F" w14:textId="6D7FB7E3">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69414FBE" w14:textId="243E0BFD">
            <w:pPr>
              <w:spacing w:line="256" w:lineRule="auto"/>
              <w:jc w:val="center"/>
              <w:rPr>
                <w:sz w:val="22"/>
                <w:szCs w:val="22"/>
                <w:lang w:eastAsia="en-US"/>
              </w:rPr>
            </w:pPr>
            <w:r>
              <w:rPr>
                <w:sz w:val="22"/>
                <w:szCs w:val="22"/>
                <w:lang w:eastAsia="en-US"/>
              </w:rPr>
              <w:t>4 313 610</w:t>
            </w:r>
          </w:p>
        </w:tc>
        <w:tc>
          <w:tcPr>
            <w:tcW w:w="6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099D2BC8" w14:textId="10C743F2">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6DA53F84" w14:textId="7B5EADB1">
            <w:pPr>
              <w:spacing w:line="256" w:lineRule="auto"/>
              <w:jc w:val="center"/>
              <w:rPr>
                <w:sz w:val="22"/>
                <w:szCs w:val="22"/>
                <w:lang w:eastAsia="en-US"/>
              </w:rPr>
            </w:pPr>
            <w:r>
              <w:rPr>
                <w:sz w:val="22"/>
                <w:szCs w:val="22"/>
                <w:lang w:eastAsia="en-US"/>
              </w:rPr>
              <w:t>2 158 594</w:t>
            </w:r>
          </w:p>
        </w:tc>
        <w:tc>
          <w:tcPr>
            <w:tcW w:w="6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77829D11" w14:textId="7A3A55C2">
            <w:pPr>
              <w:spacing w:line="256" w:lineRule="auto"/>
              <w:jc w:val="center"/>
              <w:rPr>
                <w:iCs/>
                <w:sz w:val="22"/>
                <w:szCs w:val="22"/>
                <w:lang w:eastAsia="en-US"/>
              </w:rPr>
            </w:pPr>
            <w:r>
              <w:rPr>
                <w:iCs/>
                <w:sz w:val="22"/>
                <w:szCs w:val="22"/>
                <w:lang w:eastAsia="en-US"/>
              </w:rPr>
              <w:t>957 931</w:t>
            </w:r>
          </w:p>
        </w:tc>
      </w:tr>
      <w:tr w14:paraId="13F5CB5D"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22EE93C8" w14:textId="77777777">
            <w:pPr>
              <w:spacing w:line="256" w:lineRule="auto"/>
              <w:rPr>
                <w:iCs/>
                <w:sz w:val="22"/>
                <w:szCs w:val="22"/>
                <w:lang w:eastAsia="en-US"/>
              </w:rPr>
            </w:pPr>
            <w:r w:rsidRPr="007D043F">
              <w:rPr>
                <w:iCs/>
                <w:sz w:val="22"/>
                <w:szCs w:val="22"/>
                <w:lang w:eastAsia="en-US"/>
              </w:rPr>
              <w:t>1.2. valsts speciālais budžets</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5A83706"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153B314" w14:textId="77777777">
            <w:pPr>
              <w:spacing w:line="256"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309CE32" w14:textId="77777777">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A383C64"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A719535" w14:textId="77777777">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275D3AB"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D46108D" w14:textId="77777777">
            <w:pPr>
              <w:spacing w:line="256" w:lineRule="auto"/>
              <w:jc w:val="center"/>
              <w:rPr>
                <w:iCs/>
                <w:sz w:val="22"/>
                <w:szCs w:val="22"/>
                <w:lang w:eastAsia="en-US"/>
              </w:rPr>
            </w:pPr>
            <w:r w:rsidRPr="007D043F">
              <w:rPr>
                <w:iCs/>
                <w:sz w:val="22"/>
                <w:szCs w:val="22"/>
                <w:lang w:eastAsia="en-US"/>
              </w:rPr>
              <w:t>0</w:t>
            </w:r>
          </w:p>
        </w:tc>
      </w:tr>
      <w:tr w14:paraId="75B58AAC"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578775F7" w14:textId="77777777">
            <w:pPr>
              <w:spacing w:line="256" w:lineRule="auto"/>
              <w:rPr>
                <w:iCs/>
                <w:sz w:val="22"/>
                <w:szCs w:val="22"/>
                <w:lang w:eastAsia="en-US"/>
              </w:rPr>
            </w:pPr>
            <w:r w:rsidRPr="007D043F">
              <w:rPr>
                <w:iCs/>
                <w:sz w:val="22"/>
                <w:szCs w:val="22"/>
                <w:lang w:eastAsia="en-US"/>
              </w:rPr>
              <w:t>1.3. pašvaldību budžets</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2C57401"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BFFF3B9" w14:textId="77777777">
            <w:pPr>
              <w:spacing w:line="256"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535E43D" w14:textId="77777777">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F81D573"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2E655BA" w14:textId="77777777">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97375D8"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D7CBEEE" w14:textId="77777777">
            <w:pPr>
              <w:spacing w:line="256" w:lineRule="auto"/>
              <w:jc w:val="center"/>
              <w:rPr>
                <w:iCs/>
                <w:sz w:val="22"/>
                <w:szCs w:val="22"/>
                <w:lang w:eastAsia="en-US"/>
              </w:rPr>
            </w:pPr>
            <w:r w:rsidRPr="007D043F">
              <w:rPr>
                <w:iCs/>
                <w:sz w:val="22"/>
                <w:szCs w:val="22"/>
                <w:lang w:eastAsia="en-US"/>
              </w:rPr>
              <w:t>0</w:t>
            </w:r>
          </w:p>
        </w:tc>
      </w:tr>
      <w:tr w14:paraId="404A3F93"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5095DCFF" w14:textId="77777777">
            <w:pPr>
              <w:spacing w:line="256" w:lineRule="auto"/>
              <w:rPr>
                <w:iCs/>
                <w:sz w:val="22"/>
                <w:szCs w:val="22"/>
                <w:lang w:eastAsia="en-US"/>
              </w:rPr>
            </w:pPr>
            <w:r w:rsidRPr="007D043F">
              <w:rPr>
                <w:iCs/>
                <w:sz w:val="22"/>
                <w:szCs w:val="22"/>
                <w:lang w:eastAsia="en-US"/>
              </w:rPr>
              <w:t>2. Budžeta izdevumi</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04C0DDD"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20BC87FE" w14:textId="77777777">
            <w:pPr>
              <w:spacing w:line="256" w:lineRule="auto"/>
              <w:jc w:val="center"/>
              <w:rPr>
                <w:iCs/>
                <w:sz w:val="22"/>
                <w:szCs w:val="22"/>
                <w:lang w:eastAsia="en-US"/>
              </w:rPr>
            </w:pPr>
            <w:r w:rsidRPr="007D043F">
              <w:rPr>
                <w:iCs/>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7BB9D14B" w14:textId="77777777">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229F2907"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4EF5B1E8" w14:textId="77777777">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42B6EC3F"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E91F3FD" w14:textId="77777777">
            <w:pPr>
              <w:spacing w:line="256" w:lineRule="auto"/>
              <w:jc w:val="center"/>
              <w:rPr>
                <w:iCs/>
                <w:sz w:val="22"/>
                <w:szCs w:val="22"/>
                <w:lang w:eastAsia="en-US"/>
              </w:rPr>
            </w:pPr>
            <w:r w:rsidRPr="007D043F">
              <w:rPr>
                <w:iCs/>
                <w:sz w:val="22"/>
                <w:szCs w:val="22"/>
                <w:lang w:eastAsia="en-US"/>
              </w:rPr>
              <w:t>0</w:t>
            </w:r>
          </w:p>
        </w:tc>
      </w:tr>
      <w:tr w14:paraId="4DC572CE"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7B75BE3E" w14:textId="77777777">
            <w:pPr>
              <w:spacing w:line="256" w:lineRule="auto"/>
              <w:rPr>
                <w:iCs/>
                <w:sz w:val="22"/>
                <w:szCs w:val="22"/>
                <w:lang w:eastAsia="en-US"/>
              </w:rPr>
            </w:pPr>
            <w:r w:rsidRPr="007D043F">
              <w:rPr>
                <w:iCs/>
                <w:sz w:val="22"/>
                <w:szCs w:val="22"/>
                <w:lang w:eastAsia="en-US"/>
              </w:rPr>
              <w:t>2.1. valsts pamatbudžets</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F105A8A"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616E5073" w14:textId="77777777">
            <w:pPr>
              <w:spacing w:line="256" w:lineRule="auto"/>
              <w:jc w:val="center"/>
              <w:rPr>
                <w:iCs/>
                <w:sz w:val="22"/>
                <w:szCs w:val="22"/>
                <w:lang w:eastAsia="en-US"/>
              </w:rPr>
            </w:pPr>
            <w:r w:rsidRPr="007D043F">
              <w:rPr>
                <w:iCs/>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60113068" w14:textId="77777777">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0E7ADD73"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1A8E4C30" w14:textId="77777777">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600D84E2"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1AFBBD4" w14:textId="77777777">
            <w:pPr>
              <w:spacing w:line="256" w:lineRule="auto"/>
              <w:jc w:val="center"/>
              <w:rPr>
                <w:iCs/>
                <w:sz w:val="22"/>
                <w:szCs w:val="22"/>
                <w:lang w:eastAsia="en-US"/>
              </w:rPr>
            </w:pPr>
            <w:r w:rsidRPr="007D043F">
              <w:rPr>
                <w:iCs/>
                <w:sz w:val="22"/>
                <w:szCs w:val="22"/>
                <w:lang w:eastAsia="en-US"/>
              </w:rPr>
              <w:t>0</w:t>
            </w:r>
          </w:p>
        </w:tc>
      </w:tr>
      <w:tr w14:paraId="2650A861"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Mar>
              <w:right w:w="57" w:type="dxa"/>
            </w:tcMar>
            <w:hideMark/>
          </w:tcPr>
          <w:p w:rsidR="00D57FD0" w:rsidRPr="007D043F" w:rsidP="00D57FD0" w14:paraId="2AD22AEC" w14:textId="77777777">
            <w:pPr>
              <w:spacing w:line="256" w:lineRule="auto"/>
              <w:jc w:val="right"/>
              <w:rPr>
                <w:b/>
                <w:iCs/>
                <w:sz w:val="22"/>
                <w:szCs w:val="22"/>
                <w:lang w:eastAsia="en-US"/>
              </w:rPr>
            </w:pPr>
            <w:r w:rsidRPr="007D043F">
              <w:rPr>
                <w:b/>
                <w:iCs/>
                <w:sz w:val="22"/>
                <w:szCs w:val="22"/>
                <w:lang w:eastAsia="en-US"/>
              </w:rPr>
              <w:t>t.sk. SAM 5.3.1.</w:t>
            </w:r>
          </w:p>
        </w:tc>
        <w:tc>
          <w:tcPr>
            <w:tcW w:w="5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5BC5614C"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3E3277FA" w14:textId="0EE458AA">
            <w:pPr>
              <w:spacing w:line="256" w:lineRule="auto"/>
              <w:jc w:val="center"/>
              <w:rPr>
                <w:sz w:val="22"/>
                <w:szCs w:val="22"/>
                <w:lang w:eastAsia="en-US"/>
              </w:rPr>
            </w:pPr>
            <w:r w:rsidRPr="007D043F">
              <w:rPr>
                <w:sz w:val="22"/>
                <w:szCs w:val="22"/>
                <w:lang w:eastAsia="en-US"/>
              </w:rPr>
              <w:t>-</w:t>
            </w:r>
            <w:r>
              <w:rPr>
                <w:sz w:val="22"/>
                <w:szCs w:val="22"/>
                <w:lang w:eastAsia="en-US"/>
              </w:rPr>
              <w:t>1 421 311</w:t>
            </w:r>
          </w:p>
        </w:tc>
        <w:tc>
          <w:tcPr>
            <w:tcW w:w="610"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313183B8" w14:textId="12A96C0A">
            <w:pPr>
              <w:spacing w:line="256" w:lineRule="auto"/>
              <w:jc w:val="center"/>
              <w:rPr>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5396F1C6" w14:textId="5AA455CF">
            <w:pPr>
              <w:spacing w:line="256" w:lineRule="auto"/>
              <w:jc w:val="center"/>
              <w:rPr>
                <w:sz w:val="22"/>
                <w:szCs w:val="22"/>
                <w:lang w:eastAsia="en-US"/>
              </w:rPr>
            </w:pPr>
            <w:r w:rsidRPr="007D043F">
              <w:rPr>
                <w:sz w:val="22"/>
                <w:szCs w:val="22"/>
                <w:lang w:eastAsia="en-US"/>
              </w:rPr>
              <w:t>-</w:t>
            </w:r>
            <w:r>
              <w:rPr>
                <w:sz w:val="22"/>
                <w:szCs w:val="22"/>
                <w:lang w:eastAsia="en-US"/>
              </w:rPr>
              <w:t>4 313 610</w:t>
            </w:r>
          </w:p>
        </w:tc>
        <w:tc>
          <w:tcPr>
            <w:tcW w:w="6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60C62127" w14:textId="669DC8C4">
            <w:pPr>
              <w:spacing w:line="256" w:lineRule="auto"/>
              <w:jc w:val="center"/>
              <w:rPr>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2BF2C869" w14:textId="098F792F">
            <w:pPr>
              <w:spacing w:line="256" w:lineRule="auto"/>
              <w:jc w:val="center"/>
              <w:rPr>
                <w:sz w:val="22"/>
                <w:szCs w:val="22"/>
                <w:lang w:eastAsia="en-US"/>
              </w:rPr>
            </w:pPr>
            <w:r w:rsidRPr="007D043F">
              <w:rPr>
                <w:sz w:val="22"/>
                <w:szCs w:val="22"/>
                <w:lang w:eastAsia="en-US"/>
              </w:rPr>
              <w:t>-</w:t>
            </w:r>
            <w:r>
              <w:rPr>
                <w:sz w:val="22"/>
                <w:szCs w:val="22"/>
                <w:lang w:eastAsia="en-US"/>
              </w:rPr>
              <w:t>2 158 594</w:t>
            </w:r>
          </w:p>
        </w:tc>
        <w:tc>
          <w:tcPr>
            <w:tcW w:w="6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1BFF258F" w14:textId="120A5617">
            <w:pPr>
              <w:spacing w:line="256" w:lineRule="auto"/>
              <w:jc w:val="center"/>
              <w:rPr>
                <w:iCs/>
                <w:sz w:val="22"/>
                <w:szCs w:val="22"/>
                <w:lang w:eastAsia="en-US"/>
              </w:rPr>
            </w:pPr>
            <w:r>
              <w:rPr>
                <w:iCs/>
                <w:sz w:val="22"/>
                <w:szCs w:val="22"/>
                <w:lang w:eastAsia="en-US"/>
              </w:rPr>
              <w:t>-957 931</w:t>
            </w:r>
          </w:p>
        </w:tc>
      </w:tr>
      <w:tr w14:paraId="533CC04D"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Mar>
              <w:right w:w="57" w:type="dxa"/>
            </w:tcMar>
            <w:hideMark/>
          </w:tcPr>
          <w:p w:rsidR="00D57FD0" w:rsidRPr="007D043F" w:rsidP="00D57FD0" w14:paraId="7F586B60" w14:textId="77777777">
            <w:pPr>
              <w:spacing w:line="256" w:lineRule="auto"/>
              <w:jc w:val="right"/>
              <w:rPr>
                <w:b/>
                <w:iCs/>
                <w:sz w:val="22"/>
                <w:szCs w:val="22"/>
                <w:lang w:eastAsia="en-US"/>
              </w:rPr>
            </w:pPr>
            <w:r w:rsidRPr="007D043F">
              <w:rPr>
                <w:b/>
                <w:iCs/>
                <w:sz w:val="22"/>
                <w:szCs w:val="22"/>
                <w:lang w:eastAsia="en-US"/>
              </w:rPr>
              <w:t>t.sk. 5.2.1.2. pasākums</w:t>
            </w:r>
          </w:p>
        </w:tc>
        <w:tc>
          <w:tcPr>
            <w:tcW w:w="5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7E1C2F6B" w14:textId="77777777">
            <w:pPr>
              <w:spacing w:line="256" w:lineRule="auto"/>
              <w:jc w:val="center"/>
              <w:rPr>
                <w:iCs/>
                <w:sz w:val="22"/>
                <w:szCs w:val="22"/>
                <w:lang w:eastAsia="en-US"/>
              </w:rPr>
            </w:pPr>
            <w:r w:rsidRPr="007D043F">
              <w:rPr>
                <w:iCs/>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1A540B4B" w14:textId="4D799927">
            <w:pPr>
              <w:spacing w:line="256" w:lineRule="auto"/>
              <w:jc w:val="center"/>
              <w:rPr>
                <w:sz w:val="22"/>
                <w:szCs w:val="22"/>
                <w:lang w:eastAsia="en-US"/>
              </w:rPr>
            </w:pPr>
            <w:r>
              <w:rPr>
                <w:sz w:val="22"/>
                <w:szCs w:val="22"/>
                <w:lang w:eastAsia="en-US"/>
              </w:rPr>
              <w:t>1 421 311</w:t>
            </w:r>
          </w:p>
        </w:tc>
        <w:tc>
          <w:tcPr>
            <w:tcW w:w="610"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2541F39F" w14:textId="76A6C0EF">
            <w:pPr>
              <w:spacing w:line="256" w:lineRule="auto"/>
              <w:jc w:val="center"/>
              <w:rPr>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6E2BD727" w14:textId="3CD629D0">
            <w:pPr>
              <w:spacing w:line="256" w:lineRule="auto"/>
              <w:jc w:val="center"/>
              <w:rPr>
                <w:sz w:val="22"/>
                <w:szCs w:val="22"/>
                <w:lang w:eastAsia="en-US"/>
              </w:rPr>
            </w:pPr>
            <w:r>
              <w:rPr>
                <w:sz w:val="22"/>
                <w:szCs w:val="22"/>
                <w:lang w:eastAsia="en-US"/>
              </w:rPr>
              <w:t>4 313 610</w:t>
            </w:r>
          </w:p>
        </w:tc>
        <w:tc>
          <w:tcPr>
            <w:tcW w:w="6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22E9DC72" w14:textId="7785E2A4">
            <w:pPr>
              <w:spacing w:line="256" w:lineRule="auto"/>
              <w:jc w:val="center"/>
              <w:rPr>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00BABCD6" w14:textId="5AC695F4">
            <w:pPr>
              <w:spacing w:line="256" w:lineRule="auto"/>
              <w:jc w:val="center"/>
              <w:rPr>
                <w:sz w:val="22"/>
                <w:szCs w:val="22"/>
                <w:lang w:eastAsia="en-US"/>
              </w:rPr>
            </w:pPr>
            <w:r>
              <w:rPr>
                <w:sz w:val="22"/>
                <w:szCs w:val="22"/>
                <w:lang w:eastAsia="en-US"/>
              </w:rPr>
              <w:t>2 158 594</w:t>
            </w:r>
          </w:p>
        </w:tc>
        <w:tc>
          <w:tcPr>
            <w:tcW w:w="605" w:type="pct"/>
            <w:tcBorders>
              <w:top w:val="single" w:sz="4" w:space="0" w:color="auto"/>
              <w:left w:val="single" w:sz="4" w:space="0" w:color="auto"/>
              <w:bottom w:val="single" w:sz="4" w:space="0" w:color="auto"/>
              <w:right w:val="single" w:sz="4" w:space="0" w:color="auto"/>
            </w:tcBorders>
            <w:vAlign w:val="center"/>
            <w:hideMark/>
          </w:tcPr>
          <w:p w:rsidR="00D57FD0" w:rsidRPr="007D043F" w:rsidP="00D57FD0" w14:paraId="16EB12CB" w14:textId="5EB7DF7C">
            <w:pPr>
              <w:spacing w:line="256" w:lineRule="auto"/>
              <w:jc w:val="center"/>
              <w:rPr>
                <w:iCs/>
                <w:sz w:val="22"/>
                <w:szCs w:val="22"/>
                <w:lang w:eastAsia="en-US"/>
              </w:rPr>
            </w:pPr>
            <w:r>
              <w:rPr>
                <w:iCs/>
                <w:sz w:val="22"/>
                <w:szCs w:val="22"/>
                <w:lang w:eastAsia="en-US"/>
              </w:rPr>
              <w:t>957 931</w:t>
            </w:r>
          </w:p>
        </w:tc>
      </w:tr>
      <w:tr w14:paraId="1307C371"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5CAA250C" w14:textId="77777777">
            <w:pPr>
              <w:spacing w:line="256" w:lineRule="auto"/>
              <w:rPr>
                <w:iCs/>
                <w:sz w:val="22"/>
                <w:szCs w:val="22"/>
                <w:lang w:eastAsia="en-US"/>
              </w:rPr>
            </w:pPr>
            <w:r w:rsidRPr="007D043F">
              <w:rPr>
                <w:iCs/>
                <w:sz w:val="22"/>
                <w:szCs w:val="22"/>
                <w:lang w:eastAsia="en-US"/>
              </w:rPr>
              <w:t>2.2. valsts speciālais budžets</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65C2211" w14:textId="77777777">
            <w:pPr>
              <w:spacing w:line="256" w:lineRule="auto"/>
              <w:jc w:val="center"/>
              <w:rPr>
                <w:iCs/>
                <w:sz w:val="22"/>
                <w:szCs w:val="22"/>
                <w:lang w:eastAsia="en-US"/>
              </w:rPr>
            </w:pPr>
            <w:r w:rsidRPr="007D043F">
              <w:rPr>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7939E73" w14:textId="77777777">
            <w:pPr>
              <w:spacing w:line="256"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5326511" w14:textId="77777777">
            <w:pPr>
              <w:spacing w:line="256" w:lineRule="auto"/>
              <w:jc w:val="center"/>
              <w:rPr>
                <w:iCs/>
                <w:sz w:val="22"/>
                <w:szCs w:val="22"/>
                <w:lang w:eastAsia="en-US"/>
              </w:rPr>
            </w:pPr>
            <w:r w:rsidRPr="007D043F">
              <w:rPr>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95BF4FF"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7D2C0D6" w14:textId="77777777">
            <w:pPr>
              <w:spacing w:line="256" w:lineRule="auto"/>
              <w:jc w:val="center"/>
              <w:rPr>
                <w:iCs/>
                <w:sz w:val="22"/>
                <w:szCs w:val="22"/>
                <w:lang w:eastAsia="en-US"/>
              </w:rPr>
            </w:pPr>
            <w:r w:rsidRPr="007D043F">
              <w:rPr>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B3CC8A8"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5EA92A0" w14:textId="77777777">
            <w:pPr>
              <w:spacing w:line="256" w:lineRule="auto"/>
              <w:jc w:val="center"/>
              <w:rPr>
                <w:iCs/>
                <w:sz w:val="22"/>
                <w:szCs w:val="22"/>
                <w:lang w:eastAsia="en-US"/>
              </w:rPr>
            </w:pPr>
            <w:r w:rsidRPr="007D043F">
              <w:rPr>
                <w:sz w:val="22"/>
                <w:szCs w:val="22"/>
                <w:lang w:eastAsia="en-US"/>
              </w:rPr>
              <w:t>0</w:t>
            </w:r>
          </w:p>
        </w:tc>
      </w:tr>
      <w:tr w14:paraId="10AC9DFD"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2BE18C2F" w14:textId="77777777">
            <w:pPr>
              <w:spacing w:line="256" w:lineRule="auto"/>
              <w:rPr>
                <w:iCs/>
                <w:sz w:val="22"/>
                <w:szCs w:val="22"/>
                <w:lang w:eastAsia="en-US"/>
              </w:rPr>
            </w:pPr>
            <w:r w:rsidRPr="007D043F">
              <w:rPr>
                <w:iCs/>
                <w:sz w:val="22"/>
                <w:szCs w:val="22"/>
                <w:lang w:eastAsia="en-US"/>
              </w:rPr>
              <w:t>2.3. pašvaldību budžets</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6CBC184" w14:textId="77777777">
            <w:pPr>
              <w:spacing w:line="256" w:lineRule="auto"/>
              <w:jc w:val="center"/>
              <w:rPr>
                <w:iCs/>
                <w:sz w:val="22"/>
                <w:szCs w:val="22"/>
                <w:lang w:eastAsia="en-US"/>
              </w:rPr>
            </w:pPr>
            <w:r w:rsidRPr="007D043F">
              <w:rPr>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1CBA1A5" w14:textId="77777777">
            <w:pPr>
              <w:spacing w:line="256"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C0515BB" w14:textId="77777777">
            <w:pPr>
              <w:spacing w:line="256" w:lineRule="auto"/>
              <w:jc w:val="center"/>
              <w:rPr>
                <w:iCs/>
                <w:sz w:val="22"/>
                <w:szCs w:val="22"/>
                <w:lang w:eastAsia="en-US"/>
              </w:rPr>
            </w:pPr>
            <w:r w:rsidRPr="007D043F">
              <w:rPr>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A1F51CB"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E91AEB0" w14:textId="77777777">
            <w:pPr>
              <w:spacing w:line="256" w:lineRule="auto"/>
              <w:jc w:val="center"/>
              <w:rPr>
                <w:iCs/>
                <w:sz w:val="22"/>
                <w:szCs w:val="22"/>
                <w:lang w:eastAsia="en-US"/>
              </w:rPr>
            </w:pPr>
            <w:r w:rsidRPr="007D043F">
              <w:rPr>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5E77CE4"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CAF0055" w14:textId="77777777">
            <w:pPr>
              <w:spacing w:line="256" w:lineRule="auto"/>
              <w:jc w:val="center"/>
              <w:rPr>
                <w:iCs/>
                <w:sz w:val="22"/>
                <w:szCs w:val="22"/>
                <w:lang w:eastAsia="en-US"/>
              </w:rPr>
            </w:pPr>
            <w:r w:rsidRPr="007D043F">
              <w:rPr>
                <w:sz w:val="22"/>
                <w:szCs w:val="22"/>
                <w:lang w:eastAsia="en-US"/>
              </w:rPr>
              <w:t>0</w:t>
            </w:r>
          </w:p>
        </w:tc>
      </w:tr>
      <w:tr w14:paraId="5E11A6A2"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4935B5F9" w14:textId="77777777">
            <w:pPr>
              <w:spacing w:line="256" w:lineRule="auto"/>
              <w:rPr>
                <w:iCs/>
                <w:sz w:val="22"/>
                <w:szCs w:val="22"/>
                <w:lang w:eastAsia="en-US"/>
              </w:rPr>
            </w:pPr>
            <w:r w:rsidRPr="007D043F">
              <w:rPr>
                <w:iCs/>
                <w:sz w:val="22"/>
                <w:szCs w:val="22"/>
                <w:lang w:eastAsia="en-US"/>
              </w:rPr>
              <w:t>3. Finansiālā ietekme</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C92DABD" w14:textId="77777777">
            <w:pPr>
              <w:spacing w:line="256" w:lineRule="auto"/>
              <w:jc w:val="center"/>
              <w:rPr>
                <w:iCs/>
                <w:sz w:val="22"/>
                <w:szCs w:val="22"/>
                <w:lang w:eastAsia="en-US"/>
              </w:rPr>
            </w:pPr>
            <w:r w:rsidRPr="007D043F">
              <w:rPr>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18DE50DD" w14:textId="77777777">
            <w:pPr>
              <w:spacing w:line="256" w:lineRule="auto"/>
              <w:jc w:val="center"/>
              <w:rPr>
                <w:iCs/>
                <w:sz w:val="22"/>
                <w:szCs w:val="22"/>
                <w:lang w:eastAsia="en-US"/>
              </w:rPr>
            </w:pPr>
            <w:r w:rsidRPr="007D043F">
              <w:rPr>
                <w:iCs/>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23D0FDB6" w14:textId="77777777">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23A1F746"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17980F33" w14:textId="77777777">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3F8BD80A"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2EBE088" w14:textId="77777777">
            <w:pPr>
              <w:spacing w:line="256" w:lineRule="auto"/>
              <w:jc w:val="center"/>
              <w:rPr>
                <w:iCs/>
                <w:sz w:val="22"/>
                <w:szCs w:val="22"/>
                <w:lang w:eastAsia="en-US"/>
              </w:rPr>
            </w:pPr>
            <w:r w:rsidRPr="007D043F">
              <w:rPr>
                <w:sz w:val="22"/>
                <w:szCs w:val="22"/>
                <w:lang w:eastAsia="en-US"/>
              </w:rPr>
              <w:t>0</w:t>
            </w:r>
          </w:p>
        </w:tc>
      </w:tr>
      <w:tr w14:paraId="15B7D880"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66327DF9" w14:textId="77777777">
            <w:pPr>
              <w:spacing w:line="256" w:lineRule="auto"/>
              <w:rPr>
                <w:iCs/>
                <w:sz w:val="22"/>
                <w:szCs w:val="22"/>
                <w:lang w:eastAsia="en-US"/>
              </w:rPr>
            </w:pPr>
            <w:r w:rsidRPr="007D043F">
              <w:rPr>
                <w:iCs/>
                <w:sz w:val="22"/>
                <w:szCs w:val="22"/>
                <w:lang w:eastAsia="en-US"/>
              </w:rPr>
              <w:t>3.1. valsts pamatbudžets</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A17B397" w14:textId="77777777">
            <w:pPr>
              <w:spacing w:line="256" w:lineRule="auto"/>
              <w:jc w:val="center"/>
              <w:rPr>
                <w:iCs/>
                <w:sz w:val="22"/>
                <w:szCs w:val="22"/>
                <w:lang w:eastAsia="en-US"/>
              </w:rPr>
            </w:pPr>
            <w:r w:rsidRPr="007D043F">
              <w:rPr>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3A51848B" w14:textId="77777777">
            <w:pPr>
              <w:spacing w:line="256" w:lineRule="auto"/>
              <w:jc w:val="center"/>
              <w:rPr>
                <w:iCs/>
                <w:sz w:val="22"/>
                <w:szCs w:val="22"/>
                <w:lang w:eastAsia="en-US"/>
              </w:rPr>
            </w:pPr>
            <w:r w:rsidRPr="007D043F">
              <w:rPr>
                <w:iCs/>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6456966B" w14:textId="77777777">
            <w:pPr>
              <w:spacing w:line="256" w:lineRule="auto"/>
              <w:jc w:val="center"/>
              <w:rPr>
                <w:iCs/>
                <w:sz w:val="22"/>
                <w:szCs w:val="22"/>
                <w:lang w:eastAsia="en-US"/>
              </w:rPr>
            </w:pPr>
            <w:r w:rsidRPr="007D043F">
              <w:rPr>
                <w:iCs/>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68D5837A"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6221BBC8" w14:textId="77777777">
            <w:pPr>
              <w:spacing w:line="256" w:lineRule="auto"/>
              <w:jc w:val="center"/>
              <w:rPr>
                <w:iCs/>
                <w:sz w:val="22"/>
                <w:szCs w:val="22"/>
                <w:lang w:eastAsia="en-US"/>
              </w:rPr>
            </w:pPr>
            <w:r w:rsidRPr="007D043F">
              <w:rPr>
                <w:iCs/>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tcPr>
          <w:p w:rsidR="009E261B" w:rsidRPr="007D043F" w:rsidP="00333FB5" w14:paraId="432DC70A"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E39AD3D" w14:textId="77777777">
            <w:pPr>
              <w:spacing w:line="256" w:lineRule="auto"/>
              <w:jc w:val="center"/>
              <w:rPr>
                <w:iCs/>
                <w:sz w:val="22"/>
                <w:szCs w:val="22"/>
                <w:lang w:eastAsia="en-US"/>
              </w:rPr>
            </w:pPr>
            <w:r w:rsidRPr="007D043F">
              <w:rPr>
                <w:sz w:val="22"/>
                <w:szCs w:val="22"/>
                <w:lang w:eastAsia="en-US"/>
              </w:rPr>
              <w:t>0</w:t>
            </w:r>
          </w:p>
        </w:tc>
      </w:tr>
      <w:tr w14:paraId="3AB6492F"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48F96A16" w14:textId="77777777">
            <w:pPr>
              <w:spacing w:line="256" w:lineRule="auto"/>
              <w:rPr>
                <w:iCs/>
                <w:sz w:val="22"/>
                <w:szCs w:val="22"/>
                <w:lang w:eastAsia="en-US"/>
              </w:rPr>
            </w:pPr>
            <w:r w:rsidRPr="007D043F">
              <w:rPr>
                <w:iCs/>
                <w:sz w:val="22"/>
                <w:szCs w:val="22"/>
                <w:lang w:eastAsia="en-US"/>
              </w:rPr>
              <w:t>3.2. speciālais budžets</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367A1B0" w14:textId="77777777">
            <w:pPr>
              <w:spacing w:line="256" w:lineRule="auto"/>
              <w:jc w:val="center"/>
              <w:rPr>
                <w:iCs/>
                <w:sz w:val="22"/>
                <w:szCs w:val="22"/>
                <w:lang w:eastAsia="en-US"/>
              </w:rPr>
            </w:pPr>
            <w:r w:rsidRPr="007D043F">
              <w:rPr>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9B2B2A7" w14:textId="77777777">
            <w:pPr>
              <w:spacing w:line="256"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77CA914" w14:textId="77777777">
            <w:pPr>
              <w:spacing w:line="256" w:lineRule="auto"/>
              <w:jc w:val="center"/>
              <w:rPr>
                <w:iCs/>
                <w:sz w:val="22"/>
                <w:szCs w:val="22"/>
                <w:lang w:eastAsia="en-US"/>
              </w:rPr>
            </w:pPr>
            <w:r w:rsidRPr="007D043F">
              <w:rPr>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46F3A22"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A160A55" w14:textId="77777777">
            <w:pPr>
              <w:spacing w:line="256" w:lineRule="auto"/>
              <w:jc w:val="center"/>
              <w:rPr>
                <w:iCs/>
                <w:sz w:val="22"/>
                <w:szCs w:val="22"/>
                <w:lang w:eastAsia="en-US"/>
              </w:rPr>
            </w:pPr>
            <w:r w:rsidRPr="007D043F">
              <w:rPr>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A9752DE"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A52EF61" w14:textId="77777777">
            <w:pPr>
              <w:spacing w:line="256" w:lineRule="auto"/>
              <w:jc w:val="center"/>
              <w:rPr>
                <w:iCs/>
                <w:sz w:val="22"/>
                <w:szCs w:val="22"/>
                <w:lang w:eastAsia="en-US"/>
              </w:rPr>
            </w:pPr>
            <w:r w:rsidRPr="007D043F">
              <w:rPr>
                <w:sz w:val="22"/>
                <w:szCs w:val="22"/>
                <w:lang w:eastAsia="en-US"/>
              </w:rPr>
              <w:t>0</w:t>
            </w:r>
          </w:p>
        </w:tc>
      </w:tr>
      <w:tr w14:paraId="16FF49AD"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7E226DF5" w14:textId="77777777">
            <w:pPr>
              <w:spacing w:line="256" w:lineRule="auto"/>
              <w:rPr>
                <w:iCs/>
                <w:sz w:val="22"/>
                <w:szCs w:val="22"/>
                <w:lang w:eastAsia="en-US"/>
              </w:rPr>
            </w:pPr>
            <w:r w:rsidRPr="007D043F">
              <w:rPr>
                <w:iCs/>
                <w:sz w:val="22"/>
                <w:szCs w:val="22"/>
                <w:lang w:eastAsia="en-US"/>
              </w:rPr>
              <w:t>3.3. pašvaldību budžets</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9E140B3" w14:textId="77777777">
            <w:pPr>
              <w:spacing w:line="256" w:lineRule="auto"/>
              <w:jc w:val="center"/>
              <w:rPr>
                <w:iCs/>
                <w:sz w:val="22"/>
                <w:szCs w:val="22"/>
                <w:lang w:eastAsia="en-US"/>
              </w:rPr>
            </w:pPr>
            <w:r w:rsidRPr="007D043F">
              <w:rPr>
                <w:sz w:val="22"/>
                <w:szCs w:val="22"/>
                <w:lang w:eastAsia="en-US"/>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17BCDB3" w14:textId="77777777">
            <w:pPr>
              <w:spacing w:line="256"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58F081F" w14:textId="77777777">
            <w:pPr>
              <w:spacing w:line="256" w:lineRule="auto"/>
              <w:jc w:val="center"/>
              <w:rPr>
                <w:iCs/>
                <w:sz w:val="22"/>
                <w:szCs w:val="22"/>
                <w:lang w:eastAsia="en-US"/>
              </w:rPr>
            </w:pPr>
            <w:r w:rsidRPr="007D043F">
              <w:rPr>
                <w:sz w:val="22"/>
                <w:szCs w:val="22"/>
                <w:lang w:eastAsia="en-US"/>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B375AA9"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59DF797" w14:textId="77777777">
            <w:pPr>
              <w:spacing w:line="256" w:lineRule="auto"/>
              <w:jc w:val="center"/>
              <w:rPr>
                <w:iCs/>
                <w:sz w:val="22"/>
                <w:szCs w:val="22"/>
                <w:lang w:eastAsia="en-US"/>
              </w:rPr>
            </w:pPr>
            <w:r w:rsidRPr="007D043F">
              <w:rPr>
                <w:sz w:val="22"/>
                <w:szCs w:val="22"/>
                <w:lang w:eastAsia="en-US"/>
              </w:rPr>
              <w:t>0</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8300870"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5C08D74" w14:textId="77777777">
            <w:pPr>
              <w:spacing w:line="256" w:lineRule="auto"/>
              <w:jc w:val="center"/>
              <w:rPr>
                <w:iCs/>
                <w:sz w:val="22"/>
                <w:szCs w:val="22"/>
                <w:lang w:eastAsia="en-US"/>
              </w:rPr>
            </w:pPr>
            <w:r w:rsidRPr="007D043F">
              <w:rPr>
                <w:sz w:val="22"/>
                <w:szCs w:val="22"/>
                <w:lang w:eastAsia="en-US"/>
              </w:rPr>
              <w:t>0</w:t>
            </w:r>
          </w:p>
        </w:tc>
      </w:tr>
      <w:tr w14:paraId="4614D072"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5ABA1D9B" w14:textId="77777777">
            <w:pPr>
              <w:spacing w:line="256" w:lineRule="auto"/>
              <w:rPr>
                <w:iCs/>
                <w:sz w:val="22"/>
                <w:szCs w:val="22"/>
                <w:lang w:eastAsia="en-US"/>
              </w:rPr>
            </w:pPr>
            <w:r w:rsidRPr="007D043F">
              <w:rPr>
                <w:iCs/>
                <w:sz w:val="22"/>
                <w:szCs w:val="22"/>
                <w:lang w:eastAsia="en-US"/>
              </w:rPr>
              <w:t>4. Finanšu līdzekļi papildu izdevumu finansēšanai (kompensējošu izdevumu samazinājumu norāda ar "+" zīmi)</w:t>
            </w:r>
          </w:p>
        </w:tc>
        <w:tc>
          <w:tcPr>
            <w:tcW w:w="5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10EA025" w14:textId="77777777">
            <w:pPr>
              <w:spacing w:line="256" w:lineRule="auto"/>
              <w:jc w:val="center"/>
              <w:rPr>
                <w:iCs/>
                <w:sz w:val="22"/>
                <w:szCs w:val="22"/>
                <w:lang w:eastAsia="en-US"/>
              </w:rPr>
            </w:pPr>
            <w:r w:rsidRPr="007D043F">
              <w:rPr>
                <w:iCs/>
                <w:sz w:val="22"/>
                <w:szCs w:val="22"/>
                <w:lang w:eastAsia="en-US"/>
              </w:rPr>
              <w:t>X</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922874E" w14:textId="77777777">
            <w:pPr>
              <w:spacing w:after="160" w:line="254" w:lineRule="auto"/>
              <w:jc w:val="center"/>
              <w:rPr>
                <w:iCs/>
                <w:sz w:val="22"/>
                <w:szCs w:val="22"/>
                <w:lang w:eastAsia="en-US"/>
              </w:rPr>
            </w:pPr>
            <w:r w:rsidRPr="007D043F">
              <w:rPr>
                <w:sz w:val="22"/>
                <w:szCs w:val="22"/>
                <w:lang w:eastAsia="en-US"/>
              </w:rPr>
              <w:t>0</w:t>
            </w:r>
          </w:p>
        </w:tc>
        <w:tc>
          <w:tcPr>
            <w:tcW w:w="610"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CAD8956" w14:textId="77777777">
            <w:pPr>
              <w:spacing w:line="256" w:lineRule="auto"/>
              <w:jc w:val="center"/>
              <w:rPr>
                <w:iCs/>
                <w:sz w:val="22"/>
                <w:szCs w:val="22"/>
                <w:lang w:eastAsia="en-US"/>
              </w:rPr>
            </w:pPr>
            <w:r w:rsidRPr="007D043F">
              <w:rPr>
                <w:iCs/>
                <w:sz w:val="22"/>
                <w:szCs w:val="22"/>
                <w:lang w:eastAsia="en-US"/>
              </w:rPr>
              <w:t>X</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87A8575" w14:textId="77777777">
            <w:pPr>
              <w:spacing w:after="160" w:line="254"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F5E8B7B" w14:textId="77777777">
            <w:pPr>
              <w:spacing w:line="256" w:lineRule="auto"/>
              <w:jc w:val="center"/>
              <w:rPr>
                <w:iCs/>
                <w:sz w:val="22"/>
                <w:szCs w:val="22"/>
                <w:lang w:eastAsia="en-US"/>
              </w:rPr>
            </w:pPr>
            <w:r w:rsidRPr="007D043F">
              <w:rPr>
                <w:iCs/>
                <w:sz w:val="22"/>
                <w:szCs w:val="22"/>
                <w:lang w:eastAsia="en-US"/>
              </w:rPr>
              <w:t>X</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919CD71"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DEB4722" w14:textId="77777777">
            <w:pPr>
              <w:spacing w:line="256" w:lineRule="auto"/>
              <w:jc w:val="center"/>
              <w:rPr>
                <w:iCs/>
                <w:sz w:val="22"/>
                <w:szCs w:val="22"/>
                <w:lang w:eastAsia="en-US"/>
              </w:rPr>
            </w:pPr>
            <w:r w:rsidRPr="007D043F">
              <w:rPr>
                <w:iCs/>
                <w:sz w:val="22"/>
                <w:szCs w:val="22"/>
                <w:lang w:eastAsia="en-US"/>
              </w:rPr>
              <w:t>0</w:t>
            </w:r>
          </w:p>
        </w:tc>
      </w:tr>
      <w:tr w14:paraId="741E2E0E"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278D913D" w14:textId="77777777">
            <w:pPr>
              <w:spacing w:line="256" w:lineRule="auto"/>
              <w:rPr>
                <w:iCs/>
                <w:sz w:val="22"/>
                <w:szCs w:val="22"/>
                <w:lang w:eastAsia="en-US"/>
              </w:rPr>
            </w:pPr>
            <w:r w:rsidRPr="007D043F">
              <w:rPr>
                <w:iCs/>
                <w:sz w:val="22"/>
                <w:szCs w:val="22"/>
                <w:lang w:eastAsia="en-US"/>
              </w:rPr>
              <w:t>5. Precizēta finansiālā ietekme</w:t>
            </w:r>
          </w:p>
        </w:tc>
        <w:tc>
          <w:tcPr>
            <w:tcW w:w="505" w:type="pct"/>
            <w:vMerge w:val="restart"/>
            <w:tcBorders>
              <w:top w:val="single" w:sz="4" w:space="0" w:color="auto"/>
              <w:left w:val="single" w:sz="4" w:space="0" w:color="auto"/>
              <w:bottom w:val="single" w:sz="4" w:space="0" w:color="auto"/>
              <w:right w:val="single" w:sz="4" w:space="0" w:color="auto"/>
            </w:tcBorders>
            <w:vAlign w:val="center"/>
          </w:tcPr>
          <w:p w:rsidR="009E261B" w:rsidRPr="007D043F" w:rsidP="00333FB5" w14:paraId="7D09933E" w14:textId="77777777">
            <w:pPr>
              <w:spacing w:line="256" w:lineRule="auto"/>
              <w:jc w:val="center"/>
              <w:rPr>
                <w:iCs/>
                <w:sz w:val="22"/>
                <w:szCs w:val="22"/>
                <w:lang w:eastAsia="en-US"/>
              </w:rPr>
            </w:pPr>
            <w:r w:rsidRPr="007D043F">
              <w:rPr>
                <w:iCs/>
                <w:sz w:val="22"/>
                <w:szCs w:val="22"/>
                <w:lang w:eastAsia="en-US"/>
              </w:rPr>
              <w:t>X</w:t>
            </w: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362B9AA" w14:textId="77777777">
            <w:pPr>
              <w:spacing w:after="160" w:line="254" w:lineRule="auto"/>
              <w:jc w:val="center"/>
              <w:rPr>
                <w:iCs/>
                <w:sz w:val="22"/>
                <w:szCs w:val="22"/>
                <w:lang w:eastAsia="en-US"/>
              </w:rPr>
            </w:pPr>
            <w:r w:rsidRPr="007D043F">
              <w:rPr>
                <w:sz w:val="22"/>
                <w:szCs w:val="22"/>
                <w:lang w:eastAsia="en-US"/>
              </w:rPr>
              <w:t>0</w:t>
            </w:r>
          </w:p>
        </w:tc>
        <w:tc>
          <w:tcPr>
            <w:tcW w:w="610" w:type="pct"/>
            <w:vMerge w:val="restart"/>
            <w:tcBorders>
              <w:top w:val="single" w:sz="4" w:space="0" w:color="auto"/>
              <w:left w:val="single" w:sz="4" w:space="0" w:color="auto"/>
              <w:bottom w:val="single" w:sz="4" w:space="0" w:color="auto"/>
              <w:right w:val="single" w:sz="4" w:space="0" w:color="auto"/>
            </w:tcBorders>
            <w:vAlign w:val="center"/>
          </w:tcPr>
          <w:p w:rsidR="009E261B" w:rsidRPr="007D043F" w:rsidP="00333FB5" w14:paraId="2D79B09C" w14:textId="77777777">
            <w:pPr>
              <w:spacing w:line="256" w:lineRule="auto"/>
              <w:jc w:val="center"/>
              <w:rPr>
                <w:iCs/>
                <w:sz w:val="22"/>
                <w:szCs w:val="22"/>
                <w:lang w:eastAsia="en-US"/>
              </w:rPr>
            </w:pPr>
            <w:r w:rsidRPr="007D043F">
              <w:rPr>
                <w:iCs/>
                <w:sz w:val="22"/>
                <w:szCs w:val="22"/>
                <w:lang w:eastAsia="en-US"/>
              </w:rPr>
              <w:t>X</w:t>
            </w: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0792245" w14:textId="77777777">
            <w:pPr>
              <w:spacing w:after="160" w:line="254" w:lineRule="auto"/>
              <w:jc w:val="center"/>
              <w:rPr>
                <w:iCs/>
                <w:sz w:val="22"/>
                <w:szCs w:val="22"/>
                <w:lang w:eastAsia="en-US"/>
              </w:rPr>
            </w:pPr>
            <w:r w:rsidRPr="007D043F">
              <w:rPr>
                <w:sz w:val="22"/>
                <w:szCs w:val="22"/>
                <w:lang w:eastAsia="en-US"/>
              </w:rPr>
              <w:t>0</w:t>
            </w:r>
          </w:p>
        </w:tc>
        <w:tc>
          <w:tcPr>
            <w:tcW w:w="605" w:type="pct"/>
            <w:vMerge w:val="restart"/>
            <w:tcBorders>
              <w:top w:val="single" w:sz="4" w:space="0" w:color="auto"/>
              <w:left w:val="single" w:sz="4" w:space="0" w:color="auto"/>
              <w:bottom w:val="single" w:sz="4" w:space="0" w:color="auto"/>
              <w:right w:val="single" w:sz="4" w:space="0" w:color="auto"/>
            </w:tcBorders>
            <w:vAlign w:val="center"/>
          </w:tcPr>
          <w:p w:rsidR="009E261B" w:rsidRPr="007D043F" w:rsidP="00333FB5" w14:paraId="3224837D" w14:textId="77777777">
            <w:pPr>
              <w:spacing w:line="256" w:lineRule="auto"/>
              <w:jc w:val="center"/>
              <w:rPr>
                <w:iCs/>
                <w:sz w:val="22"/>
                <w:szCs w:val="22"/>
                <w:lang w:eastAsia="en-US"/>
              </w:rPr>
            </w:pPr>
            <w:r w:rsidRPr="007D043F">
              <w:rPr>
                <w:iCs/>
                <w:sz w:val="22"/>
                <w:szCs w:val="22"/>
                <w:lang w:eastAsia="en-US"/>
              </w:rPr>
              <w:t>X</w:t>
            </w: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DD524C2"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4EFF1DB" w14:textId="77777777">
            <w:pPr>
              <w:spacing w:line="256" w:lineRule="auto"/>
              <w:jc w:val="center"/>
              <w:rPr>
                <w:iCs/>
                <w:sz w:val="22"/>
                <w:szCs w:val="22"/>
                <w:lang w:eastAsia="en-US"/>
              </w:rPr>
            </w:pPr>
            <w:r w:rsidRPr="007D043F">
              <w:rPr>
                <w:iCs/>
                <w:sz w:val="22"/>
                <w:szCs w:val="22"/>
                <w:lang w:eastAsia="en-US"/>
              </w:rPr>
              <w:t>0</w:t>
            </w:r>
          </w:p>
        </w:tc>
      </w:tr>
      <w:tr w14:paraId="7D8EBAAF"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44D9C493" w14:textId="77777777">
            <w:pPr>
              <w:spacing w:line="256" w:lineRule="auto"/>
              <w:rPr>
                <w:iCs/>
                <w:sz w:val="22"/>
                <w:szCs w:val="22"/>
                <w:lang w:eastAsia="en-US"/>
              </w:rPr>
            </w:pPr>
            <w:r w:rsidRPr="007D043F">
              <w:rPr>
                <w:iCs/>
                <w:sz w:val="22"/>
                <w:szCs w:val="22"/>
                <w:lang w:eastAsia="en-US"/>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1570E0C" w14:textId="77777777">
            <w:pPr>
              <w:spacing w:line="256" w:lineRule="auto"/>
              <w:jc w:val="center"/>
              <w:rPr>
                <w:iCs/>
                <w:sz w:val="22"/>
                <w:szCs w:val="22"/>
                <w:lang w:eastAsia="en-U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3C2C99D" w14:textId="77777777">
            <w:pPr>
              <w:spacing w:line="256" w:lineRule="auto"/>
              <w:jc w:val="center"/>
              <w:rPr>
                <w:iCs/>
                <w:sz w:val="22"/>
                <w:szCs w:val="22"/>
                <w:lang w:eastAsia="en-US"/>
              </w:rPr>
            </w:pPr>
            <w:r w:rsidRPr="007D043F">
              <w:rPr>
                <w:sz w:val="22"/>
                <w:szCs w:val="22"/>
                <w:lang w:eastAsia="en-US"/>
              </w:rPr>
              <w:t>0</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2BD4B33" w14:textId="77777777">
            <w:pPr>
              <w:spacing w:line="256" w:lineRule="auto"/>
              <w:jc w:val="center"/>
              <w:rPr>
                <w:iCs/>
                <w:sz w:val="22"/>
                <w:szCs w:val="22"/>
                <w:lang w:eastAsia="en-US"/>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2FAC216" w14:textId="77777777">
            <w:pPr>
              <w:spacing w:line="256" w:lineRule="auto"/>
              <w:jc w:val="center"/>
              <w:rPr>
                <w:iCs/>
                <w:sz w:val="22"/>
                <w:szCs w:val="22"/>
                <w:lang w:eastAsia="en-US"/>
              </w:rPr>
            </w:pPr>
            <w:r w:rsidRPr="007D043F">
              <w:rPr>
                <w:sz w:val="22"/>
                <w:szCs w:val="22"/>
                <w:lang w:eastAsia="en-US"/>
              </w:rPr>
              <w:t>0</w:t>
            </w: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8F4A8AD" w14:textId="77777777">
            <w:pPr>
              <w:spacing w:line="256" w:lineRule="auto"/>
              <w:jc w:val="center"/>
              <w:rPr>
                <w:iCs/>
                <w:sz w:val="22"/>
                <w:szCs w:val="22"/>
                <w:lang w:eastAsia="en-U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CF7B0CA" w14:textId="77777777">
            <w:pPr>
              <w:spacing w:line="256" w:lineRule="auto"/>
              <w:jc w:val="center"/>
              <w:rPr>
                <w:iCs/>
                <w:sz w:val="22"/>
                <w:szCs w:val="22"/>
                <w:lang w:eastAsia="en-US"/>
              </w:rPr>
            </w:pPr>
            <w:r w:rsidRPr="007D043F">
              <w:rPr>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55461B36" w14:textId="77777777">
            <w:pPr>
              <w:spacing w:line="256" w:lineRule="auto"/>
              <w:jc w:val="center"/>
              <w:rPr>
                <w:iCs/>
                <w:sz w:val="22"/>
                <w:szCs w:val="22"/>
                <w:lang w:eastAsia="en-US"/>
              </w:rPr>
            </w:pPr>
            <w:r w:rsidRPr="007D043F">
              <w:rPr>
                <w:iCs/>
                <w:sz w:val="22"/>
                <w:szCs w:val="22"/>
                <w:lang w:eastAsia="en-US"/>
              </w:rPr>
              <w:t>0</w:t>
            </w:r>
          </w:p>
        </w:tc>
      </w:tr>
      <w:tr w14:paraId="7172C97D"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679CC422" w14:textId="77777777">
            <w:pPr>
              <w:spacing w:line="256" w:lineRule="auto"/>
              <w:rPr>
                <w:iCs/>
                <w:sz w:val="22"/>
                <w:szCs w:val="22"/>
                <w:lang w:eastAsia="en-US"/>
              </w:rPr>
            </w:pPr>
            <w:r w:rsidRPr="007D043F">
              <w:rPr>
                <w:iCs/>
                <w:sz w:val="22"/>
                <w:szCs w:val="22"/>
                <w:lang w:eastAsia="en-US"/>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41D303C" w14:textId="77777777">
            <w:pPr>
              <w:spacing w:line="256" w:lineRule="auto"/>
              <w:jc w:val="center"/>
              <w:rPr>
                <w:iCs/>
                <w:sz w:val="22"/>
                <w:szCs w:val="22"/>
                <w:lang w:eastAsia="en-U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ED02624" w14:textId="77777777">
            <w:pPr>
              <w:spacing w:line="256" w:lineRule="auto"/>
              <w:jc w:val="center"/>
              <w:rPr>
                <w:iCs/>
                <w:sz w:val="22"/>
                <w:szCs w:val="22"/>
                <w:lang w:eastAsia="en-US"/>
              </w:rPr>
            </w:pPr>
            <w:r w:rsidRPr="007D043F">
              <w:rPr>
                <w:iCs/>
                <w:sz w:val="22"/>
                <w:szCs w:val="22"/>
                <w:lang w:eastAsia="en-US"/>
              </w:rPr>
              <w:t>0</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25423B2" w14:textId="77777777">
            <w:pPr>
              <w:spacing w:line="256" w:lineRule="auto"/>
              <w:jc w:val="center"/>
              <w:rPr>
                <w:iCs/>
                <w:sz w:val="22"/>
                <w:szCs w:val="22"/>
                <w:lang w:eastAsia="en-US"/>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0EA3DCE" w14:textId="77777777">
            <w:pPr>
              <w:spacing w:line="256" w:lineRule="auto"/>
              <w:jc w:val="center"/>
              <w:rPr>
                <w:iCs/>
                <w:sz w:val="22"/>
                <w:szCs w:val="22"/>
                <w:lang w:eastAsia="en-US"/>
              </w:rPr>
            </w:pPr>
            <w:r w:rsidRPr="007D043F">
              <w:rPr>
                <w:iCs/>
                <w:sz w:val="22"/>
                <w:szCs w:val="22"/>
                <w:lang w:eastAsia="en-US"/>
              </w:rPr>
              <w:t>0</w:t>
            </w: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2551CF05" w14:textId="77777777">
            <w:pPr>
              <w:spacing w:line="256" w:lineRule="auto"/>
              <w:jc w:val="center"/>
              <w:rPr>
                <w:iCs/>
                <w:sz w:val="22"/>
                <w:szCs w:val="22"/>
                <w:lang w:eastAsia="en-U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4E7FBBB9"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55177EF" w14:textId="77777777">
            <w:pPr>
              <w:spacing w:line="256" w:lineRule="auto"/>
              <w:jc w:val="center"/>
              <w:rPr>
                <w:iCs/>
                <w:sz w:val="22"/>
                <w:szCs w:val="22"/>
                <w:lang w:eastAsia="en-US"/>
              </w:rPr>
            </w:pPr>
            <w:r w:rsidRPr="007D043F">
              <w:rPr>
                <w:iCs/>
                <w:sz w:val="22"/>
                <w:szCs w:val="22"/>
                <w:lang w:eastAsia="en-US"/>
              </w:rPr>
              <w:t>0</w:t>
            </w:r>
          </w:p>
        </w:tc>
      </w:tr>
      <w:tr w14:paraId="3F7AF597" w14:textId="77777777" w:rsidTr="00705244">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hideMark/>
          </w:tcPr>
          <w:p w:rsidR="009E261B" w:rsidRPr="007D043F" w:rsidP="00333FB5" w14:paraId="5BA8AD0E" w14:textId="77777777">
            <w:pPr>
              <w:spacing w:line="256" w:lineRule="auto"/>
              <w:rPr>
                <w:iCs/>
                <w:sz w:val="22"/>
                <w:szCs w:val="22"/>
                <w:lang w:eastAsia="en-US"/>
              </w:rPr>
            </w:pPr>
            <w:r w:rsidRPr="007D043F">
              <w:rPr>
                <w:iCs/>
                <w:sz w:val="22"/>
                <w:szCs w:val="22"/>
                <w:lang w:eastAsia="en-US"/>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7103DA9C" w14:textId="77777777">
            <w:pPr>
              <w:spacing w:line="256" w:lineRule="auto"/>
              <w:jc w:val="center"/>
              <w:rPr>
                <w:iCs/>
                <w:sz w:val="22"/>
                <w:szCs w:val="22"/>
                <w:lang w:eastAsia="en-U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BE67B6C" w14:textId="77777777">
            <w:pPr>
              <w:spacing w:line="256" w:lineRule="auto"/>
              <w:jc w:val="center"/>
              <w:rPr>
                <w:iCs/>
                <w:sz w:val="22"/>
                <w:szCs w:val="22"/>
                <w:lang w:eastAsia="en-US"/>
              </w:rPr>
            </w:pPr>
            <w:r w:rsidRPr="007D043F">
              <w:rPr>
                <w:iCs/>
                <w:sz w:val="22"/>
                <w:szCs w:val="22"/>
                <w:lang w:eastAsia="en-US"/>
              </w:rPr>
              <w:t>0</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1419B5AE" w14:textId="77777777">
            <w:pPr>
              <w:spacing w:line="256" w:lineRule="auto"/>
              <w:jc w:val="center"/>
              <w:rPr>
                <w:iCs/>
                <w:sz w:val="22"/>
                <w:szCs w:val="22"/>
                <w:lang w:eastAsia="en-US"/>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395B86B7" w14:textId="77777777">
            <w:pPr>
              <w:spacing w:line="256" w:lineRule="auto"/>
              <w:jc w:val="center"/>
              <w:rPr>
                <w:iCs/>
                <w:sz w:val="22"/>
                <w:szCs w:val="22"/>
                <w:lang w:eastAsia="en-US"/>
              </w:rPr>
            </w:pPr>
            <w:r w:rsidRPr="007D043F">
              <w:rPr>
                <w:iCs/>
                <w:sz w:val="22"/>
                <w:szCs w:val="22"/>
                <w:lang w:eastAsia="en-US"/>
              </w:rPr>
              <w:t>0</w:t>
            </w: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74BDE4B" w14:textId="77777777">
            <w:pPr>
              <w:spacing w:line="256" w:lineRule="auto"/>
              <w:jc w:val="center"/>
              <w:rPr>
                <w:iCs/>
                <w:sz w:val="22"/>
                <w:szCs w:val="22"/>
                <w:lang w:eastAsia="en-U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049BA57D" w14:textId="77777777">
            <w:pPr>
              <w:spacing w:line="256" w:lineRule="auto"/>
              <w:jc w:val="center"/>
              <w:rPr>
                <w:iCs/>
                <w:sz w:val="22"/>
                <w:szCs w:val="22"/>
                <w:lang w:eastAsia="en-US"/>
              </w:rPr>
            </w:pPr>
            <w:r w:rsidRPr="007D043F">
              <w:rPr>
                <w:iCs/>
                <w:sz w:val="22"/>
                <w:szCs w:val="22"/>
                <w:lang w:eastAsia="en-US"/>
              </w:rPr>
              <w:t>0</w:t>
            </w:r>
          </w:p>
        </w:tc>
        <w:tc>
          <w:tcPr>
            <w:tcW w:w="605" w:type="pct"/>
            <w:tcBorders>
              <w:top w:val="single" w:sz="4" w:space="0" w:color="auto"/>
              <w:left w:val="single" w:sz="4" w:space="0" w:color="auto"/>
              <w:bottom w:val="single" w:sz="4" w:space="0" w:color="auto"/>
              <w:right w:val="single" w:sz="4" w:space="0" w:color="auto"/>
            </w:tcBorders>
            <w:vAlign w:val="center"/>
            <w:hideMark/>
          </w:tcPr>
          <w:p w:rsidR="009E261B" w:rsidRPr="007D043F" w:rsidP="00333FB5" w14:paraId="62284F66" w14:textId="77777777">
            <w:pPr>
              <w:spacing w:line="256" w:lineRule="auto"/>
              <w:jc w:val="center"/>
              <w:rPr>
                <w:iCs/>
                <w:sz w:val="22"/>
                <w:szCs w:val="22"/>
                <w:lang w:eastAsia="en-US"/>
              </w:rPr>
            </w:pPr>
            <w:r w:rsidRPr="007D043F">
              <w:rPr>
                <w:iCs/>
                <w:sz w:val="22"/>
                <w:szCs w:val="22"/>
                <w:lang w:eastAsia="en-US"/>
              </w:rPr>
              <w:t>0</w:t>
            </w:r>
          </w:p>
        </w:tc>
      </w:tr>
      <w:tr w14:paraId="70013BA2" w14:textId="77777777" w:rsidTr="00F34A56">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Pr>
          <w:p w:rsidR="009E261B" w:rsidRPr="007D043F" w:rsidP="00333FB5" w14:paraId="6B2C6D28" w14:textId="77777777">
            <w:pPr>
              <w:spacing w:line="256" w:lineRule="auto"/>
              <w:rPr>
                <w:iCs/>
                <w:sz w:val="22"/>
                <w:szCs w:val="22"/>
                <w:lang w:eastAsia="en-US"/>
              </w:rPr>
            </w:pPr>
            <w:r w:rsidRPr="007D043F">
              <w:rPr>
                <w:iCs/>
                <w:sz w:val="22"/>
                <w:szCs w:val="22"/>
              </w:rPr>
              <w:t xml:space="preserve">6. Detalizēts ieņēmumu un izdevumu aprēķins (ja nepieciešams, detalizētu ieņēmumu un izdevumu aprēķinu var </w:t>
            </w:r>
            <w:r w:rsidRPr="007D043F">
              <w:rPr>
                <w:iCs/>
                <w:sz w:val="22"/>
                <w:szCs w:val="22"/>
              </w:rPr>
              <w:t>pievienot anotācijas pielikumā)</w:t>
            </w:r>
          </w:p>
        </w:tc>
        <w:tc>
          <w:tcPr>
            <w:tcW w:w="4111" w:type="pct"/>
            <w:gridSpan w:val="7"/>
            <w:vMerge w:val="restart"/>
            <w:tcBorders>
              <w:top w:val="single" w:sz="4" w:space="0" w:color="auto"/>
              <w:left w:val="single" w:sz="4" w:space="0" w:color="auto"/>
              <w:right w:val="single" w:sz="4" w:space="0" w:color="auto"/>
            </w:tcBorders>
          </w:tcPr>
          <w:p w:rsidR="009E261B" w:rsidRPr="007D043F" w:rsidP="00333FB5" w14:paraId="2264866D" w14:textId="03D28413">
            <w:pPr>
              <w:pStyle w:val="CommentText"/>
              <w:ind w:left="41" w:right="136"/>
              <w:jc w:val="both"/>
              <w:rPr>
                <w:rFonts w:eastAsia="PMingLiU"/>
                <w:sz w:val="24"/>
                <w:szCs w:val="24"/>
              </w:rPr>
            </w:pPr>
            <w:r w:rsidRPr="007D043F">
              <w:rPr>
                <w:rFonts w:eastAsia="PMingLiU"/>
                <w:sz w:val="24"/>
                <w:szCs w:val="24"/>
              </w:rPr>
              <w:t xml:space="preserve">Ierosinātie grozījumi MK noteikumos samazina KF finansējumu SAM 5.3.1. par </w:t>
            </w:r>
            <w:r w:rsidR="00D57FD0">
              <w:rPr>
                <w:rFonts w:eastAsia="PMingLiU"/>
                <w:sz w:val="24"/>
                <w:szCs w:val="24"/>
              </w:rPr>
              <w:t>8</w:t>
            </w:r>
            <w:r w:rsidR="00385072">
              <w:rPr>
                <w:rFonts w:eastAsia="PMingLiU"/>
                <w:sz w:val="24"/>
                <w:szCs w:val="24"/>
              </w:rPr>
              <w:t> </w:t>
            </w:r>
            <w:r w:rsidR="00D57FD0">
              <w:rPr>
                <w:rFonts w:eastAsia="PMingLiU"/>
                <w:sz w:val="24"/>
                <w:szCs w:val="24"/>
              </w:rPr>
              <w:t>851</w:t>
            </w:r>
            <w:r w:rsidR="00385072">
              <w:rPr>
                <w:rFonts w:eastAsia="PMingLiU"/>
                <w:sz w:val="24"/>
                <w:szCs w:val="24"/>
              </w:rPr>
              <w:t> </w:t>
            </w:r>
            <w:r w:rsidR="00D57FD0">
              <w:rPr>
                <w:rFonts w:eastAsia="PMingLiU"/>
                <w:sz w:val="24"/>
                <w:szCs w:val="24"/>
              </w:rPr>
              <w:t>446</w:t>
            </w:r>
            <w:r w:rsidRPr="007D043F">
              <w:rPr>
                <w:rFonts w:eastAsia="PMingLiU"/>
                <w:sz w:val="24"/>
                <w:szCs w:val="24"/>
              </w:rPr>
              <w:t xml:space="preserve"> </w:t>
            </w:r>
            <w:r w:rsidRPr="007D043F">
              <w:rPr>
                <w:rFonts w:eastAsia="PMingLiU"/>
                <w:i/>
                <w:sz w:val="24"/>
                <w:szCs w:val="24"/>
              </w:rPr>
              <w:t>euro</w:t>
            </w:r>
            <w:r w:rsidRPr="007D043F">
              <w:rPr>
                <w:rFonts w:eastAsia="PMingLiU"/>
                <w:sz w:val="24"/>
                <w:szCs w:val="24"/>
              </w:rPr>
              <w:t xml:space="preserve">, palielinot KF finansējumu 5.2.1.2.pasākuma trešās projektu iesniegumu atlases kārtas īstenošanai. </w:t>
            </w:r>
          </w:p>
          <w:p w:rsidR="009E261B" w:rsidRPr="007D043F" w:rsidP="00333FB5" w14:paraId="0585D6D9" w14:textId="77777777">
            <w:pPr>
              <w:pStyle w:val="CommentText"/>
              <w:ind w:left="41" w:right="136"/>
              <w:jc w:val="both"/>
              <w:rPr>
                <w:rFonts w:eastAsia="PMingLiU"/>
                <w:sz w:val="14"/>
                <w:szCs w:val="24"/>
              </w:rPr>
            </w:pPr>
          </w:p>
          <w:p w:rsidR="009E261B" w:rsidRPr="007D043F" w:rsidP="00333FB5" w14:paraId="7A8FEEBD" w14:textId="302D06A9">
            <w:pPr>
              <w:pStyle w:val="CommentText"/>
              <w:ind w:left="41" w:right="136"/>
              <w:jc w:val="both"/>
              <w:rPr>
                <w:rFonts w:eastAsia="PMingLiU"/>
                <w:sz w:val="24"/>
                <w:szCs w:val="24"/>
              </w:rPr>
            </w:pPr>
            <w:r w:rsidRPr="007D043F">
              <w:rPr>
                <w:rFonts w:eastAsia="PMingLiU"/>
                <w:sz w:val="24"/>
                <w:szCs w:val="24"/>
              </w:rPr>
              <w:t>Attiecīgi tiek precizēts arī kopējais finansējums un līdzfinansējums, aprēķinos par 5.2.1.2.pasākuma trešo atlases kārtu piemērojot 85% KF likmi, kas ir maksimālā likme šajā atlases kārtā.</w:t>
            </w:r>
            <w:r w:rsidR="00F240A7">
              <w:rPr>
                <w:rFonts w:eastAsia="PMingLiU"/>
                <w:sz w:val="24"/>
                <w:szCs w:val="24"/>
              </w:rPr>
              <w:t xml:space="preserve"> Tabulā netiek uzrādīts KF finansējums, par kādu tiek palielināts līdz 2018.gada 31.decembrim pieejamais KF finansējums </w:t>
            </w:r>
            <w:r w:rsidR="00F240A7">
              <w:rPr>
                <w:rFonts w:eastAsia="PMingLiU"/>
                <w:sz w:val="24"/>
                <w:szCs w:val="24"/>
              </w:rPr>
              <w:t>5.2.1.2.pasākumā, jo tā ietekme rēķināta, 2016.gadā apstiprinot attiecīgos MK noteikumus par 5.2.1.2.pasākuma īstenošanu.</w:t>
            </w:r>
          </w:p>
          <w:p w:rsidR="009E261B" w:rsidRPr="007D043F" w:rsidP="00333FB5" w14:paraId="7EC6B36E" w14:textId="77777777">
            <w:pPr>
              <w:pStyle w:val="CommentText"/>
              <w:ind w:left="41" w:right="136"/>
              <w:jc w:val="both"/>
              <w:rPr>
                <w:rFonts w:eastAsia="PMingLiU"/>
                <w:sz w:val="16"/>
                <w:szCs w:val="24"/>
              </w:rPr>
            </w:pPr>
          </w:p>
          <w:p w:rsidR="009E261B" w:rsidP="00333FB5" w14:paraId="27DE7D05" w14:textId="77777777">
            <w:pPr>
              <w:pStyle w:val="CommentText"/>
              <w:ind w:left="41" w:right="136"/>
              <w:jc w:val="both"/>
              <w:rPr>
                <w:rFonts w:eastAsia="PMingLiU"/>
                <w:sz w:val="24"/>
                <w:szCs w:val="24"/>
              </w:rPr>
            </w:pPr>
            <w:r w:rsidRPr="007D043F">
              <w:rPr>
                <w:rFonts w:eastAsia="PMingLiU"/>
                <w:sz w:val="24"/>
                <w:szCs w:val="24"/>
              </w:rPr>
              <w:t>Ietekmes uz pašvaldību vai valsts budžetu kā daļu no līdzfinansējuma segšanai nepieciešamā finansējuma nav, jo lielākoties projektu iesniedzēji 5.2.1.2.pasākuma trešajā atlases kārtā ir sabiedrības ar ierobežotu atbildību, tādējādi to finansējums tiek noteikts kā privātais finansējums, ko šajā tabulā neuzrāda.</w:t>
            </w:r>
          </w:p>
          <w:p w:rsidR="00B93A83" w:rsidP="00333FB5" w14:paraId="6A5C4A05" w14:textId="77777777">
            <w:pPr>
              <w:pStyle w:val="CommentText"/>
              <w:ind w:left="41" w:right="136"/>
              <w:jc w:val="both"/>
              <w:rPr>
                <w:rFonts w:eastAsia="PMingLiU"/>
                <w:sz w:val="24"/>
                <w:szCs w:val="24"/>
              </w:rPr>
            </w:pPr>
          </w:p>
          <w:p w:rsidR="00B93A83" w:rsidRPr="007D043F" w:rsidP="00333FB5" w14:paraId="719083AC" w14:textId="50183FDD">
            <w:pPr>
              <w:pStyle w:val="CommentText"/>
              <w:ind w:left="41" w:right="136"/>
              <w:jc w:val="both"/>
              <w:rPr>
                <w:rFonts w:eastAsia="PMingLiU"/>
                <w:sz w:val="24"/>
                <w:szCs w:val="24"/>
              </w:rPr>
            </w:pPr>
            <w:r w:rsidRPr="00BC41FD">
              <w:rPr>
                <w:rFonts w:eastAsia="PMingLiU"/>
                <w:sz w:val="24"/>
                <w:szCs w:val="24"/>
              </w:rPr>
              <w:t>Kā finansējuma pārdaļu avots netiek norādīts SAM 5.1.1. finansējums, tā kā tas netiek pārdalīts</w:t>
            </w:r>
            <w:r w:rsidRPr="006724AD">
              <w:rPr>
                <w:rFonts w:eastAsia="PMingLiU"/>
                <w:sz w:val="24"/>
                <w:szCs w:val="24"/>
              </w:rPr>
              <w:t>, bet gan var tikt izmantots pēc 2018.gada 31.decembra pēc pozitīva EK lēmuma par snieguma ietvara izpildi.</w:t>
            </w:r>
          </w:p>
          <w:p w:rsidR="009E261B" w:rsidRPr="00F240A7" w:rsidP="00333FB5" w14:paraId="1D6EFE9D" w14:textId="77777777">
            <w:pPr>
              <w:pStyle w:val="CommentText"/>
              <w:ind w:left="41" w:right="136"/>
              <w:jc w:val="both"/>
              <w:rPr>
                <w:rFonts w:eastAsia="PMingLiU"/>
                <w:sz w:val="16"/>
                <w:szCs w:val="24"/>
              </w:rPr>
            </w:pPr>
          </w:p>
          <w:p w:rsidR="009E261B" w:rsidRPr="007D043F" w:rsidP="00333FB5" w14:paraId="462A7FB0" w14:textId="77777777">
            <w:pPr>
              <w:pStyle w:val="CommentText"/>
              <w:ind w:left="41" w:right="136"/>
              <w:jc w:val="both"/>
              <w:rPr>
                <w:rFonts w:eastAsia="PMingLiU"/>
                <w:sz w:val="24"/>
                <w:szCs w:val="24"/>
              </w:rPr>
            </w:pPr>
            <w:r w:rsidRPr="007D043F">
              <w:rPr>
                <w:rFonts w:eastAsia="PMingLiU"/>
                <w:sz w:val="24"/>
                <w:szCs w:val="24"/>
              </w:rPr>
              <w:t>KF finansējuma sadalījums pa gadiem noteikts, ņemot vērā projektos plānoto īstenošanas gaitu:</w:t>
            </w:r>
          </w:p>
          <w:p w:rsidR="009E261B" w:rsidRPr="007D043F" w:rsidP="00333FB5" w14:paraId="677154AF" w14:textId="4A748DB0">
            <w:pPr>
              <w:pStyle w:val="CommentText"/>
              <w:numPr>
                <w:ilvl w:val="0"/>
                <w:numId w:val="1"/>
              </w:numPr>
              <w:ind w:left="320" w:right="136" w:hanging="283"/>
              <w:jc w:val="both"/>
              <w:rPr>
                <w:rFonts w:eastAsia="PMingLiU"/>
                <w:sz w:val="24"/>
                <w:szCs w:val="24"/>
              </w:rPr>
            </w:pPr>
            <w:r w:rsidRPr="007D043F">
              <w:rPr>
                <w:rFonts w:eastAsia="PMingLiU"/>
                <w:sz w:val="24"/>
                <w:szCs w:val="24"/>
              </w:rPr>
              <w:t xml:space="preserve">2018. gadam </w:t>
            </w:r>
            <w:r w:rsidRPr="007D043F" w:rsidR="005444E6">
              <w:rPr>
                <w:rFonts w:eastAsia="PMingLiU"/>
                <w:sz w:val="24"/>
                <w:szCs w:val="24"/>
              </w:rPr>
              <w:t xml:space="preserve">– </w:t>
            </w:r>
            <w:r w:rsidR="00D57FD0">
              <w:rPr>
                <w:rFonts w:eastAsia="PMingLiU"/>
                <w:sz w:val="24"/>
                <w:szCs w:val="24"/>
              </w:rPr>
              <w:t>1 421 311</w:t>
            </w:r>
            <w:r w:rsidRPr="007D043F">
              <w:rPr>
                <w:rFonts w:eastAsia="PMingLiU"/>
                <w:sz w:val="24"/>
                <w:szCs w:val="24"/>
              </w:rPr>
              <w:t xml:space="preserve"> </w:t>
            </w:r>
            <w:r w:rsidRPr="007D043F">
              <w:rPr>
                <w:rFonts w:eastAsia="PMingLiU"/>
                <w:i/>
                <w:sz w:val="24"/>
                <w:szCs w:val="24"/>
              </w:rPr>
              <w:t>euro</w:t>
            </w:r>
            <w:r w:rsidRPr="007D043F">
              <w:rPr>
                <w:rFonts w:eastAsia="PMingLiU"/>
                <w:sz w:val="24"/>
                <w:szCs w:val="24"/>
              </w:rPr>
              <w:t>;</w:t>
            </w:r>
          </w:p>
          <w:p w:rsidR="009E261B" w:rsidRPr="007D043F" w:rsidP="00333FB5" w14:paraId="01CA9DF0" w14:textId="2E36A203">
            <w:pPr>
              <w:pStyle w:val="CommentText"/>
              <w:numPr>
                <w:ilvl w:val="0"/>
                <w:numId w:val="1"/>
              </w:numPr>
              <w:ind w:left="320" w:right="136" w:hanging="283"/>
              <w:jc w:val="both"/>
              <w:rPr>
                <w:rFonts w:eastAsia="PMingLiU"/>
                <w:sz w:val="24"/>
                <w:szCs w:val="24"/>
              </w:rPr>
            </w:pPr>
            <w:r w:rsidRPr="007D043F">
              <w:rPr>
                <w:rFonts w:eastAsia="PMingLiU"/>
                <w:sz w:val="24"/>
                <w:szCs w:val="24"/>
              </w:rPr>
              <w:t xml:space="preserve">2019. gadam – </w:t>
            </w:r>
            <w:r w:rsidR="00D57FD0">
              <w:rPr>
                <w:rFonts w:eastAsia="PMingLiU"/>
                <w:sz w:val="24"/>
                <w:szCs w:val="24"/>
              </w:rPr>
              <w:t>4 313 610</w:t>
            </w:r>
            <w:r w:rsidRPr="007D043F">
              <w:rPr>
                <w:sz w:val="22"/>
                <w:szCs w:val="22"/>
                <w:lang w:eastAsia="en-US"/>
              </w:rPr>
              <w:t xml:space="preserve"> </w:t>
            </w:r>
            <w:r w:rsidRPr="007D043F">
              <w:rPr>
                <w:rFonts w:eastAsia="PMingLiU"/>
                <w:i/>
                <w:sz w:val="24"/>
                <w:szCs w:val="24"/>
              </w:rPr>
              <w:t>euro</w:t>
            </w:r>
            <w:r w:rsidRPr="007D043F">
              <w:rPr>
                <w:rFonts w:eastAsia="PMingLiU"/>
                <w:sz w:val="24"/>
                <w:szCs w:val="24"/>
              </w:rPr>
              <w:t>;</w:t>
            </w:r>
          </w:p>
          <w:p w:rsidR="009E261B" w:rsidRPr="007D043F" w:rsidP="00333FB5" w14:paraId="5519A3ED" w14:textId="2DDBFDF7">
            <w:pPr>
              <w:pStyle w:val="CommentText"/>
              <w:numPr>
                <w:ilvl w:val="0"/>
                <w:numId w:val="1"/>
              </w:numPr>
              <w:ind w:left="320" w:right="136" w:hanging="283"/>
              <w:jc w:val="both"/>
              <w:rPr>
                <w:rFonts w:eastAsia="PMingLiU"/>
                <w:sz w:val="24"/>
                <w:szCs w:val="24"/>
              </w:rPr>
            </w:pPr>
            <w:r w:rsidRPr="007D043F">
              <w:rPr>
                <w:rFonts w:eastAsia="PMingLiU"/>
                <w:sz w:val="24"/>
                <w:szCs w:val="24"/>
              </w:rPr>
              <w:t xml:space="preserve">2020. gadam – </w:t>
            </w:r>
            <w:r w:rsidR="00D57FD0">
              <w:rPr>
                <w:rFonts w:eastAsia="PMingLiU"/>
                <w:sz w:val="24"/>
                <w:szCs w:val="24"/>
              </w:rPr>
              <w:t>2 158 594</w:t>
            </w:r>
            <w:r w:rsidRPr="007D043F">
              <w:rPr>
                <w:rFonts w:eastAsia="PMingLiU"/>
                <w:sz w:val="24"/>
                <w:szCs w:val="24"/>
              </w:rPr>
              <w:t xml:space="preserve"> </w:t>
            </w:r>
            <w:r w:rsidRPr="007D043F">
              <w:rPr>
                <w:rFonts w:eastAsia="PMingLiU"/>
                <w:i/>
                <w:sz w:val="24"/>
                <w:szCs w:val="24"/>
              </w:rPr>
              <w:t>euro</w:t>
            </w:r>
            <w:r w:rsidRPr="007D043F">
              <w:rPr>
                <w:rFonts w:eastAsia="PMingLiU"/>
                <w:sz w:val="24"/>
                <w:szCs w:val="24"/>
              </w:rPr>
              <w:t>;</w:t>
            </w:r>
          </w:p>
          <w:p w:rsidR="009E261B" w:rsidRPr="00705244" w:rsidP="00D57FD0" w14:paraId="08BA5951" w14:textId="0DE78AE0">
            <w:pPr>
              <w:pStyle w:val="CommentText"/>
              <w:numPr>
                <w:ilvl w:val="0"/>
                <w:numId w:val="1"/>
              </w:numPr>
              <w:ind w:left="320" w:right="136" w:hanging="283"/>
              <w:jc w:val="both"/>
              <w:rPr>
                <w:rFonts w:eastAsia="PMingLiU"/>
                <w:sz w:val="24"/>
                <w:szCs w:val="24"/>
              </w:rPr>
            </w:pPr>
            <w:r w:rsidRPr="007D043F">
              <w:rPr>
                <w:rFonts w:eastAsia="PMingLiU"/>
                <w:sz w:val="24"/>
                <w:szCs w:val="24"/>
              </w:rPr>
              <w:t xml:space="preserve">2021. gadam – </w:t>
            </w:r>
            <w:r w:rsidR="00D57FD0">
              <w:rPr>
                <w:rFonts w:eastAsia="PMingLiU"/>
                <w:sz w:val="24"/>
                <w:szCs w:val="24"/>
              </w:rPr>
              <w:t>957 931</w:t>
            </w:r>
            <w:r w:rsidRPr="007D043F">
              <w:rPr>
                <w:rFonts w:eastAsia="PMingLiU"/>
                <w:sz w:val="24"/>
                <w:szCs w:val="24"/>
              </w:rPr>
              <w:t xml:space="preserve"> </w:t>
            </w:r>
            <w:r w:rsidRPr="007D043F">
              <w:rPr>
                <w:rFonts w:eastAsia="PMingLiU"/>
                <w:i/>
                <w:sz w:val="24"/>
                <w:szCs w:val="24"/>
              </w:rPr>
              <w:t>euro</w:t>
            </w:r>
            <w:r w:rsidR="00705244">
              <w:rPr>
                <w:rFonts w:eastAsia="PMingLiU"/>
                <w:sz w:val="24"/>
                <w:szCs w:val="24"/>
              </w:rPr>
              <w:t>.</w:t>
            </w:r>
          </w:p>
        </w:tc>
      </w:tr>
      <w:tr w14:paraId="287E59C5" w14:textId="77777777" w:rsidTr="00F34A56">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Pr>
          <w:p w:rsidR="009E261B" w:rsidRPr="007D043F" w:rsidP="00333FB5" w14:paraId="7A59B36E" w14:textId="77777777">
            <w:pPr>
              <w:spacing w:line="256" w:lineRule="auto"/>
              <w:rPr>
                <w:iCs/>
                <w:sz w:val="22"/>
                <w:szCs w:val="22"/>
                <w:lang w:eastAsia="en-US"/>
              </w:rPr>
            </w:pPr>
            <w:r w:rsidRPr="007D043F">
              <w:rPr>
                <w:iCs/>
                <w:sz w:val="22"/>
                <w:szCs w:val="22"/>
              </w:rPr>
              <w:t>6.1. detalizēts ieņēmumu aprēķins</w:t>
            </w:r>
          </w:p>
        </w:tc>
        <w:tc>
          <w:tcPr>
            <w:tcW w:w="4111" w:type="pct"/>
            <w:gridSpan w:val="7"/>
            <w:vMerge/>
            <w:tcBorders>
              <w:left w:val="single" w:sz="4" w:space="0" w:color="auto"/>
              <w:right w:val="single" w:sz="4" w:space="0" w:color="auto"/>
            </w:tcBorders>
            <w:vAlign w:val="center"/>
          </w:tcPr>
          <w:p w:rsidR="009E261B" w:rsidRPr="007D043F" w:rsidP="00333FB5" w14:paraId="5E456D48" w14:textId="77777777">
            <w:pPr>
              <w:spacing w:line="256" w:lineRule="auto"/>
              <w:jc w:val="center"/>
              <w:rPr>
                <w:iCs/>
                <w:sz w:val="22"/>
                <w:szCs w:val="22"/>
                <w:lang w:eastAsia="en-US"/>
              </w:rPr>
            </w:pPr>
          </w:p>
        </w:tc>
      </w:tr>
      <w:tr w14:paraId="6CF0F271" w14:textId="77777777" w:rsidTr="00F34A56">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Pr>
          <w:p w:rsidR="009E261B" w:rsidRPr="007D043F" w:rsidP="00333FB5" w14:paraId="1246A2A7" w14:textId="77777777">
            <w:pPr>
              <w:spacing w:line="256" w:lineRule="auto"/>
              <w:rPr>
                <w:iCs/>
                <w:sz w:val="22"/>
                <w:szCs w:val="22"/>
                <w:lang w:eastAsia="en-US"/>
              </w:rPr>
            </w:pPr>
            <w:r w:rsidRPr="007D043F">
              <w:rPr>
                <w:iCs/>
                <w:sz w:val="22"/>
                <w:szCs w:val="22"/>
              </w:rPr>
              <w:t>6.2. detalizēts izdevumu aprēķins</w:t>
            </w:r>
          </w:p>
        </w:tc>
        <w:tc>
          <w:tcPr>
            <w:tcW w:w="4111" w:type="pct"/>
            <w:gridSpan w:val="7"/>
            <w:vMerge/>
            <w:tcBorders>
              <w:left w:val="single" w:sz="4" w:space="0" w:color="auto"/>
              <w:bottom w:val="single" w:sz="4" w:space="0" w:color="auto"/>
              <w:right w:val="single" w:sz="4" w:space="0" w:color="auto"/>
            </w:tcBorders>
            <w:vAlign w:val="center"/>
          </w:tcPr>
          <w:p w:rsidR="009E261B" w:rsidRPr="007D043F" w:rsidP="00333FB5" w14:paraId="3ADA8A1B" w14:textId="77777777">
            <w:pPr>
              <w:spacing w:line="256" w:lineRule="auto"/>
              <w:jc w:val="center"/>
              <w:rPr>
                <w:iCs/>
                <w:sz w:val="22"/>
                <w:szCs w:val="22"/>
                <w:lang w:eastAsia="en-US"/>
              </w:rPr>
            </w:pPr>
          </w:p>
        </w:tc>
      </w:tr>
      <w:tr w14:paraId="35544868" w14:textId="77777777" w:rsidTr="00F34A56">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Pr>
          <w:p w:rsidR="009E261B" w:rsidRPr="007D043F" w:rsidP="00333FB5" w14:paraId="7291C193" w14:textId="77777777">
            <w:pPr>
              <w:spacing w:line="256" w:lineRule="auto"/>
              <w:rPr>
                <w:iCs/>
                <w:sz w:val="22"/>
                <w:szCs w:val="22"/>
                <w:lang w:eastAsia="en-US"/>
              </w:rPr>
            </w:pPr>
            <w:r w:rsidRPr="007D043F">
              <w:rPr>
                <w:iCs/>
                <w:sz w:val="22"/>
                <w:szCs w:val="22"/>
              </w:rPr>
              <w:t>7. Amata vietu skaita izmaiņas</w:t>
            </w:r>
          </w:p>
        </w:tc>
        <w:tc>
          <w:tcPr>
            <w:tcW w:w="4111" w:type="pct"/>
            <w:gridSpan w:val="7"/>
            <w:tcBorders>
              <w:top w:val="single" w:sz="4" w:space="0" w:color="auto"/>
              <w:left w:val="single" w:sz="4" w:space="0" w:color="auto"/>
              <w:bottom w:val="single" w:sz="4" w:space="0" w:color="auto"/>
              <w:right w:val="single" w:sz="4" w:space="0" w:color="auto"/>
            </w:tcBorders>
            <w:vAlign w:val="center"/>
          </w:tcPr>
          <w:p w:rsidR="009E261B" w:rsidRPr="007D043F" w:rsidP="00333FB5" w14:paraId="5CBC0D3A" w14:textId="77777777">
            <w:pPr>
              <w:spacing w:line="256" w:lineRule="auto"/>
              <w:ind w:left="37"/>
              <w:rPr>
                <w:iCs/>
                <w:sz w:val="22"/>
                <w:szCs w:val="22"/>
                <w:lang w:eastAsia="en-US"/>
              </w:rPr>
            </w:pPr>
            <w:r w:rsidRPr="007D043F">
              <w:rPr>
                <w:iCs/>
              </w:rPr>
              <w:t>Nav</w:t>
            </w:r>
          </w:p>
        </w:tc>
      </w:tr>
      <w:tr w14:paraId="60CE6364" w14:textId="77777777" w:rsidTr="00F34A56">
        <w:tblPrEx>
          <w:tblW w:w="5163" w:type="pct"/>
          <w:tblInd w:w="-289" w:type="dxa"/>
          <w:tblCellMar>
            <w:left w:w="0" w:type="dxa"/>
            <w:right w:w="0" w:type="dxa"/>
          </w:tblCellMar>
          <w:tblLook w:val="04A0"/>
        </w:tblPrEx>
        <w:tc>
          <w:tcPr>
            <w:tcW w:w="889" w:type="pct"/>
            <w:tcBorders>
              <w:top w:val="single" w:sz="4" w:space="0" w:color="auto"/>
              <w:left w:val="single" w:sz="4" w:space="0" w:color="auto"/>
              <w:bottom w:val="single" w:sz="4" w:space="0" w:color="auto"/>
              <w:right w:val="single" w:sz="4" w:space="0" w:color="auto"/>
            </w:tcBorders>
          </w:tcPr>
          <w:p w:rsidR="009E261B" w:rsidRPr="007D043F" w:rsidP="00333FB5" w14:paraId="7D6A8B8E" w14:textId="77777777">
            <w:pPr>
              <w:spacing w:line="256" w:lineRule="auto"/>
              <w:rPr>
                <w:iCs/>
                <w:sz w:val="22"/>
                <w:szCs w:val="22"/>
                <w:lang w:eastAsia="en-US"/>
              </w:rPr>
            </w:pPr>
            <w:r w:rsidRPr="007D043F">
              <w:rPr>
                <w:iCs/>
              </w:rPr>
              <w:t>8. Cita informācija</w:t>
            </w:r>
          </w:p>
        </w:tc>
        <w:tc>
          <w:tcPr>
            <w:tcW w:w="4111" w:type="pct"/>
            <w:gridSpan w:val="7"/>
            <w:tcBorders>
              <w:top w:val="single" w:sz="4" w:space="0" w:color="auto"/>
              <w:left w:val="single" w:sz="4" w:space="0" w:color="auto"/>
              <w:bottom w:val="single" w:sz="4" w:space="0" w:color="auto"/>
              <w:right w:val="single" w:sz="4" w:space="0" w:color="auto"/>
            </w:tcBorders>
            <w:vAlign w:val="center"/>
          </w:tcPr>
          <w:p w:rsidR="009E261B" w:rsidRPr="007D043F" w:rsidP="00333FB5" w14:paraId="7B78B540" w14:textId="77777777">
            <w:pPr>
              <w:spacing w:line="256" w:lineRule="auto"/>
              <w:ind w:left="37"/>
              <w:rPr>
                <w:iCs/>
                <w:sz w:val="22"/>
                <w:szCs w:val="22"/>
                <w:lang w:eastAsia="en-US"/>
              </w:rPr>
            </w:pPr>
            <w:r w:rsidRPr="007D043F">
              <w:rPr>
                <w:iCs/>
                <w:sz w:val="22"/>
                <w:szCs w:val="22"/>
                <w:lang w:eastAsia="en-US"/>
              </w:rPr>
              <w:t>Nav</w:t>
            </w:r>
          </w:p>
        </w:tc>
      </w:tr>
    </w:tbl>
    <w:p w:rsidR="00E817A4" w:rsidRPr="007D043F" w:rsidP="00E817A4" w14:paraId="1587C7CE" w14:textId="77777777">
      <w:pPr>
        <w:rPr>
          <w:i/>
          <w:iCs/>
        </w:rPr>
      </w:pPr>
    </w:p>
    <w:tbl>
      <w:tblPr>
        <w:tblW w:w="522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47"/>
        <w:gridCol w:w="2628"/>
        <w:gridCol w:w="6084"/>
      </w:tblGrid>
      <w:tr w14:paraId="0FF119CF" w14:textId="77777777" w:rsidTr="009E261B">
        <w:tblPrEx>
          <w:tblW w:w="522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7A4" w:rsidRPr="007D043F" w:rsidP="00C604B4" w14:paraId="1508DC1E" w14:textId="77777777">
            <w:pPr>
              <w:spacing w:before="100" w:beforeAutospacing="1" w:after="100" w:afterAutospacing="1" w:line="293" w:lineRule="atLeast"/>
              <w:jc w:val="center"/>
              <w:rPr>
                <w:rFonts w:ascii="Arial" w:eastAsia="Times New Roman" w:hAnsi="Arial" w:cs="Arial"/>
                <w:b/>
                <w:bCs/>
                <w:sz w:val="20"/>
                <w:szCs w:val="20"/>
              </w:rPr>
            </w:pPr>
            <w:r w:rsidRPr="007D043F">
              <w:rPr>
                <w:rFonts w:eastAsia="Times New Roman"/>
                <w:b/>
              </w:rPr>
              <w:t>IV. Tiesību akta projekta ietekme uz spēkā esošo tiesību normu sistēmu</w:t>
            </w:r>
          </w:p>
        </w:tc>
      </w:tr>
      <w:tr w14:paraId="0F136991" w14:textId="77777777" w:rsidTr="009E261B">
        <w:tblPrEx>
          <w:tblW w:w="5223" w:type="pct"/>
          <w:tblInd w:w="-292" w:type="dxa"/>
          <w:shd w:val="clear" w:color="auto" w:fill="FFFFFF"/>
          <w:tblCellMar>
            <w:top w:w="30" w:type="dxa"/>
            <w:left w:w="30" w:type="dxa"/>
            <w:bottom w:w="30" w:type="dxa"/>
            <w:right w:w="30" w:type="dxa"/>
          </w:tblCellMar>
          <w:tblLook w:val="04A0"/>
        </w:tblPrEx>
        <w:tc>
          <w:tcPr>
            <w:tcW w:w="395"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2F77C270" w14:textId="77777777">
            <w:r w:rsidRPr="007D043F">
              <w:t>1.</w:t>
            </w:r>
          </w:p>
        </w:tc>
        <w:tc>
          <w:tcPr>
            <w:tcW w:w="1389"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206B0AEC" w14:textId="77777777">
            <w:r w:rsidRPr="007D043F">
              <w:t>Saistītie tiesību aktu projekti</w:t>
            </w:r>
          </w:p>
        </w:tc>
        <w:tc>
          <w:tcPr>
            <w:tcW w:w="3216"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0E3103" w14:paraId="458EB71B" w14:textId="011FAE3B">
            <w:pPr>
              <w:jc w:val="both"/>
              <w:rPr>
                <w:iCs/>
              </w:rPr>
            </w:pPr>
            <w:r w:rsidRPr="007D043F">
              <w:rPr>
                <w:bCs/>
              </w:rPr>
              <w:t>MK noteikumu projekts par 5.2.1.2.pasākumu</w:t>
            </w:r>
            <w:r w:rsidRPr="007D043F">
              <w:rPr>
                <w:iCs/>
              </w:rPr>
              <w:t xml:space="preserve"> saistīts ar </w:t>
            </w:r>
            <w:r w:rsidRPr="007D043F">
              <w:rPr>
                <w:bCs/>
              </w:rPr>
              <w:t>MK no</w:t>
            </w:r>
            <w:r w:rsidR="000E3103">
              <w:rPr>
                <w:bCs/>
              </w:rPr>
              <w:t>teikumu projektu par SAM 5.3.1</w:t>
            </w:r>
            <w:r w:rsidR="00F240A7">
              <w:rPr>
                <w:bCs/>
              </w:rPr>
              <w:t xml:space="preserve"> un SAM 5.1.1.</w:t>
            </w:r>
            <w:r w:rsidR="000E3103">
              <w:rPr>
                <w:bCs/>
              </w:rPr>
              <w:t xml:space="preserve">, </w:t>
            </w:r>
            <w:r w:rsidRPr="007D043F">
              <w:rPr>
                <w:bCs/>
              </w:rPr>
              <w:t>kā arī pārņem grozījumu, kas tika ietverts Valsts sekretāru sanāksmē izsludinātā, bet atsauktā noteikumu projektā VSS-177.</w:t>
            </w:r>
          </w:p>
        </w:tc>
      </w:tr>
      <w:tr w14:paraId="478D1D22" w14:textId="77777777" w:rsidTr="009E261B">
        <w:tblPrEx>
          <w:tblW w:w="5223" w:type="pct"/>
          <w:tblInd w:w="-292" w:type="dxa"/>
          <w:shd w:val="clear" w:color="auto" w:fill="FFFFFF"/>
          <w:tblCellMar>
            <w:top w:w="30" w:type="dxa"/>
            <w:left w:w="30" w:type="dxa"/>
            <w:bottom w:w="30" w:type="dxa"/>
            <w:right w:w="30" w:type="dxa"/>
          </w:tblCellMar>
          <w:tblLook w:val="04A0"/>
        </w:tblPrEx>
        <w:tc>
          <w:tcPr>
            <w:tcW w:w="395"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76C5A295" w14:textId="77777777">
            <w:r w:rsidRPr="007D043F">
              <w:t>2.</w:t>
            </w:r>
          </w:p>
        </w:tc>
        <w:tc>
          <w:tcPr>
            <w:tcW w:w="1389"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16FB3634" w14:textId="77777777">
            <w:r w:rsidRPr="007D043F">
              <w:t>Atbildīgā institūcija</w:t>
            </w:r>
          </w:p>
        </w:tc>
        <w:tc>
          <w:tcPr>
            <w:tcW w:w="3216"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3E5B16F9" w14:textId="77777777">
            <w:pPr>
              <w:rPr>
                <w:iCs/>
              </w:rPr>
            </w:pPr>
            <w:r w:rsidRPr="007D043F">
              <w:rPr>
                <w:iCs/>
              </w:rPr>
              <w:t>VARAM</w:t>
            </w:r>
          </w:p>
        </w:tc>
      </w:tr>
      <w:tr w14:paraId="49AB6EC4" w14:textId="77777777" w:rsidTr="009E261B">
        <w:tblPrEx>
          <w:tblW w:w="5223" w:type="pct"/>
          <w:tblInd w:w="-292" w:type="dxa"/>
          <w:shd w:val="clear" w:color="auto" w:fill="FFFFFF"/>
          <w:tblCellMar>
            <w:top w:w="30" w:type="dxa"/>
            <w:left w:w="30" w:type="dxa"/>
            <w:bottom w:w="30" w:type="dxa"/>
            <w:right w:w="30" w:type="dxa"/>
          </w:tblCellMar>
          <w:tblLook w:val="04A0"/>
        </w:tblPrEx>
        <w:tc>
          <w:tcPr>
            <w:tcW w:w="395"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0BA3708E" w14:textId="77777777">
            <w:r w:rsidRPr="007D043F">
              <w:t>3.</w:t>
            </w:r>
          </w:p>
        </w:tc>
        <w:tc>
          <w:tcPr>
            <w:tcW w:w="1389"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1821AAD7" w14:textId="77777777">
            <w:r w:rsidRPr="007D043F">
              <w:t>Cita informācija</w:t>
            </w:r>
          </w:p>
        </w:tc>
        <w:tc>
          <w:tcPr>
            <w:tcW w:w="3216" w:type="pct"/>
            <w:tcBorders>
              <w:top w:val="outset" w:sz="6" w:space="0" w:color="414142"/>
              <w:left w:val="outset" w:sz="6" w:space="0" w:color="414142"/>
              <w:bottom w:val="outset" w:sz="6" w:space="0" w:color="414142"/>
              <w:right w:val="outset" w:sz="6" w:space="0" w:color="414142"/>
            </w:tcBorders>
            <w:shd w:val="clear" w:color="auto" w:fill="FFFFFF"/>
            <w:hideMark/>
          </w:tcPr>
          <w:p w:rsidR="00E817A4" w:rsidRPr="007D043F" w:rsidP="00C604B4" w14:paraId="5EA3B6DF" w14:textId="77777777">
            <w:pPr>
              <w:spacing w:before="100" w:beforeAutospacing="1" w:after="100" w:afterAutospacing="1" w:line="293" w:lineRule="atLeast"/>
              <w:rPr>
                <w:iCs/>
              </w:rPr>
            </w:pPr>
            <w:r w:rsidRPr="007D043F">
              <w:rPr>
                <w:iCs/>
              </w:rPr>
              <w:t>Nav</w:t>
            </w:r>
          </w:p>
        </w:tc>
      </w:tr>
    </w:tbl>
    <w:p w:rsidR="00E817A4" w:rsidRPr="007D043F" w:rsidP="00E817A4" w14:paraId="50C5224E" w14:textId="77777777">
      <w:pPr>
        <w:rPr>
          <w:i/>
          <w:iCs/>
        </w:rPr>
      </w:pPr>
    </w:p>
    <w:tbl>
      <w:tblPr>
        <w:tblW w:w="522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459"/>
      </w:tblGrid>
      <w:tr w14:paraId="69D44A18" w14:textId="77777777" w:rsidTr="009E261B">
        <w:tblPrEx>
          <w:tblW w:w="5223"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7A4" w:rsidRPr="007D043F" w:rsidP="00C604B4" w14:paraId="35C1E0A7" w14:textId="77777777">
            <w:pPr>
              <w:jc w:val="center"/>
              <w:rPr>
                <w:b/>
                <w:i/>
                <w:iCs/>
              </w:rPr>
            </w:pPr>
            <w:r w:rsidRPr="007D043F">
              <w:rPr>
                <w:rFonts w:eastAsia="Times New Roman"/>
                <w:b/>
              </w:rPr>
              <w:t xml:space="preserve">V. </w:t>
            </w:r>
            <w:r w:rsidRPr="007D043F">
              <w:rPr>
                <w:b/>
              </w:rPr>
              <w:t>Tiesību akta projekta atbilstība Latvijas Republikas starptautiskajām saistībām</w:t>
            </w:r>
          </w:p>
        </w:tc>
      </w:tr>
      <w:tr w14:paraId="6F4E1EF2" w14:textId="77777777" w:rsidTr="009E261B">
        <w:tblPrEx>
          <w:tblW w:w="5223" w:type="pct"/>
          <w:tblInd w:w="-292" w:type="dxa"/>
          <w:shd w:val="clear" w:color="auto" w:fill="FFFFFF"/>
          <w:tblCellMar>
            <w:top w:w="30" w:type="dxa"/>
            <w:left w:w="30" w:type="dxa"/>
            <w:bottom w:w="30" w:type="dxa"/>
            <w:right w:w="30" w:type="dxa"/>
          </w:tblCellMar>
          <w:tblLook w:val="04A0"/>
        </w:tblPrEx>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817A4" w:rsidRPr="007D043F" w:rsidP="00C604B4" w14:paraId="102B7C59" w14:textId="77777777">
            <w:pPr>
              <w:jc w:val="center"/>
              <w:rPr>
                <w:iCs/>
              </w:rPr>
            </w:pPr>
            <w:r w:rsidRPr="007D043F">
              <w:rPr>
                <w:bCs/>
              </w:rPr>
              <w:t>Projekts šo jomu neskar</w:t>
            </w:r>
          </w:p>
        </w:tc>
      </w:tr>
    </w:tbl>
    <w:p w:rsidR="00E817A4" w:rsidRPr="007D043F" w:rsidP="00E817A4" w14:paraId="23062818" w14:textId="77777777">
      <w:pPr>
        <w:rPr>
          <w:i/>
          <w:iCs/>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150"/>
        <w:gridCol w:w="6639"/>
      </w:tblGrid>
      <w:tr w14:paraId="43B89961" w14:textId="77777777" w:rsidTr="009E261B">
        <w:tblPrEx>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42"/>
        </w:trPr>
        <w:tc>
          <w:tcPr>
            <w:tcW w:w="9498" w:type="dxa"/>
            <w:gridSpan w:val="3"/>
            <w:shd w:val="clear" w:color="auto" w:fill="auto"/>
            <w:vAlign w:val="center"/>
          </w:tcPr>
          <w:p w:rsidR="00E817A4" w:rsidRPr="007D043F" w:rsidP="00C604B4" w14:paraId="3E3CF610" w14:textId="77777777">
            <w:pPr>
              <w:jc w:val="center"/>
              <w:rPr>
                <w:lang w:eastAsia="en-US"/>
              </w:rPr>
            </w:pPr>
            <w:r w:rsidRPr="007D043F">
              <w:rPr>
                <w:b/>
              </w:rPr>
              <w:t>VI. Sabiedrības līdzdalība un komunikācijas aktivitātes</w:t>
            </w:r>
          </w:p>
        </w:tc>
      </w:tr>
      <w:tr w14:paraId="5D1C147D" w14:textId="77777777" w:rsidTr="009E261B">
        <w:tblPrEx>
          <w:tblW w:w="9498" w:type="dxa"/>
          <w:tblInd w:w="-289" w:type="dxa"/>
          <w:tblLook w:val="04A0"/>
        </w:tblPrEx>
        <w:tc>
          <w:tcPr>
            <w:tcW w:w="709" w:type="dxa"/>
            <w:shd w:val="clear" w:color="auto" w:fill="auto"/>
          </w:tcPr>
          <w:p w:rsidR="00E817A4" w:rsidRPr="007D043F" w:rsidP="00592FE9" w14:paraId="1BE108B7" w14:textId="77777777">
            <w:pPr>
              <w:ind w:right="57"/>
              <w:jc w:val="both"/>
              <w:rPr>
                <w:bCs/>
              </w:rPr>
            </w:pPr>
            <w:r w:rsidRPr="007D043F">
              <w:rPr>
                <w:bCs/>
              </w:rPr>
              <w:t>1.</w:t>
            </w:r>
          </w:p>
        </w:tc>
        <w:tc>
          <w:tcPr>
            <w:tcW w:w="2150" w:type="dxa"/>
            <w:shd w:val="clear" w:color="auto" w:fill="auto"/>
            <w:tcMar>
              <w:left w:w="28" w:type="dxa"/>
              <w:right w:w="28" w:type="dxa"/>
            </w:tcMar>
          </w:tcPr>
          <w:p w:rsidR="00E817A4" w:rsidRPr="007D043F" w:rsidP="00C604B4" w14:paraId="23180C3B" w14:textId="77777777">
            <w:pPr>
              <w:tabs>
                <w:tab w:val="left" w:pos="170"/>
              </w:tabs>
              <w:ind w:right="57"/>
            </w:pPr>
            <w:r w:rsidRPr="007D043F">
              <w:t>Plānotās sabiedrības līdzdalības un komunikācijas aktivitātes saistībā ar projektu</w:t>
            </w:r>
          </w:p>
        </w:tc>
        <w:tc>
          <w:tcPr>
            <w:tcW w:w="6639" w:type="dxa"/>
            <w:shd w:val="clear" w:color="auto" w:fill="auto"/>
            <w:tcMar>
              <w:left w:w="57" w:type="dxa"/>
              <w:right w:w="57" w:type="dxa"/>
            </w:tcMar>
          </w:tcPr>
          <w:p w:rsidR="00D319BF" w:rsidRPr="007D043F" w:rsidP="00C604B4" w14:paraId="6A8F4B30" w14:textId="291A5A52">
            <w:pPr>
              <w:shd w:val="clear" w:color="auto" w:fill="FFFFFF"/>
              <w:ind w:left="-20"/>
              <w:jc w:val="both"/>
            </w:pPr>
            <w:r w:rsidRPr="007D043F">
              <w:t>Komunikācijas aktivitātes tiks nodrošinātas, veicot grozījumus 5.2.1.2.pasākuma trešās projektu iesniegumu atlases nolikumā</w:t>
            </w:r>
            <w:r>
              <w:t xml:space="preserve"> un publicējot attiecīgu paziņojumu (norādot saiti uz MK noteikumu grozījumiem) </w:t>
            </w:r>
            <w:r w:rsidRPr="007D043F">
              <w:t>sa</w:t>
            </w:r>
            <w:r>
              <w:t xml:space="preserve">darbības iestādes tīmekļvietnē. </w:t>
            </w:r>
          </w:p>
          <w:p w:rsidR="00E817A4" w:rsidP="00592FE9" w14:paraId="68FAD425" w14:textId="77777777">
            <w:pPr>
              <w:shd w:val="clear" w:color="auto" w:fill="FFFFFF"/>
              <w:ind w:left="-20"/>
              <w:jc w:val="both"/>
            </w:pPr>
            <w:r w:rsidRPr="007D043F">
              <w:t xml:space="preserve">Informācija par samazināto finanšu rādītāju un finansējuma izmaiņām tiks atspoguļota dažādos ziņojumos par ES fondu ieviešanas progresu, kas pieejami sabiedrībai gan ES fondu tīmekļvietnē </w:t>
            </w:r>
            <w:r>
              <w:fldChar w:fldCharType="begin"/>
            </w:r>
            <w:r>
              <w:instrText xml:space="preserve"> HYPERLINK "http://www.esfondi.lv" </w:instrText>
            </w:r>
            <w:r>
              <w:fldChar w:fldCharType="separate"/>
            </w:r>
            <w:r w:rsidRPr="007D043F">
              <w:rPr>
                <w:rStyle w:val="Hyperlink"/>
                <w:color w:val="auto"/>
              </w:rPr>
              <w:t>www.esfondi.lv</w:t>
            </w:r>
            <w:r>
              <w:fldChar w:fldCharType="end"/>
            </w:r>
            <w:r w:rsidRPr="007D043F">
              <w:t xml:space="preserve">, gan Uzraudzības komitejas dokumentu portfelī </w:t>
            </w:r>
            <w:r>
              <w:fldChar w:fldCharType="begin"/>
            </w:r>
            <w:r>
              <w:instrText xml:space="preserve"> HYPERLINK "https://komitejas.esfondi.lv/SitePages/Home.aspx" </w:instrText>
            </w:r>
            <w:r>
              <w:fldChar w:fldCharType="separate"/>
            </w:r>
            <w:r w:rsidRPr="007D043F">
              <w:rPr>
                <w:rStyle w:val="Hyperlink"/>
                <w:color w:val="auto"/>
              </w:rPr>
              <w:t>https://komitejas.esfondi.lv/SitePages/Home.aspx</w:t>
            </w:r>
            <w:r>
              <w:fldChar w:fldCharType="end"/>
            </w:r>
            <w:r w:rsidRPr="007D043F">
              <w:t xml:space="preserve">. </w:t>
            </w:r>
          </w:p>
          <w:p w:rsidR="00E161F4" w:rsidRPr="007D043F" w:rsidP="00E161F4" w14:paraId="12C9A719" w14:textId="28C504DF">
            <w:pPr>
              <w:shd w:val="clear" w:color="auto" w:fill="FFFFFF"/>
              <w:ind w:left="-20"/>
              <w:jc w:val="both"/>
            </w:pPr>
            <w:r>
              <w:t xml:space="preserve">VARAM 2017.gada decembrī ir organizējusi semināru SAM 5.3.1. finansējuma saņēmējiem un projektu iesniedzējiem, informējot, ka </w:t>
            </w:r>
            <w:r>
              <w:t>gadījumā, ja par ūdenssaimniecības attīstību aglomerācijā ir iesniegts projekts par mazāku summu, finansējuma atlikums (starpība starp MK noteikumos noteikto un faktisko projekta finansējumu) netiek saglabāts attiecīgajai aglomerācijai un var tikt novirzīts citu projektu ieviešanai.</w:t>
            </w:r>
          </w:p>
        </w:tc>
      </w:tr>
      <w:tr w14:paraId="33872DDF" w14:textId="77777777" w:rsidTr="009E261B">
        <w:tblPrEx>
          <w:tblW w:w="9498" w:type="dxa"/>
          <w:tblInd w:w="-289" w:type="dxa"/>
          <w:tblLook w:val="04A0"/>
        </w:tblPrEx>
        <w:trPr>
          <w:trHeight w:val="416"/>
        </w:trPr>
        <w:tc>
          <w:tcPr>
            <w:tcW w:w="709" w:type="dxa"/>
            <w:shd w:val="clear" w:color="auto" w:fill="auto"/>
          </w:tcPr>
          <w:p w:rsidR="00E817A4" w:rsidRPr="007D043F" w:rsidP="00592FE9" w14:paraId="194AF846" w14:textId="77777777">
            <w:pPr>
              <w:ind w:right="57"/>
              <w:jc w:val="both"/>
              <w:rPr>
                <w:bCs/>
              </w:rPr>
            </w:pPr>
            <w:r w:rsidRPr="007D043F">
              <w:rPr>
                <w:bCs/>
              </w:rPr>
              <w:t>2.</w:t>
            </w:r>
          </w:p>
        </w:tc>
        <w:tc>
          <w:tcPr>
            <w:tcW w:w="2150" w:type="dxa"/>
            <w:shd w:val="clear" w:color="auto" w:fill="auto"/>
            <w:tcMar>
              <w:left w:w="28" w:type="dxa"/>
              <w:right w:w="28" w:type="dxa"/>
            </w:tcMar>
          </w:tcPr>
          <w:p w:rsidR="00E817A4" w:rsidRPr="007D043F" w:rsidP="00C604B4" w14:paraId="6C234861" w14:textId="77777777">
            <w:pPr>
              <w:ind w:right="57"/>
            </w:pPr>
            <w:r w:rsidRPr="007D043F">
              <w:t>Sabiedrības līdzdalība projekta izstrādē</w:t>
            </w:r>
          </w:p>
        </w:tc>
        <w:tc>
          <w:tcPr>
            <w:tcW w:w="6639" w:type="dxa"/>
            <w:shd w:val="clear" w:color="auto" w:fill="auto"/>
            <w:tcMar>
              <w:left w:w="57" w:type="dxa"/>
              <w:right w:w="57" w:type="dxa"/>
            </w:tcMar>
          </w:tcPr>
          <w:p w:rsidR="00535186" w:rsidRPr="007D043F" w:rsidP="00535186" w14:paraId="09C4FEA1" w14:textId="79497F50">
            <w:pPr>
              <w:jc w:val="both"/>
            </w:pPr>
            <w:r w:rsidRPr="007D043F">
              <w:t xml:space="preserve">Ar MK noteikumu projektiem netiek mainīts normatīvais regulējums, kā arī tie neparedz ieviest jaunas politiskās iniciatīvas. Līdz ar to sabiedrības līdzdalība un komunikācijas aktivitātes MK noteikumu projektu izstrādē netika organizētas (Ministru kabineta 2009. gada 25. augusta noteikumu Nr.970 </w:t>
            </w:r>
            <w:r w:rsidRPr="007D043F" w:rsidR="00592FE9">
              <w:t>“</w:t>
            </w:r>
            <w:r w:rsidRPr="007D043F">
              <w:t>Sabiedrības līdzdalības kārtība attīstības plānošanas procesā” 5. punkts.)</w:t>
            </w:r>
          </w:p>
          <w:p w:rsidR="00E817A4" w:rsidRPr="00C242BB" w:rsidP="00E817A4" w14:paraId="209C9EDC" w14:textId="65691A56">
            <w:pPr>
              <w:shd w:val="clear" w:color="auto" w:fill="FFFFFF"/>
              <w:ind w:left="-20"/>
              <w:jc w:val="both"/>
            </w:pPr>
            <w:r w:rsidRPr="007D043F">
              <w:t xml:space="preserve">Vienlaikus norādāms, ka MK noteikumu projekti un to anotācija būs publiski pieejami Ministru kabineta tīmekļvietnē </w:t>
            </w:r>
            <w:r>
              <w:fldChar w:fldCharType="begin"/>
            </w:r>
            <w:r>
              <w:instrText xml:space="preserve"> HYPERLINK "http://www.mk.gov.lv" </w:instrText>
            </w:r>
            <w:r>
              <w:fldChar w:fldCharType="separate"/>
            </w:r>
            <w:r w:rsidRPr="007D043F">
              <w:t>www.mk.gov.lv</w:t>
            </w:r>
            <w:r>
              <w:fldChar w:fldCharType="end"/>
            </w:r>
            <w:r w:rsidRPr="007D043F">
              <w:t>, kur ar tiem varēs iepazīties jebkurš interesents.</w:t>
            </w:r>
          </w:p>
        </w:tc>
      </w:tr>
      <w:tr w14:paraId="50193D30" w14:textId="77777777" w:rsidTr="009E261B">
        <w:tblPrEx>
          <w:tblW w:w="9498" w:type="dxa"/>
          <w:tblInd w:w="-289" w:type="dxa"/>
          <w:tblLook w:val="04A0"/>
        </w:tblPrEx>
        <w:trPr>
          <w:trHeight w:val="554"/>
        </w:trPr>
        <w:tc>
          <w:tcPr>
            <w:tcW w:w="709" w:type="dxa"/>
            <w:shd w:val="clear" w:color="auto" w:fill="auto"/>
          </w:tcPr>
          <w:p w:rsidR="00E817A4" w:rsidRPr="007D043F" w:rsidP="00592FE9" w14:paraId="63F79695" w14:textId="77777777">
            <w:pPr>
              <w:ind w:right="57"/>
              <w:jc w:val="both"/>
              <w:rPr>
                <w:bCs/>
              </w:rPr>
            </w:pPr>
            <w:r w:rsidRPr="007D043F">
              <w:rPr>
                <w:bCs/>
              </w:rPr>
              <w:t>3.</w:t>
            </w:r>
          </w:p>
        </w:tc>
        <w:tc>
          <w:tcPr>
            <w:tcW w:w="2150" w:type="dxa"/>
            <w:shd w:val="clear" w:color="auto" w:fill="auto"/>
            <w:tcMar>
              <w:left w:w="28" w:type="dxa"/>
              <w:right w:w="28" w:type="dxa"/>
            </w:tcMar>
          </w:tcPr>
          <w:p w:rsidR="00E817A4" w:rsidRPr="007D043F" w:rsidP="00C604B4" w14:paraId="2C58B26A" w14:textId="77777777">
            <w:pPr>
              <w:ind w:right="57"/>
            </w:pPr>
            <w:r w:rsidRPr="007D043F">
              <w:t>Sabiedrības līdzdalības rezultāti</w:t>
            </w:r>
          </w:p>
        </w:tc>
        <w:tc>
          <w:tcPr>
            <w:tcW w:w="6639" w:type="dxa"/>
            <w:shd w:val="clear" w:color="auto" w:fill="auto"/>
            <w:tcMar>
              <w:left w:w="57" w:type="dxa"/>
              <w:right w:w="57" w:type="dxa"/>
            </w:tcMar>
          </w:tcPr>
          <w:p w:rsidR="00E817A4" w:rsidRPr="007D043F" w:rsidP="00C604B4" w14:paraId="61C14FA4" w14:textId="6DB6D908">
            <w:pPr>
              <w:shd w:val="clear" w:color="auto" w:fill="FFFFFF"/>
              <w:ind w:left="-20"/>
              <w:jc w:val="both"/>
            </w:pPr>
            <w:r w:rsidRPr="00C242BB">
              <w:rPr>
                <w:bCs/>
              </w:rPr>
              <w:t>Projekts šo jomu neskar</w:t>
            </w:r>
          </w:p>
        </w:tc>
      </w:tr>
      <w:tr w14:paraId="5D08C0B1" w14:textId="77777777" w:rsidTr="009E261B">
        <w:tblPrEx>
          <w:tblW w:w="9498" w:type="dxa"/>
          <w:tblInd w:w="-289" w:type="dxa"/>
          <w:tblLook w:val="04A0"/>
        </w:tblPrEx>
        <w:tc>
          <w:tcPr>
            <w:tcW w:w="709" w:type="dxa"/>
            <w:shd w:val="clear" w:color="auto" w:fill="auto"/>
          </w:tcPr>
          <w:p w:rsidR="00E817A4" w:rsidRPr="007D043F" w:rsidP="00592FE9" w14:paraId="734D48E1" w14:textId="77777777">
            <w:pPr>
              <w:ind w:right="57"/>
              <w:jc w:val="both"/>
              <w:rPr>
                <w:bCs/>
              </w:rPr>
            </w:pPr>
            <w:r w:rsidRPr="007D043F">
              <w:rPr>
                <w:bCs/>
              </w:rPr>
              <w:t>4.</w:t>
            </w:r>
          </w:p>
        </w:tc>
        <w:tc>
          <w:tcPr>
            <w:tcW w:w="2150" w:type="dxa"/>
            <w:shd w:val="clear" w:color="auto" w:fill="auto"/>
            <w:tcMar>
              <w:left w:w="28" w:type="dxa"/>
              <w:right w:w="28" w:type="dxa"/>
            </w:tcMar>
          </w:tcPr>
          <w:p w:rsidR="00E817A4" w:rsidRPr="007D043F" w:rsidP="00C604B4" w14:paraId="76F1D5E6" w14:textId="77777777">
            <w:pPr>
              <w:ind w:right="57"/>
            </w:pPr>
            <w:r w:rsidRPr="007D043F">
              <w:t>Cita informācija</w:t>
            </w:r>
          </w:p>
        </w:tc>
        <w:tc>
          <w:tcPr>
            <w:tcW w:w="6639" w:type="dxa"/>
            <w:shd w:val="clear" w:color="auto" w:fill="auto"/>
            <w:tcMar>
              <w:left w:w="28" w:type="dxa"/>
            </w:tcMar>
          </w:tcPr>
          <w:p w:rsidR="00E817A4" w:rsidRPr="007D043F" w:rsidP="00C604B4" w14:paraId="36A7C3A1" w14:textId="77777777">
            <w:pPr>
              <w:ind w:right="113"/>
              <w:jc w:val="both"/>
            </w:pPr>
            <w:r w:rsidRPr="007D043F">
              <w:t>Nav</w:t>
            </w:r>
          </w:p>
        </w:tc>
      </w:tr>
    </w:tbl>
    <w:p w:rsidR="00E817A4" w:rsidRPr="007D043F" w:rsidP="00E817A4" w14:paraId="33D531E6" w14:textId="77777777">
      <w:pPr>
        <w:jc w:val="center"/>
        <w:rPr>
          <w:lang w:eastAsia="en-US"/>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4025"/>
        <w:gridCol w:w="4678"/>
      </w:tblGrid>
      <w:tr w14:paraId="26F1653A" w14:textId="77777777" w:rsidTr="009E261B">
        <w:tblPrEx>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498" w:type="dxa"/>
            <w:gridSpan w:val="3"/>
            <w:shd w:val="clear" w:color="auto" w:fill="auto"/>
          </w:tcPr>
          <w:p w:rsidR="00E817A4" w:rsidRPr="007D043F" w:rsidP="00C604B4" w14:paraId="14E8181A" w14:textId="77777777">
            <w:pPr>
              <w:jc w:val="center"/>
            </w:pPr>
            <w:r w:rsidRPr="007D043F">
              <w:rPr>
                <w:b/>
              </w:rPr>
              <w:t>VII. Tiesību akta projekta izpildes nodrošināšana un tās ietekme uz institūcijām</w:t>
            </w:r>
          </w:p>
        </w:tc>
      </w:tr>
      <w:tr w14:paraId="3AAA505E" w14:textId="77777777" w:rsidTr="009E261B">
        <w:tblPrEx>
          <w:tblW w:w="9498" w:type="dxa"/>
          <w:tblInd w:w="-289" w:type="dxa"/>
          <w:tblLook w:val="04A0"/>
        </w:tblPrEx>
        <w:tc>
          <w:tcPr>
            <w:tcW w:w="795" w:type="dxa"/>
            <w:shd w:val="clear" w:color="auto" w:fill="auto"/>
          </w:tcPr>
          <w:p w:rsidR="00E817A4" w:rsidRPr="007D043F" w:rsidP="00C604B4" w14:paraId="15C53C5D" w14:textId="77777777">
            <w:pPr>
              <w:pStyle w:val="naisnod"/>
              <w:spacing w:before="0" w:beforeAutospacing="0" w:after="0" w:afterAutospacing="0"/>
              <w:ind w:left="57" w:right="57"/>
              <w:jc w:val="both"/>
            </w:pPr>
            <w:r w:rsidRPr="007D043F">
              <w:t>1.</w:t>
            </w:r>
          </w:p>
        </w:tc>
        <w:tc>
          <w:tcPr>
            <w:tcW w:w="4025" w:type="dxa"/>
            <w:shd w:val="clear" w:color="auto" w:fill="auto"/>
            <w:tcMar>
              <w:left w:w="28" w:type="dxa"/>
              <w:right w:w="28" w:type="dxa"/>
            </w:tcMar>
          </w:tcPr>
          <w:p w:rsidR="00E817A4" w:rsidRPr="007D043F" w:rsidP="00C604B4" w14:paraId="4AA96A8A" w14:textId="77777777">
            <w:pPr>
              <w:pStyle w:val="naisf"/>
              <w:spacing w:before="0" w:beforeAutospacing="0" w:after="0" w:afterAutospacing="0"/>
              <w:ind w:right="57"/>
            </w:pPr>
            <w:r w:rsidRPr="007D043F">
              <w:t>Projekta izpildē iesaistītās institūcijas</w:t>
            </w:r>
          </w:p>
        </w:tc>
        <w:tc>
          <w:tcPr>
            <w:tcW w:w="4678" w:type="dxa"/>
            <w:shd w:val="clear" w:color="auto" w:fill="auto"/>
            <w:tcMar>
              <w:left w:w="57" w:type="dxa"/>
              <w:right w:w="57" w:type="dxa"/>
            </w:tcMar>
          </w:tcPr>
          <w:p w:rsidR="00E817A4" w:rsidRPr="007D043F" w:rsidP="00C604B4" w14:paraId="60691728" w14:textId="77777777">
            <w:pPr>
              <w:shd w:val="clear" w:color="auto" w:fill="FFFFFF"/>
              <w:ind w:right="113"/>
              <w:jc w:val="both"/>
            </w:pPr>
            <w:r w:rsidRPr="007D043F">
              <w:t>Finanšu ministrija kā ES fondu vadošā iestāde, VARAM kā atbildīgā iestāde, Centrālā finanšu un līgumu aģentūra kā sadarbības iestāde.</w:t>
            </w:r>
          </w:p>
        </w:tc>
      </w:tr>
      <w:tr w14:paraId="26D34C9E" w14:textId="77777777" w:rsidTr="009E261B">
        <w:tblPrEx>
          <w:tblW w:w="9498" w:type="dxa"/>
          <w:tblInd w:w="-289" w:type="dxa"/>
          <w:tblLook w:val="04A0"/>
        </w:tblPrEx>
        <w:tc>
          <w:tcPr>
            <w:tcW w:w="795" w:type="dxa"/>
            <w:shd w:val="clear" w:color="auto" w:fill="auto"/>
          </w:tcPr>
          <w:p w:rsidR="00E817A4" w:rsidRPr="007D043F" w:rsidP="00C604B4" w14:paraId="32DA0323" w14:textId="77777777">
            <w:pPr>
              <w:pStyle w:val="naisnod"/>
              <w:spacing w:before="0" w:beforeAutospacing="0" w:after="0" w:afterAutospacing="0"/>
              <w:ind w:left="57" w:right="57"/>
              <w:jc w:val="both"/>
            </w:pPr>
            <w:r w:rsidRPr="007D043F">
              <w:t>2.</w:t>
            </w:r>
          </w:p>
        </w:tc>
        <w:tc>
          <w:tcPr>
            <w:tcW w:w="4025" w:type="dxa"/>
            <w:shd w:val="clear" w:color="auto" w:fill="auto"/>
            <w:tcMar>
              <w:left w:w="28" w:type="dxa"/>
              <w:right w:w="28" w:type="dxa"/>
            </w:tcMar>
          </w:tcPr>
          <w:p w:rsidR="00E817A4" w:rsidRPr="007D043F" w:rsidP="00C604B4" w14:paraId="70B71926" w14:textId="77777777">
            <w:pPr>
              <w:pStyle w:val="naisf"/>
              <w:spacing w:before="0" w:beforeAutospacing="0" w:after="0" w:afterAutospacing="0"/>
              <w:ind w:right="57"/>
            </w:pPr>
            <w:r w:rsidRPr="007D043F">
              <w:t>Projekta izpildes ietekme uz pār</w:t>
            </w:r>
            <w:r w:rsidRPr="007D043F">
              <w:softHyphen/>
              <w:t>valdes funkcijām un institucionālo struktūru.</w:t>
            </w:r>
          </w:p>
          <w:p w:rsidR="00E817A4" w:rsidRPr="007D043F" w:rsidP="00C604B4" w14:paraId="3B4CB2ED" w14:textId="77777777">
            <w:pPr>
              <w:pStyle w:val="naisf"/>
              <w:spacing w:before="0" w:beforeAutospacing="0" w:after="0" w:afterAutospacing="0"/>
              <w:ind w:right="57"/>
            </w:pPr>
            <w:r w:rsidRPr="007D043F">
              <w:t>Jaunu institūciju izveide, esošu institūciju likvidācija vai reorga</w:t>
            </w:r>
            <w:r w:rsidRPr="007D043F">
              <w:softHyphen/>
              <w:t>nizācija, to ietekme uz institūcijas cilvēkresursiem</w:t>
            </w:r>
          </w:p>
        </w:tc>
        <w:tc>
          <w:tcPr>
            <w:tcW w:w="4678" w:type="dxa"/>
            <w:shd w:val="clear" w:color="auto" w:fill="auto"/>
            <w:tcMar>
              <w:left w:w="57" w:type="dxa"/>
              <w:right w:w="57" w:type="dxa"/>
            </w:tcMar>
          </w:tcPr>
          <w:p w:rsidR="00E817A4" w:rsidRPr="007D043F" w:rsidP="00C604B4" w14:paraId="08790C23" w14:textId="77777777">
            <w:pPr>
              <w:shd w:val="clear" w:color="auto" w:fill="FFFFFF"/>
              <w:ind w:right="113"/>
              <w:jc w:val="both"/>
            </w:pPr>
            <w:r w:rsidRPr="007D043F">
              <w:t>Nav plānota jaunu institūciju izveide, esošu institūciju likvidācija vai reorganizācija. MK noteikumu projektā ietvertie grozījumi paredz precizēt atlases nolikumu, kā arī veikt izmaiņas datu tabulās, kurās neatkarīgi no MK noteikumu projektā saistītās darbības izmaiņas tiek veiktas regulāri. Minētās darbības uzskatāmas par regulāri veicamām un tādējādi MK noteikumu projektam nav ietekmes uz pārvaldes funkcijām, institucionālo struktūru un institūcijas cilvēkresursiem.</w:t>
            </w:r>
          </w:p>
        </w:tc>
      </w:tr>
      <w:tr w14:paraId="42BB30F4" w14:textId="77777777" w:rsidTr="009E261B">
        <w:tblPrEx>
          <w:tblW w:w="9498" w:type="dxa"/>
          <w:tblInd w:w="-289" w:type="dxa"/>
          <w:tblLook w:val="04A0"/>
        </w:tblPrEx>
        <w:trPr>
          <w:trHeight w:val="361"/>
        </w:trPr>
        <w:tc>
          <w:tcPr>
            <w:tcW w:w="795" w:type="dxa"/>
            <w:shd w:val="clear" w:color="auto" w:fill="auto"/>
          </w:tcPr>
          <w:p w:rsidR="00E817A4" w:rsidRPr="007D043F" w:rsidP="00C604B4" w14:paraId="132F2231" w14:textId="77777777">
            <w:pPr>
              <w:pStyle w:val="naisnod"/>
              <w:spacing w:before="0" w:beforeAutospacing="0" w:after="0" w:afterAutospacing="0"/>
              <w:ind w:left="57" w:right="57"/>
              <w:jc w:val="both"/>
            </w:pPr>
            <w:r w:rsidRPr="007D043F">
              <w:t>3.</w:t>
            </w:r>
          </w:p>
        </w:tc>
        <w:tc>
          <w:tcPr>
            <w:tcW w:w="4025" w:type="dxa"/>
            <w:shd w:val="clear" w:color="auto" w:fill="auto"/>
            <w:tcMar>
              <w:left w:w="28" w:type="dxa"/>
              <w:right w:w="28" w:type="dxa"/>
            </w:tcMar>
          </w:tcPr>
          <w:p w:rsidR="00E817A4" w:rsidRPr="007D043F" w:rsidP="00C604B4" w14:paraId="123F6EA5" w14:textId="77777777">
            <w:pPr>
              <w:pStyle w:val="naisf"/>
              <w:spacing w:before="0" w:beforeAutospacing="0" w:after="0" w:afterAutospacing="0"/>
              <w:ind w:right="57"/>
            </w:pPr>
            <w:r w:rsidRPr="007D043F">
              <w:t>Cita informācija</w:t>
            </w:r>
          </w:p>
        </w:tc>
        <w:tc>
          <w:tcPr>
            <w:tcW w:w="4678" w:type="dxa"/>
            <w:shd w:val="clear" w:color="auto" w:fill="auto"/>
            <w:tcMar>
              <w:left w:w="57" w:type="dxa"/>
              <w:right w:w="57" w:type="dxa"/>
            </w:tcMar>
          </w:tcPr>
          <w:p w:rsidR="00E817A4" w:rsidRPr="007D043F" w:rsidP="00C604B4" w14:paraId="2684764D" w14:textId="77777777">
            <w:pPr>
              <w:ind w:right="57"/>
              <w:jc w:val="both"/>
            </w:pPr>
            <w:r w:rsidRPr="007D043F">
              <w:t>Nav</w:t>
            </w:r>
          </w:p>
        </w:tc>
      </w:tr>
    </w:tbl>
    <w:p w:rsidR="00E817A4" w:rsidRPr="007D043F" w:rsidP="00E817A4" w14:paraId="2251D756" w14:textId="77777777">
      <w:pPr>
        <w:jc w:val="both"/>
      </w:pPr>
    </w:p>
    <w:p w:rsidR="005444E6" w:rsidP="00592FE9" w14:paraId="1EFD0986" w14:textId="77777777">
      <w:pPr>
        <w:ind w:left="-142"/>
        <w:jc w:val="both"/>
      </w:pPr>
    </w:p>
    <w:p w:rsidR="00E817A4" w:rsidRPr="007D043F" w:rsidP="00592FE9" w14:paraId="41526F7D" w14:textId="6B1119BC">
      <w:pPr>
        <w:ind w:left="-142"/>
        <w:jc w:val="both"/>
      </w:pPr>
      <w:r>
        <w:t>V</w:t>
      </w:r>
      <w:r w:rsidRPr="007D043F">
        <w:t>ides aizsardzības un reģ</w:t>
      </w:r>
      <w:r>
        <w:t xml:space="preserve">ionālās attīstības ministrs </w:t>
      </w:r>
      <w:r>
        <w:tab/>
      </w:r>
      <w:r>
        <w:tab/>
      </w:r>
      <w:r>
        <w:tab/>
      </w:r>
      <w:r w:rsidRPr="007D043F">
        <w:t xml:space="preserve">         K</w:t>
      </w:r>
      <w:r>
        <w:t xml:space="preserve">aspars </w:t>
      </w:r>
      <w:r w:rsidRPr="007D043F">
        <w:t>Gerhards</w:t>
      </w:r>
    </w:p>
    <w:p w:rsidR="00E817A4" w:rsidRPr="007D043F" w:rsidP="00592FE9" w14:paraId="128BD49F" w14:textId="77777777">
      <w:pPr>
        <w:ind w:left="-142"/>
        <w:jc w:val="both"/>
      </w:pPr>
    </w:p>
    <w:p w:rsidR="00E817A4" w:rsidRPr="007D043F" w:rsidP="00592FE9" w14:paraId="6E624045" w14:textId="77777777">
      <w:pPr>
        <w:ind w:left="-142"/>
        <w:jc w:val="both"/>
      </w:pPr>
    </w:p>
    <w:p w:rsidR="00E817A4" w:rsidP="00592FE9" w14:paraId="1A0B00CE" w14:textId="2D6FFEEB">
      <w:pPr>
        <w:ind w:left="-142"/>
        <w:jc w:val="both"/>
        <w:rPr>
          <w:sz w:val="20"/>
          <w:szCs w:val="20"/>
        </w:rPr>
      </w:pPr>
      <w:r w:rsidRPr="007D043F">
        <w:rPr>
          <w:sz w:val="20"/>
          <w:szCs w:val="20"/>
        </w:rPr>
        <w:t>Auziņa</w:t>
      </w:r>
      <w:r w:rsidR="005444E6">
        <w:rPr>
          <w:sz w:val="20"/>
          <w:szCs w:val="20"/>
        </w:rPr>
        <w:t xml:space="preserve"> </w:t>
      </w:r>
      <w:r w:rsidRPr="007D043F" w:rsidR="005444E6">
        <w:rPr>
          <w:sz w:val="20"/>
          <w:szCs w:val="20"/>
        </w:rPr>
        <w:t>66016701</w:t>
      </w:r>
    </w:p>
    <w:p w:rsidR="00E817A4" w:rsidRPr="00C242BB" w:rsidP="00592FE9" w14:paraId="4CED357A" w14:textId="7AFB8A7E">
      <w:pPr>
        <w:ind w:left="-142"/>
        <w:jc w:val="both"/>
      </w:pPr>
      <w:r>
        <w:fldChar w:fldCharType="begin"/>
      </w:r>
      <w:r>
        <w:instrText xml:space="preserve"> HYPERLINK "mailto:austra.auzina@varam.gov.lv" </w:instrText>
      </w:r>
      <w:r>
        <w:fldChar w:fldCharType="separate"/>
      </w:r>
      <w:r w:rsidRPr="007D043F" w:rsidR="00857F7D">
        <w:rPr>
          <w:rStyle w:val="Hyperlink"/>
          <w:color w:val="auto"/>
          <w:sz w:val="20"/>
          <w:szCs w:val="20"/>
        </w:rPr>
        <w:t>austra.auzina@varam.gov.lv</w:t>
      </w:r>
      <w:r>
        <w:fldChar w:fldCharType="end"/>
      </w:r>
    </w:p>
    <w:p w:rsidR="00AD3AA8" w:rsidRPr="007D043F" w14:paraId="43296B7A" w14:textId="77777777"/>
    <w:sectPr w:rsidSect="00C604B4">
      <w:headerReference w:type="default" r:id="rId6"/>
      <w:footerReference w:type="even" r:id="rId7"/>
      <w:footerReference w:type="default" r:id="rId8"/>
      <w:footerReference w:type="first" r:id="rId9"/>
      <w:pgSz w:w="11906" w:h="16838"/>
      <w:pgMar w:top="1135" w:right="1134" w:bottom="1134" w:left="1701" w:header="709" w:footer="27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F7D" w:rsidRPr="00186C21" w:rsidP="00C604B4" w14:paraId="17455CC5"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F7D" w:rsidP="00C604B4" w14:paraId="60587955" w14:textId="6FF93F54">
    <w:pPr>
      <w:jc w:val="both"/>
      <w:rPr>
        <w:sz w:val="20"/>
        <w:szCs w:val="20"/>
      </w:rPr>
    </w:pPr>
    <w:r>
      <w:rPr>
        <w:sz w:val="20"/>
        <w:szCs w:val="20"/>
      </w:rPr>
      <w:t>VARAMAnot_16</w:t>
    </w:r>
    <w:r w:rsidR="003370F7">
      <w:rPr>
        <w:sz w:val="20"/>
        <w:szCs w:val="20"/>
      </w:rPr>
      <w:t>0518_5212_531_511groz</w:t>
    </w:r>
  </w:p>
  <w:p w:rsidR="00857F7D" w:rsidRPr="007171AE" w:rsidP="00C604B4" w14:paraId="3D33A57E" w14:textId="77777777">
    <w:pP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F7D" w:rsidRPr="007171AE" w:rsidP="00E817A4" w14:paraId="4FC1DA64" w14:textId="3D5A6368">
    <w:pPr>
      <w:jc w:val="both"/>
      <w:rPr>
        <w:sz w:val="20"/>
        <w:szCs w:val="20"/>
      </w:rPr>
    </w:pPr>
    <w:r>
      <w:rPr>
        <w:sz w:val="20"/>
        <w:szCs w:val="20"/>
      </w:rPr>
      <w:t>VARAMAnot_16</w:t>
    </w:r>
    <w:r w:rsidR="00351E30">
      <w:rPr>
        <w:sz w:val="20"/>
        <w:szCs w:val="20"/>
      </w:rPr>
      <w:t>05</w:t>
    </w:r>
    <w:r>
      <w:rPr>
        <w:sz w:val="20"/>
        <w:szCs w:val="20"/>
      </w:rPr>
      <w:t>18_</w:t>
    </w:r>
    <w:r w:rsidR="003370F7">
      <w:rPr>
        <w:sz w:val="20"/>
        <w:szCs w:val="20"/>
      </w:rPr>
      <w:t>5212_531_511groz</w:t>
    </w:r>
  </w:p>
  <w:p w:rsidR="00857F7D" w:rsidRPr="00E817A4" w:rsidP="00E817A4" w14:paraId="5AE402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5B11" w:rsidP="00E817A4" w14:paraId="77571BC3" w14:textId="77777777">
      <w:r>
        <w:separator/>
      </w:r>
    </w:p>
  </w:footnote>
  <w:footnote w:type="continuationSeparator" w:id="1">
    <w:p w:rsidR="00895B11" w:rsidP="00E817A4" w14:paraId="6179CA6B" w14:textId="77777777">
      <w:r>
        <w:continuationSeparator/>
      </w:r>
    </w:p>
  </w:footnote>
  <w:footnote w:type="continuationNotice" w:id="2">
    <w:p w:rsidR="00895B11" w14:paraId="6A8302CA" w14:textId="77777777"/>
  </w:footnote>
  <w:footnote w:id="3">
    <w:p w:rsidR="00857F7D" w:rsidRPr="002372CA" w:rsidP="002372CA" w14:paraId="423F1F79" w14:textId="10051147">
      <w:pPr>
        <w:pStyle w:val="FootnoteText"/>
        <w:jc w:val="both"/>
        <w:rPr>
          <w:lang w:val="lv-LV"/>
        </w:rPr>
      </w:pPr>
      <w:r>
        <w:rPr>
          <w:rStyle w:val="FootnoteReference"/>
        </w:rPr>
        <w:footnoteRef/>
      </w:r>
      <w:r>
        <w:t xml:space="preserve"> </w:t>
      </w:r>
      <w:r>
        <w:rPr>
          <w:lang w:val="lv-LV"/>
        </w:rPr>
        <w:t>MK 2017.gada 29.marta rīkojums Nr.160 “Grozījumi Eiropas Savienības struktūrfondu un Kohēzijas fonda 2014.-2020.gada plānošanas perioda darbības programmā “Izaugsme un nodarbinātība”</w:t>
      </w:r>
    </w:p>
  </w:footnote>
  <w:footnote w:id="4">
    <w:p w:rsidR="00857F7D" w:rsidRPr="00857F7D" w:rsidP="00857F7D" w14:paraId="6FA18851" w14:textId="4B247018">
      <w:pPr>
        <w:pStyle w:val="FootnoteText"/>
        <w:jc w:val="both"/>
        <w:rPr>
          <w:lang w:val="lv-LV"/>
        </w:rPr>
      </w:pPr>
      <w:r>
        <w:rPr>
          <w:rStyle w:val="FootnoteReference"/>
        </w:rPr>
        <w:footnoteRef/>
      </w:r>
      <w:r w:rsidRPr="00857F7D">
        <w:rPr>
          <w:lang w:val="lv-LV"/>
        </w:rPr>
        <w:t xml:space="preserve"> </w:t>
      </w:r>
      <w:r>
        <w:rPr>
          <w:lang w:val="lv-LV"/>
        </w:rPr>
        <w:t xml:space="preserve">Eiropas Parlamenta un Padomes 2013.gada 17.decembra regula (ES) Nr.1303/2013, </w:t>
      </w:r>
      <w:r w:rsidRPr="00A45085">
        <w:rPr>
          <w:i/>
          <w:lang w:val="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w:t>
      </w:r>
      <w:r w:rsidRPr="00A45085" w:rsidR="00C42239">
        <w:rPr>
          <w:i/>
          <w:lang w:val="lv-LV"/>
        </w:rPr>
        <w:t>du un Kohēzijas fondu un atceļ P</w:t>
      </w:r>
      <w:r w:rsidRPr="00A45085">
        <w:rPr>
          <w:i/>
          <w:lang w:val="lv-LV"/>
        </w:rPr>
        <w:t>adomes regulu (EK) Nr.1083/2006</w:t>
      </w:r>
    </w:p>
  </w:footnote>
  <w:footnote w:id="5">
    <w:p w:rsidR="00857F7D" w:rsidRPr="00376CD8" w:rsidP="00F34A56" w14:paraId="0856B73F" w14:textId="37A43401">
      <w:pPr>
        <w:pStyle w:val="FootnoteText"/>
        <w:jc w:val="both"/>
        <w:rPr>
          <w:lang w:val="lv-LV"/>
        </w:rPr>
      </w:pPr>
      <w:r w:rsidRPr="00376CD8">
        <w:rPr>
          <w:rStyle w:val="FootnoteReference"/>
          <w:lang w:val="lv-LV"/>
        </w:rPr>
        <w:footnoteRef/>
      </w:r>
      <w:r w:rsidRPr="00376CD8">
        <w:rPr>
          <w:lang w:val="lv-LV"/>
        </w:rPr>
        <w:t xml:space="preserve"> 2016.</w:t>
      </w:r>
      <w:r>
        <w:rPr>
          <w:lang w:val="lv-LV"/>
        </w:rPr>
        <w:t> </w:t>
      </w:r>
      <w:r w:rsidRPr="00376CD8">
        <w:rPr>
          <w:lang w:val="lv-LV"/>
        </w:rPr>
        <w:t>gada 22.</w:t>
      </w:r>
      <w:r>
        <w:rPr>
          <w:lang w:val="lv-LV"/>
        </w:rPr>
        <w:t> </w:t>
      </w:r>
      <w:r w:rsidRPr="00376CD8">
        <w:rPr>
          <w:lang w:val="lv-LV"/>
        </w:rPr>
        <w:t>marta Ministru kabineta noteikumi Nr. 174 “</w:t>
      </w:r>
      <w:r w:rsidRPr="00376CD8">
        <w:rPr>
          <w:bCs/>
          <w:lang w:val="lv-LV"/>
        </w:rPr>
        <w:t>Noteikumi par sabiedrisko ūdenssaimniecības pakalpojumu sniegšanu un lietošanu”;</w:t>
      </w:r>
    </w:p>
  </w:footnote>
  <w:footnote w:id="6">
    <w:p w:rsidR="00857F7D" w:rsidRPr="007D043F" w:rsidP="00F34A56" w14:paraId="6A68718D" w14:textId="143DE3A2">
      <w:pPr>
        <w:pStyle w:val="FootnoteText"/>
        <w:jc w:val="both"/>
        <w:rPr>
          <w:lang w:val="lv-LV"/>
        </w:rPr>
      </w:pPr>
      <w:r w:rsidRPr="00376CD8">
        <w:rPr>
          <w:rStyle w:val="FootnoteReference"/>
          <w:lang w:val="lv-LV"/>
        </w:rPr>
        <w:footnoteRef/>
      </w:r>
      <w:r w:rsidRPr="00376CD8">
        <w:rPr>
          <w:lang w:val="lv-LV"/>
        </w:rPr>
        <w:t xml:space="preserve"> </w:t>
      </w:r>
      <w:r w:rsidRPr="00376CD8">
        <w:rPr>
          <w:lang w:val="lv-LV"/>
        </w:rPr>
        <w:t>2017.</w:t>
      </w:r>
      <w:r>
        <w:rPr>
          <w:lang w:val="lv-LV"/>
        </w:rPr>
        <w:t> </w:t>
      </w:r>
      <w:r w:rsidRPr="00376CD8">
        <w:rPr>
          <w:lang w:val="lv-LV"/>
        </w:rPr>
        <w:t>gada 27.</w:t>
      </w:r>
      <w:r>
        <w:rPr>
          <w:lang w:val="lv-LV"/>
        </w:rPr>
        <w:t> </w:t>
      </w:r>
      <w:r w:rsidRPr="00376CD8">
        <w:rPr>
          <w:lang w:val="lv-LV"/>
        </w:rPr>
        <w:t>jūnija Ministru kabineta noteikumi Nr.384 “Noteikumi par decentralizēto kanalizācijas sistēmu apsaimniekošanu un reģistrāciju”</w:t>
      </w:r>
    </w:p>
  </w:footnote>
  <w:footnote w:id="7">
    <w:p w:rsidR="00857F7D" w:rsidP="00E817A4" w14:paraId="270CFF37" w14:textId="77777777">
      <w:pPr>
        <w:spacing w:before="120"/>
      </w:pPr>
      <w:r>
        <w:rPr>
          <w:rStyle w:val="FootnoteReference"/>
        </w:rPr>
        <w:footnoteRef/>
      </w:r>
      <w:r>
        <w:fldChar w:fldCharType="begin"/>
      </w:r>
      <w:r>
        <w:instrText xml:space="preserve"> HYPERLINK "http://ec.europa.eu/transparency/regexpert/index.cfm?do=groupDetail.groupDetailDoc&amp;id=21388&amp;no=2" </w:instrText>
      </w:r>
      <w:r>
        <w:fldChar w:fldCharType="separate"/>
      </w:r>
      <w:r w:rsidRPr="00DC2C96">
        <w:rPr>
          <w:rStyle w:val="Hyperlink"/>
          <w:sz w:val="20"/>
          <w:szCs w:val="20"/>
        </w:rPr>
        <w:t>http://ec.europa.eu/transparency/regexpert/index.cfm?do=groupDetail.groupDetailDoc&amp;id=21388&amp;no=2</w:t>
      </w:r>
      <w:r>
        <w:fldChar w:fldCharType="end"/>
      </w:r>
      <w:r>
        <w:t xml:space="preserve"> </w:t>
      </w:r>
    </w:p>
    <w:p w:rsidR="00857F7D" w:rsidRPr="00C53903" w:rsidP="00E817A4" w14:paraId="38A796EE" w14:textId="77777777">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F7D" w:rsidP="00C604B4" w14:paraId="22B3E094" w14:textId="7777777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rsidR="00857F7D" w14:paraId="69BB586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1932F8"/>
    <w:multiLevelType w:val="hybridMultilevel"/>
    <w:tmpl w:val="50A0719A"/>
    <w:lvl w:ilvl="0">
      <w:start w:val="1"/>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 w15:restartNumberingAfterBreak="1">
    <w:nsid w:val="214225DF"/>
    <w:multiLevelType w:val="hybridMultilevel"/>
    <w:tmpl w:val="28A45FD8"/>
    <w:lvl w:ilvl="0">
      <w:start w:val="1"/>
      <w:numFmt w:val="bullet"/>
      <w:lvlText w:val=""/>
      <w:lvlJc w:val="left"/>
      <w:pPr>
        <w:ind w:left="761" w:hanging="360"/>
      </w:pPr>
      <w:rPr>
        <w:rFonts w:ascii="Symbol" w:hAnsi="Symbol" w:hint="default"/>
      </w:rPr>
    </w:lvl>
    <w:lvl w:ilvl="1" w:tentative="1">
      <w:start w:val="1"/>
      <w:numFmt w:val="bullet"/>
      <w:lvlText w:val="o"/>
      <w:lvlJc w:val="left"/>
      <w:pPr>
        <w:ind w:left="1481" w:hanging="360"/>
      </w:pPr>
      <w:rPr>
        <w:rFonts w:ascii="Courier New" w:hAnsi="Courier New" w:cs="Courier New" w:hint="default"/>
      </w:rPr>
    </w:lvl>
    <w:lvl w:ilvl="2" w:tentative="1">
      <w:start w:val="1"/>
      <w:numFmt w:val="bullet"/>
      <w:lvlText w:val=""/>
      <w:lvlJc w:val="left"/>
      <w:pPr>
        <w:ind w:left="2201" w:hanging="360"/>
      </w:pPr>
      <w:rPr>
        <w:rFonts w:ascii="Wingdings" w:hAnsi="Wingdings" w:hint="default"/>
      </w:rPr>
    </w:lvl>
    <w:lvl w:ilvl="3" w:tentative="1">
      <w:start w:val="1"/>
      <w:numFmt w:val="bullet"/>
      <w:lvlText w:val=""/>
      <w:lvlJc w:val="left"/>
      <w:pPr>
        <w:ind w:left="2921" w:hanging="360"/>
      </w:pPr>
      <w:rPr>
        <w:rFonts w:ascii="Symbol" w:hAnsi="Symbol" w:hint="default"/>
      </w:rPr>
    </w:lvl>
    <w:lvl w:ilvl="4" w:tentative="1">
      <w:start w:val="1"/>
      <w:numFmt w:val="bullet"/>
      <w:lvlText w:val="o"/>
      <w:lvlJc w:val="left"/>
      <w:pPr>
        <w:ind w:left="3641" w:hanging="360"/>
      </w:pPr>
      <w:rPr>
        <w:rFonts w:ascii="Courier New" w:hAnsi="Courier New" w:cs="Courier New" w:hint="default"/>
      </w:rPr>
    </w:lvl>
    <w:lvl w:ilvl="5" w:tentative="1">
      <w:start w:val="1"/>
      <w:numFmt w:val="bullet"/>
      <w:lvlText w:val=""/>
      <w:lvlJc w:val="left"/>
      <w:pPr>
        <w:ind w:left="4361" w:hanging="360"/>
      </w:pPr>
      <w:rPr>
        <w:rFonts w:ascii="Wingdings" w:hAnsi="Wingdings" w:hint="default"/>
      </w:rPr>
    </w:lvl>
    <w:lvl w:ilvl="6" w:tentative="1">
      <w:start w:val="1"/>
      <w:numFmt w:val="bullet"/>
      <w:lvlText w:val=""/>
      <w:lvlJc w:val="left"/>
      <w:pPr>
        <w:ind w:left="5081" w:hanging="360"/>
      </w:pPr>
      <w:rPr>
        <w:rFonts w:ascii="Symbol" w:hAnsi="Symbol" w:hint="default"/>
      </w:rPr>
    </w:lvl>
    <w:lvl w:ilvl="7" w:tentative="1">
      <w:start w:val="1"/>
      <w:numFmt w:val="bullet"/>
      <w:lvlText w:val="o"/>
      <w:lvlJc w:val="left"/>
      <w:pPr>
        <w:ind w:left="5801" w:hanging="360"/>
      </w:pPr>
      <w:rPr>
        <w:rFonts w:ascii="Courier New" w:hAnsi="Courier New" w:cs="Courier New" w:hint="default"/>
      </w:rPr>
    </w:lvl>
    <w:lvl w:ilvl="8" w:tentative="1">
      <w:start w:val="1"/>
      <w:numFmt w:val="bullet"/>
      <w:lvlText w:val=""/>
      <w:lvlJc w:val="left"/>
      <w:pPr>
        <w:ind w:left="6521" w:hanging="360"/>
      </w:pPr>
      <w:rPr>
        <w:rFonts w:ascii="Wingdings" w:hAnsi="Wingdings" w:hint="default"/>
      </w:rPr>
    </w:lvl>
  </w:abstractNum>
  <w:abstractNum w:abstractNumId="2" w15:restartNumberingAfterBreak="1">
    <w:nsid w:val="22FF486F"/>
    <w:multiLevelType w:val="hybridMultilevel"/>
    <w:tmpl w:val="01B61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24104027"/>
    <w:multiLevelType w:val="hybridMultilevel"/>
    <w:tmpl w:val="D896B3D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2CC52A4A"/>
    <w:multiLevelType w:val="hybridMultilevel"/>
    <w:tmpl w:val="CB74B1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1">
    <w:nsid w:val="323D03D4"/>
    <w:multiLevelType w:val="hybridMultilevel"/>
    <w:tmpl w:val="1756916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1">
    <w:nsid w:val="46C94834"/>
    <w:multiLevelType w:val="hybridMultilevel"/>
    <w:tmpl w:val="565C77D0"/>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7" w15:restartNumberingAfterBreak="1">
    <w:nsid w:val="487730C8"/>
    <w:multiLevelType w:val="hybridMultilevel"/>
    <w:tmpl w:val="40F8F68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15:restartNumberingAfterBreak="1">
    <w:nsid w:val="6C4D0A81"/>
    <w:multiLevelType w:val="hybridMultilevel"/>
    <w:tmpl w:val="DEDC5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4"/>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C4"/>
    <w:rsid w:val="00011C20"/>
    <w:rsid w:val="0002151E"/>
    <w:rsid w:val="00025D73"/>
    <w:rsid w:val="00040C75"/>
    <w:rsid w:val="000973FF"/>
    <w:rsid w:val="000D2B61"/>
    <w:rsid w:val="000E1854"/>
    <w:rsid w:val="000E3103"/>
    <w:rsid w:val="000F0085"/>
    <w:rsid w:val="00124B4B"/>
    <w:rsid w:val="00163171"/>
    <w:rsid w:val="00186C21"/>
    <w:rsid w:val="00197B1B"/>
    <w:rsid w:val="001C3F58"/>
    <w:rsid w:val="001E1A18"/>
    <w:rsid w:val="001E732C"/>
    <w:rsid w:val="002372CA"/>
    <w:rsid w:val="002C2B39"/>
    <w:rsid w:val="00310C09"/>
    <w:rsid w:val="00333FB5"/>
    <w:rsid w:val="003370F7"/>
    <w:rsid w:val="00351E30"/>
    <w:rsid w:val="00376CD8"/>
    <w:rsid w:val="00384E1D"/>
    <w:rsid w:val="00385072"/>
    <w:rsid w:val="003A7D98"/>
    <w:rsid w:val="00416E63"/>
    <w:rsid w:val="00437742"/>
    <w:rsid w:val="0044246C"/>
    <w:rsid w:val="00470427"/>
    <w:rsid w:val="004B2247"/>
    <w:rsid w:val="004C0266"/>
    <w:rsid w:val="004C4F2A"/>
    <w:rsid w:val="005258E6"/>
    <w:rsid w:val="00535186"/>
    <w:rsid w:val="005444E6"/>
    <w:rsid w:val="0056604B"/>
    <w:rsid w:val="00573465"/>
    <w:rsid w:val="005817EF"/>
    <w:rsid w:val="00592FE9"/>
    <w:rsid w:val="005A57FB"/>
    <w:rsid w:val="005A6E77"/>
    <w:rsid w:val="005B2C10"/>
    <w:rsid w:val="005D0FDC"/>
    <w:rsid w:val="00661F71"/>
    <w:rsid w:val="006724AD"/>
    <w:rsid w:val="006A073B"/>
    <w:rsid w:val="006A5991"/>
    <w:rsid w:val="006A678E"/>
    <w:rsid w:val="006C3528"/>
    <w:rsid w:val="006D204C"/>
    <w:rsid w:val="00705244"/>
    <w:rsid w:val="007171AE"/>
    <w:rsid w:val="0074131C"/>
    <w:rsid w:val="007C28FF"/>
    <w:rsid w:val="007D043F"/>
    <w:rsid w:val="007E7BB9"/>
    <w:rsid w:val="00815152"/>
    <w:rsid w:val="00823AC4"/>
    <w:rsid w:val="008427EF"/>
    <w:rsid w:val="00857F7D"/>
    <w:rsid w:val="00881C19"/>
    <w:rsid w:val="00895B11"/>
    <w:rsid w:val="008A5DB5"/>
    <w:rsid w:val="008B7AA7"/>
    <w:rsid w:val="008C419F"/>
    <w:rsid w:val="009065A6"/>
    <w:rsid w:val="0093208F"/>
    <w:rsid w:val="00942A04"/>
    <w:rsid w:val="0095449B"/>
    <w:rsid w:val="00954C06"/>
    <w:rsid w:val="009623F3"/>
    <w:rsid w:val="00994C77"/>
    <w:rsid w:val="009E261B"/>
    <w:rsid w:val="009E4F2F"/>
    <w:rsid w:val="009E61E2"/>
    <w:rsid w:val="00A374E8"/>
    <w:rsid w:val="00A45085"/>
    <w:rsid w:val="00A624C7"/>
    <w:rsid w:val="00A855AA"/>
    <w:rsid w:val="00A92540"/>
    <w:rsid w:val="00A9665D"/>
    <w:rsid w:val="00AB6378"/>
    <w:rsid w:val="00AC0F48"/>
    <w:rsid w:val="00AC13E6"/>
    <w:rsid w:val="00AD3AA8"/>
    <w:rsid w:val="00B06830"/>
    <w:rsid w:val="00B34412"/>
    <w:rsid w:val="00B40FFD"/>
    <w:rsid w:val="00B90041"/>
    <w:rsid w:val="00B93A83"/>
    <w:rsid w:val="00BA5503"/>
    <w:rsid w:val="00BB38C4"/>
    <w:rsid w:val="00BC41FD"/>
    <w:rsid w:val="00BE1E5F"/>
    <w:rsid w:val="00BE2524"/>
    <w:rsid w:val="00BE3448"/>
    <w:rsid w:val="00C16256"/>
    <w:rsid w:val="00C17D0C"/>
    <w:rsid w:val="00C242BB"/>
    <w:rsid w:val="00C42239"/>
    <w:rsid w:val="00C52EF4"/>
    <w:rsid w:val="00C534CA"/>
    <w:rsid w:val="00C53903"/>
    <w:rsid w:val="00C604B4"/>
    <w:rsid w:val="00C701EA"/>
    <w:rsid w:val="00C93B39"/>
    <w:rsid w:val="00C96AC1"/>
    <w:rsid w:val="00D066AE"/>
    <w:rsid w:val="00D07535"/>
    <w:rsid w:val="00D1521C"/>
    <w:rsid w:val="00D319BF"/>
    <w:rsid w:val="00D4161E"/>
    <w:rsid w:val="00D41ACC"/>
    <w:rsid w:val="00D41F17"/>
    <w:rsid w:val="00D51AC4"/>
    <w:rsid w:val="00D54516"/>
    <w:rsid w:val="00D55BDB"/>
    <w:rsid w:val="00D57FD0"/>
    <w:rsid w:val="00DC2C96"/>
    <w:rsid w:val="00DD058A"/>
    <w:rsid w:val="00DE44CB"/>
    <w:rsid w:val="00DE57E8"/>
    <w:rsid w:val="00E161F4"/>
    <w:rsid w:val="00E34698"/>
    <w:rsid w:val="00E6418E"/>
    <w:rsid w:val="00E74BDD"/>
    <w:rsid w:val="00E817A4"/>
    <w:rsid w:val="00E94E1F"/>
    <w:rsid w:val="00EB143D"/>
    <w:rsid w:val="00EF0791"/>
    <w:rsid w:val="00EF73D6"/>
    <w:rsid w:val="00F21D85"/>
    <w:rsid w:val="00F23D98"/>
    <w:rsid w:val="00F240A7"/>
    <w:rsid w:val="00F34A56"/>
    <w:rsid w:val="00F47E13"/>
    <w:rsid w:val="00F51A96"/>
    <w:rsid w:val="00F9258B"/>
    <w:rsid w:val="00F94D85"/>
    <w:rsid w:val="00FC4527"/>
    <w:rsid w:val="00FC5215"/>
    <w:rsid w:val="00FD5333"/>
    <w:rsid w:val="00FF1685"/>
    <w:rsid w:val="00FF1CAD"/>
    <w:rsid w:val="00FF1F1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E526D9F-D014-4580-8AA0-51ABDD39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4"/>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5A57F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7A4"/>
    <w:pPr>
      <w:tabs>
        <w:tab w:val="center" w:pos="4153"/>
        <w:tab w:val="right" w:pos="8306"/>
      </w:tabs>
    </w:pPr>
  </w:style>
  <w:style w:type="character" w:customStyle="1" w:styleId="HeaderChar">
    <w:name w:val="Header Char"/>
    <w:basedOn w:val="DefaultParagraphFont"/>
    <w:link w:val="Header"/>
    <w:uiPriority w:val="99"/>
    <w:rsid w:val="00E817A4"/>
    <w:rPr>
      <w:rFonts w:ascii="Times New Roman" w:eastAsia="Calibri" w:hAnsi="Times New Roman" w:cs="Times New Roman"/>
      <w:sz w:val="24"/>
      <w:szCs w:val="24"/>
      <w:lang w:eastAsia="lv-LV"/>
    </w:rPr>
  </w:style>
  <w:style w:type="character" w:styleId="PageNumber">
    <w:name w:val="page number"/>
    <w:rsid w:val="00E817A4"/>
    <w:rPr>
      <w:rFonts w:cs="Times New Roman"/>
    </w:rPr>
  </w:style>
  <w:style w:type="character" w:styleId="Hyperlink">
    <w:name w:val="Hyperlink"/>
    <w:rsid w:val="00E817A4"/>
    <w:rPr>
      <w:rFonts w:cs="Times New Roman"/>
      <w:color w:val="0000FF"/>
      <w:u w:val="single"/>
    </w:rPr>
  </w:style>
  <w:style w:type="paragraph" w:styleId="BodyText2">
    <w:name w:val="Body Text 2"/>
    <w:basedOn w:val="Normal"/>
    <w:link w:val="BodyText2Char"/>
    <w:semiHidden/>
    <w:rsid w:val="00E817A4"/>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semiHidden/>
    <w:rsid w:val="00E817A4"/>
    <w:rPr>
      <w:rFonts w:ascii="Times New Roman" w:eastAsia="Calibri" w:hAnsi="Times New Roman" w:cs="Times New Roman"/>
      <w:b/>
      <w:bCs/>
      <w:sz w:val="28"/>
      <w:szCs w:val="28"/>
      <w:lang w:eastAsia="lv-LV"/>
    </w:rPr>
  </w:style>
  <w:style w:type="character" w:styleId="CommentReference">
    <w:name w:val="annotation reference"/>
    <w:uiPriority w:val="99"/>
    <w:unhideWhenUsed/>
    <w:rsid w:val="00E817A4"/>
    <w:rPr>
      <w:sz w:val="16"/>
      <w:szCs w:val="16"/>
    </w:rPr>
  </w:style>
  <w:style w:type="paragraph" w:styleId="CommentText">
    <w:name w:val="annotation text"/>
    <w:basedOn w:val="Normal"/>
    <w:link w:val="CommentTextChar"/>
    <w:uiPriority w:val="99"/>
    <w:unhideWhenUsed/>
    <w:rsid w:val="00E817A4"/>
    <w:rPr>
      <w:sz w:val="20"/>
      <w:szCs w:val="20"/>
    </w:rPr>
  </w:style>
  <w:style w:type="character" w:customStyle="1" w:styleId="CommentTextChar">
    <w:name w:val="Comment Text Char"/>
    <w:basedOn w:val="DefaultParagraphFont"/>
    <w:link w:val="CommentText"/>
    <w:uiPriority w:val="99"/>
    <w:rsid w:val="00E817A4"/>
    <w:rPr>
      <w:rFonts w:ascii="Times New Roman" w:eastAsia="Calibri" w:hAnsi="Times New Roman" w:cs="Times New Roman"/>
      <w:sz w:val="20"/>
      <w:szCs w:val="20"/>
      <w:lang w:eastAsia="lv-LV"/>
    </w:rPr>
  </w:style>
  <w:style w:type="paragraph" w:styleId="ListParagraph">
    <w:name w:val="List Paragraph"/>
    <w:aliases w:val="2,Bullet list,H&amp;P List Paragraph,Normal bullet 2,Saraksta rindkopa1,Strip"/>
    <w:basedOn w:val="Normal"/>
    <w:link w:val="ListParagraphChar"/>
    <w:uiPriority w:val="34"/>
    <w:qFormat/>
    <w:rsid w:val="00E817A4"/>
    <w:pPr>
      <w:ind w:left="720"/>
      <w:contextualSpacing/>
    </w:pPr>
    <w:rPr>
      <w:rFonts w:eastAsia="Times New Roman"/>
      <w:sz w:val="22"/>
      <w:szCs w:val="22"/>
    </w:rPr>
  </w:style>
  <w:style w:type="paragraph" w:styleId="FootnoteText">
    <w:name w:val="footnote text"/>
    <w:aliases w:val="Footnote,Fußnote"/>
    <w:basedOn w:val="Normal"/>
    <w:link w:val="FootnoteTextChar"/>
    <w:rsid w:val="00E817A4"/>
    <w:rPr>
      <w:rFonts w:eastAsia="Times New Roman"/>
      <w:sz w:val="20"/>
      <w:szCs w:val="20"/>
      <w:lang w:val="en-AU"/>
    </w:rPr>
  </w:style>
  <w:style w:type="character" w:customStyle="1" w:styleId="FootnoteTextChar">
    <w:name w:val="Footnote Text Char"/>
    <w:aliases w:val="Footnote Char,Fußnote Char"/>
    <w:basedOn w:val="DefaultParagraphFont"/>
    <w:link w:val="FootnoteText"/>
    <w:rsid w:val="00E817A4"/>
    <w:rPr>
      <w:rFonts w:ascii="Times New Roman" w:eastAsia="Times New Roman" w:hAnsi="Times New Roman" w:cs="Times New Roman"/>
      <w:sz w:val="20"/>
      <w:szCs w:val="20"/>
      <w:lang w:val="en-AU" w:eastAsia="lv-LV"/>
    </w:rPr>
  </w:style>
  <w:style w:type="character" w:styleId="FootnoteReference">
    <w:name w:val="footnote reference"/>
    <w:aliases w:val="Footnote Reference Number"/>
    <w:rsid w:val="00E817A4"/>
    <w:rPr>
      <w:vertAlign w:val="superscript"/>
    </w:rPr>
  </w:style>
  <w:style w:type="paragraph" w:customStyle="1" w:styleId="naiskr">
    <w:name w:val="naiskr"/>
    <w:basedOn w:val="Normal"/>
    <w:rsid w:val="00E817A4"/>
    <w:pPr>
      <w:spacing w:before="100" w:beforeAutospacing="1" w:after="100" w:afterAutospacing="1"/>
    </w:pPr>
    <w:rPr>
      <w:rFonts w:eastAsia="Times New Roman"/>
    </w:rPr>
  </w:style>
  <w:style w:type="paragraph" w:customStyle="1" w:styleId="naisnod">
    <w:name w:val="naisnod"/>
    <w:basedOn w:val="Normal"/>
    <w:rsid w:val="00E817A4"/>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E817A4"/>
    <w:rPr>
      <w:rFonts w:ascii="Times New Roman" w:eastAsia="Times New Roman" w:hAnsi="Times New Roman" w:cs="Times New Roman"/>
      <w:lang w:eastAsia="lv-LV"/>
    </w:rPr>
  </w:style>
  <w:style w:type="paragraph" w:customStyle="1" w:styleId="naisf">
    <w:name w:val="naisf"/>
    <w:basedOn w:val="Normal"/>
    <w:rsid w:val="00E817A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817A4"/>
    <w:rPr>
      <w:rFonts w:ascii="Tahoma" w:hAnsi="Tahoma" w:cs="Tahoma"/>
      <w:sz w:val="16"/>
      <w:szCs w:val="16"/>
    </w:rPr>
  </w:style>
  <w:style w:type="character" w:customStyle="1" w:styleId="BalloonTextChar">
    <w:name w:val="Balloon Text Char"/>
    <w:basedOn w:val="DefaultParagraphFont"/>
    <w:link w:val="BalloonText"/>
    <w:uiPriority w:val="99"/>
    <w:semiHidden/>
    <w:rsid w:val="00E817A4"/>
    <w:rPr>
      <w:rFonts w:ascii="Tahoma" w:eastAsia="Calibri" w:hAnsi="Tahoma" w:cs="Tahoma"/>
      <w:sz w:val="16"/>
      <w:szCs w:val="16"/>
      <w:lang w:eastAsia="lv-LV"/>
    </w:rPr>
  </w:style>
  <w:style w:type="paragraph" w:styleId="Footer">
    <w:name w:val="footer"/>
    <w:basedOn w:val="Normal"/>
    <w:link w:val="FooterChar"/>
    <w:uiPriority w:val="99"/>
    <w:semiHidden/>
    <w:unhideWhenUsed/>
    <w:rsid w:val="00E817A4"/>
    <w:pPr>
      <w:tabs>
        <w:tab w:val="center" w:pos="4677"/>
        <w:tab w:val="right" w:pos="9355"/>
      </w:tabs>
    </w:pPr>
  </w:style>
  <w:style w:type="character" w:customStyle="1" w:styleId="FooterChar">
    <w:name w:val="Footer Char"/>
    <w:basedOn w:val="DefaultParagraphFont"/>
    <w:link w:val="Footer"/>
    <w:uiPriority w:val="99"/>
    <w:semiHidden/>
    <w:rsid w:val="00E817A4"/>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3B39"/>
    <w:rPr>
      <w:b/>
      <w:bCs/>
    </w:rPr>
  </w:style>
  <w:style w:type="character" w:customStyle="1" w:styleId="CommentSubjectChar">
    <w:name w:val="Comment Subject Char"/>
    <w:basedOn w:val="CommentTextChar"/>
    <w:link w:val="CommentSubject"/>
    <w:uiPriority w:val="99"/>
    <w:semiHidden/>
    <w:rsid w:val="00C93B39"/>
    <w:rPr>
      <w:rFonts w:ascii="Times New Roman" w:eastAsia="Calibri" w:hAnsi="Times New Roman" w:cs="Times New Roman"/>
      <w:b/>
      <w:bCs/>
      <w:sz w:val="20"/>
      <w:szCs w:val="20"/>
      <w:lang w:eastAsia="lv-LV"/>
    </w:rPr>
  </w:style>
  <w:style w:type="character" w:customStyle="1" w:styleId="FontStyle73">
    <w:name w:val="Font Style73"/>
    <w:uiPriority w:val="99"/>
    <w:rsid w:val="001E1A18"/>
    <w:rPr>
      <w:rFonts w:ascii="Times New Roman" w:hAnsi="Times New Roman" w:cs="Times New Roman"/>
      <w:sz w:val="22"/>
      <w:szCs w:val="22"/>
    </w:rPr>
  </w:style>
  <w:style w:type="paragraph" w:styleId="NoSpacing">
    <w:name w:val="No Spacing"/>
    <w:uiPriority w:val="1"/>
    <w:qFormat/>
    <w:rsid w:val="001E1A18"/>
    <w:pPr>
      <w:spacing w:after="0" w:line="240" w:lineRule="auto"/>
    </w:pPr>
    <w:rPr>
      <w:rFonts w:ascii="Calibri" w:eastAsia="ヒラギノ角ゴ Pro W3" w:hAnsi="Calibri" w:cs="Times New Roman"/>
      <w:color w:val="000000"/>
      <w:szCs w:val="24"/>
    </w:rPr>
  </w:style>
  <w:style w:type="character" w:styleId="Emphasis">
    <w:name w:val="Emphasis"/>
    <w:basedOn w:val="DefaultParagraphFont"/>
    <w:uiPriority w:val="20"/>
    <w:qFormat/>
    <w:rsid w:val="00B40FFD"/>
    <w:rPr>
      <w:i/>
      <w:iCs/>
    </w:rPr>
  </w:style>
  <w:style w:type="paragraph" w:styleId="EndnoteText">
    <w:name w:val="endnote text"/>
    <w:basedOn w:val="Normal"/>
    <w:link w:val="EndnoteTextChar"/>
    <w:uiPriority w:val="99"/>
    <w:semiHidden/>
    <w:unhideWhenUsed/>
    <w:rsid w:val="0074131C"/>
    <w:rPr>
      <w:sz w:val="20"/>
      <w:szCs w:val="20"/>
    </w:rPr>
  </w:style>
  <w:style w:type="character" w:customStyle="1" w:styleId="EndnoteTextChar">
    <w:name w:val="Endnote Text Char"/>
    <w:basedOn w:val="DefaultParagraphFont"/>
    <w:link w:val="EndnoteText"/>
    <w:uiPriority w:val="99"/>
    <w:semiHidden/>
    <w:rsid w:val="0074131C"/>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74131C"/>
    <w:rPr>
      <w:vertAlign w:val="superscript"/>
    </w:rPr>
  </w:style>
  <w:style w:type="paragraph" w:styleId="NormalWeb">
    <w:name w:val="Normal (Web)"/>
    <w:basedOn w:val="Normal"/>
    <w:uiPriority w:val="99"/>
    <w:semiHidden/>
    <w:unhideWhenUsed/>
    <w:rsid w:val="00705244"/>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5A57FB"/>
    <w:rPr>
      <w:rFonts w:ascii="Times New Roman" w:eastAsia="Times New Roman" w:hAnsi="Times New Roman" w:cs="Times New Roman"/>
      <w:b/>
      <w:bCs/>
      <w:sz w:val="27"/>
      <w:szCs w:val="27"/>
      <w:lang w:eastAsia="lv-LV"/>
    </w:rPr>
  </w:style>
  <w:style w:type="paragraph" w:customStyle="1" w:styleId="liknoteik">
    <w:name w:val="lik_noteik"/>
    <w:basedOn w:val="Normal"/>
    <w:rsid w:val="005A57FB"/>
    <w:pPr>
      <w:spacing w:before="100" w:beforeAutospacing="1" w:after="100" w:afterAutospacing="1"/>
    </w:pPr>
    <w:rPr>
      <w:rFonts w:eastAsia="Times New Roman"/>
    </w:rPr>
  </w:style>
  <w:style w:type="paragraph" w:customStyle="1" w:styleId="likdat">
    <w:name w:val="lik_dat"/>
    <w:basedOn w:val="Normal"/>
    <w:rsid w:val="005A57F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6FC0-4E9F-4E10-BC62-6BF141FC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19840</Words>
  <Characters>11310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Anotācija grozījumiem MK 30.08.2016 noteikumos Nr.4588,  21.06.2016.noteikumos Nr.403</vt:lpstr>
    </vt:vector>
  </TitlesOfParts>
  <Company>VARAM</Company>
  <LinksUpToDate>false</LinksUpToDate>
  <CharactersWithSpaces>31088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MK 30.08.2016 noteikumos Nr.4588,  21.06.2016.noteikumos Nr.403</dc:title>
  <dc:subject>Anotācija</dc:subject>
  <dc:creator>Austra Auziņa</dc:creator>
  <cp:lastModifiedBy>Austra Auziņa</cp:lastModifiedBy>
  <cp:revision>5</cp:revision>
  <cp:lastPrinted>2018-04-05T13:45:00Z</cp:lastPrinted>
  <dcterms:created xsi:type="dcterms:W3CDTF">2018-05-15T13:37:00Z</dcterms:created>
  <dcterms:modified xsi:type="dcterms:W3CDTF">2018-05-16T14:18:00Z</dcterms:modified>
</cp:coreProperties>
</file>