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68EA" w14:textId="77777777" w:rsidR="009250BE" w:rsidRDefault="00824887"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Ministru kabineta noteikumu projekta</w:t>
      </w:r>
    </w:p>
    <w:p w14:paraId="16F2C1C3" w14:textId="5B1D868C" w:rsidR="0070362B" w:rsidRDefault="00824887"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 xml:space="preserve"> “</w:t>
      </w:r>
      <w:r w:rsidR="00A87BDC" w:rsidRPr="00A87BDC">
        <w:rPr>
          <w:rFonts w:ascii="Times New Roman" w:eastAsia="Times New Roman" w:hAnsi="Times New Roman" w:cs="Times New Roman"/>
          <w:b/>
          <w:bCs/>
          <w:sz w:val="24"/>
          <w:szCs w:val="24"/>
          <w:lang w:eastAsia="lv-LV"/>
        </w:rPr>
        <w:t>Gr</w:t>
      </w:r>
      <w:r w:rsidR="00744324">
        <w:rPr>
          <w:rFonts w:ascii="Times New Roman" w:eastAsia="Times New Roman" w:hAnsi="Times New Roman" w:cs="Times New Roman"/>
          <w:b/>
          <w:bCs/>
          <w:sz w:val="24"/>
          <w:szCs w:val="24"/>
          <w:lang w:eastAsia="lv-LV"/>
        </w:rPr>
        <w:t>ozījumi Ministru kabineta 2009. </w:t>
      </w:r>
      <w:r w:rsidR="00A87BDC" w:rsidRPr="00A87BDC">
        <w:rPr>
          <w:rFonts w:ascii="Times New Roman" w:eastAsia="Times New Roman" w:hAnsi="Times New Roman" w:cs="Times New Roman"/>
          <w:b/>
          <w:bCs/>
          <w:sz w:val="24"/>
          <w:szCs w:val="24"/>
          <w:lang w:eastAsia="lv-LV"/>
        </w:rPr>
        <w:t>gada 19.</w:t>
      </w:r>
      <w:r w:rsidR="00744324">
        <w:rPr>
          <w:rFonts w:ascii="Times New Roman" w:eastAsia="Times New Roman" w:hAnsi="Times New Roman" w:cs="Times New Roman"/>
          <w:b/>
          <w:bCs/>
          <w:sz w:val="24"/>
          <w:szCs w:val="24"/>
          <w:lang w:eastAsia="lv-LV"/>
        </w:rPr>
        <w:t> </w:t>
      </w:r>
      <w:r w:rsidR="00A87BDC" w:rsidRPr="00A87BDC">
        <w:rPr>
          <w:rFonts w:ascii="Times New Roman" w:eastAsia="Times New Roman" w:hAnsi="Times New Roman" w:cs="Times New Roman"/>
          <w:b/>
          <w:bCs/>
          <w:sz w:val="24"/>
          <w:szCs w:val="24"/>
          <w:lang w:eastAsia="lv-LV"/>
        </w:rPr>
        <w:t>maija noteikumos Nr.</w:t>
      </w:r>
      <w:r w:rsidR="00744324">
        <w:rPr>
          <w:rFonts w:ascii="Times New Roman" w:eastAsia="Times New Roman" w:hAnsi="Times New Roman" w:cs="Times New Roman"/>
          <w:b/>
          <w:bCs/>
          <w:sz w:val="24"/>
          <w:szCs w:val="24"/>
          <w:lang w:eastAsia="lv-LV"/>
        </w:rPr>
        <w:t> </w:t>
      </w:r>
      <w:r w:rsidR="00FD769A">
        <w:rPr>
          <w:rFonts w:ascii="Times New Roman" w:eastAsia="Times New Roman" w:hAnsi="Times New Roman" w:cs="Times New Roman"/>
          <w:b/>
          <w:bCs/>
          <w:sz w:val="24"/>
          <w:szCs w:val="24"/>
          <w:lang w:eastAsia="lv-LV"/>
        </w:rPr>
        <w:t>450 “</w:t>
      </w:r>
      <w:r w:rsidR="00A87BDC" w:rsidRPr="00A87BDC">
        <w:rPr>
          <w:rFonts w:ascii="Times New Roman" w:eastAsia="Times New Roman" w:hAnsi="Times New Roman" w:cs="Times New Roman"/>
          <w:b/>
          <w:bCs/>
          <w:sz w:val="24"/>
          <w:szCs w:val="24"/>
          <w:lang w:eastAsia="lv-LV"/>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p>
    <w:p w14:paraId="7A0006C4" w14:textId="77777777" w:rsidR="00824887" w:rsidRPr="00550846" w:rsidRDefault="00824887"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sākotnējās ietekmes novērtējuma ziņojums (anotācija)</w:t>
      </w:r>
    </w:p>
    <w:p w14:paraId="6E107E7E" w14:textId="77777777" w:rsidR="00550846" w:rsidRPr="00550846" w:rsidRDefault="00550846" w:rsidP="00A807BA">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firstRow="1" w:lastRow="0" w:firstColumn="1" w:lastColumn="0" w:noHBand="0" w:noVBand="1"/>
      </w:tblPr>
      <w:tblGrid>
        <w:gridCol w:w="2093"/>
        <w:gridCol w:w="7116"/>
      </w:tblGrid>
      <w:tr w:rsidR="00824887" w:rsidRPr="00550846" w14:paraId="49150B5D" w14:textId="77777777" w:rsidTr="00A807BA">
        <w:tc>
          <w:tcPr>
            <w:tcW w:w="9209" w:type="dxa"/>
            <w:gridSpan w:val="2"/>
          </w:tcPr>
          <w:p w14:paraId="09D19A31" w14:textId="77777777" w:rsidR="00824887" w:rsidRPr="00550846" w:rsidRDefault="00824887" w:rsidP="009B6979">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bCs/>
                <w:iCs/>
                <w:sz w:val="24"/>
                <w:szCs w:val="24"/>
                <w:lang w:eastAsia="lv-LV"/>
              </w:rPr>
              <w:t>Tiesību akta projekta anotācijas kopsavilkums</w:t>
            </w:r>
          </w:p>
        </w:tc>
      </w:tr>
      <w:tr w:rsidR="00824887" w:rsidRPr="00550846" w14:paraId="2B058C1C" w14:textId="77777777" w:rsidTr="00550846">
        <w:tc>
          <w:tcPr>
            <w:tcW w:w="2093" w:type="dxa"/>
          </w:tcPr>
          <w:p w14:paraId="4761C627" w14:textId="77777777" w:rsidR="00824887" w:rsidRPr="00550846" w:rsidRDefault="00824887" w:rsidP="009B6979">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iCs/>
                <w:sz w:val="24"/>
                <w:szCs w:val="24"/>
                <w:lang w:eastAsia="lv-LV"/>
              </w:rPr>
              <w:t>Mērķis, risinājums un projekta spēkā stāšanās laiks</w:t>
            </w:r>
          </w:p>
        </w:tc>
        <w:tc>
          <w:tcPr>
            <w:tcW w:w="7116" w:type="dxa"/>
          </w:tcPr>
          <w:p w14:paraId="0CFB9811" w14:textId="77777777" w:rsidR="00824887" w:rsidRPr="00550846" w:rsidRDefault="00550846" w:rsidP="00550846">
            <w:pPr>
              <w:jc w:val="both"/>
              <w:rPr>
                <w:rFonts w:ascii="Times New Roman" w:eastAsia="Times New Roman" w:hAnsi="Times New Roman"/>
                <w:sz w:val="24"/>
                <w:szCs w:val="24"/>
                <w:lang w:eastAsia="lv-LV"/>
              </w:rPr>
            </w:pPr>
            <w:r w:rsidRPr="00DB68D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DB68D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DB68DB">
              <w:rPr>
                <w:rFonts w:ascii="Times New Roman" w:eastAsia="Times New Roman" w:hAnsi="Times New Roman"/>
                <w:sz w:val="24"/>
                <w:szCs w:val="24"/>
                <w:lang w:eastAsia="lv-LV"/>
              </w:rPr>
              <w:t>punktu anotācijas kopsavilkums nav aizpildāms.</w:t>
            </w:r>
          </w:p>
        </w:tc>
      </w:tr>
    </w:tbl>
    <w:p w14:paraId="0EDCD00A" w14:textId="77777777" w:rsidR="00824887" w:rsidRPr="00550846" w:rsidRDefault="00824887" w:rsidP="0082488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194"/>
      </w:tblGrid>
      <w:tr w:rsidR="00824887" w:rsidRPr="00550846" w14:paraId="69C99137" w14:textId="77777777" w:rsidTr="009B6979">
        <w:tc>
          <w:tcPr>
            <w:tcW w:w="9287" w:type="dxa"/>
            <w:gridSpan w:val="3"/>
          </w:tcPr>
          <w:p w14:paraId="4825B625" w14:textId="77777777" w:rsidR="00824887" w:rsidRPr="00550846" w:rsidRDefault="00824887" w:rsidP="00F201D0">
            <w:pPr>
              <w:jc w:val="center"/>
              <w:rPr>
                <w:rFonts w:ascii="Times New Roman" w:eastAsia="Times New Roman" w:hAnsi="Times New Roman"/>
                <w:b/>
                <w:sz w:val="24"/>
                <w:szCs w:val="24"/>
                <w:lang w:eastAsia="lv-LV"/>
              </w:rPr>
            </w:pPr>
            <w:r w:rsidRPr="00550846">
              <w:rPr>
                <w:rFonts w:ascii="Times New Roman" w:eastAsia="Times New Roman" w:hAnsi="Times New Roman"/>
                <w:b/>
                <w:sz w:val="24"/>
                <w:szCs w:val="24"/>
                <w:lang w:eastAsia="lv-LV"/>
              </w:rPr>
              <w:t>I. Tiesību akta projekta izstrādes nepieciešamība</w:t>
            </w:r>
          </w:p>
        </w:tc>
      </w:tr>
      <w:tr w:rsidR="00824887" w:rsidRPr="00550846" w14:paraId="2F89CEFC" w14:textId="77777777" w:rsidTr="009B6979">
        <w:tc>
          <w:tcPr>
            <w:tcW w:w="396" w:type="dxa"/>
          </w:tcPr>
          <w:p w14:paraId="74D4DAC5" w14:textId="77777777"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1.</w:t>
            </w:r>
          </w:p>
        </w:tc>
        <w:tc>
          <w:tcPr>
            <w:tcW w:w="1697" w:type="dxa"/>
          </w:tcPr>
          <w:p w14:paraId="24D9B812" w14:textId="77777777"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Cs/>
                <w:sz w:val="24"/>
                <w:szCs w:val="24"/>
                <w:lang w:eastAsia="lv-LV"/>
              </w:rPr>
              <w:t>Pamatojums</w:t>
            </w:r>
          </w:p>
        </w:tc>
        <w:tc>
          <w:tcPr>
            <w:tcW w:w="7194" w:type="dxa"/>
          </w:tcPr>
          <w:p w14:paraId="4F7751CC" w14:textId="20F0CAB7" w:rsidR="00AA0138" w:rsidRPr="00FD769A" w:rsidRDefault="00146FE0" w:rsidP="00FD769A">
            <w:pPr>
              <w:pStyle w:val="naisc"/>
              <w:spacing w:after="0"/>
              <w:jc w:val="both"/>
            </w:pPr>
            <w:r w:rsidRPr="008F58E0">
              <w:rPr>
                <w:bCs/>
              </w:rPr>
              <w:t>Minist</w:t>
            </w:r>
            <w:r w:rsidR="00FD769A">
              <w:rPr>
                <w:bCs/>
              </w:rPr>
              <w:t>ru kabineta noteikumu projekts “</w:t>
            </w:r>
            <w:r w:rsidR="00A87BDC" w:rsidRPr="00A87BDC">
              <w:rPr>
                <w:bCs/>
              </w:rPr>
              <w:t>Grozījumi Ministru kabineta 2009.</w:t>
            </w:r>
            <w:r w:rsidR="00744324">
              <w:rPr>
                <w:bCs/>
              </w:rPr>
              <w:t> </w:t>
            </w:r>
            <w:r w:rsidR="00A87BDC" w:rsidRPr="00A87BDC">
              <w:rPr>
                <w:bCs/>
              </w:rPr>
              <w:t>gada 19.</w:t>
            </w:r>
            <w:r w:rsidR="00744324">
              <w:rPr>
                <w:bCs/>
              </w:rPr>
              <w:t> </w:t>
            </w:r>
            <w:r w:rsidR="00A87BDC" w:rsidRPr="00A87BDC">
              <w:rPr>
                <w:bCs/>
              </w:rPr>
              <w:t>maija noteikumos Nr.</w:t>
            </w:r>
            <w:r w:rsidR="00744324">
              <w:rPr>
                <w:bCs/>
              </w:rPr>
              <w:t> </w:t>
            </w:r>
            <w:r w:rsidR="00FD769A">
              <w:rPr>
                <w:bCs/>
              </w:rPr>
              <w:t>450 “</w:t>
            </w:r>
            <w:r w:rsidR="00A87BDC" w:rsidRPr="00A87BDC">
              <w:rPr>
                <w:bCs/>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Pr="008F58E0">
              <w:rPr>
                <w:bCs/>
              </w:rPr>
              <w:t xml:space="preserve"> (turpmāk </w:t>
            </w:r>
            <w:r w:rsidR="008F58E0">
              <w:rPr>
                <w:bCs/>
              </w:rPr>
              <w:t>–</w:t>
            </w:r>
            <w:r w:rsidRPr="008F58E0">
              <w:rPr>
                <w:bCs/>
              </w:rPr>
              <w:t xml:space="preserve"> n</w:t>
            </w:r>
            <w:r w:rsidR="008435B8" w:rsidRPr="008F58E0">
              <w:rPr>
                <w:rStyle w:val="Strong"/>
                <w:b w:val="0"/>
                <w:bCs w:val="0"/>
              </w:rPr>
              <w:t>oteikumu projekts)</w:t>
            </w:r>
            <w:r w:rsidRPr="008F58E0">
              <w:rPr>
                <w:rStyle w:val="Strong"/>
                <w:b w:val="0"/>
                <w:bCs w:val="0"/>
              </w:rPr>
              <w:t xml:space="preserve"> izstrādāts</w:t>
            </w:r>
            <w:r w:rsidR="00FB6330" w:rsidRPr="008F58E0">
              <w:rPr>
                <w:rStyle w:val="Strong"/>
                <w:b w:val="0"/>
                <w:bCs w:val="0"/>
              </w:rPr>
              <w:t xml:space="preserve"> atbilstoši </w:t>
            </w:r>
            <w:r w:rsidRPr="008F58E0">
              <w:rPr>
                <w:rStyle w:val="Strong"/>
                <w:b w:val="0"/>
                <w:bCs w:val="0"/>
              </w:rPr>
              <w:t xml:space="preserve">Dabas resursu nodokļa likuma </w:t>
            </w:r>
            <w:r w:rsidR="00AA0138">
              <w:rPr>
                <w:rStyle w:val="Strong"/>
                <w:b w:val="0"/>
                <w:bCs w:val="0"/>
              </w:rPr>
              <w:t>7. </w:t>
            </w:r>
            <w:r w:rsidR="00AA0138" w:rsidRPr="00AA0138">
              <w:rPr>
                <w:rStyle w:val="Strong"/>
                <w:b w:val="0"/>
                <w:bCs w:val="0"/>
              </w:rPr>
              <w:t>panta sept</w:t>
            </w:r>
            <w:r w:rsidR="00AA0138">
              <w:rPr>
                <w:rStyle w:val="Strong"/>
                <w:b w:val="0"/>
                <w:bCs w:val="0"/>
              </w:rPr>
              <w:t>ī</w:t>
            </w:r>
            <w:r w:rsidR="00AA0138" w:rsidRPr="00AA0138">
              <w:rPr>
                <w:rStyle w:val="Strong"/>
                <w:b w:val="0"/>
                <w:bCs w:val="0"/>
              </w:rPr>
              <w:t>t</w:t>
            </w:r>
            <w:r w:rsidR="00AA0138">
              <w:rPr>
                <w:rStyle w:val="Strong"/>
                <w:b w:val="0"/>
                <w:bCs w:val="0"/>
              </w:rPr>
              <w:t xml:space="preserve">ajai </w:t>
            </w:r>
            <w:r w:rsidR="00AA0138" w:rsidRPr="00AA0138">
              <w:rPr>
                <w:rStyle w:val="Strong"/>
                <w:b w:val="0"/>
                <w:bCs w:val="0"/>
              </w:rPr>
              <w:t>daļ</w:t>
            </w:r>
            <w:r w:rsidR="00AA0138">
              <w:rPr>
                <w:rStyle w:val="Strong"/>
                <w:b w:val="0"/>
                <w:bCs w:val="0"/>
              </w:rPr>
              <w:t>ai, 8. </w:t>
            </w:r>
            <w:r w:rsidR="00AA0138" w:rsidRPr="00AA0138">
              <w:rPr>
                <w:rStyle w:val="Strong"/>
                <w:b w:val="0"/>
                <w:bCs w:val="0"/>
              </w:rPr>
              <w:t>panta otrās daļas 11. un 12.</w:t>
            </w:r>
            <w:r w:rsidR="00AA0138">
              <w:rPr>
                <w:rStyle w:val="Strong"/>
                <w:b w:val="0"/>
                <w:bCs w:val="0"/>
              </w:rPr>
              <w:t> </w:t>
            </w:r>
            <w:r w:rsidR="00AA0138" w:rsidRPr="00AA0138">
              <w:rPr>
                <w:rStyle w:val="Strong"/>
                <w:b w:val="0"/>
                <w:bCs w:val="0"/>
              </w:rPr>
              <w:t>punkt</w:t>
            </w:r>
            <w:r w:rsidR="00AA0138">
              <w:rPr>
                <w:rStyle w:val="Strong"/>
                <w:b w:val="0"/>
                <w:bCs w:val="0"/>
              </w:rPr>
              <w:t>am</w:t>
            </w:r>
            <w:r w:rsidR="00AA0138" w:rsidRPr="00AA0138">
              <w:rPr>
                <w:rStyle w:val="Strong"/>
                <w:b w:val="0"/>
                <w:bCs w:val="0"/>
              </w:rPr>
              <w:t>,</w:t>
            </w:r>
            <w:r w:rsidR="00AA0138">
              <w:rPr>
                <w:rStyle w:val="Strong"/>
                <w:b w:val="0"/>
                <w:bCs w:val="0"/>
              </w:rPr>
              <w:t xml:space="preserve"> </w:t>
            </w:r>
            <w:r w:rsidR="00AA0138" w:rsidRPr="00AA0138">
              <w:rPr>
                <w:rStyle w:val="Strong"/>
                <w:b w:val="0"/>
                <w:bCs w:val="0"/>
              </w:rPr>
              <w:t>9.</w:t>
            </w:r>
            <w:r w:rsidR="00015195">
              <w:rPr>
                <w:rStyle w:val="Strong"/>
                <w:b w:val="0"/>
                <w:bCs w:val="0"/>
              </w:rPr>
              <w:t> </w:t>
            </w:r>
            <w:bookmarkStart w:id="0" w:name="_GoBack"/>
            <w:bookmarkEnd w:id="0"/>
            <w:r w:rsidR="00AA0138">
              <w:rPr>
                <w:rStyle w:val="Strong"/>
                <w:b w:val="0"/>
                <w:bCs w:val="0"/>
              </w:rPr>
              <w:t>panta otrās daļas 10. un 11.</w:t>
            </w:r>
            <w:r w:rsidR="00AA0138">
              <w:t> </w:t>
            </w:r>
            <w:r w:rsidR="00AA0138" w:rsidRPr="00AA0138">
              <w:rPr>
                <w:rStyle w:val="Strong"/>
                <w:b w:val="0"/>
                <w:bCs w:val="0"/>
              </w:rPr>
              <w:t>punkt</w:t>
            </w:r>
            <w:r w:rsidR="00AA0138">
              <w:rPr>
                <w:rStyle w:val="Strong"/>
                <w:b w:val="0"/>
                <w:bCs w:val="0"/>
              </w:rPr>
              <w:t xml:space="preserve">am un </w:t>
            </w:r>
            <w:r w:rsidR="00AA0138" w:rsidRPr="00AA0138">
              <w:rPr>
                <w:rStyle w:val="Strong"/>
                <w:b w:val="0"/>
                <w:bCs w:val="0"/>
              </w:rPr>
              <w:t>11.</w:t>
            </w:r>
            <w:r w:rsidR="00AA0138" w:rsidRPr="00AA0138">
              <w:rPr>
                <w:rStyle w:val="Strong"/>
                <w:b w:val="0"/>
                <w:bCs w:val="0"/>
                <w:vertAlign w:val="superscript"/>
              </w:rPr>
              <w:t>1</w:t>
            </w:r>
            <w:r w:rsidR="00AA0138">
              <w:rPr>
                <w:rStyle w:val="Strong"/>
                <w:b w:val="0"/>
                <w:bCs w:val="0"/>
              </w:rPr>
              <w:t xml:space="preserve"> panta piektajai </w:t>
            </w:r>
            <w:r w:rsidR="00AA0138" w:rsidRPr="00AA0138">
              <w:rPr>
                <w:rStyle w:val="Strong"/>
                <w:b w:val="0"/>
                <w:bCs w:val="0"/>
              </w:rPr>
              <w:t>daļ</w:t>
            </w:r>
            <w:r w:rsidR="00AA0138">
              <w:rPr>
                <w:rStyle w:val="Strong"/>
                <w:b w:val="0"/>
                <w:bCs w:val="0"/>
              </w:rPr>
              <w:t>ai.</w:t>
            </w:r>
          </w:p>
        </w:tc>
      </w:tr>
      <w:tr w:rsidR="00824887" w:rsidRPr="00550846" w14:paraId="5DF50895" w14:textId="77777777" w:rsidTr="009B6979">
        <w:tc>
          <w:tcPr>
            <w:tcW w:w="396" w:type="dxa"/>
          </w:tcPr>
          <w:p w14:paraId="54D6652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97" w:type="dxa"/>
          </w:tcPr>
          <w:p w14:paraId="3FF34735"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14:paraId="72FFA560" w14:textId="452FF02B" w:rsidR="0092783E" w:rsidRDefault="00744324" w:rsidP="005B1889">
            <w:pPr>
              <w:jc w:val="both"/>
              <w:rPr>
                <w:rFonts w:ascii="Times New Roman" w:hAnsi="Times New Roman" w:cs="Times New Roman"/>
                <w:sz w:val="24"/>
                <w:szCs w:val="24"/>
              </w:rPr>
            </w:pPr>
            <w:r>
              <w:rPr>
                <w:rFonts w:ascii="Times New Roman" w:hAnsi="Times New Roman" w:cs="Times New Roman"/>
                <w:sz w:val="24"/>
                <w:szCs w:val="24"/>
              </w:rPr>
              <w:t>2018. gada 23. maijā stājas spēkā g</w:t>
            </w:r>
            <w:r w:rsidRPr="00744324">
              <w:rPr>
                <w:rFonts w:ascii="Times New Roman" w:hAnsi="Times New Roman" w:cs="Times New Roman"/>
                <w:sz w:val="24"/>
                <w:szCs w:val="24"/>
              </w:rPr>
              <w:t>rozījumi Dabas resursu nodokļa likumā</w:t>
            </w:r>
            <w:r>
              <w:rPr>
                <w:rFonts w:ascii="Times New Roman" w:hAnsi="Times New Roman" w:cs="Times New Roman"/>
                <w:sz w:val="24"/>
                <w:szCs w:val="24"/>
              </w:rPr>
              <w:t xml:space="preserve">, kas </w:t>
            </w:r>
            <w:r w:rsidRPr="00744324">
              <w:rPr>
                <w:rFonts w:ascii="Times New Roman" w:hAnsi="Times New Roman" w:cs="Times New Roman"/>
                <w:sz w:val="24"/>
                <w:szCs w:val="24"/>
              </w:rPr>
              <w:t xml:space="preserve">paredz, ka apsaimniekotājs, kurš darbojas ražotāju atbildības sistēmā Vides aizsardzības un reģionālās attīstības ministrijas padotībā esošai iestādei (Valsts vides dienestam) iesniedz </w:t>
            </w:r>
            <w:r>
              <w:rPr>
                <w:rFonts w:ascii="Times New Roman" w:hAnsi="Times New Roman" w:cs="Times New Roman"/>
                <w:sz w:val="24"/>
                <w:szCs w:val="24"/>
              </w:rPr>
              <w:t xml:space="preserve">finanšu nodrošinājumu </w:t>
            </w:r>
            <w:r w:rsidRPr="00744324">
              <w:rPr>
                <w:rFonts w:ascii="Times New Roman" w:hAnsi="Times New Roman" w:cs="Times New Roman"/>
                <w:sz w:val="24"/>
                <w:szCs w:val="24"/>
              </w:rPr>
              <w:t>un uztur</w:t>
            </w:r>
            <w:r w:rsidR="0092783E">
              <w:rPr>
                <w:rFonts w:ascii="Times New Roman" w:hAnsi="Times New Roman" w:cs="Times New Roman"/>
                <w:sz w:val="24"/>
                <w:szCs w:val="24"/>
              </w:rPr>
              <w:t xml:space="preserve"> </w:t>
            </w:r>
            <w:r w:rsidR="0092783E" w:rsidRPr="00200DC6">
              <w:rPr>
                <w:rFonts w:ascii="Times New Roman" w:hAnsi="Times New Roman" w:cs="Times New Roman"/>
                <w:sz w:val="24"/>
                <w:szCs w:val="24"/>
              </w:rPr>
              <w:t>to</w:t>
            </w:r>
            <w:r w:rsidR="0092783E">
              <w:rPr>
                <w:rFonts w:ascii="Times New Roman" w:hAnsi="Times New Roman" w:cs="Times New Roman"/>
                <w:sz w:val="24"/>
                <w:szCs w:val="24"/>
              </w:rPr>
              <w:t xml:space="preserve"> </w:t>
            </w:r>
            <w:r w:rsidRPr="00744324">
              <w:rPr>
                <w:rFonts w:ascii="Times New Roman" w:hAnsi="Times New Roman" w:cs="Times New Roman"/>
                <w:sz w:val="24"/>
                <w:szCs w:val="24"/>
              </w:rPr>
              <w:t>spēkā visu atbrīv</w:t>
            </w:r>
            <w:r w:rsidR="0092783E">
              <w:rPr>
                <w:rFonts w:ascii="Times New Roman" w:hAnsi="Times New Roman" w:cs="Times New Roman"/>
                <w:sz w:val="24"/>
                <w:szCs w:val="24"/>
              </w:rPr>
              <w:t xml:space="preserve">ojuma no dabas resursu nodokļa </w:t>
            </w:r>
            <w:r w:rsidRPr="00744324">
              <w:rPr>
                <w:rFonts w:ascii="Times New Roman" w:hAnsi="Times New Roman" w:cs="Times New Roman"/>
                <w:sz w:val="24"/>
                <w:szCs w:val="24"/>
              </w:rPr>
              <w:t xml:space="preserve">samaksas piemērošanas laiku. </w:t>
            </w:r>
            <w:r w:rsidR="007E708C">
              <w:rPr>
                <w:rFonts w:ascii="Times New Roman" w:hAnsi="Times New Roman" w:cs="Times New Roman"/>
                <w:sz w:val="24"/>
                <w:szCs w:val="24"/>
              </w:rPr>
              <w:t>Minētie grozījumi bija nepieciešami, jo š</w:t>
            </w:r>
            <w:r w:rsidR="007E708C" w:rsidRPr="007E708C">
              <w:rPr>
                <w:rFonts w:ascii="Times New Roman" w:hAnsi="Times New Roman" w:cs="Times New Roman"/>
                <w:sz w:val="24"/>
                <w:szCs w:val="24"/>
              </w:rPr>
              <w:t xml:space="preserve">ī brīža </w:t>
            </w:r>
            <w:r w:rsidR="007E708C">
              <w:rPr>
                <w:rFonts w:ascii="Times New Roman" w:hAnsi="Times New Roman" w:cs="Times New Roman"/>
                <w:sz w:val="24"/>
                <w:szCs w:val="24"/>
              </w:rPr>
              <w:t xml:space="preserve">normatīvais </w:t>
            </w:r>
            <w:r w:rsidR="007E708C" w:rsidRPr="007E708C">
              <w:rPr>
                <w:rFonts w:ascii="Times New Roman" w:hAnsi="Times New Roman" w:cs="Times New Roman"/>
                <w:sz w:val="24"/>
                <w:szCs w:val="24"/>
              </w:rPr>
              <w:t>regulējums</w:t>
            </w:r>
            <w:r w:rsidR="007E708C">
              <w:rPr>
                <w:rStyle w:val="FootnoteReference"/>
                <w:rFonts w:ascii="Times New Roman" w:hAnsi="Times New Roman" w:cs="Times New Roman"/>
                <w:sz w:val="24"/>
                <w:szCs w:val="24"/>
              </w:rPr>
              <w:footnoteReference w:id="1"/>
            </w:r>
            <w:r w:rsidR="007E708C" w:rsidRPr="007E708C">
              <w:rPr>
                <w:rFonts w:ascii="Times New Roman" w:hAnsi="Times New Roman" w:cs="Times New Roman"/>
                <w:sz w:val="24"/>
                <w:szCs w:val="24"/>
              </w:rPr>
              <w:t xml:space="preserve"> paredz, ka </w:t>
            </w:r>
            <w:proofErr w:type="spellStart"/>
            <w:r w:rsidR="007E708C">
              <w:rPr>
                <w:rFonts w:ascii="Times New Roman" w:hAnsi="Times New Roman" w:cs="Times New Roman"/>
                <w:sz w:val="24"/>
                <w:szCs w:val="24"/>
              </w:rPr>
              <w:t>a</w:t>
            </w:r>
            <w:r w:rsidR="007E708C" w:rsidRPr="007E708C">
              <w:rPr>
                <w:rFonts w:ascii="Times New Roman" w:hAnsi="Times New Roman" w:cs="Times New Roman"/>
                <w:sz w:val="24"/>
                <w:szCs w:val="24"/>
              </w:rPr>
              <w:t>psaimniekotājam</w:t>
            </w:r>
            <w:proofErr w:type="spellEnd"/>
            <w:r w:rsidR="007E708C" w:rsidRPr="007E708C">
              <w:rPr>
                <w:rFonts w:ascii="Times New Roman" w:hAnsi="Times New Roman" w:cs="Times New Roman"/>
                <w:sz w:val="24"/>
                <w:szCs w:val="24"/>
              </w:rPr>
              <w:t xml:space="preserve"> Valsts vides dienestā </w:t>
            </w:r>
            <w:r w:rsidR="007E708C">
              <w:rPr>
                <w:rFonts w:ascii="Times New Roman" w:hAnsi="Times New Roman" w:cs="Times New Roman"/>
                <w:sz w:val="24"/>
                <w:szCs w:val="24"/>
              </w:rPr>
              <w:t xml:space="preserve">(turpmāk – VVD) </w:t>
            </w:r>
            <w:r w:rsidR="007E708C" w:rsidRPr="007E708C">
              <w:rPr>
                <w:rFonts w:ascii="Times New Roman" w:hAnsi="Times New Roman" w:cs="Times New Roman"/>
                <w:sz w:val="24"/>
                <w:szCs w:val="24"/>
              </w:rPr>
              <w:t xml:space="preserve">ir jāiesniedz zvērināta revidenta apliecinājumu par </w:t>
            </w:r>
            <w:proofErr w:type="spellStart"/>
            <w:r w:rsidR="007E708C" w:rsidRPr="007E708C">
              <w:rPr>
                <w:rFonts w:ascii="Times New Roman" w:hAnsi="Times New Roman" w:cs="Times New Roman"/>
                <w:sz w:val="24"/>
                <w:szCs w:val="24"/>
              </w:rPr>
              <w:t>apsaimniekotāja</w:t>
            </w:r>
            <w:proofErr w:type="spellEnd"/>
            <w:r w:rsidR="007E708C" w:rsidRPr="007E708C">
              <w:rPr>
                <w:rFonts w:ascii="Times New Roman" w:hAnsi="Times New Roman" w:cs="Times New Roman"/>
                <w:sz w:val="24"/>
                <w:szCs w:val="24"/>
              </w:rPr>
              <w:t xml:space="preserve"> pamatkapitāla un rezervju summas 2 % apmērā atbilstību aprēķinātajai nodokļa summai pusgadam vai bankas izsniegtās garantijas vai galvojuma vēstules, vai </w:t>
            </w:r>
            <w:proofErr w:type="spellStart"/>
            <w:r w:rsidR="007E708C" w:rsidRPr="007E708C">
              <w:rPr>
                <w:rFonts w:ascii="Times New Roman" w:hAnsi="Times New Roman" w:cs="Times New Roman"/>
                <w:sz w:val="24"/>
                <w:szCs w:val="24"/>
              </w:rPr>
              <w:t>apsaimniekotāja</w:t>
            </w:r>
            <w:proofErr w:type="spellEnd"/>
            <w:r w:rsidR="007E708C" w:rsidRPr="007E708C">
              <w:rPr>
                <w:rFonts w:ascii="Times New Roman" w:hAnsi="Times New Roman" w:cs="Times New Roman"/>
                <w:sz w:val="24"/>
                <w:szCs w:val="24"/>
              </w:rPr>
              <w:t xml:space="preserve"> civiltiesiskās atbildības apdrošināšanas polises kopiju par attiecīgo summu. Praksē š</w:t>
            </w:r>
            <w:r w:rsidR="007E708C">
              <w:rPr>
                <w:rFonts w:ascii="Times New Roman" w:hAnsi="Times New Roman" w:cs="Times New Roman"/>
                <w:sz w:val="24"/>
                <w:szCs w:val="24"/>
              </w:rPr>
              <w:t>ī norma tādā redakcijā nestrādā</w:t>
            </w:r>
            <w:r w:rsidR="007E708C" w:rsidRPr="007E708C">
              <w:rPr>
                <w:rFonts w:ascii="Times New Roman" w:hAnsi="Times New Roman" w:cs="Times New Roman"/>
                <w:sz w:val="24"/>
                <w:szCs w:val="24"/>
              </w:rPr>
              <w:t>, jo pamatā tiek izmantots zvērināta revidenta apliecinājums, kuram ne vienmēr ir atbilstošs</w:t>
            </w:r>
            <w:r w:rsidR="0070362B">
              <w:rPr>
                <w:rFonts w:ascii="Times New Roman" w:hAnsi="Times New Roman" w:cs="Times New Roman"/>
                <w:sz w:val="24"/>
                <w:szCs w:val="24"/>
              </w:rPr>
              <w:t xml:space="preserve"> finansiāls</w:t>
            </w:r>
            <w:r w:rsidR="007E708C" w:rsidRPr="007E708C">
              <w:rPr>
                <w:rFonts w:ascii="Times New Roman" w:hAnsi="Times New Roman" w:cs="Times New Roman"/>
                <w:sz w:val="24"/>
                <w:szCs w:val="24"/>
              </w:rPr>
              <w:t xml:space="preserve"> </w:t>
            </w:r>
            <w:r w:rsidR="0070362B">
              <w:rPr>
                <w:rFonts w:ascii="Times New Roman" w:hAnsi="Times New Roman" w:cs="Times New Roman"/>
                <w:sz w:val="24"/>
                <w:szCs w:val="24"/>
              </w:rPr>
              <w:t>apliecinājums</w:t>
            </w:r>
            <w:r w:rsidR="007E708C" w:rsidRPr="007E708C">
              <w:rPr>
                <w:rFonts w:ascii="Times New Roman" w:hAnsi="Times New Roman" w:cs="Times New Roman"/>
                <w:sz w:val="24"/>
                <w:szCs w:val="24"/>
              </w:rPr>
              <w:t>.</w:t>
            </w:r>
            <w:r w:rsidR="007E708C">
              <w:rPr>
                <w:rFonts w:ascii="Times New Roman" w:hAnsi="Times New Roman" w:cs="Times New Roman"/>
                <w:sz w:val="24"/>
                <w:szCs w:val="24"/>
              </w:rPr>
              <w:t xml:space="preserve"> </w:t>
            </w:r>
            <w:r w:rsidR="00200DC6">
              <w:rPr>
                <w:rFonts w:ascii="Times New Roman" w:hAnsi="Times New Roman" w:cs="Times New Roman"/>
                <w:sz w:val="24"/>
                <w:szCs w:val="24"/>
              </w:rPr>
              <w:t>Dabas resursu nodokļa likuma  11.</w:t>
            </w:r>
            <w:r w:rsidR="00200DC6" w:rsidRPr="00200DC6">
              <w:rPr>
                <w:rFonts w:ascii="Times New Roman" w:hAnsi="Times New Roman" w:cs="Times New Roman"/>
                <w:sz w:val="24"/>
                <w:szCs w:val="24"/>
                <w:vertAlign w:val="superscript"/>
              </w:rPr>
              <w:t>1</w:t>
            </w:r>
            <w:r w:rsidR="00200DC6">
              <w:rPr>
                <w:rFonts w:ascii="Times New Roman" w:hAnsi="Times New Roman" w:cs="Times New Roman"/>
                <w:sz w:val="24"/>
                <w:szCs w:val="24"/>
              </w:rPr>
              <w:t xml:space="preserve"> panta piektajā daļā noteikts jauns </w:t>
            </w:r>
            <w:r w:rsidRPr="00744324">
              <w:rPr>
                <w:rFonts w:ascii="Times New Roman" w:hAnsi="Times New Roman" w:cs="Times New Roman"/>
                <w:sz w:val="24"/>
                <w:szCs w:val="24"/>
              </w:rPr>
              <w:t>deleģējum</w:t>
            </w:r>
            <w:r w:rsidR="00200DC6">
              <w:rPr>
                <w:rFonts w:ascii="Times New Roman" w:hAnsi="Times New Roman" w:cs="Times New Roman"/>
                <w:sz w:val="24"/>
                <w:szCs w:val="24"/>
              </w:rPr>
              <w:t>s</w:t>
            </w:r>
            <w:r w:rsidRPr="00744324">
              <w:rPr>
                <w:rFonts w:ascii="Times New Roman" w:hAnsi="Times New Roman" w:cs="Times New Roman"/>
                <w:sz w:val="24"/>
                <w:szCs w:val="24"/>
              </w:rPr>
              <w:t xml:space="preserve"> Ministru kabinetam attiecībā uz finanšu nodrošinājuma piemērošanu.</w:t>
            </w:r>
            <w:r w:rsidR="00200DC6">
              <w:rPr>
                <w:rFonts w:ascii="Times New Roman" w:hAnsi="Times New Roman" w:cs="Times New Roman"/>
                <w:sz w:val="24"/>
                <w:szCs w:val="24"/>
              </w:rPr>
              <w:t xml:space="preserve"> </w:t>
            </w:r>
            <w:r w:rsidR="0092783E">
              <w:rPr>
                <w:rFonts w:ascii="Times New Roman" w:hAnsi="Times New Roman" w:cs="Times New Roman"/>
                <w:sz w:val="24"/>
                <w:szCs w:val="24"/>
              </w:rPr>
              <w:t>Papildu</w:t>
            </w:r>
            <w:r w:rsidR="00925C13">
              <w:rPr>
                <w:rFonts w:ascii="Times New Roman" w:hAnsi="Times New Roman" w:cs="Times New Roman"/>
                <w:sz w:val="24"/>
                <w:szCs w:val="24"/>
              </w:rPr>
              <w:t>s</w:t>
            </w:r>
            <w:r w:rsidR="0092783E">
              <w:rPr>
                <w:rFonts w:ascii="Times New Roman" w:hAnsi="Times New Roman" w:cs="Times New Roman"/>
                <w:sz w:val="24"/>
                <w:szCs w:val="24"/>
              </w:rPr>
              <w:t xml:space="preserve"> tika precizēts</w:t>
            </w:r>
            <w:r w:rsidR="00925C13">
              <w:rPr>
                <w:rFonts w:ascii="Times New Roman" w:hAnsi="Times New Roman" w:cs="Times New Roman"/>
                <w:sz w:val="24"/>
                <w:szCs w:val="24"/>
              </w:rPr>
              <w:t xml:space="preserve"> arī </w:t>
            </w:r>
            <w:r w:rsidR="0092783E">
              <w:rPr>
                <w:rFonts w:ascii="Times New Roman" w:hAnsi="Times New Roman" w:cs="Times New Roman"/>
                <w:sz w:val="24"/>
                <w:szCs w:val="24"/>
              </w:rPr>
              <w:t xml:space="preserve">deleģējums </w:t>
            </w:r>
            <w:r w:rsidR="00925C13">
              <w:rPr>
                <w:rFonts w:ascii="Times New Roman" w:hAnsi="Times New Roman" w:cs="Times New Roman"/>
                <w:sz w:val="24"/>
                <w:szCs w:val="24"/>
              </w:rPr>
              <w:t xml:space="preserve">Ministru kabinetam </w:t>
            </w:r>
            <w:r w:rsidR="0092783E">
              <w:rPr>
                <w:rFonts w:ascii="Times New Roman" w:hAnsi="Times New Roman" w:cs="Times New Roman"/>
                <w:sz w:val="24"/>
                <w:szCs w:val="24"/>
              </w:rPr>
              <w:t>attiecībā uz v</w:t>
            </w:r>
            <w:r w:rsidR="0092783E" w:rsidRPr="0092783E">
              <w:rPr>
                <w:rFonts w:ascii="Times New Roman" w:hAnsi="Times New Roman" w:cs="Times New Roman"/>
                <w:sz w:val="24"/>
                <w:szCs w:val="24"/>
              </w:rPr>
              <w:t xml:space="preserve">ienpusēju atkāpšanos no apsaimniekošanas līguma, ja </w:t>
            </w:r>
            <w:r w:rsidR="001B293F">
              <w:rPr>
                <w:rFonts w:ascii="Times New Roman" w:hAnsi="Times New Roman" w:cs="Times New Roman"/>
                <w:sz w:val="24"/>
                <w:szCs w:val="24"/>
              </w:rPr>
              <w:t xml:space="preserve">dabas resursu </w:t>
            </w:r>
            <w:r w:rsidR="0092783E" w:rsidRPr="0092783E">
              <w:rPr>
                <w:rFonts w:ascii="Times New Roman" w:hAnsi="Times New Roman" w:cs="Times New Roman"/>
                <w:sz w:val="24"/>
                <w:szCs w:val="24"/>
              </w:rPr>
              <w:t xml:space="preserve">nodokļa </w:t>
            </w:r>
            <w:r w:rsidR="001B293F">
              <w:rPr>
                <w:rFonts w:ascii="Times New Roman" w:hAnsi="Times New Roman" w:cs="Times New Roman"/>
                <w:sz w:val="24"/>
                <w:szCs w:val="24"/>
              </w:rPr>
              <w:t xml:space="preserve">(turpmāk – nodoklis) </w:t>
            </w:r>
            <w:r w:rsidR="0092783E" w:rsidRPr="0092783E">
              <w:rPr>
                <w:rFonts w:ascii="Times New Roman" w:hAnsi="Times New Roman" w:cs="Times New Roman"/>
                <w:sz w:val="24"/>
                <w:szCs w:val="24"/>
              </w:rPr>
              <w:t xml:space="preserve">maksātājs vai apsaimniekotājs </w:t>
            </w:r>
            <w:r w:rsidR="0092783E">
              <w:rPr>
                <w:rFonts w:ascii="Times New Roman" w:hAnsi="Times New Roman" w:cs="Times New Roman"/>
                <w:sz w:val="24"/>
                <w:szCs w:val="24"/>
              </w:rPr>
              <w:t xml:space="preserve">nepilda savas saistības. </w:t>
            </w:r>
          </w:p>
          <w:p w14:paraId="54784E02" w14:textId="77777777" w:rsidR="0092783E" w:rsidRDefault="0092783E" w:rsidP="005B1889">
            <w:pPr>
              <w:jc w:val="both"/>
              <w:rPr>
                <w:rFonts w:ascii="Times New Roman" w:hAnsi="Times New Roman" w:cs="Times New Roman"/>
                <w:sz w:val="24"/>
                <w:szCs w:val="24"/>
              </w:rPr>
            </w:pPr>
          </w:p>
          <w:p w14:paraId="26557F91" w14:textId="77777777" w:rsidR="0092783E" w:rsidRPr="00864887" w:rsidRDefault="0092783E" w:rsidP="005B1889">
            <w:pPr>
              <w:jc w:val="both"/>
              <w:rPr>
                <w:rFonts w:ascii="Times New Roman" w:hAnsi="Times New Roman" w:cs="Times New Roman"/>
                <w:sz w:val="24"/>
                <w:szCs w:val="24"/>
                <w:u w:val="single"/>
              </w:rPr>
            </w:pPr>
            <w:r w:rsidRPr="00864887">
              <w:rPr>
                <w:rFonts w:ascii="Times New Roman" w:hAnsi="Times New Roman" w:cs="Times New Roman"/>
                <w:sz w:val="24"/>
                <w:szCs w:val="24"/>
                <w:u w:val="single"/>
              </w:rPr>
              <w:t xml:space="preserve">Lai nodrošinātu </w:t>
            </w:r>
            <w:r w:rsidR="00864887" w:rsidRPr="00864887">
              <w:rPr>
                <w:rFonts w:ascii="Times New Roman" w:hAnsi="Times New Roman" w:cs="Times New Roman"/>
                <w:bCs/>
                <w:sz w:val="24"/>
                <w:szCs w:val="24"/>
                <w:u w:val="single"/>
              </w:rPr>
              <w:t>Ministru kabineta 2009. gada 19. maija noteikum</w:t>
            </w:r>
            <w:r w:rsidR="00864887">
              <w:rPr>
                <w:rFonts w:ascii="Times New Roman" w:hAnsi="Times New Roman" w:cs="Times New Roman"/>
                <w:bCs/>
                <w:sz w:val="24"/>
                <w:szCs w:val="24"/>
                <w:u w:val="single"/>
              </w:rPr>
              <w:t>u</w:t>
            </w:r>
            <w:r w:rsidR="00864887" w:rsidRPr="00864887">
              <w:rPr>
                <w:rFonts w:ascii="Times New Roman" w:hAnsi="Times New Roman" w:cs="Times New Roman"/>
                <w:bCs/>
                <w:sz w:val="24"/>
                <w:szCs w:val="24"/>
                <w:u w:val="single"/>
              </w:rPr>
              <w:t xml:space="preserve"> </w:t>
            </w:r>
            <w:r w:rsidR="0070362B">
              <w:rPr>
                <w:rFonts w:ascii="Times New Roman" w:hAnsi="Times New Roman" w:cs="Times New Roman"/>
                <w:bCs/>
                <w:sz w:val="24"/>
                <w:szCs w:val="24"/>
                <w:u w:val="single"/>
              </w:rPr>
              <w:t>Nr. 450 “</w:t>
            </w:r>
            <w:r w:rsidR="00864887" w:rsidRPr="00864887">
              <w:rPr>
                <w:rFonts w:ascii="Times New Roman" w:hAnsi="Times New Roman" w:cs="Times New Roman"/>
                <w:bCs/>
                <w:sz w:val="24"/>
                <w:szCs w:val="24"/>
                <w:u w:val="single"/>
              </w:rPr>
              <w:t xml:space="preserve">Kārtība, kādā slēdz un izbeidz līgumu par nolietotu transportlīdzekļu, preču un izstrādājumu iepakojuma un vienreiz lietojamo galda trauku un piederumu vai videi kaitīgu preču atkritumu </w:t>
            </w:r>
            <w:r w:rsidR="00864887" w:rsidRPr="00864887">
              <w:rPr>
                <w:rFonts w:ascii="Times New Roman" w:hAnsi="Times New Roman" w:cs="Times New Roman"/>
                <w:bCs/>
                <w:sz w:val="24"/>
                <w:szCs w:val="24"/>
                <w:u w:val="single"/>
              </w:rPr>
              <w:lastRenderedPageBreak/>
              <w:t>apsaimniekošanu, lai saņemtu atbrīvojumu no dabas resursu nodokļa samaksas”</w:t>
            </w:r>
            <w:r w:rsidR="00864887">
              <w:rPr>
                <w:rFonts w:ascii="Times New Roman" w:hAnsi="Times New Roman" w:cs="Times New Roman"/>
                <w:bCs/>
                <w:sz w:val="24"/>
                <w:szCs w:val="24"/>
                <w:u w:val="single"/>
              </w:rPr>
              <w:t xml:space="preserve"> (turpmāk – MK noteikumi Nr. 450)</w:t>
            </w:r>
            <w:r w:rsidR="00864887" w:rsidRPr="00864887">
              <w:rPr>
                <w:rFonts w:ascii="Times New Roman" w:hAnsi="Times New Roman" w:cs="Times New Roman"/>
                <w:bCs/>
                <w:sz w:val="24"/>
                <w:szCs w:val="24"/>
                <w:u w:val="single"/>
              </w:rPr>
              <w:t xml:space="preserve"> </w:t>
            </w:r>
            <w:r w:rsidRPr="00864887">
              <w:rPr>
                <w:rFonts w:ascii="Times New Roman" w:hAnsi="Times New Roman" w:cs="Times New Roman"/>
                <w:sz w:val="24"/>
                <w:szCs w:val="24"/>
                <w:u w:val="single"/>
              </w:rPr>
              <w:t>atbilstību Dabas resursu nod</w:t>
            </w:r>
            <w:r w:rsidR="00925C13" w:rsidRPr="00864887">
              <w:rPr>
                <w:rFonts w:ascii="Times New Roman" w:hAnsi="Times New Roman" w:cs="Times New Roman"/>
                <w:sz w:val="24"/>
                <w:szCs w:val="24"/>
                <w:u w:val="single"/>
              </w:rPr>
              <w:t>okļa likumam, noteikumu projektā</w:t>
            </w:r>
            <w:r w:rsidRPr="00864887">
              <w:rPr>
                <w:rFonts w:ascii="Times New Roman" w:hAnsi="Times New Roman" w:cs="Times New Roman"/>
                <w:sz w:val="24"/>
                <w:szCs w:val="24"/>
                <w:u w:val="single"/>
              </w:rPr>
              <w:t>:</w:t>
            </w:r>
          </w:p>
          <w:p w14:paraId="390B932D" w14:textId="77777777" w:rsidR="0092783E" w:rsidRPr="0092783E" w:rsidRDefault="0092783E" w:rsidP="0092783E">
            <w:pPr>
              <w:jc w:val="both"/>
              <w:rPr>
                <w:rFonts w:ascii="Times New Roman" w:hAnsi="Times New Roman" w:cs="Times New Roman"/>
                <w:sz w:val="24"/>
                <w:szCs w:val="24"/>
              </w:rPr>
            </w:pPr>
            <w:r w:rsidRPr="0092783E">
              <w:rPr>
                <w:rFonts w:ascii="Times New Roman" w:hAnsi="Times New Roman" w:cs="Times New Roman"/>
                <w:sz w:val="24"/>
                <w:szCs w:val="24"/>
              </w:rPr>
              <w:t xml:space="preserve">1) </w:t>
            </w:r>
            <w:r w:rsidR="00925C13">
              <w:rPr>
                <w:rFonts w:ascii="Times New Roman" w:hAnsi="Times New Roman" w:cs="Times New Roman"/>
                <w:sz w:val="24"/>
                <w:szCs w:val="24"/>
              </w:rPr>
              <w:t xml:space="preserve">noteikta </w:t>
            </w:r>
            <w:r w:rsidRPr="0092783E">
              <w:rPr>
                <w:rFonts w:ascii="Times New Roman" w:hAnsi="Times New Roman" w:cs="Times New Roman"/>
                <w:sz w:val="24"/>
                <w:szCs w:val="24"/>
              </w:rPr>
              <w:t>finanšu nodrošinājuma apmēra aprēķināšanas kārtīb</w:t>
            </w:r>
            <w:r w:rsidR="00925C13">
              <w:rPr>
                <w:rFonts w:ascii="Times New Roman" w:hAnsi="Times New Roman" w:cs="Times New Roman"/>
                <w:sz w:val="24"/>
                <w:szCs w:val="24"/>
              </w:rPr>
              <w:t>a, finanšu nodrošinājuma minimālā</w:t>
            </w:r>
            <w:r w:rsidRPr="0092783E">
              <w:rPr>
                <w:rFonts w:ascii="Times New Roman" w:hAnsi="Times New Roman" w:cs="Times New Roman"/>
                <w:sz w:val="24"/>
                <w:szCs w:val="24"/>
              </w:rPr>
              <w:t xml:space="preserve"> un maksimāl</w:t>
            </w:r>
            <w:r w:rsidR="00925C13">
              <w:rPr>
                <w:rFonts w:ascii="Times New Roman" w:hAnsi="Times New Roman" w:cs="Times New Roman"/>
                <w:sz w:val="24"/>
                <w:szCs w:val="24"/>
              </w:rPr>
              <w:t>ā</w:t>
            </w:r>
            <w:r w:rsidRPr="0092783E">
              <w:rPr>
                <w:rFonts w:ascii="Times New Roman" w:hAnsi="Times New Roman" w:cs="Times New Roman"/>
                <w:sz w:val="24"/>
                <w:szCs w:val="24"/>
              </w:rPr>
              <w:t xml:space="preserve"> summ</w:t>
            </w:r>
            <w:r w:rsidR="00925C13">
              <w:rPr>
                <w:rFonts w:ascii="Times New Roman" w:hAnsi="Times New Roman" w:cs="Times New Roman"/>
                <w:sz w:val="24"/>
                <w:szCs w:val="24"/>
              </w:rPr>
              <w:t>a</w:t>
            </w:r>
            <w:r w:rsidRPr="0092783E">
              <w:rPr>
                <w:rFonts w:ascii="Times New Roman" w:hAnsi="Times New Roman" w:cs="Times New Roman"/>
                <w:sz w:val="24"/>
                <w:szCs w:val="24"/>
              </w:rPr>
              <w:t>;</w:t>
            </w:r>
          </w:p>
          <w:p w14:paraId="0C19F35A" w14:textId="77777777" w:rsidR="0092783E" w:rsidRDefault="0092783E" w:rsidP="0092783E">
            <w:pPr>
              <w:jc w:val="both"/>
              <w:rPr>
                <w:rFonts w:ascii="Times New Roman" w:hAnsi="Times New Roman" w:cs="Times New Roman"/>
                <w:sz w:val="24"/>
                <w:szCs w:val="24"/>
              </w:rPr>
            </w:pPr>
            <w:r w:rsidRPr="0092783E">
              <w:rPr>
                <w:rFonts w:ascii="Times New Roman" w:hAnsi="Times New Roman" w:cs="Times New Roman"/>
                <w:sz w:val="24"/>
                <w:szCs w:val="24"/>
              </w:rPr>
              <w:t xml:space="preserve">2) </w:t>
            </w:r>
            <w:r w:rsidR="00925C13">
              <w:rPr>
                <w:rFonts w:ascii="Times New Roman" w:hAnsi="Times New Roman" w:cs="Times New Roman"/>
                <w:sz w:val="24"/>
                <w:szCs w:val="24"/>
              </w:rPr>
              <w:t xml:space="preserve">noteikta </w:t>
            </w:r>
            <w:r w:rsidRPr="0092783E">
              <w:rPr>
                <w:rFonts w:ascii="Times New Roman" w:hAnsi="Times New Roman" w:cs="Times New Roman"/>
                <w:sz w:val="24"/>
                <w:szCs w:val="24"/>
              </w:rPr>
              <w:t>kārtīb</w:t>
            </w:r>
            <w:r w:rsidR="00925C13">
              <w:rPr>
                <w:rFonts w:ascii="Times New Roman" w:hAnsi="Times New Roman" w:cs="Times New Roman"/>
                <w:sz w:val="24"/>
                <w:szCs w:val="24"/>
              </w:rPr>
              <w:t>a</w:t>
            </w:r>
            <w:r w:rsidRPr="0092783E">
              <w:rPr>
                <w:rFonts w:ascii="Times New Roman" w:hAnsi="Times New Roman" w:cs="Times New Roman"/>
                <w:sz w:val="24"/>
                <w:szCs w:val="24"/>
              </w:rPr>
              <w:t>, kādā iesniedz, pagarina un atjauno finanšu nodrošinājumu</w:t>
            </w:r>
            <w:r w:rsidR="00925C13">
              <w:rPr>
                <w:rFonts w:ascii="Times New Roman" w:hAnsi="Times New Roman" w:cs="Times New Roman"/>
                <w:sz w:val="24"/>
                <w:szCs w:val="24"/>
              </w:rPr>
              <w:t>;</w:t>
            </w:r>
          </w:p>
          <w:p w14:paraId="5A997A8B" w14:textId="4438686E" w:rsidR="00925C13" w:rsidRDefault="00F247F2" w:rsidP="00925C13">
            <w:pPr>
              <w:jc w:val="both"/>
              <w:rPr>
                <w:rFonts w:ascii="Times New Roman" w:hAnsi="Times New Roman" w:cs="Times New Roman"/>
                <w:sz w:val="24"/>
                <w:szCs w:val="24"/>
              </w:rPr>
            </w:pPr>
            <w:r w:rsidRPr="004635D1">
              <w:rPr>
                <w:rFonts w:ascii="Times New Roman" w:hAnsi="Times New Roman" w:cs="Times New Roman"/>
                <w:sz w:val="24"/>
                <w:szCs w:val="24"/>
              </w:rPr>
              <w:t xml:space="preserve">3) </w:t>
            </w:r>
            <w:r w:rsidR="00925C13" w:rsidRPr="004635D1">
              <w:rPr>
                <w:rFonts w:ascii="Times New Roman" w:hAnsi="Times New Roman" w:cs="Times New Roman"/>
                <w:sz w:val="24"/>
                <w:szCs w:val="24"/>
              </w:rPr>
              <w:t>precizēta kārtība, kādā vienpusēji atkāpjas no apsaimniekošanas līguma, ja nodokļa maksātājs</w:t>
            </w:r>
            <w:r w:rsidR="0083726E" w:rsidRPr="004635D1">
              <w:rPr>
                <w:rFonts w:ascii="Times New Roman" w:hAnsi="Times New Roman" w:cs="Times New Roman"/>
                <w:sz w:val="24"/>
                <w:szCs w:val="24"/>
              </w:rPr>
              <w:t>,</w:t>
            </w:r>
            <w:r w:rsidR="0083726E" w:rsidRPr="004635D1">
              <w:t xml:space="preserve"> </w:t>
            </w:r>
            <w:r w:rsidR="0083726E" w:rsidRPr="004635D1">
              <w:rPr>
                <w:rFonts w:ascii="Times New Roman" w:hAnsi="Times New Roman" w:cs="Times New Roman"/>
                <w:sz w:val="24"/>
                <w:szCs w:val="24"/>
              </w:rPr>
              <w:t xml:space="preserve">kas pats izveidojis un piemēro attiecīgā veida atkritumu apsaimniekošanas sistēmu, </w:t>
            </w:r>
            <w:r w:rsidR="00925C13" w:rsidRPr="004635D1">
              <w:rPr>
                <w:rFonts w:ascii="Times New Roman" w:hAnsi="Times New Roman" w:cs="Times New Roman"/>
                <w:sz w:val="24"/>
                <w:szCs w:val="24"/>
              </w:rPr>
              <w:t>vai apsaimniekotājs nepilda savas saistības.</w:t>
            </w:r>
            <w:r w:rsidR="00925C13">
              <w:rPr>
                <w:rFonts w:ascii="Times New Roman" w:hAnsi="Times New Roman" w:cs="Times New Roman"/>
                <w:sz w:val="24"/>
                <w:szCs w:val="24"/>
              </w:rPr>
              <w:t xml:space="preserve"> </w:t>
            </w:r>
          </w:p>
          <w:p w14:paraId="16BF9C67" w14:textId="2A805C20" w:rsidR="004767A5" w:rsidRDefault="00BC285E" w:rsidP="005B1889">
            <w:pPr>
              <w:jc w:val="both"/>
              <w:rPr>
                <w:rFonts w:ascii="Times New Roman" w:hAnsi="Times New Roman" w:cs="Times New Roman"/>
                <w:sz w:val="24"/>
                <w:szCs w:val="24"/>
              </w:rPr>
            </w:pPr>
            <w:r w:rsidRPr="004A1562">
              <w:rPr>
                <w:rFonts w:ascii="Times New Roman" w:hAnsi="Times New Roman" w:cs="Times New Roman"/>
                <w:sz w:val="24"/>
                <w:szCs w:val="24"/>
              </w:rPr>
              <w:t>Atbilstoši nozares pārstāvju priekšlikumam noteikumu projekts paredz bankas garantijas vēstules un apdrošināšanas polises paraugu (1. pielikums un 2. pielikums).</w:t>
            </w:r>
          </w:p>
          <w:p w14:paraId="6D833780" w14:textId="08864D69" w:rsidR="00F01490" w:rsidRPr="003879BC" w:rsidRDefault="005D3DC8" w:rsidP="005D3DC8">
            <w:pPr>
              <w:jc w:val="both"/>
              <w:rPr>
                <w:rFonts w:ascii="Times New Roman" w:hAnsi="Times New Roman" w:cs="Times New Roman"/>
                <w:sz w:val="24"/>
                <w:szCs w:val="24"/>
              </w:rPr>
            </w:pPr>
            <w:r>
              <w:rPr>
                <w:rFonts w:ascii="Times New Roman" w:hAnsi="Times New Roman" w:cs="Times New Roman"/>
                <w:sz w:val="24"/>
                <w:szCs w:val="24"/>
              </w:rPr>
              <w:t>Ministru kabineta 2009. </w:t>
            </w:r>
            <w:r w:rsidR="00FC4EDC">
              <w:rPr>
                <w:rFonts w:ascii="Times New Roman" w:hAnsi="Times New Roman" w:cs="Times New Roman"/>
                <w:sz w:val="24"/>
                <w:szCs w:val="24"/>
              </w:rPr>
              <w:t xml:space="preserve">gada </w:t>
            </w:r>
            <w:r>
              <w:rPr>
                <w:rFonts w:ascii="Times New Roman" w:hAnsi="Times New Roman" w:cs="Times New Roman"/>
                <w:sz w:val="24"/>
                <w:szCs w:val="24"/>
              </w:rPr>
              <w:t>3. februāra noteikumu Nr. 108 “</w:t>
            </w:r>
            <w:r w:rsidRPr="005D3DC8">
              <w:rPr>
                <w:rFonts w:ascii="Times New Roman" w:hAnsi="Times New Roman" w:cs="Times New Roman"/>
                <w:sz w:val="24"/>
                <w:szCs w:val="24"/>
              </w:rPr>
              <w:t>Normatīvo aktu projektu sagatavošanas noteikumi</w:t>
            </w:r>
            <w:r>
              <w:rPr>
                <w:rFonts w:ascii="Times New Roman" w:hAnsi="Times New Roman" w:cs="Times New Roman"/>
                <w:sz w:val="24"/>
                <w:szCs w:val="24"/>
              </w:rPr>
              <w:t xml:space="preserve">” 90. punkts noteic, ka </w:t>
            </w:r>
            <w:r w:rsidRPr="005D3DC8">
              <w:rPr>
                <w:rFonts w:ascii="Times New Roman" w:hAnsi="Times New Roman" w:cs="Times New Roman"/>
                <w:sz w:val="24"/>
                <w:szCs w:val="24"/>
              </w:rPr>
              <w:t>Ministru kabineta noteikumu projekta nosaukumu veido iespējami īsu un atbilstošu likumā noteiktajam pilnvarojumam Ministru kabinetam un noteikumu saturam.</w:t>
            </w:r>
            <w:r>
              <w:rPr>
                <w:rFonts w:ascii="Times New Roman" w:hAnsi="Times New Roman" w:cs="Times New Roman"/>
                <w:sz w:val="24"/>
                <w:szCs w:val="24"/>
              </w:rPr>
              <w:t xml:space="preserve"> Ievērojot minēto, n</w:t>
            </w:r>
            <w:r w:rsidR="00864887" w:rsidRPr="002243D7">
              <w:rPr>
                <w:rFonts w:ascii="Times New Roman" w:hAnsi="Times New Roman" w:cs="Times New Roman"/>
                <w:sz w:val="24"/>
                <w:szCs w:val="24"/>
              </w:rPr>
              <w:t xml:space="preserve">oteikumu projekts paredz </w:t>
            </w:r>
            <w:r w:rsidR="00B757B8" w:rsidRPr="002243D7">
              <w:rPr>
                <w:rFonts w:ascii="Times New Roman" w:hAnsi="Times New Roman" w:cs="Times New Roman"/>
                <w:sz w:val="24"/>
                <w:szCs w:val="24"/>
              </w:rPr>
              <w:t>precizēt MK noteikumu Nr.</w:t>
            </w:r>
            <w:r w:rsidR="002243D7" w:rsidRPr="002243D7">
              <w:rPr>
                <w:rFonts w:ascii="Times New Roman" w:hAnsi="Times New Roman" w:cs="Times New Roman"/>
                <w:sz w:val="24"/>
                <w:szCs w:val="24"/>
              </w:rPr>
              <w:t> </w:t>
            </w:r>
            <w:r w:rsidR="00B757B8" w:rsidRPr="002243D7">
              <w:rPr>
                <w:rFonts w:ascii="Times New Roman" w:hAnsi="Times New Roman" w:cs="Times New Roman"/>
                <w:sz w:val="24"/>
                <w:szCs w:val="24"/>
              </w:rPr>
              <w:t>4</w:t>
            </w:r>
            <w:r w:rsidR="002243D7" w:rsidRPr="002243D7">
              <w:rPr>
                <w:rFonts w:ascii="Times New Roman" w:hAnsi="Times New Roman" w:cs="Times New Roman"/>
                <w:sz w:val="24"/>
                <w:szCs w:val="24"/>
              </w:rPr>
              <w:t>50</w:t>
            </w:r>
            <w:r w:rsidR="00B757B8" w:rsidRPr="002243D7">
              <w:rPr>
                <w:rFonts w:ascii="Times New Roman" w:hAnsi="Times New Roman" w:cs="Times New Roman"/>
                <w:sz w:val="24"/>
                <w:szCs w:val="24"/>
              </w:rPr>
              <w:t xml:space="preserve"> nosaukumu, lai saskaņā ar juridisko tehniku normatīvā akta nosaukums atspoguļotu tā saturu.</w:t>
            </w:r>
          </w:p>
        </w:tc>
      </w:tr>
      <w:tr w:rsidR="00824887" w:rsidRPr="00550846" w14:paraId="7B5B3DC1" w14:textId="77777777" w:rsidTr="009B6979">
        <w:tc>
          <w:tcPr>
            <w:tcW w:w="396" w:type="dxa"/>
          </w:tcPr>
          <w:p w14:paraId="1C57294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3.</w:t>
            </w:r>
          </w:p>
        </w:tc>
        <w:tc>
          <w:tcPr>
            <w:tcW w:w="1697" w:type="dxa"/>
          </w:tcPr>
          <w:p w14:paraId="56D83B6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14:paraId="406B9C62" w14:textId="2335DA77" w:rsidR="00824887" w:rsidRPr="00550846" w:rsidRDefault="005E72D6" w:rsidP="008F58E0">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rsidR="00824887" w:rsidRPr="00550846" w14:paraId="54F212BF" w14:textId="77777777" w:rsidTr="009B6979">
        <w:tc>
          <w:tcPr>
            <w:tcW w:w="396" w:type="dxa"/>
          </w:tcPr>
          <w:p w14:paraId="765D135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97" w:type="dxa"/>
          </w:tcPr>
          <w:p w14:paraId="6BBCD98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94" w:type="dxa"/>
          </w:tcPr>
          <w:p w14:paraId="46F23542" w14:textId="640AD155" w:rsidR="00824887" w:rsidRPr="00550846" w:rsidRDefault="000975D6" w:rsidP="009B69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65C60732"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p w14:paraId="790EF2E2"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96"/>
        <w:gridCol w:w="1736"/>
        <w:gridCol w:w="7155"/>
      </w:tblGrid>
      <w:tr w:rsidR="00824887" w:rsidRPr="00550846" w14:paraId="152B36A2" w14:textId="77777777" w:rsidTr="009B6979">
        <w:tc>
          <w:tcPr>
            <w:tcW w:w="9287" w:type="dxa"/>
            <w:gridSpan w:val="3"/>
          </w:tcPr>
          <w:p w14:paraId="4D88D39E" w14:textId="77777777" w:rsidR="00824887" w:rsidRPr="00550846" w:rsidRDefault="00824887" w:rsidP="00F201D0">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24887" w:rsidRPr="00550846" w14:paraId="723B9ADC" w14:textId="77777777" w:rsidTr="009B6979">
        <w:tc>
          <w:tcPr>
            <w:tcW w:w="396" w:type="dxa"/>
          </w:tcPr>
          <w:p w14:paraId="35DB9D59"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736" w:type="dxa"/>
          </w:tcPr>
          <w:p w14:paraId="4530378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 xml:space="preserve">Sabiedrības </w:t>
            </w:r>
            <w:proofErr w:type="spellStart"/>
            <w:r w:rsidRPr="00550846">
              <w:rPr>
                <w:rFonts w:ascii="Times New Roman" w:eastAsia="Times New Roman" w:hAnsi="Times New Roman" w:cs="Times New Roman"/>
                <w:iCs/>
                <w:sz w:val="24"/>
                <w:szCs w:val="24"/>
                <w:lang w:eastAsia="lv-LV"/>
              </w:rPr>
              <w:t>mērķgrupas</w:t>
            </w:r>
            <w:proofErr w:type="spellEnd"/>
            <w:r w:rsidRPr="00550846">
              <w:rPr>
                <w:rFonts w:ascii="Times New Roman" w:eastAsia="Times New Roman" w:hAnsi="Times New Roman" w:cs="Times New Roman"/>
                <w:iCs/>
                <w:sz w:val="24"/>
                <w:szCs w:val="24"/>
                <w:lang w:eastAsia="lv-LV"/>
              </w:rPr>
              <w:t>, kuras tiesiskais regulējums ietekmē vai varētu ietekmēt</w:t>
            </w:r>
          </w:p>
        </w:tc>
        <w:tc>
          <w:tcPr>
            <w:tcW w:w="7155" w:type="dxa"/>
          </w:tcPr>
          <w:p w14:paraId="65CEE180" w14:textId="77777777" w:rsidR="00D82760" w:rsidRPr="000A1204" w:rsidRDefault="00D82760" w:rsidP="00706554">
            <w:pPr>
              <w:pStyle w:val="naiskr"/>
              <w:spacing w:before="0" w:after="0"/>
              <w:jc w:val="both"/>
            </w:pPr>
            <w:r w:rsidRPr="001B293F">
              <w:t xml:space="preserve">Noteikumu projekts attiecas uz </w:t>
            </w:r>
            <w:r w:rsidR="001B293F" w:rsidRPr="001B293F">
              <w:rPr>
                <w:bCs/>
              </w:rPr>
              <w:t>nolietotu transportlīdzekļu</w:t>
            </w:r>
            <w:r w:rsidR="001B293F">
              <w:rPr>
                <w:bCs/>
              </w:rPr>
              <w:t>,</w:t>
            </w:r>
            <w:r w:rsidR="001B293F" w:rsidRPr="001B293F">
              <w:rPr>
                <w:bCs/>
              </w:rPr>
              <w:t xml:space="preserve"> </w:t>
            </w:r>
            <w:r w:rsidR="001B293F" w:rsidRPr="001B293F">
              <w:t>izlietotā iepakojuma vai vienreiz lietojamo galda trauku un piederumu</w:t>
            </w:r>
            <w:r w:rsidR="001B293F">
              <w:t xml:space="preserve">, kā arī </w:t>
            </w:r>
            <w:r w:rsidRPr="000A1204">
              <w:t xml:space="preserve">videi kaitīgu preču atkritumu </w:t>
            </w:r>
            <w:proofErr w:type="spellStart"/>
            <w:r w:rsidRPr="000A1204">
              <w:t>apsaimniekotājiem</w:t>
            </w:r>
            <w:proofErr w:type="spellEnd"/>
            <w:r w:rsidRPr="000A1204">
              <w:t>, kuru līgumpartneriem piemēro atbrīvojumu no</w:t>
            </w:r>
            <w:r w:rsidR="001B293F">
              <w:t xml:space="preserve"> nodokļa samaksas</w:t>
            </w:r>
            <w:r>
              <w:t>.</w:t>
            </w:r>
          </w:p>
          <w:p w14:paraId="4CADD2D3" w14:textId="77777777" w:rsidR="005651C4" w:rsidRDefault="00D82760" w:rsidP="0070362B">
            <w:pPr>
              <w:pStyle w:val="naiskr"/>
              <w:spacing w:before="0" w:after="0"/>
              <w:jc w:val="both"/>
            </w:pPr>
            <w:r>
              <w:t>V</w:t>
            </w:r>
            <w:r w:rsidR="007E708C">
              <w:t>VD</w:t>
            </w:r>
            <w:r w:rsidRPr="000A1204">
              <w:t xml:space="preserve"> uz šo brīdi ir noslē</w:t>
            </w:r>
            <w:r w:rsidR="001B293F">
              <w:t xml:space="preserve">dzis </w:t>
            </w:r>
            <w:r w:rsidR="00CF192A">
              <w:t xml:space="preserve">17 </w:t>
            </w:r>
            <w:r w:rsidRPr="000A1204">
              <w:t xml:space="preserve">līgumus ar </w:t>
            </w:r>
            <w:r w:rsidR="00CF192A">
              <w:t xml:space="preserve">deviņiem </w:t>
            </w:r>
            <w:proofErr w:type="spellStart"/>
            <w:r w:rsidRPr="000A1204">
              <w:t>apsaimniekotājiem</w:t>
            </w:r>
            <w:proofErr w:type="spellEnd"/>
            <w:r w:rsidRPr="000A1204">
              <w:rPr>
                <w:rStyle w:val="FootnoteReference"/>
              </w:rPr>
              <w:footnoteReference w:id="2"/>
            </w:r>
            <w:r w:rsidRPr="000A1204">
              <w:t>.</w:t>
            </w:r>
          </w:p>
          <w:tbl>
            <w:tblPr>
              <w:tblStyle w:val="TableGrid"/>
              <w:tblW w:w="0" w:type="auto"/>
              <w:tblLook w:val="04A0" w:firstRow="1" w:lastRow="0" w:firstColumn="1" w:lastColumn="0" w:noHBand="0" w:noVBand="1"/>
            </w:tblPr>
            <w:tblGrid>
              <w:gridCol w:w="497"/>
              <w:gridCol w:w="2026"/>
              <w:gridCol w:w="1017"/>
              <w:gridCol w:w="1159"/>
              <w:gridCol w:w="1159"/>
              <w:gridCol w:w="1071"/>
            </w:tblGrid>
            <w:tr w:rsidR="00904CB7" w14:paraId="4C0FDA25" w14:textId="77777777" w:rsidTr="00B6309E">
              <w:tc>
                <w:tcPr>
                  <w:tcW w:w="498" w:type="dxa"/>
                  <w:vMerge w:val="restart"/>
                </w:tcPr>
                <w:p w14:paraId="437DD500" w14:textId="77777777" w:rsidR="002F1C2E" w:rsidRPr="002F1C2E" w:rsidRDefault="002F1C2E" w:rsidP="00D75D1C">
                  <w:pPr>
                    <w:pStyle w:val="naiskr"/>
                    <w:spacing w:before="0" w:after="0"/>
                    <w:ind w:right="72"/>
                    <w:jc w:val="both"/>
                    <w:rPr>
                      <w:sz w:val="16"/>
                      <w:szCs w:val="16"/>
                    </w:rPr>
                  </w:pPr>
                  <w:r w:rsidRPr="002F1C2E">
                    <w:rPr>
                      <w:sz w:val="16"/>
                      <w:szCs w:val="16"/>
                    </w:rPr>
                    <w:t>Nr.</w:t>
                  </w:r>
                </w:p>
              </w:tc>
              <w:tc>
                <w:tcPr>
                  <w:tcW w:w="2327" w:type="dxa"/>
                  <w:vMerge w:val="restart"/>
                </w:tcPr>
                <w:p w14:paraId="4D612D80" w14:textId="77777777" w:rsidR="002F1C2E" w:rsidRPr="002F1C2E" w:rsidRDefault="002F1C2E" w:rsidP="00D75D1C">
                  <w:pPr>
                    <w:pStyle w:val="naiskr"/>
                    <w:spacing w:before="0" w:after="0"/>
                    <w:ind w:right="72"/>
                    <w:jc w:val="both"/>
                    <w:rPr>
                      <w:sz w:val="16"/>
                      <w:szCs w:val="16"/>
                    </w:rPr>
                  </w:pPr>
                  <w:r w:rsidRPr="002F1C2E">
                    <w:rPr>
                      <w:sz w:val="16"/>
                      <w:szCs w:val="16"/>
                    </w:rPr>
                    <w:t>Apsaimniekotājs</w:t>
                  </w:r>
                </w:p>
              </w:tc>
              <w:tc>
                <w:tcPr>
                  <w:tcW w:w="4104" w:type="dxa"/>
                  <w:gridSpan w:val="4"/>
                </w:tcPr>
                <w:p w14:paraId="241B72CD" w14:textId="77777777" w:rsidR="002F1C2E" w:rsidRPr="002F1C2E" w:rsidRDefault="002F1C2E" w:rsidP="00904CB7">
                  <w:pPr>
                    <w:pStyle w:val="naiskr"/>
                    <w:spacing w:before="0" w:after="0"/>
                    <w:ind w:right="72"/>
                    <w:jc w:val="center"/>
                    <w:rPr>
                      <w:sz w:val="16"/>
                      <w:szCs w:val="16"/>
                    </w:rPr>
                  </w:pPr>
                  <w:r w:rsidRPr="002F1C2E">
                    <w:rPr>
                      <w:sz w:val="16"/>
                      <w:szCs w:val="16"/>
                    </w:rPr>
                    <w:t>Līgum</w:t>
                  </w:r>
                  <w:r w:rsidR="00904CB7">
                    <w:rPr>
                      <w:sz w:val="16"/>
                      <w:szCs w:val="16"/>
                    </w:rPr>
                    <w:t>s par apsaimniekošanas sistēmas piemērošanu</w:t>
                  </w:r>
                  <w:r w:rsidRPr="002F1C2E">
                    <w:rPr>
                      <w:sz w:val="16"/>
                      <w:szCs w:val="16"/>
                    </w:rPr>
                    <w:t>:</w:t>
                  </w:r>
                </w:p>
              </w:tc>
            </w:tr>
            <w:tr w:rsidR="00904CB7" w14:paraId="4A308B08" w14:textId="77777777" w:rsidTr="00B6309E">
              <w:tc>
                <w:tcPr>
                  <w:tcW w:w="498" w:type="dxa"/>
                  <w:vMerge/>
                </w:tcPr>
                <w:p w14:paraId="173095B6" w14:textId="77777777" w:rsidR="002F1C2E" w:rsidRPr="002F1C2E" w:rsidRDefault="002F1C2E" w:rsidP="00D75D1C">
                  <w:pPr>
                    <w:pStyle w:val="naiskr"/>
                    <w:spacing w:before="0" w:after="0"/>
                    <w:ind w:right="72"/>
                    <w:jc w:val="both"/>
                    <w:rPr>
                      <w:sz w:val="16"/>
                      <w:szCs w:val="16"/>
                    </w:rPr>
                  </w:pPr>
                </w:p>
              </w:tc>
              <w:tc>
                <w:tcPr>
                  <w:tcW w:w="2327" w:type="dxa"/>
                  <w:vMerge/>
                </w:tcPr>
                <w:p w14:paraId="3DEC198B" w14:textId="77777777" w:rsidR="002F1C2E" w:rsidRPr="002F1C2E" w:rsidRDefault="002F1C2E" w:rsidP="00D75D1C">
                  <w:pPr>
                    <w:pStyle w:val="naiskr"/>
                    <w:spacing w:before="0" w:after="0"/>
                    <w:ind w:right="72"/>
                    <w:jc w:val="both"/>
                    <w:rPr>
                      <w:sz w:val="16"/>
                      <w:szCs w:val="16"/>
                    </w:rPr>
                  </w:pPr>
                </w:p>
              </w:tc>
              <w:tc>
                <w:tcPr>
                  <w:tcW w:w="992" w:type="dxa"/>
                </w:tcPr>
                <w:p w14:paraId="259CCCB4" w14:textId="77777777" w:rsidR="002F1C2E" w:rsidRPr="002F1C2E" w:rsidRDefault="00904CB7" w:rsidP="00904CB7">
                  <w:pPr>
                    <w:pStyle w:val="naiskr"/>
                    <w:spacing w:before="0" w:after="0"/>
                    <w:ind w:right="72"/>
                    <w:jc w:val="both"/>
                    <w:rPr>
                      <w:sz w:val="16"/>
                      <w:szCs w:val="16"/>
                    </w:rPr>
                  </w:pPr>
                  <w:r>
                    <w:rPr>
                      <w:sz w:val="16"/>
                      <w:szCs w:val="16"/>
                    </w:rPr>
                    <w:t xml:space="preserve">nolietotiem </w:t>
                  </w:r>
                  <w:r w:rsidR="002F1C2E">
                    <w:rPr>
                      <w:sz w:val="16"/>
                      <w:szCs w:val="16"/>
                    </w:rPr>
                    <w:t>t</w:t>
                  </w:r>
                  <w:r w:rsidR="002F1C2E" w:rsidRPr="002F1C2E">
                    <w:rPr>
                      <w:sz w:val="16"/>
                      <w:szCs w:val="16"/>
                    </w:rPr>
                    <w:t>ransport līdzekļiem</w:t>
                  </w:r>
                </w:p>
              </w:tc>
              <w:tc>
                <w:tcPr>
                  <w:tcW w:w="1060" w:type="dxa"/>
                </w:tcPr>
                <w:p w14:paraId="0B65DBC0" w14:textId="77777777" w:rsidR="002F1C2E" w:rsidRPr="002F1C2E" w:rsidRDefault="00904CB7" w:rsidP="00904CB7">
                  <w:pPr>
                    <w:pStyle w:val="naiskr"/>
                    <w:spacing w:before="0" w:after="0"/>
                    <w:ind w:right="72"/>
                    <w:jc w:val="both"/>
                    <w:rPr>
                      <w:sz w:val="16"/>
                      <w:szCs w:val="16"/>
                    </w:rPr>
                  </w:pPr>
                  <w:r>
                    <w:rPr>
                      <w:sz w:val="16"/>
                      <w:szCs w:val="16"/>
                    </w:rPr>
                    <w:t xml:space="preserve">izlietotajam </w:t>
                  </w:r>
                  <w:r w:rsidR="002F1C2E">
                    <w:rPr>
                      <w:sz w:val="16"/>
                      <w:szCs w:val="16"/>
                    </w:rPr>
                    <w:t>iepakojum</w:t>
                  </w:r>
                  <w:r>
                    <w:rPr>
                      <w:sz w:val="16"/>
                      <w:szCs w:val="16"/>
                    </w:rPr>
                    <w:t>am</w:t>
                  </w:r>
                  <w:r w:rsidR="002F1C2E">
                    <w:rPr>
                      <w:sz w:val="16"/>
                      <w:szCs w:val="16"/>
                    </w:rPr>
                    <w:t xml:space="preserve"> un traukiem</w:t>
                  </w:r>
                </w:p>
              </w:tc>
              <w:tc>
                <w:tcPr>
                  <w:tcW w:w="1195" w:type="dxa"/>
                </w:tcPr>
                <w:p w14:paraId="5DAC1DBB" w14:textId="77777777" w:rsidR="002F1C2E" w:rsidRPr="002F1C2E" w:rsidRDefault="002F1C2E" w:rsidP="00904CB7">
                  <w:pPr>
                    <w:pStyle w:val="naiskr"/>
                    <w:spacing w:before="0" w:after="0"/>
                    <w:ind w:right="72"/>
                    <w:jc w:val="both"/>
                    <w:rPr>
                      <w:sz w:val="16"/>
                      <w:szCs w:val="16"/>
                    </w:rPr>
                  </w:pPr>
                  <w:r>
                    <w:rPr>
                      <w:sz w:val="16"/>
                      <w:szCs w:val="16"/>
                    </w:rPr>
                    <w:t>elektrisk</w:t>
                  </w:r>
                  <w:r w:rsidR="00904CB7">
                    <w:rPr>
                      <w:sz w:val="16"/>
                      <w:szCs w:val="16"/>
                    </w:rPr>
                    <w:t>o</w:t>
                  </w:r>
                  <w:r>
                    <w:rPr>
                      <w:sz w:val="16"/>
                      <w:szCs w:val="16"/>
                    </w:rPr>
                    <w:t xml:space="preserve"> un elektronisk</w:t>
                  </w:r>
                  <w:r w:rsidR="00904CB7">
                    <w:rPr>
                      <w:sz w:val="16"/>
                      <w:szCs w:val="16"/>
                    </w:rPr>
                    <w:t>o</w:t>
                  </w:r>
                  <w:r>
                    <w:rPr>
                      <w:sz w:val="16"/>
                      <w:szCs w:val="16"/>
                    </w:rPr>
                    <w:t xml:space="preserve"> iekārt</w:t>
                  </w:r>
                  <w:r w:rsidR="00904CB7">
                    <w:rPr>
                      <w:sz w:val="16"/>
                      <w:szCs w:val="16"/>
                    </w:rPr>
                    <w:t>u atkritumiem</w:t>
                  </w:r>
                  <w:r>
                    <w:rPr>
                      <w:sz w:val="16"/>
                      <w:szCs w:val="16"/>
                    </w:rPr>
                    <w:t xml:space="preserve"> (EEI)</w:t>
                  </w:r>
                </w:p>
              </w:tc>
              <w:tc>
                <w:tcPr>
                  <w:tcW w:w="857" w:type="dxa"/>
                </w:tcPr>
                <w:p w14:paraId="2EFD65A1" w14:textId="77777777" w:rsidR="002F1C2E" w:rsidRPr="002F1C2E" w:rsidRDefault="002F1C2E" w:rsidP="00904CB7">
                  <w:pPr>
                    <w:pStyle w:val="naiskr"/>
                    <w:spacing w:before="0" w:after="0"/>
                    <w:ind w:right="72"/>
                    <w:jc w:val="both"/>
                    <w:rPr>
                      <w:sz w:val="16"/>
                      <w:szCs w:val="16"/>
                    </w:rPr>
                  </w:pPr>
                  <w:r>
                    <w:rPr>
                      <w:sz w:val="16"/>
                      <w:szCs w:val="16"/>
                    </w:rPr>
                    <w:t>videi kaitīg</w:t>
                  </w:r>
                  <w:r w:rsidR="00904CB7">
                    <w:rPr>
                      <w:sz w:val="16"/>
                      <w:szCs w:val="16"/>
                    </w:rPr>
                    <w:t>u preču (i</w:t>
                  </w:r>
                  <w:r>
                    <w:rPr>
                      <w:sz w:val="16"/>
                      <w:szCs w:val="16"/>
                    </w:rPr>
                    <w:t>zņemot EEI)</w:t>
                  </w:r>
                  <w:r w:rsidR="00904CB7">
                    <w:rPr>
                      <w:sz w:val="16"/>
                      <w:szCs w:val="16"/>
                    </w:rPr>
                    <w:t xml:space="preserve"> atkritumiem</w:t>
                  </w:r>
                </w:p>
              </w:tc>
            </w:tr>
            <w:tr w:rsidR="00904CB7" w14:paraId="33690571" w14:textId="77777777" w:rsidTr="00B6309E">
              <w:tc>
                <w:tcPr>
                  <w:tcW w:w="498" w:type="dxa"/>
                </w:tcPr>
                <w:p w14:paraId="43529EED" w14:textId="77777777" w:rsidR="002F1C2E" w:rsidRPr="002F1C2E" w:rsidRDefault="00B6309E" w:rsidP="00D75D1C">
                  <w:pPr>
                    <w:pStyle w:val="naiskr"/>
                    <w:spacing w:before="0" w:after="0"/>
                    <w:ind w:right="72"/>
                    <w:jc w:val="both"/>
                    <w:rPr>
                      <w:sz w:val="20"/>
                      <w:szCs w:val="20"/>
                    </w:rPr>
                  </w:pPr>
                  <w:r>
                    <w:rPr>
                      <w:sz w:val="20"/>
                      <w:szCs w:val="20"/>
                    </w:rPr>
                    <w:t>1.</w:t>
                  </w:r>
                </w:p>
              </w:tc>
              <w:tc>
                <w:tcPr>
                  <w:tcW w:w="2327" w:type="dxa"/>
                </w:tcPr>
                <w:p w14:paraId="53A7CEF3" w14:textId="77777777" w:rsidR="002F1C2E" w:rsidRPr="002F1C2E" w:rsidRDefault="002F1C2E" w:rsidP="00D75D1C">
                  <w:pPr>
                    <w:pStyle w:val="naiskr"/>
                    <w:spacing w:before="0" w:after="0"/>
                    <w:ind w:right="72"/>
                    <w:jc w:val="both"/>
                    <w:rPr>
                      <w:sz w:val="20"/>
                      <w:szCs w:val="20"/>
                    </w:rPr>
                  </w:pPr>
                  <w:r>
                    <w:rPr>
                      <w:sz w:val="20"/>
                      <w:szCs w:val="20"/>
                    </w:rPr>
                    <w:t>SIA “Auto pārstrāde”</w:t>
                  </w:r>
                </w:p>
              </w:tc>
              <w:tc>
                <w:tcPr>
                  <w:tcW w:w="992" w:type="dxa"/>
                </w:tcPr>
                <w:p w14:paraId="67BB2CD9" w14:textId="77777777" w:rsidR="002F1C2E" w:rsidRPr="002F1C2E" w:rsidRDefault="002F1C2E" w:rsidP="002F1C2E">
                  <w:pPr>
                    <w:pStyle w:val="naiskr"/>
                    <w:spacing w:before="0" w:after="0"/>
                    <w:ind w:right="72"/>
                    <w:jc w:val="center"/>
                  </w:pPr>
                  <w:r w:rsidRPr="002F1C2E">
                    <w:t>X</w:t>
                  </w:r>
                </w:p>
              </w:tc>
              <w:tc>
                <w:tcPr>
                  <w:tcW w:w="1060" w:type="dxa"/>
                </w:tcPr>
                <w:p w14:paraId="12B4623E" w14:textId="77777777" w:rsidR="002F1C2E" w:rsidRPr="002F1C2E" w:rsidRDefault="002F1C2E" w:rsidP="00D75D1C">
                  <w:pPr>
                    <w:pStyle w:val="naiskr"/>
                    <w:spacing w:before="0" w:after="0"/>
                    <w:ind w:right="72"/>
                    <w:jc w:val="both"/>
                    <w:rPr>
                      <w:sz w:val="20"/>
                      <w:szCs w:val="20"/>
                    </w:rPr>
                  </w:pPr>
                </w:p>
              </w:tc>
              <w:tc>
                <w:tcPr>
                  <w:tcW w:w="1195" w:type="dxa"/>
                </w:tcPr>
                <w:p w14:paraId="2D299D19" w14:textId="77777777" w:rsidR="002F1C2E" w:rsidRPr="002F1C2E" w:rsidRDefault="002F1C2E" w:rsidP="00D75D1C">
                  <w:pPr>
                    <w:pStyle w:val="naiskr"/>
                    <w:spacing w:before="0" w:after="0"/>
                    <w:ind w:right="72"/>
                    <w:jc w:val="both"/>
                    <w:rPr>
                      <w:sz w:val="20"/>
                      <w:szCs w:val="20"/>
                    </w:rPr>
                  </w:pPr>
                </w:p>
              </w:tc>
              <w:tc>
                <w:tcPr>
                  <w:tcW w:w="857" w:type="dxa"/>
                </w:tcPr>
                <w:p w14:paraId="307C80E1" w14:textId="77777777" w:rsidR="002F1C2E" w:rsidRPr="002F1C2E" w:rsidRDefault="002F1C2E" w:rsidP="00D75D1C">
                  <w:pPr>
                    <w:pStyle w:val="naiskr"/>
                    <w:spacing w:before="0" w:after="0"/>
                    <w:ind w:right="72"/>
                    <w:jc w:val="both"/>
                    <w:rPr>
                      <w:sz w:val="20"/>
                      <w:szCs w:val="20"/>
                    </w:rPr>
                  </w:pPr>
                </w:p>
              </w:tc>
            </w:tr>
            <w:tr w:rsidR="00904CB7" w14:paraId="02A87D6A" w14:textId="77777777" w:rsidTr="00B6309E">
              <w:tc>
                <w:tcPr>
                  <w:tcW w:w="498" w:type="dxa"/>
                </w:tcPr>
                <w:p w14:paraId="5F028163" w14:textId="77777777" w:rsidR="00B6309E" w:rsidRPr="002F1C2E" w:rsidRDefault="00B6309E" w:rsidP="00B6309E">
                  <w:pPr>
                    <w:pStyle w:val="naiskr"/>
                    <w:spacing w:before="0" w:after="0"/>
                    <w:ind w:right="72"/>
                    <w:jc w:val="both"/>
                    <w:rPr>
                      <w:sz w:val="20"/>
                      <w:szCs w:val="20"/>
                    </w:rPr>
                  </w:pPr>
                  <w:r>
                    <w:rPr>
                      <w:sz w:val="20"/>
                      <w:szCs w:val="20"/>
                    </w:rPr>
                    <w:t>2.</w:t>
                  </w:r>
                </w:p>
              </w:tc>
              <w:tc>
                <w:tcPr>
                  <w:tcW w:w="2327" w:type="dxa"/>
                  <w:tcBorders>
                    <w:top w:val="nil"/>
                    <w:left w:val="single" w:sz="4" w:space="0" w:color="auto"/>
                    <w:bottom w:val="single" w:sz="4" w:space="0" w:color="auto"/>
                    <w:right w:val="single" w:sz="4" w:space="0" w:color="auto"/>
                  </w:tcBorders>
                  <w:shd w:val="clear" w:color="auto" w:fill="auto"/>
                  <w:vAlign w:val="bottom"/>
                </w:tcPr>
                <w:p w14:paraId="7E2A9BC9" w14:textId="77777777" w:rsidR="00B6309E" w:rsidRPr="00B6309E" w:rsidRDefault="00B6309E" w:rsidP="00B6309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“Zaļais Centrs”</w:t>
                  </w:r>
                </w:p>
              </w:tc>
              <w:tc>
                <w:tcPr>
                  <w:tcW w:w="992" w:type="dxa"/>
                </w:tcPr>
                <w:p w14:paraId="43A772A5" w14:textId="77777777" w:rsidR="00B6309E" w:rsidRPr="002F1C2E" w:rsidRDefault="00B6309E" w:rsidP="00B6309E">
                  <w:pPr>
                    <w:pStyle w:val="naiskr"/>
                    <w:spacing w:before="0" w:after="0"/>
                    <w:ind w:right="72"/>
                    <w:jc w:val="both"/>
                    <w:rPr>
                      <w:sz w:val="20"/>
                      <w:szCs w:val="20"/>
                    </w:rPr>
                  </w:pPr>
                </w:p>
              </w:tc>
              <w:tc>
                <w:tcPr>
                  <w:tcW w:w="1060" w:type="dxa"/>
                </w:tcPr>
                <w:p w14:paraId="09E5EAE7" w14:textId="77777777" w:rsidR="00B6309E" w:rsidRPr="00B6309E" w:rsidRDefault="00B6309E" w:rsidP="00B6309E">
                  <w:pPr>
                    <w:pStyle w:val="naiskr"/>
                    <w:spacing w:before="0" w:after="0"/>
                    <w:ind w:right="72"/>
                    <w:jc w:val="center"/>
                  </w:pPr>
                  <w:r w:rsidRPr="00B6309E">
                    <w:t>X</w:t>
                  </w:r>
                </w:p>
              </w:tc>
              <w:tc>
                <w:tcPr>
                  <w:tcW w:w="1195" w:type="dxa"/>
                </w:tcPr>
                <w:p w14:paraId="547153EB" w14:textId="77777777" w:rsidR="00B6309E" w:rsidRPr="002F1C2E" w:rsidRDefault="00B6309E" w:rsidP="00B6309E">
                  <w:pPr>
                    <w:pStyle w:val="naiskr"/>
                    <w:spacing w:before="0" w:after="0"/>
                    <w:ind w:right="72"/>
                    <w:jc w:val="both"/>
                    <w:rPr>
                      <w:sz w:val="20"/>
                      <w:szCs w:val="20"/>
                    </w:rPr>
                  </w:pPr>
                </w:p>
              </w:tc>
              <w:tc>
                <w:tcPr>
                  <w:tcW w:w="857" w:type="dxa"/>
                </w:tcPr>
                <w:p w14:paraId="1AAD3A76" w14:textId="77777777" w:rsidR="00B6309E" w:rsidRPr="00CF192A" w:rsidRDefault="00CF192A" w:rsidP="00CF192A">
                  <w:pPr>
                    <w:pStyle w:val="naiskr"/>
                    <w:spacing w:before="0" w:after="0"/>
                    <w:ind w:right="72"/>
                    <w:jc w:val="center"/>
                  </w:pPr>
                  <w:r w:rsidRPr="00CF192A">
                    <w:t>X</w:t>
                  </w:r>
                </w:p>
              </w:tc>
            </w:tr>
            <w:tr w:rsidR="00904CB7" w14:paraId="3EF3E2AD" w14:textId="77777777" w:rsidTr="00B6309E">
              <w:tc>
                <w:tcPr>
                  <w:tcW w:w="498" w:type="dxa"/>
                </w:tcPr>
                <w:p w14:paraId="14DFF5FF" w14:textId="77777777" w:rsidR="00B6309E" w:rsidRPr="002F1C2E" w:rsidRDefault="00B6309E" w:rsidP="00B6309E">
                  <w:pPr>
                    <w:pStyle w:val="naiskr"/>
                    <w:spacing w:before="0" w:after="0"/>
                    <w:ind w:right="72"/>
                    <w:jc w:val="both"/>
                    <w:rPr>
                      <w:sz w:val="20"/>
                      <w:szCs w:val="20"/>
                    </w:rPr>
                  </w:pPr>
                  <w:r>
                    <w:rPr>
                      <w:sz w:val="20"/>
                      <w:szCs w:val="20"/>
                    </w:rPr>
                    <w:t>3.</w:t>
                  </w:r>
                </w:p>
              </w:tc>
              <w:tc>
                <w:tcPr>
                  <w:tcW w:w="2327" w:type="dxa"/>
                  <w:tcBorders>
                    <w:top w:val="nil"/>
                    <w:left w:val="single" w:sz="4" w:space="0" w:color="auto"/>
                    <w:bottom w:val="single" w:sz="4" w:space="0" w:color="auto"/>
                    <w:right w:val="single" w:sz="4" w:space="0" w:color="auto"/>
                  </w:tcBorders>
                  <w:shd w:val="clear" w:color="auto" w:fill="auto"/>
                  <w:vAlign w:val="bottom"/>
                </w:tcPr>
                <w:p w14:paraId="6EECEABD" w14:textId="77777777" w:rsidR="00B6309E" w:rsidRPr="00B6309E" w:rsidRDefault="00B6309E" w:rsidP="00B6309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w:t>
                  </w:r>
                  <w:r w:rsidRPr="00B6309E">
                    <w:rPr>
                      <w:rFonts w:ascii="Times New Roman" w:eastAsia="Times New Roman" w:hAnsi="Times New Roman" w:cs="Times New Roman"/>
                      <w:color w:val="000000"/>
                      <w:sz w:val="20"/>
                      <w:szCs w:val="20"/>
                      <w:lang w:eastAsia="lv-LV"/>
                    </w:rPr>
                    <w:t xml:space="preserve">Zaļā </w:t>
                  </w:r>
                  <w:r>
                    <w:rPr>
                      <w:rFonts w:ascii="Times New Roman" w:eastAsia="Times New Roman" w:hAnsi="Times New Roman" w:cs="Times New Roman"/>
                      <w:color w:val="000000"/>
                      <w:sz w:val="20"/>
                      <w:szCs w:val="20"/>
                      <w:lang w:eastAsia="lv-LV"/>
                    </w:rPr>
                    <w:t>josta”</w:t>
                  </w:r>
                </w:p>
              </w:tc>
              <w:tc>
                <w:tcPr>
                  <w:tcW w:w="992" w:type="dxa"/>
                </w:tcPr>
                <w:p w14:paraId="11F640DC" w14:textId="77777777" w:rsidR="00B6309E" w:rsidRPr="002F1C2E" w:rsidRDefault="00B6309E" w:rsidP="00B6309E">
                  <w:pPr>
                    <w:pStyle w:val="naiskr"/>
                    <w:spacing w:before="0" w:after="0"/>
                    <w:ind w:right="72"/>
                    <w:jc w:val="both"/>
                    <w:rPr>
                      <w:sz w:val="20"/>
                      <w:szCs w:val="20"/>
                    </w:rPr>
                  </w:pPr>
                </w:p>
              </w:tc>
              <w:tc>
                <w:tcPr>
                  <w:tcW w:w="1060" w:type="dxa"/>
                </w:tcPr>
                <w:p w14:paraId="2F22F67D" w14:textId="77777777" w:rsidR="00B6309E" w:rsidRPr="00B6309E" w:rsidRDefault="00B6309E" w:rsidP="00B6309E">
                  <w:pPr>
                    <w:pStyle w:val="naiskr"/>
                    <w:spacing w:before="0" w:after="0"/>
                    <w:ind w:right="72"/>
                    <w:jc w:val="center"/>
                  </w:pPr>
                  <w:r w:rsidRPr="00B6309E">
                    <w:t>X</w:t>
                  </w:r>
                </w:p>
              </w:tc>
              <w:tc>
                <w:tcPr>
                  <w:tcW w:w="1195" w:type="dxa"/>
                </w:tcPr>
                <w:p w14:paraId="6B56E695" w14:textId="77777777" w:rsidR="00B6309E" w:rsidRPr="00CF192A" w:rsidRDefault="00CF192A" w:rsidP="00CF192A">
                  <w:pPr>
                    <w:pStyle w:val="naiskr"/>
                    <w:spacing w:before="0" w:after="0"/>
                    <w:ind w:right="72"/>
                    <w:jc w:val="center"/>
                  </w:pPr>
                  <w:r w:rsidRPr="00CF192A">
                    <w:t>X</w:t>
                  </w:r>
                </w:p>
              </w:tc>
              <w:tc>
                <w:tcPr>
                  <w:tcW w:w="857" w:type="dxa"/>
                </w:tcPr>
                <w:p w14:paraId="7FD8E5C6" w14:textId="77777777" w:rsidR="00B6309E" w:rsidRPr="00CF192A" w:rsidRDefault="00CF192A" w:rsidP="00CF192A">
                  <w:pPr>
                    <w:pStyle w:val="naiskr"/>
                    <w:spacing w:before="0" w:after="0"/>
                    <w:ind w:right="72"/>
                    <w:jc w:val="center"/>
                  </w:pPr>
                  <w:r w:rsidRPr="00CF192A">
                    <w:t>X</w:t>
                  </w:r>
                </w:p>
              </w:tc>
            </w:tr>
            <w:tr w:rsidR="00904CB7" w14:paraId="75CE6B87" w14:textId="77777777" w:rsidTr="00B6309E">
              <w:tc>
                <w:tcPr>
                  <w:tcW w:w="498" w:type="dxa"/>
                </w:tcPr>
                <w:p w14:paraId="2D4BE988" w14:textId="77777777" w:rsidR="00B6309E" w:rsidRPr="002F1C2E" w:rsidRDefault="00B6309E" w:rsidP="00B6309E">
                  <w:pPr>
                    <w:pStyle w:val="naiskr"/>
                    <w:spacing w:before="0" w:after="0"/>
                    <w:ind w:right="72"/>
                    <w:jc w:val="both"/>
                    <w:rPr>
                      <w:sz w:val="20"/>
                      <w:szCs w:val="20"/>
                    </w:rPr>
                  </w:pPr>
                  <w:r>
                    <w:rPr>
                      <w:sz w:val="20"/>
                      <w:szCs w:val="20"/>
                    </w:rPr>
                    <w:lastRenderedPageBreak/>
                    <w:t>4.</w:t>
                  </w:r>
                </w:p>
              </w:tc>
              <w:tc>
                <w:tcPr>
                  <w:tcW w:w="2327" w:type="dxa"/>
                  <w:tcBorders>
                    <w:top w:val="nil"/>
                    <w:left w:val="single" w:sz="4" w:space="0" w:color="auto"/>
                    <w:bottom w:val="single" w:sz="4" w:space="0" w:color="auto"/>
                    <w:right w:val="single" w:sz="4" w:space="0" w:color="auto"/>
                  </w:tcBorders>
                  <w:shd w:val="clear" w:color="auto" w:fill="auto"/>
                  <w:vAlign w:val="bottom"/>
                </w:tcPr>
                <w:p w14:paraId="544AC259" w14:textId="77777777" w:rsidR="00B6309E" w:rsidRPr="00B6309E" w:rsidRDefault="00B6309E" w:rsidP="00B6309E">
                  <w:pPr>
                    <w:rPr>
                      <w:rFonts w:ascii="Times New Roman" w:eastAsia="Times New Roman" w:hAnsi="Times New Roman" w:cs="Times New Roman"/>
                      <w:color w:val="000000"/>
                      <w:sz w:val="20"/>
                      <w:szCs w:val="20"/>
                      <w:lang w:eastAsia="lv-LV"/>
                    </w:rPr>
                  </w:pPr>
                  <w:r w:rsidRPr="00B6309E">
                    <w:rPr>
                      <w:rFonts w:ascii="Times New Roman" w:eastAsia="Times New Roman" w:hAnsi="Times New Roman" w:cs="Times New Roman"/>
                      <w:color w:val="000000"/>
                      <w:sz w:val="20"/>
                      <w:szCs w:val="20"/>
                      <w:lang w:eastAsia="lv-LV"/>
                    </w:rPr>
                    <w:t xml:space="preserve">AS </w:t>
                  </w:r>
                  <w:r>
                    <w:rPr>
                      <w:rFonts w:ascii="Times New Roman" w:eastAsia="Times New Roman" w:hAnsi="Times New Roman" w:cs="Times New Roman"/>
                      <w:color w:val="000000"/>
                      <w:sz w:val="20"/>
                      <w:szCs w:val="20"/>
                      <w:lang w:eastAsia="lv-LV"/>
                    </w:rPr>
                    <w:t>“Latvijas Zaļais punkts”</w:t>
                  </w:r>
                </w:p>
              </w:tc>
              <w:tc>
                <w:tcPr>
                  <w:tcW w:w="992" w:type="dxa"/>
                </w:tcPr>
                <w:p w14:paraId="530EB629" w14:textId="77777777" w:rsidR="00B6309E" w:rsidRPr="002F1C2E" w:rsidRDefault="00B6309E" w:rsidP="00B6309E">
                  <w:pPr>
                    <w:pStyle w:val="naiskr"/>
                    <w:spacing w:before="0" w:after="0"/>
                    <w:ind w:right="72"/>
                    <w:jc w:val="both"/>
                    <w:rPr>
                      <w:sz w:val="20"/>
                      <w:szCs w:val="20"/>
                    </w:rPr>
                  </w:pPr>
                </w:p>
              </w:tc>
              <w:tc>
                <w:tcPr>
                  <w:tcW w:w="1060" w:type="dxa"/>
                </w:tcPr>
                <w:p w14:paraId="766F16F6" w14:textId="77777777" w:rsidR="00B6309E" w:rsidRPr="00B6309E" w:rsidRDefault="00B6309E" w:rsidP="00B6309E">
                  <w:pPr>
                    <w:pStyle w:val="naiskr"/>
                    <w:spacing w:before="0" w:after="0"/>
                    <w:ind w:right="72"/>
                    <w:jc w:val="center"/>
                  </w:pPr>
                  <w:r w:rsidRPr="00B6309E">
                    <w:t>X</w:t>
                  </w:r>
                </w:p>
              </w:tc>
              <w:tc>
                <w:tcPr>
                  <w:tcW w:w="1195" w:type="dxa"/>
                </w:tcPr>
                <w:p w14:paraId="1ED0D3EE" w14:textId="77777777" w:rsidR="00B6309E" w:rsidRPr="00CF192A" w:rsidRDefault="00CF192A" w:rsidP="00CF192A">
                  <w:pPr>
                    <w:pStyle w:val="naiskr"/>
                    <w:spacing w:before="0" w:after="0"/>
                    <w:ind w:right="72"/>
                    <w:jc w:val="center"/>
                  </w:pPr>
                  <w:r w:rsidRPr="00CF192A">
                    <w:t>X</w:t>
                  </w:r>
                </w:p>
              </w:tc>
              <w:tc>
                <w:tcPr>
                  <w:tcW w:w="857" w:type="dxa"/>
                </w:tcPr>
                <w:p w14:paraId="4C5F0EFA" w14:textId="77777777" w:rsidR="00B6309E" w:rsidRPr="00CF192A" w:rsidRDefault="00CF192A" w:rsidP="00CF192A">
                  <w:pPr>
                    <w:pStyle w:val="naiskr"/>
                    <w:spacing w:before="0" w:after="0"/>
                    <w:ind w:right="72"/>
                    <w:jc w:val="center"/>
                  </w:pPr>
                  <w:r w:rsidRPr="00CF192A">
                    <w:t>X</w:t>
                  </w:r>
                </w:p>
              </w:tc>
            </w:tr>
            <w:tr w:rsidR="00904CB7" w14:paraId="726DEB2D" w14:textId="77777777" w:rsidTr="00B6309E">
              <w:tc>
                <w:tcPr>
                  <w:tcW w:w="498" w:type="dxa"/>
                </w:tcPr>
                <w:p w14:paraId="0B000AAA" w14:textId="77777777" w:rsidR="00B6309E" w:rsidRPr="002F1C2E" w:rsidRDefault="00B6309E" w:rsidP="00B6309E">
                  <w:pPr>
                    <w:pStyle w:val="naiskr"/>
                    <w:spacing w:before="0" w:after="0"/>
                    <w:ind w:right="72"/>
                    <w:jc w:val="both"/>
                    <w:rPr>
                      <w:sz w:val="20"/>
                      <w:szCs w:val="20"/>
                    </w:rPr>
                  </w:pPr>
                  <w:r>
                    <w:rPr>
                      <w:sz w:val="20"/>
                      <w:szCs w:val="20"/>
                    </w:rPr>
                    <w:t>5.</w:t>
                  </w:r>
                </w:p>
              </w:tc>
              <w:tc>
                <w:tcPr>
                  <w:tcW w:w="2327" w:type="dxa"/>
                  <w:tcBorders>
                    <w:top w:val="nil"/>
                    <w:left w:val="single" w:sz="4" w:space="0" w:color="auto"/>
                    <w:bottom w:val="single" w:sz="4" w:space="0" w:color="auto"/>
                    <w:right w:val="single" w:sz="4" w:space="0" w:color="auto"/>
                  </w:tcBorders>
                  <w:shd w:val="clear" w:color="auto" w:fill="auto"/>
                  <w:vAlign w:val="bottom"/>
                </w:tcPr>
                <w:p w14:paraId="1BA5CF89" w14:textId="77777777" w:rsidR="00B6309E" w:rsidRPr="00B6309E" w:rsidRDefault="00B6309E" w:rsidP="00B6309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w:t>
                  </w:r>
                  <w:proofErr w:type="spellStart"/>
                  <w:r>
                    <w:rPr>
                      <w:rFonts w:ascii="Times New Roman" w:eastAsia="Times New Roman" w:hAnsi="Times New Roman" w:cs="Times New Roman"/>
                      <w:color w:val="000000"/>
                      <w:sz w:val="20"/>
                      <w:szCs w:val="20"/>
                      <w:lang w:eastAsia="lv-LV"/>
                    </w:rPr>
                    <w:t>Eko</w:t>
                  </w:r>
                  <w:proofErr w:type="spellEnd"/>
                  <w:r>
                    <w:rPr>
                      <w:rFonts w:ascii="Times New Roman" w:eastAsia="Times New Roman" w:hAnsi="Times New Roman" w:cs="Times New Roman"/>
                      <w:color w:val="000000"/>
                      <w:sz w:val="20"/>
                      <w:szCs w:val="20"/>
                      <w:lang w:eastAsia="lv-LV"/>
                    </w:rPr>
                    <w:t xml:space="preserve"> Rija”</w:t>
                  </w:r>
                </w:p>
              </w:tc>
              <w:tc>
                <w:tcPr>
                  <w:tcW w:w="992" w:type="dxa"/>
                </w:tcPr>
                <w:p w14:paraId="431781F4" w14:textId="77777777" w:rsidR="00B6309E" w:rsidRPr="002F1C2E" w:rsidRDefault="00B6309E" w:rsidP="00B6309E">
                  <w:pPr>
                    <w:pStyle w:val="naiskr"/>
                    <w:spacing w:before="0" w:after="0"/>
                    <w:ind w:right="72"/>
                    <w:jc w:val="both"/>
                    <w:rPr>
                      <w:sz w:val="20"/>
                      <w:szCs w:val="20"/>
                    </w:rPr>
                  </w:pPr>
                </w:p>
              </w:tc>
              <w:tc>
                <w:tcPr>
                  <w:tcW w:w="1060" w:type="dxa"/>
                </w:tcPr>
                <w:p w14:paraId="77E1368B" w14:textId="77777777" w:rsidR="00B6309E" w:rsidRPr="00B6309E" w:rsidRDefault="00B6309E" w:rsidP="00B6309E">
                  <w:pPr>
                    <w:pStyle w:val="naiskr"/>
                    <w:spacing w:before="0" w:after="0"/>
                    <w:ind w:right="72"/>
                    <w:jc w:val="center"/>
                  </w:pPr>
                  <w:r w:rsidRPr="00B6309E">
                    <w:t>X</w:t>
                  </w:r>
                </w:p>
              </w:tc>
              <w:tc>
                <w:tcPr>
                  <w:tcW w:w="1195" w:type="dxa"/>
                </w:tcPr>
                <w:p w14:paraId="15F66896" w14:textId="77777777" w:rsidR="00B6309E" w:rsidRPr="00CF192A" w:rsidRDefault="00B6309E" w:rsidP="00CF192A">
                  <w:pPr>
                    <w:pStyle w:val="naiskr"/>
                    <w:spacing w:before="0" w:after="0"/>
                    <w:ind w:right="72"/>
                    <w:jc w:val="center"/>
                  </w:pPr>
                </w:p>
              </w:tc>
              <w:tc>
                <w:tcPr>
                  <w:tcW w:w="857" w:type="dxa"/>
                </w:tcPr>
                <w:p w14:paraId="29170029" w14:textId="77777777" w:rsidR="00B6309E" w:rsidRPr="00CF192A" w:rsidRDefault="00B6309E" w:rsidP="00CF192A">
                  <w:pPr>
                    <w:pStyle w:val="naiskr"/>
                    <w:spacing w:before="0" w:after="0"/>
                    <w:ind w:right="72"/>
                    <w:jc w:val="center"/>
                  </w:pPr>
                </w:p>
              </w:tc>
            </w:tr>
            <w:tr w:rsidR="00904CB7" w14:paraId="709DE42C" w14:textId="77777777" w:rsidTr="00B6309E">
              <w:tc>
                <w:tcPr>
                  <w:tcW w:w="498" w:type="dxa"/>
                </w:tcPr>
                <w:p w14:paraId="7DE405B8" w14:textId="77777777" w:rsidR="002F1C2E" w:rsidRPr="002F1C2E" w:rsidRDefault="00B6309E" w:rsidP="00D75D1C">
                  <w:pPr>
                    <w:pStyle w:val="naiskr"/>
                    <w:spacing w:before="0" w:after="0"/>
                    <w:ind w:right="72"/>
                    <w:jc w:val="both"/>
                    <w:rPr>
                      <w:sz w:val="20"/>
                      <w:szCs w:val="20"/>
                    </w:rPr>
                  </w:pPr>
                  <w:r>
                    <w:rPr>
                      <w:sz w:val="20"/>
                      <w:szCs w:val="20"/>
                    </w:rPr>
                    <w:t>6.</w:t>
                  </w:r>
                </w:p>
              </w:tc>
              <w:tc>
                <w:tcPr>
                  <w:tcW w:w="2327" w:type="dxa"/>
                </w:tcPr>
                <w:p w14:paraId="2FBC6519" w14:textId="77777777" w:rsidR="002F1C2E" w:rsidRPr="002F1C2E" w:rsidRDefault="00B6309E" w:rsidP="00D75D1C">
                  <w:pPr>
                    <w:pStyle w:val="naiskr"/>
                    <w:spacing w:before="0" w:after="0"/>
                    <w:ind w:right="72"/>
                    <w:jc w:val="both"/>
                    <w:rPr>
                      <w:sz w:val="20"/>
                      <w:szCs w:val="20"/>
                    </w:rPr>
                  </w:pPr>
                  <w:r>
                    <w:rPr>
                      <w:sz w:val="20"/>
                      <w:szCs w:val="20"/>
                    </w:rPr>
                    <w:t>SIA “Latvijas Zaļais fonds”</w:t>
                  </w:r>
                </w:p>
              </w:tc>
              <w:tc>
                <w:tcPr>
                  <w:tcW w:w="992" w:type="dxa"/>
                </w:tcPr>
                <w:p w14:paraId="697F304B" w14:textId="77777777" w:rsidR="002F1C2E" w:rsidRPr="002F1C2E" w:rsidRDefault="002F1C2E" w:rsidP="00D75D1C">
                  <w:pPr>
                    <w:pStyle w:val="naiskr"/>
                    <w:spacing w:before="0" w:after="0"/>
                    <w:ind w:right="72"/>
                    <w:jc w:val="both"/>
                    <w:rPr>
                      <w:sz w:val="20"/>
                      <w:szCs w:val="20"/>
                    </w:rPr>
                  </w:pPr>
                </w:p>
              </w:tc>
              <w:tc>
                <w:tcPr>
                  <w:tcW w:w="1060" w:type="dxa"/>
                </w:tcPr>
                <w:p w14:paraId="4F6CA0A3" w14:textId="77777777" w:rsidR="002F1C2E" w:rsidRPr="00B6309E" w:rsidRDefault="00B6309E" w:rsidP="00B6309E">
                  <w:pPr>
                    <w:pStyle w:val="naiskr"/>
                    <w:spacing w:before="0" w:after="0"/>
                    <w:ind w:right="72"/>
                    <w:jc w:val="center"/>
                  </w:pPr>
                  <w:r w:rsidRPr="00B6309E">
                    <w:t>X</w:t>
                  </w:r>
                </w:p>
              </w:tc>
              <w:tc>
                <w:tcPr>
                  <w:tcW w:w="1195" w:type="dxa"/>
                </w:tcPr>
                <w:p w14:paraId="155B5C91" w14:textId="77777777" w:rsidR="002F1C2E" w:rsidRPr="00CF192A" w:rsidRDefault="002F1C2E" w:rsidP="00CF192A">
                  <w:pPr>
                    <w:pStyle w:val="naiskr"/>
                    <w:spacing w:before="0" w:after="0"/>
                    <w:ind w:right="72"/>
                    <w:jc w:val="center"/>
                  </w:pPr>
                </w:p>
              </w:tc>
              <w:tc>
                <w:tcPr>
                  <w:tcW w:w="857" w:type="dxa"/>
                </w:tcPr>
                <w:p w14:paraId="6CFAE7DC" w14:textId="77777777" w:rsidR="002F1C2E" w:rsidRPr="00CF192A" w:rsidRDefault="00CF192A" w:rsidP="00CF192A">
                  <w:pPr>
                    <w:pStyle w:val="naiskr"/>
                    <w:spacing w:before="0" w:after="0"/>
                    <w:ind w:right="72"/>
                    <w:jc w:val="center"/>
                  </w:pPr>
                  <w:r w:rsidRPr="00CF192A">
                    <w:t>X</w:t>
                  </w:r>
                </w:p>
              </w:tc>
            </w:tr>
            <w:tr w:rsidR="00904CB7" w14:paraId="683E4EA9" w14:textId="77777777" w:rsidTr="00B6309E">
              <w:tc>
                <w:tcPr>
                  <w:tcW w:w="498" w:type="dxa"/>
                </w:tcPr>
                <w:p w14:paraId="7447528F" w14:textId="77777777" w:rsidR="00B6309E" w:rsidRPr="002F1C2E" w:rsidRDefault="00B6309E" w:rsidP="00D75D1C">
                  <w:pPr>
                    <w:pStyle w:val="naiskr"/>
                    <w:spacing w:before="0" w:after="0"/>
                    <w:ind w:right="72"/>
                    <w:jc w:val="both"/>
                    <w:rPr>
                      <w:sz w:val="20"/>
                      <w:szCs w:val="20"/>
                    </w:rPr>
                  </w:pPr>
                  <w:r>
                    <w:rPr>
                      <w:sz w:val="20"/>
                      <w:szCs w:val="20"/>
                    </w:rPr>
                    <w:t>7.</w:t>
                  </w:r>
                </w:p>
              </w:tc>
              <w:tc>
                <w:tcPr>
                  <w:tcW w:w="2327" w:type="dxa"/>
                </w:tcPr>
                <w:p w14:paraId="6F372B69" w14:textId="77777777" w:rsidR="00B6309E" w:rsidRPr="002F1C2E" w:rsidRDefault="00B6309E" w:rsidP="00D75D1C">
                  <w:pPr>
                    <w:pStyle w:val="naiskr"/>
                    <w:spacing w:before="0" w:after="0"/>
                    <w:ind w:right="72"/>
                    <w:jc w:val="both"/>
                    <w:rPr>
                      <w:sz w:val="20"/>
                      <w:szCs w:val="20"/>
                    </w:rPr>
                  </w:pPr>
                  <w:r>
                    <w:rPr>
                      <w:sz w:val="20"/>
                      <w:szCs w:val="20"/>
                    </w:rPr>
                    <w:t>SIA “TINO Balt”</w:t>
                  </w:r>
                </w:p>
              </w:tc>
              <w:tc>
                <w:tcPr>
                  <w:tcW w:w="992" w:type="dxa"/>
                </w:tcPr>
                <w:p w14:paraId="328957E7" w14:textId="77777777" w:rsidR="00B6309E" w:rsidRPr="002F1C2E" w:rsidRDefault="00B6309E" w:rsidP="00D75D1C">
                  <w:pPr>
                    <w:pStyle w:val="naiskr"/>
                    <w:spacing w:before="0" w:after="0"/>
                    <w:ind w:right="72"/>
                    <w:jc w:val="both"/>
                    <w:rPr>
                      <w:sz w:val="20"/>
                      <w:szCs w:val="20"/>
                    </w:rPr>
                  </w:pPr>
                </w:p>
              </w:tc>
              <w:tc>
                <w:tcPr>
                  <w:tcW w:w="1060" w:type="dxa"/>
                </w:tcPr>
                <w:p w14:paraId="59FDFD07" w14:textId="77777777" w:rsidR="00B6309E" w:rsidRPr="00CF192A" w:rsidRDefault="00CF192A" w:rsidP="00CF192A">
                  <w:pPr>
                    <w:pStyle w:val="naiskr"/>
                    <w:spacing w:before="0" w:after="0"/>
                    <w:ind w:right="72"/>
                    <w:jc w:val="center"/>
                  </w:pPr>
                  <w:r w:rsidRPr="00CF192A">
                    <w:t>X</w:t>
                  </w:r>
                </w:p>
              </w:tc>
              <w:tc>
                <w:tcPr>
                  <w:tcW w:w="1195" w:type="dxa"/>
                </w:tcPr>
                <w:p w14:paraId="7FE0D3A6" w14:textId="77777777" w:rsidR="00B6309E" w:rsidRPr="00CF192A" w:rsidRDefault="00CF192A" w:rsidP="00CF192A">
                  <w:pPr>
                    <w:pStyle w:val="naiskr"/>
                    <w:spacing w:before="0" w:after="0"/>
                    <w:ind w:right="72"/>
                    <w:jc w:val="center"/>
                  </w:pPr>
                  <w:r w:rsidRPr="00CF192A">
                    <w:t>X</w:t>
                  </w:r>
                </w:p>
              </w:tc>
              <w:tc>
                <w:tcPr>
                  <w:tcW w:w="857" w:type="dxa"/>
                </w:tcPr>
                <w:p w14:paraId="6F248CE6" w14:textId="77777777" w:rsidR="00B6309E" w:rsidRPr="00CF192A" w:rsidRDefault="00CF192A" w:rsidP="00CF192A">
                  <w:pPr>
                    <w:pStyle w:val="naiskr"/>
                    <w:spacing w:before="0" w:after="0"/>
                    <w:ind w:right="72"/>
                    <w:jc w:val="center"/>
                  </w:pPr>
                  <w:r w:rsidRPr="00CF192A">
                    <w:t>X</w:t>
                  </w:r>
                </w:p>
              </w:tc>
            </w:tr>
            <w:tr w:rsidR="00904CB7" w14:paraId="20D0BBB5" w14:textId="77777777" w:rsidTr="00B6309E">
              <w:tc>
                <w:tcPr>
                  <w:tcW w:w="498" w:type="dxa"/>
                </w:tcPr>
                <w:p w14:paraId="395C9405" w14:textId="77777777" w:rsidR="00B6309E" w:rsidRPr="002F1C2E" w:rsidRDefault="00B6309E" w:rsidP="00D75D1C">
                  <w:pPr>
                    <w:pStyle w:val="naiskr"/>
                    <w:spacing w:before="0" w:after="0"/>
                    <w:ind w:right="72"/>
                    <w:jc w:val="both"/>
                    <w:rPr>
                      <w:sz w:val="20"/>
                      <w:szCs w:val="20"/>
                    </w:rPr>
                  </w:pPr>
                  <w:r>
                    <w:rPr>
                      <w:sz w:val="20"/>
                      <w:szCs w:val="20"/>
                    </w:rPr>
                    <w:t>8.</w:t>
                  </w:r>
                </w:p>
              </w:tc>
              <w:tc>
                <w:tcPr>
                  <w:tcW w:w="2327" w:type="dxa"/>
                </w:tcPr>
                <w:p w14:paraId="2FA74980" w14:textId="77777777" w:rsidR="00B6309E" w:rsidRPr="002F1C2E" w:rsidRDefault="00B6309E" w:rsidP="00D75D1C">
                  <w:pPr>
                    <w:pStyle w:val="naiskr"/>
                    <w:spacing w:before="0" w:after="0"/>
                    <w:ind w:right="72"/>
                    <w:jc w:val="both"/>
                    <w:rPr>
                      <w:sz w:val="20"/>
                      <w:szCs w:val="20"/>
                    </w:rPr>
                  </w:pPr>
                  <w:r>
                    <w:rPr>
                      <w:sz w:val="20"/>
                      <w:szCs w:val="20"/>
                    </w:rPr>
                    <w:t>AS “Latvijas Zaļais elektrons”</w:t>
                  </w:r>
                </w:p>
              </w:tc>
              <w:tc>
                <w:tcPr>
                  <w:tcW w:w="992" w:type="dxa"/>
                </w:tcPr>
                <w:p w14:paraId="3FBB8A7E" w14:textId="77777777" w:rsidR="00B6309E" w:rsidRPr="002F1C2E" w:rsidRDefault="00B6309E" w:rsidP="00D75D1C">
                  <w:pPr>
                    <w:pStyle w:val="naiskr"/>
                    <w:spacing w:before="0" w:after="0"/>
                    <w:ind w:right="72"/>
                    <w:jc w:val="both"/>
                    <w:rPr>
                      <w:sz w:val="20"/>
                      <w:szCs w:val="20"/>
                    </w:rPr>
                  </w:pPr>
                </w:p>
              </w:tc>
              <w:tc>
                <w:tcPr>
                  <w:tcW w:w="1060" w:type="dxa"/>
                </w:tcPr>
                <w:p w14:paraId="18BCD932" w14:textId="77777777" w:rsidR="00B6309E" w:rsidRPr="002F1C2E" w:rsidRDefault="00B6309E" w:rsidP="00D75D1C">
                  <w:pPr>
                    <w:pStyle w:val="naiskr"/>
                    <w:spacing w:before="0" w:after="0"/>
                    <w:ind w:right="72"/>
                    <w:jc w:val="both"/>
                    <w:rPr>
                      <w:sz w:val="20"/>
                      <w:szCs w:val="20"/>
                    </w:rPr>
                  </w:pPr>
                </w:p>
              </w:tc>
              <w:tc>
                <w:tcPr>
                  <w:tcW w:w="1195" w:type="dxa"/>
                </w:tcPr>
                <w:p w14:paraId="1FE50957" w14:textId="77777777" w:rsidR="00B6309E" w:rsidRPr="00CF192A" w:rsidRDefault="00CF192A" w:rsidP="00CF192A">
                  <w:pPr>
                    <w:pStyle w:val="naiskr"/>
                    <w:spacing w:before="0" w:after="0"/>
                    <w:ind w:right="72"/>
                    <w:jc w:val="center"/>
                  </w:pPr>
                  <w:r w:rsidRPr="00CF192A">
                    <w:t>X</w:t>
                  </w:r>
                </w:p>
              </w:tc>
              <w:tc>
                <w:tcPr>
                  <w:tcW w:w="857" w:type="dxa"/>
                </w:tcPr>
                <w:p w14:paraId="30A40E98" w14:textId="77777777" w:rsidR="00B6309E" w:rsidRPr="00CF192A" w:rsidRDefault="00B6309E" w:rsidP="00CF192A">
                  <w:pPr>
                    <w:pStyle w:val="naiskr"/>
                    <w:spacing w:before="0" w:after="0"/>
                    <w:ind w:right="72"/>
                    <w:jc w:val="center"/>
                  </w:pPr>
                </w:p>
              </w:tc>
            </w:tr>
            <w:tr w:rsidR="00904CB7" w14:paraId="045CE21F" w14:textId="77777777" w:rsidTr="00B6309E">
              <w:tc>
                <w:tcPr>
                  <w:tcW w:w="498" w:type="dxa"/>
                </w:tcPr>
                <w:p w14:paraId="02BDC41B" w14:textId="77777777" w:rsidR="00B6309E" w:rsidRPr="002F1C2E" w:rsidRDefault="00CF192A" w:rsidP="00D75D1C">
                  <w:pPr>
                    <w:pStyle w:val="naiskr"/>
                    <w:spacing w:before="0" w:after="0"/>
                    <w:ind w:right="72"/>
                    <w:jc w:val="both"/>
                    <w:rPr>
                      <w:sz w:val="20"/>
                      <w:szCs w:val="20"/>
                    </w:rPr>
                  </w:pPr>
                  <w:r>
                    <w:rPr>
                      <w:sz w:val="20"/>
                      <w:szCs w:val="20"/>
                    </w:rPr>
                    <w:t xml:space="preserve">9. </w:t>
                  </w:r>
                </w:p>
              </w:tc>
              <w:tc>
                <w:tcPr>
                  <w:tcW w:w="2327" w:type="dxa"/>
                </w:tcPr>
                <w:p w14:paraId="4518FFDF" w14:textId="77777777" w:rsidR="00B6309E" w:rsidRPr="002F1C2E" w:rsidRDefault="00CF192A" w:rsidP="00D75D1C">
                  <w:pPr>
                    <w:pStyle w:val="naiskr"/>
                    <w:spacing w:before="0" w:after="0"/>
                    <w:ind w:right="72"/>
                    <w:jc w:val="both"/>
                    <w:rPr>
                      <w:sz w:val="20"/>
                      <w:szCs w:val="20"/>
                    </w:rPr>
                  </w:pPr>
                  <w:r>
                    <w:rPr>
                      <w:sz w:val="20"/>
                      <w:szCs w:val="20"/>
                    </w:rPr>
                    <w:t>SIA “</w:t>
                  </w:r>
                  <w:proofErr w:type="spellStart"/>
                  <w:r>
                    <w:rPr>
                      <w:sz w:val="20"/>
                      <w:szCs w:val="20"/>
                    </w:rPr>
                    <w:t>Nordic</w:t>
                  </w:r>
                  <w:proofErr w:type="spellEnd"/>
                  <w:r>
                    <w:rPr>
                      <w:sz w:val="20"/>
                      <w:szCs w:val="20"/>
                    </w:rPr>
                    <w:t xml:space="preserve"> </w:t>
                  </w:r>
                  <w:proofErr w:type="spellStart"/>
                  <w:r>
                    <w:rPr>
                      <w:sz w:val="20"/>
                      <w:szCs w:val="20"/>
                    </w:rPr>
                    <w:t>Recycling</w:t>
                  </w:r>
                  <w:proofErr w:type="spellEnd"/>
                  <w:r>
                    <w:rPr>
                      <w:sz w:val="20"/>
                      <w:szCs w:val="20"/>
                    </w:rPr>
                    <w:t>”</w:t>
                  </w:r>
                </w:p>
              </w:tc>
              <w:tc>
                <w:tcPr>
                  <w:tcW w:w="992" w:type="dxa"/>
                </w:tcPr>
                <w:p w14:paraId="6B1CF377" w14:textId="77777777" w:rsidR="00B6309E" w:rsidRPr="002F1C2E" w:rsidRDefault="00B6309E" w:rsidP="00D75D1C">
                  <w:pPr>
                    <w:pStyle w:val="naiskr"/>
                    <w:spacing w:before="0" w:after="0"/>
                    <w:ind w:right="72"/>
                    <w:jc w:val="both"/>
                    <w:rPr>
                      <w:sz w:val="20"/>
                      <w:szCs w:val="20"/>
                    </w:rPr>
                  </w:pPr>
                </w:p>
              </w:tc>
              <w:tc>
                <w:tcPr>
                  <w:tcW w:w="1060" w:type="dxa"/>
                </w:tcPr>
                <w:p w14:paraId="50B50AD3" w14:textId="77777777" w:rsidR="00B6309E" w:rsidRPr="002F1C2E" w:rsidRDefault="00B6309E" w:rsidP="00D75D1C">
                  <w:pPr>
                    <w:pStyle w:val="naiskr"/>
                    <w:spacing w:before="0" w:after="0"/>
                    <w:ind w:right="72"/>
                    <w:jc w:val="both"/>
                    <w:rPr>
                      <w:sz w:val="20"/>
                      <w:szCs w:val="20"/>
                    </w:rPr>
                  </w:pPr>
                </w:p>
              </w:tc>
              <w:tc>
                <w:tcPr>
                  <w:tcW w:w="1195" w:type="dxa"/>
                </w:tcPr>
                <w:p w14:paraId="4C6D1E63" w14:textId="77777777" w:rsidR="00B6309E" w:rsidRPr="002F1C2E" w:rsidRDefault="00B6309E" w:rsidP="00D75D1C">
                  <w:pPr>
                    <w:pStyle w:val="naiskr"/>
                    <w:spacing w:before="0" w:after="0"/>
                    <w:ind w:right="72"/>
                    <w:jc w:val="both"/>
                    <w:rPr>
                      <w:sz w:val="20"/>
                      <w:szCs w:val="20"/>
                    </w:rPr>
                  </w:pPr>
                </w:p>
              </w:tc>
              <w:tc>
                <w:tcPr>
                  <w:tcW w:w="857" w:type="dxa"/>
                </w:tcPr>
                <w:p w14:paraId="11339EB9" w14:textId="77777777" w:rsidR="00B6309E" w:rsidRPr="00CF192A" w:rsidRDefault="00CF192A" w:rsidP="00CF192A">
                  <w:pPr>
                    <w:pStyle w:val="naiskr"/>
                    <w:spacing w:before="0" w:after="0"/>
                    <w:ind w:right="72"/>
                    <w:jc w:val="center"/>
                  </w:pPr>
                  <w:r w:rsidRPr="00CF192A">
                    <w:t>X</w:t>
                  </w:r>
                </w:p>
              </w:tc>
            </w:tr>
          </w:tbl>
          <w:p w14:paraId="7A5B7A9A" w14:textId="77777777" w:rsidR="002F1C2E" w:rsidRDefault="002F1C2E" w:rsidP="00D75D1C">
            <w:pPr>
              <w:pStyle w:val="naiskr"/>
              <w:spacing w:before="0" w:after="0"/>
              <w:ind w:right="72"/>
              <w:jc w:val="both"/>
            </w:pPr>
          </w:p>
          <w:p w14:paraId="227B60C1" w14:textId="77777777" w:rsidR="002F1C2E" w:rsidRPr="00550846" w:rsidRDefault="002F1C2E" w:rsidP="00D75D1C">
            <w:pPr>
              <w:pStyle w:val="naiskr"/>
              <w:spacing w:before="0" w:after="0"/>
              <w:ind w:right="72"/>
              <w:jc w:val="both"/>
            </w:pPr>
          </w:p>
        </w:tc>
      </w:tr>
      <w:tr w:rsidR="00824887" w:rsidRPr="00550846" w14:paraId="69A92DE9" w14:textId="77777777" w:rsidTr="009B6979">
        <w:tc>
          <w:tcPr>
            <w:tcW w:w="396" w:type="dxa"/>
          </w:tcPr>
          <w:p w14:paraId="73B0E67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2.</w:t>
            </w:r>
          </w:p>
        </w:tc>
        <w:tc>
          <w:tcPr>
            <w:tcW w:w="1736" w:type="dxa"/>
          </w:tcPr>
          <w:p w14:paraId="6485C5C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Tiesiskā regulējuma ietekme uz tautsaimniecību un administratīvo slogu</w:t>
            </w:r>
          </w:p>
        </w:tc>
        <w:tc>
          <w:tcPr>
            <w:tcW w:w="7155" w:type="dxa"/>
          </w:tcPr>
          <w:p w14:paraId="7B017B2B" w14:textId="36590B0E" w:rsidR="00D75D1C" w:rsidRDefault="00E23D75" w:rsidP="00706554">
            <w:pPr>
              <w:spacing w:after="120"/>
              <w:jc w:val="both"/>
              <w:rPr>
                <w:rFonts w:ascii="Times New Roman" w:hAnsi="Times New Roman" w:cs="Times New Roman"/>
                <w:sz w:val="24"/>
                <w:szCs w:val="24"/>
              </w:rPr>
            </w:pPr>
            <w:r w:rsidRPr="00D75D1C">
              <w:rPr>
                <w:rFonts w:ascii="Times New Roman" w:hAnsi="Times New Roman" w:cs="Times New Roman"/>
                <w:sz w:val="24"/>
                <w:szCs w:val="24"/>
              </w:rPr>
              <w:t>S</w:t>
            </w:r>
            <w:r w:rsidR="005651C4" w:rsidRPr="00D75D1C">
              <w:rPr>
                <w:rFonts w:ascii="Times New Roman" w:hAnsi="Times New Roman" w:cs="Times New Roman"/>
                <w:sz w:val="24"/>
                <w:szCs w:val="24"/>
              </w:rPr>
              <w:t xml:space="preserve">abiedrības </w:t>
            </w:r>
            <w:proofErr w:type="spellStart"/>
            <w:r w:rsidR="005651C4" w:rsidRPr="00D75D1C">
              <w:rPr>
                <w:rFonts w:ascii="Times New Roman" w:hAnsi="Times New Roman" w:cs="Times New Roman"/>
                <w:sz w:val="24"/>
                <w:szCs w:val="24"/>
              </w:rPr>
              <w:t>mērķgrup</w:t>
            </w:r>
            <w:r w:rsidRPr="00D75D1C">
              <w:rPr>
                <w:rFonts w:ascii="Times New Roman" w:hAnsi="Times New Roman" w:cs="Times New Roman"/>
                <w:sz w:val="24"/>
                <w:szCs w:val="24"/>
              </w:rPr>
              <w:t>ai</w:t>
            </w:r>
            <w:proofErr w:type="spellEnd"/>
            <w:r w:rsidRPr="00D75D1C">
              <w:rPr>
                <w:rFonts w:ascii="Times New Roman" w:hAnsi="Times New Roman" w:cs="Times New Roman"/>
                <w:sz w:val="24"/>
                <w:szCs w:val="24"/>
              </w:rPr>
              <w:t xml:space="preserve"> </w:t>
            </w:r>
            <w:r w:rsidR="00D75D1C" w:rsidRPr="00D75D1C">
              <w:rPr>
                <w:rFonts w:ascii="Times New Roman" w:hAnsi="Times New Roman" w:cs="Times New Roman"/>
                <w:sz w:val="24"/>
                <w:szCs w:val="24"/>
              </w:rPr>
              <w:t>(</w:t>
            </w:r>
            <w:proofErr w:type="spellStart"/>
            <w:r w:rsidR="00D75D1C" w:rsidRPr="00D75D1C">
              <w:rPr>
                <w:rFonts w:ascii="Times New Roman" w:hAnsi="Times New Roman" w:cs="Times New Roman"/>
                <w:sz w:val="24"/>
                <w:szCs w:val="24"/>
              </w:rPr>
              <w:t>apsaimniekotājiem</w:t>
            </w:r>
            <w:proofErr w:type="spellEnd"/>
            <w:r w:rsidR="00D75D1C" w:rsidRPr="00D75D1C">
              <w:rPr>
                <w:rFonts w:ascii="Times New Roman" w:hAnsi="Times New Roman" w:cs="Times New Roman"/>
                <w:sz w:val="24"/>
                <w:szCs w:val="24"/>
              </w:rPr>
              <w:t>) noteikumu projekts</w:t>
            </w:r>
            <w:r w:rsidR="00D75D1C">
              <w:rPr>
                <w:rFonts w:ascii="Times New Roman" w:hAnsi="Times New Roman" w:cs="Times New Roman"/>
                <w:sz w:val="24"/>
                <w:szCs w:val="24"/>
              </w:rPr>
              <w:t xml:space="preserve"> palielina administratīvo slogu.</w:t>
            </w:r>
            <w:r w:rsidR="00D75D1C" w:rsidRPr="00D75D1C">
              <w:rPr>
                <w:rFonts w:ascii="Times New Roman" w:hAnsi="Times New Roman" w:cs="Times New Roman"/>
                <w:sz w:val="24"/>
                <w:szCs w:val="24"/>
              </w:rPr>
              <w:t xml:space="preserve"> Administratīvo izmaksu novērtējumā iekļauts aprēķins par finanšu nodrošinājuma sagatavošanu, kas ir jāveic </w:t>
            </w:r>
            <w:r w:rsidR="00D75D1C">
              <w:rPr>
                <w:rFonts w:ascii="Times New Roman" w:hAnsi="Times New Roman" w:cs="Times New Roman"/>
                <w:sz w:val="24"/>
                <w:szCs w:val="24"/>
              </w:rPr>
              <w:t xml:space="preserve">visiem </w:t>
            </w:r>
            <w:proofErr w:type="spellStart"/>
            <w:r w:rsidR="00D75D1C">
              <w:rPr>
                <w:rFonts w:ascii="Times New Roman" w:hAnsi="Times New Roman" w:cs="Times New Roman"/>
                <w:sz w:val="24"/>
                <w:szCs w:val="24"/>
              </w:rPr>
              <w:t>apsaimniekotājiem</w:t>
            </w:r>
            <w:proofErr w:type="spellEnd"/>
            <w:r w:rsidR="00D75D1C">
              <w:rPr>
                <w:rFonts w:ascii="Times New Roman" w:hAnsi="Times New Roman" w:cs="Times New Roman"/>
                <w:sz w:val="24"/>
                <w:szCs w:val="24"/>
              </w:rPr>
              <w:t>, slēdzot apsaimniekošanas līgumu ar V</w:t>
            </w:r>
            <w:r w:rsidR="005D0FBC">
              <w:rPr>
                <w:rFonts w:ascii="Times New Roman" w:hAnsi="Times New Roman" w:cs="Times New Roman"/>
                <w:sz w:val="24"/>
                <w:szCs w:val="24"/>
              </w:rPr>
              <w:t xml:space="preserve">VD. </w:t>
            </w:r>
            <w:r w:rsidR="00D75D1C">
              <w:rPr>
                <w:rFonts w:ascii="Times New Roman" w:hAnsi="Times New Roman" w:cs="Times New Roman"/>
                <w:sz w:val="24"/>
                <w:szCs w:val="24"/>
              </w:rPr>
              <w:t xml:space="preserve"> </w:t>
            </w:r>
          </w:p>
          <w:p w14:paraId="02DF27F2" w14:textId="77777777" w:rsidR="005F0B30" w:rsidRDefault="005F0B30" w:rsidP="00706554">
            <w:pPr>
              <w:pStyle w:val="Default"/>
              <w:spacing w:after="120"/>
              <w:jc w:val="both"/>
              <w:rPr>
                <w:color w:val="auto"/>
                <w:lang w:val="lv-LV"/>
              </w:rPr>
            </w:pPr>
            <w:r w:rsidRPr="00C43182">
              <w:rPr>
                <w:rFonts w:eastAsia="Calibri"/>
                <w:lang w:val="lv-LV"/>
              </w:rPr>
              <w:t xml:space="preserve">Izstrādājot </w:t>
            </w:r>
            <w:r>
              <w:rPr>
                <w:rFonts w:eastAsia="Calibri"/>
                <w:lang w:val="lv-LV"/>
              </w:rPr>
              <w:t xml:space="preserve">noteikumu </w:t>
            </w:r>
            <w:r w:rsidRPr="00C43182">
              <w:rPr>
                <w:rFonts w:eastAsia="Calibri"/>
                <w:lang w:val="lv-LV"/>
              </w:rPr>
              <w:t xml:space="preserve">projektu, tika izvērtēta ietekme uz uzņēmējdarbības vidi, maziem, vidējiem uzņēmumiem, </w:t>
            </w:r>
            <w:proofErr w:type="spellStart"/>
            <w:r w:rsidRPr="00C43182">
              <w:rPr>
                <w:rFonts w:eastAsia="Calibri"/>
                <w:lang w:val="lv-LV"/>
              </w:rPr>
              <w:t>mikrouzņēmumiem</w:t>
            </w:r>
            <w:proofErr w:type="spellEnd"/>
            <w:r w:rsidRPr="00C43182">
              <w:rPr>
                <w:rFonts w:eastAsia="Calibri"/>
                <w:lang w:val="lv-LV"/>
              </w:rPr>
              <w:t xml:space="preserve"> un </w:t>
            </w:r>
            <w:proofErr w:type="spellStart"/>
            <w:r w:rsidRPr="00C43182">
              <w:rPr>
                <w:rFonts w:eastAsia="Calibri"/>
                <w:lang w:val="lv-LV"/>
              </w:rPr>
              <w:t>jaunuzņēmumiem</w:t>
            </w:r>
            <w:proofErr w:type="spellEnd"/>
            <w:r w:rsidRPr="00C43182">
              <w:rPr>
                <w:rFonts w:eastAsia="Calibri"/>
                <w:lang w:val="lv-LV"/>
              </w:rPr>
              <w:t xml:space="preserve"> (MVU tests).</w:t>
            </w:r>
            <w:r>
              <w:rPr>
                <w:rFonts w:eastAsia="Calibri"/>
                <w:lang w:val="lv-LV"/>
              </w:rPr>
              <w:t xml:space="preserve"> </w:t>
            </w:r>
            <w:r>
              <w:rPr>
                <w:color w:val="auto"/>
                <w:lang w:val="lv-LV"/>
              </w:rPr>
              <w:t>Noteikumu projekts paredz a</w:t>
            </w:r>
            <w:r w:rsidRPr="00067E79">
              <w:rPr>
                <w:color w:val="auto"/>
                <w:lang w:val="lv-LV"/>
              </w:rPr>
              <w:t xml:space="preserve">tvieglotus nosacījumus </w:t>
            </w:r>
            <w:r>
              <w:rPr>
                <w:color w:val="auto"/>
                <w:lang w:val="lv-LV"/>
              </w:rPr>
              <w:t>(</w:t>
            </w:r>
            <w:r w:rsidRPr="005F0B30">
              <w:rPr>
                <w:color w:val="auto"/>
                <w:lang w:val="lv-LV"/>
              </w:rPr>
              <w:t xml:space="preserve">minimālo </w:t>
            </w:r>
            <w:r w:rsidRPr="005F0B30">
              <w:rPr>
                <w:lang w:val="lv-LV"/>
              </w:rPr>
              <w:t>finanšu nodrošinājuma summu</w:t>
            </w:r>
            <w:r w:rsidRPr="005F0B30">
              <w:rPr>
                <w:color w:val="auto"/>
                <w:lang w:val="lv-LV"/>
              </w:rPr>
              <w:t>)</w:t>
            </w:r>
            <w:r>
              <w:rPr>
                <w:color w:val="auto"/>
                <w:lang w:val="lv-LV"/>
              </w:rPr>
              <w:t xml:space="preserve"> </w:t>
            </w:r>
            <w:r w:rsidRPr="00067E79">
              <w:rPr>
                <w:color w:val="auto"/>
                <w:lang w:val="lv-LV"/>
              </w:rPr>
              <w:t xml:space="preserve">šādiem uzņēmumiem administratīvā sloga mazināšanai. </w:t>
            </w:r>
          </w:p>
          <w:p w14:paraId="460C2430" w14:textId="299D84EF" w:rsidR="00433DF7" w:rsidRDefault="007E708C" w:rsidP="00706554">
            <w:pPr>
              <w:spacing w:after="120"/>
              <w:jc w:val="both"/>
              <w:rPr>
                <w:rFonts w:ascii="Times New Roman" w:hAnsi="Times New Roman" w:cs="Times New Roman"/>
                <w:sz w:val="24"/>
                <w:szCs w:val="24"/>
              </w:rPr>
            </w:pPr>
            <w:r>
              <w:rPr>
                <w:rFonts w:ascii="Times New Roman" w:hAnsi="Times New Roman" w:cs="Times New Roman"/>
                <w:sz w:val="24"/>
                <w:szCs w:val="24"/>
              </w:rPr>
              <w:t>VVD</w:t>
            </w:r>
            <w:r w:rsidR="00433DF7">
              <w:rPr>
                <w:rFonts w:ascii="Times New Roman" w:hAnsi="Times New Roman" w:cs="Times New Roman"/>
                <w:sz w:val="24"/>
                <w:szCs w:val="24"/>
              </w:rPr>
              <w:t xml:space="preserve"> administratīvais slogs nepalielināsies</w:t>
            </w:r>
            <w:r>
              <w:rPr>
                <w:rFonts w:ascii="Times New Roman" w:hAnsi="Times New Roman" w:cs="Times New Roman"/>
                <w:sz w:val="24"/>
                <w:szCs w:val="24"/>
              </w:rPr>
              <w:t>, jo atbilstoši spēkā esošajam normatīvajam regulējuma, kas ir minēts š</w:t>
            </w:r>
            <w:r w:rsidR="00B1527B">
              <w:rPr>
                <w:rFonts w:ascii="Times New Roman" w:hAnsi="Times New Roman" w:cs="Times New Roman"/>
                <w:sz w:val="24"/>
                <w:szCs w:val="24"/>
              </w:rPr>
              <w:t>ī</w:t>
            </w:r>
            <w:r>
              <w:rPr>
                <w:rFonts w:ascii="Times New Roman" w:hAnsi="Times New Roman" w:cs="Times New Roman"/>
                <w:sz w:val="24"/>
                <w:szCs w:val="24"/>
              </w:rPr>
              <w:t>s anotācijas I</w:t>
            </w:r>
            <w:r w:rsidR="00253439">
              <w:rPr>
                <w:rFonts w:ascii="Times New Roman" w:hAnsi="Times New Roman" w:cs="Times New Roman"/>
                <w:sz w:val="24"/>
                <w:szCs w:val="24"/>
              </w:rPr>
              <w:t>.</w:t>
            </w:r>
            <w:r>
              <w:rPr>
                <w:rFonts w:ascii="Times New Roman" w:hAnsi="Times New Roman" w:cs="Times New Roman"/>
                <w:sz w:val="24"/>
                <w:szCs w:val="24"/>
              </w:rPr>
              <w:t xml:space="preserve"> sadaļ</w:t>
            </w:r>
            <w:r w:rsidR="003F5254">
              <w:rPr>
                <w:rFonts w:ascii="Times New Roman" w:hAnsi="Times New Roman" w:cs="Times New Roman"/>
                <w:sz w:val="24"/>
                <w:szCs w:val="24"/>
              </w:rPr>
              <w:t xml:space="preserve">as </w:t>
            </w:r>
            <w:r>
              <w:rPr>
                <w:rFonts w:ascii="Times New Roman" w:hAnsi="Times New Roman" w:cs="Times New Roman"/>
                <w:sz w:val="24"/>
                <w:szCs w:val="24"/>
              </w:rPr>
              <w:t xml:space="preserve"> 2. punktā, VVD patlaban saņem un vērtē </w:t>
            </w:r>
            <w:proofErr w:type="spellStart"/>
            <w:r>
              <w:rPr>
                <w:rFonts w:ascii="Times New Roman" w:hAnsi="Times New Roman" w:cs="Times New Roman"/>
                <w:sz w:val="24"/>
                <w:szCs w:val="24"/>
              </w:rPr>
              <w:t>apsaimniekotāju</w:t>
            </w:r>
            <w:proofErr w:type="spellEnd"/>
            <w:r>
              <w:rPr>
                <w:rFonts w:ascii="Times New Roman" w:hAnsi="Times New Roman" w:cs="Times New Roman"/>
                <w:sz w:val="24"/>
                <w:szCs w:val="24"/>
              </w:rPr>
              <w:t xml:space="preserve"> iesn</w:t>
            </w:r>
            <w:r w:rsidR="002737CD">
              <w:rPr>
                <w:rFonts w:ascii="Times New Roman" w:hAnsi="Times New Roman" w:cs="Times New Roman"/>
                <w:sz w:val="24"/>
                <w:szCs w:val="24"/>
              </w:rPr>
              <w:t>i</w:t>
            </w:r>
            <w:r>
              <w:rPr>
                <w:rFonts w:ascii="Times New Roman" w:hAnsi="Times New Roman" w:cs="Times New Roman"/>
                <w:sz w:val="24"/>
                <w:szCs w:val="24"/>
              </w:rPr>
              <w:t>egtos fi</w:t>
            </w:r>
            <w:r w:rsidR="000B7525">
              <w:rPr>
                <w:rFonts w:ascii="Times New Roman" w:hAnsi="Times New Roman" w:cs="Times New Roman"/>
                <w:sz w:val="24"/>
                <w:szCs w:val="24"/>
              </w:rPr>
              <w:t>nanšu nodrošinājuma dokumentus.</w:t>
            </w:r>
          </w:p>
          <w:p w14:paraId="5AD524E6" w14:textId="77777777" w:rsidR="00E23D75" w:rsidRDefault="00824887" w:rsidP="00706554">
            <w:pPr>
              <w:pStyle w:val="tv213"/>
              <w:spacing w:before="0" w:beforeAutospacing="0" w:after="0" w:afterAutospacing="0"/>
              <w:jc w:val="both"/>
            </w:pPr>
            <w:r w:rsidRPr="00550846">
              <w:t>Noteikumu projektam nav ietekmes uz</w:t>
            </w:r>
            <w:r w:rsidR="00E23D75">
              <w:t>:</w:t>
            </w:r>
          </w:p>
          <w:p w14:paraId="3DF565C5" w14:textId="77777777" w:rsidR="00824887" w:rsidRPr="00550846" w:rsidRDefault="00E23D75" w:rsidP="00706554">
            <w:pPr>
              <w:pStyle w:val="tv213"/>
              <w:spacing w:before="0" w:beforeAutospacing="0" w:after="0" w:afterAutospacing="0"/>
              <w:jc w:val="both"/>
            </w:pPr>
            <w:r>
              <w:t>-</w:t>
            </w:r>
            <w:r w:rsidR="00824887" w:rsidRPr="00550846">
              <w:t xml:space="preserve"> Nacionālā attīstības plāna rādītāj</w:t>
            </w:r>
            <w:r>
              <w:t xml:space="preserve">iem </w:t>
            </w:r>
            <w:proofErr w:type="spellStart"/>
            <w:r>
              <w:t>mikrolīmenī</w:t>
            </w:r>
            <w:proofErr w:type="spellEnd"/>
            <w:r>
              <w:t xml:space="preserve"> vai </w:t>
            </w:r>
            <w:proofErr w:type="spellStart"/>
            <w:r>
              <w:t>makrolīmenī</w:t>
            </w:r>
            <w:proofErr w:type="spellEnd"/>
            <w:r>
              <w:t>;</w:t>
            </w:r>
          </w:p>
          <w:p w14:paraId="0A4E04B8" w14:textId="77777777" w:rsidR="00824887" w:rsidRPr="00550846" w:rsidRDefault="00E23D75" w:rsidP="00706554">
            <w:pPr>
              <w:pStyle w:val="tv213"/>
              <w:spacing w:before="0" w:beforeAutospacing="0" w:after="0" w:afterAutospacing="0"/>
              <w:jc w:val="both"/>
            </w:pPr>
            <w:r>
              <w:t>- konkurenci;</w:t>
            </w:r>
          </w:p>
          <w:p w14:paraId="6E17CBA0" w14:textId="77777777" w:rsidR="00E23D75" w:rsidRDefault="00E23D75" w:rsidP="00706554">
            <w:pPr>
              <w:pStyle w:val="tv213"/>
              <w:spacing w:before="0" w:beforeAutospacing="0" w:after="0" w:afterAutospacing="0"/>
              <w:jc w:val="both"/>
            </w:pPr>
            <w:r>
              <w:t>- cilvēku veselību;</w:t>
            </w:r>
          </w:p>
          <w:p w14:paraId="21EBAF97" w14:textId="77777777" w:rsidR="00E23D75" w:rsidRDefault="00E23D75" w:rsidP="00706554">
            <w:pPr>
              <w:pStyle w:val="tv213"/>
              <w:spacing w:before="0" w:beforeAutospacing="0" w:after="120" w:afterAutospacing="0"/>
              <w:jc w:val="both"/>
            </w:pPr>
            <w:r>
              <w:t xml:space="preserve">- </w:t>
            </w:r>
            <w:r w:rsidRPr="00550846">
              <w:t>nevalstiskajām organizācijām</w:t>
            </w:r>
            <w:r>
              <w:t>.</w:t>
            </w:r>
          </w:p>
          <w:p w14:paraId="69BBEE13" w14:textId="77777777" w:rsidR="00824887" w:rsidRPr="00FD769A" w:rsidRDefault="00615968" w:rsidP="002737CD">
            <w:pPr>
              <w:jc w:val="both"/>
              <w:rPr>
                <w:rFonts w:ascii="Times New Roman" w:hAnsi="Times New Roman" w:cs="Times New Roman"/>
                <w:sz w:val="24"/>
                <w:szCs w:val="24"/>
              </w:rPr>
            </w:pPr>
            <w:r w:rsidRPr="002737CD">
              <w:rPr>
                <w:rFonts w:ascii="Times New Roman" w:hAnsi="Times New Roman" w:cs="Times New Roman"/>
                <w:sz w:val="24"/>
                <w:szCs w:val="24"/>
              </w:rPr>
              <w:t xml:space="preserve">Noteikumu projekta ietekme uz vidi vērtējama pozitīvi. </w:t>
            </w:r>
            <w:r w:rsidR="002737CD" w:rsidRPr="002737CD">
              <w:rPr>
                <w:rFonts w:ascii="Times New Roman" w:hAnsi="Times New Roman" w:cs="Times New Roman"/>
                <w:sz w:val="24"/>
                <w:szCs w:val="24"/>
              </w:rPr>
              <w:t xml:space="preserve">Noteikumu projektā ietvertais regulējums sekmēs tādu </w:t>
            </w:r>
            <w:proofErr w:type="spellStart"/>
            <w:r w:rsidR="002737CD" w:rsidRPr="002737CD">
              <w:rPr>
                <w:rFonts w:ascii="Times New Roman" w:hAnsi="Times New Roman" w:cs="Times New Roman"/>
                <w:sz w:val="24"/>
                <w:szCs w:val="24"/>
              </w:rPr>
              <w:t>apsaimniekotāju</w:t>
            </w:r>
            <w:proofErr w:type="spellEnd"/>
            <w:r w:rsidR="002737CD" w:rsidRPr="002737CD">
              <w:rPr>
                <w:rFonts w:ascii="Times New Roman" w:hAnsi="Times New Roman" w:cs="Times New Roman"/>
                <w:sz w:val="24"/>
                <w:szCs w:val="24"/>
              </w:rPr>
              <w:t xml:space="preserve"> skaita samazināšanos, kuri rada tirgus kropļojumu, nosakot neatbilstoši zemas cenas atkritumu apsaimniekošanas darbībām ražotāju atbildības sistēmas ietvaros. Vienlaikus </w:t>
            </w:r>
            <w:proofErr w:type="spellStart"/>
            <w:r w:rsidR="002737CD" w:rsidRPr="002737CD">
              <w:rPr>
                <w:rFonts w:ascii="Times New Roman" w:hAnsi="Times New Roman" w:cs="Times New Roman"/>
                <w:sz w:val="24"/>
                <w:szCs w:val="24"/>
              </w:rPr>
              <w:t>apsaimniekotāja</w:t>
            </w:r>
            <w:proofErr w:type="spellEnd"/>
            <w:r w:rsidR="002737CD" w:rsidRPr="002737CD">
              <w:rPr>
                <w:rFonts w:ascii="Times New Roman" w:hAnsi="Times New Roman" w:cs="Times New Roman"/>
                <w:sz w:val="24"/>
                <w:szCs w:val="24"/>
              </w:rPr>
              <w:t xml:space="preserve"> iesniegtā finanšu nodrošinājuma ietvaros būs paredzēti naudas līdzekļi gadījumā, ja šis apsaimniekotājs ražotāju atbildības sistēmas ietvaros nav veicis savu darbību atbilstoši normatīvo aktu prasībām un valstij jāiesaistās uzkrāto un nepārstrādāto atkritumu savākšanas un apsaimniekošanas organizēšanā.</w:t>
            </w:r>
          </w:p>
        </w:tc>
      </w:tr>
      <w:tr w:rsidR="00824887" w:rsidRPr="00550846" w14:paraId="7FA1DE94" w14:textId="77777777" w:rsidTr="009B6979">
        <w:tc>
          <w:tcPr>
            <w:tcW w:w="396" w:type="dxa"/>
          </w:tcPr>
          <w:p w14:paraId="1A5329C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736" w:type="dxa"/>
          </w:tcPr>
          <w:p w14:paraId="03765A8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Administratīvo izmaksu monetārs novērtējums</w:t>
            </w:r>
          </w:p>
        </w:tc>
        <w:tc>
          <w:tcPr>
            <w:tcW w:w="7155" w:type="dxa"/>
          </w:tcPr>
          <w:p w14:paraId="6E7B154D" w14:textId="77777777" w:rsidR="00615968" w:rsidRDefault="00615968" w:rsidP="0061596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monetāro novērtējumu aprēķina pēc šādas formulas:</w:t>
            </w:r>
          </w:p>
          <w:p w14:paraId="02ED1048" w14:textId="77777777" w:rsidR="00875291" w:rsidRPr="003D43D9" w:rsidRDefault="00875291" w:rsidP="00875291">
            <w:pPr>
              <w:jc w:val="center"/>
              <w:rPr>
                <w:rFonts w:ascii="Times New Roman" w:hAnsi="Times New Roman" w:cs="Times New Roman"/>
                <w:sz w:val="24"/>
                <w:szCs w:val="24"/>
              </w:rPr>
            </w:pPr>
            <w:r w:rsidRPr="003D43D9">
              <w:rPr>
                <w:rFonts w:ascii="Times New Roman" w:hAnsi="Times New Roman" w:cs="Times New Roman"/>
                <w:sz w:val="24"/>
                <w:szCs w:val="24"/>
              </w:rPr>
              <w:t>C = (f x l) x (n x b), kur</w:t>
            </w:r>
          </w:p>
          <w:p w14:paraId="5B963D72" w14:textId="77777777" w:rsidR="00875291" w:rsidRPr="00615968" w:rsidRDefault="00875291" w:rsidP="00875291">
            <w:pPr>
              <w:jc w:val="both"/>
              <w:rPr>
                <w:rFonts w:ascii="Times New Roman" w:hAnsi="Times New Roman" w:cs="Times New Roman"/>
                <w:sz w:val="24"/>
                <w:szCs w:val="24"/>
              </w:rPr>
            </w:pPr>
            <w:r w:rsidRPr="00615968">
              <w:rPr>
                <w:rFonts w:ascii="Times New Roman" w:hAnsi="Times New Roman" w:cs="Times New Roman"/>
                <w:b/>
                <w:bCs/>
                <w:sz w:val="24"/>
                <w:szCs w:val="24"/>
              </w:rPr>
              <w:t>C</w:t>
            </w:r>
            <w:r w:rsidRPr="00615968">
              <w:rPr>
                <w:rFonts w:ascii="Times New Roman" w:hAnsi="Times New Roman" w:cs="Times New Roman"/>
                <w:sz w:val="24"/>
                <w:szCs w:val="24"/>
              </w:rPr>
              <w:t xml:space="preserve"> – iesniegto finanšu nodrošinājumu uzskaites un apkopošanas izmaksas jeb administratīvās izmaksas;</w:t>
            </w:r>
          </w:p>
          <w:p w14:paraId="2DC02D76" w14:textId="1B0196F3" w:rsidR="00875291" w:rsidRPr="002323BC" w:rsidRDefault="00875291" w:rsidP="00875291">
            <w:pPr>
              <w:pStyle w:val="tv213"/>
              <w:spacing w:before="0" w:beforeAutospacing="0" w:after="0" w:afterAutospacing="0"/>
              <w:jc w:val="both"/>
            </w:pPr>
            <w:r w:rsidRPr="002323BC">
              <w:rPr>
                <w:b/>
                <w:bCs/>
              </w:rPr>
              <w:t>f</w:t>
            </w:r>
            <w:r w:rsidRPr="002323BC">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tīmekļvietnes </w:t>
            </w:r>
            <w:hyperlink r:id="rId8" w:history="1">
              <w:r w:rsidRPr="002323BC">
                <w:rPr>
                  <w:rStyle w:val="Hyperlink"/>
                </w:rPr>
                <w:t>www.csb.gov.lv</w:t>
              </w:r>
            </w:hyperlink>
            <w:r w:rsidRPr="002323BC">
              <w:t xml:space="preserve"> datiem 2016. gadā </w:t>
            </w:r>
            <w:r w:rsidRPr="002323BC">
              <w:lastRenderedPageBreak/>
              <w:t>tā bija 855,00 </w:t>
            </w:r>
            <w:proofErr w:type="spellStart"/>
            <w:r w:rsidRPr="002323BC">
              <w:rPr>
                <w:i/>
                <w:iCs/>
              </w:rPr>
              <w:t>euro</w:t>
            </w:r>
            <w:proofErr w:type="spellEnd"/>
            <w:r w:rsidRPr="002323BC">
              <w:rPr>
                <w:i/>
                <w:iCs/>
              </w:rPr>
              <w:t>/</w:t>
            </w:r>
            <w:r w:rsidRPr="002323BC">
              <w:t xml:space="preserve">mēnesī) ar Darba likuma 131. panta pirmajā daļā minēto normālo darba laiku (40 stundas nedēļā x 4 = 160 stundas mēnesī) = </w:t>
            </w:r>
            <w:r w:rsidRPr="002323BC">
              <w:rPr>
                <w:b/>
                <w:bCs/>
              </w:rPr>
              <w:t>5,34 </w:t>
            </w:r>
            <w:proofErr w:type="spellStart"/>
            <w:r w:rsidRPr="002323BC">
              <w:rPr>
                <w:b/>
                <w:bCs/>
                <w:i/>
                <w:iCs/>
              </w:rPr>
              <w:t>euro</w:t>
            </w:r>
            <w:proofErr w:type="spellEnd"/>
            <w:r w:rsidRPr="002323BC">
              <w:rPr>
                <w:b/>
                <w:bCs/>
              </w:rPr>
              <w:t>/stundā</w:t>
            </w:r>
            <w:r w:rsidRPr="002323BC">
              <w:t>;</w:t>
            </w:r>
          </w:p>
          <w:p w14:paraId="409CD9B0" w14:textId="77777777" w:rsidR="00875291" w:rsidRPr="002323BC" w:rsidRDefault="00875291" w:rsidP="00875291">
            <w:pPr>
              <w:pStyle w:val="tv213"/>
              <w:spacing w:before="0" w:beforeAutospacing="0" w:after="0" w:afterAutospacing="0"/>
              <w:jc w:val="both"/>
            </w:pPr>
            <w:r w:rsidRPr="002323BC">
              <w:rPr>
                <w:b/>
                <w:bCs/>
              </w:rPr>
              <w:t xml:space="preserve">l </w:t>
            </w:r>
            <w:r w:rsidRPr="002323BC">
              <w:t xml:space="preserve">– laika patēriņš, kas nepieciešams, lai veiktu finanšu nodrošinājuma sagatavošanu – </w:t>
            </w:r>
            <w:r w:rsidRPr="002323BC">
              <w:rPr>
                <w:b/>
                <w:bCs/>
              </w:rPr>
              <w:t>80 stundas</w:t>
            </w:r>
            <w:r w:rsidRPr="002323BC">
              <w:t>;</w:t>
            </w:r>
          </w:p>
          <w:p w14:paraId="5C581C43" w14:textId="27089EC1" w:rsidR="00875291" w:rsidRPr="002323BC" w:rsidRDefault="00875291" w:rsidP="00875291">
            <w:pPr>
              <w:pStyle w:val="tv213"/>
              <w:spacing w:before="0" w:beforeAutospacing="0" w:after="0" w:afterAutospacing="0"/>
              <w:jc w:val="both"/>
            </w:pPr>
            <w:r w:rsidRPr="002323BC">
              <w:rPr>
                <w:b/>
                <w:bCs/>
              </w:rPr>
              <w:t>n</w:t>
            </w:r>
            <w:r w:rsidRPr="002323BC">
              <w:t xml:space="preserve"> – </w:t>
            </w:r>
            <w:r w:rsidR="002737CD">
              <w:t xml:space="preserve">ar VVD noslēgto apsaimniekošanas līgumu skaits – </w:t>
            </w:r>
            <w:r w:rsidR="002737CD" w:rsidRPr="002737CD">
              <w:rPr>
                <w:b/>
              </w:rPr>
              <w:t>17</w:t>
            </w:r>
            <w:r w:rsidR="002737CD">
              <w:t xml:space="preserve"> (anotācijas </w:t>
            </w:r>
            <w:r w:rsidR="00253439">
              <w:t xml:space="preserve">II. </w:t>
            </w:r>
            <w:r w:rsidR="002737CD">
              <w:t xml:space="preserve">sadaļas </w:t>
            </w:r>
            <w:r w:rsidR="005E72D6">
              <w:t>1. punkts</w:t>
            </w:r>
            <w:r w:rsidRPr="005E72D6">
              <w:rPr>
                <w:bCs/>
              </w:rPr>
              <w:t>)</w:t>
            </w:r>
            <w:r w:rsidRPr="005E72D6">
              <w:t>;</w:t>
            </w:r>
          </w:p>
          <w:p w14:paraId="3B4122B0" w14:textId="77777777" w:rsidR="00875291" w:rsidRPr="002323BC" w:rsidRDefault="00875291" w:rsidP="00875291">
            <w:pPr>
              <w:pStyle w:val="tv213"/>
              <w:spacing w:before="0" w:beforeAutospacing="0" w:after="0" w:afterAutospacing="0"/>
              <w:jc w:val="both"/>
            </w:pPr>
            <w:r w:rsidRPr="002323BC">
              <w:rPr>
                <w:b/>
                <w:bCs/>
              </w:rPr>
              <w:t>b</w:t>
            </w:r>
            <w:r w:rsidRPr="002323BC">
              <w:t xml:space="preserve"> – biežums finanšu nodrošinājuma sagatavošanai - </w:t>
            </w:r>
            <w:r w:rsidRPr="002323BC">
              <w:rPr>
                <w:b/>
                <w:bCs/>
              </w:rPr>
              <w:t>reizi 3 gados</w:t>
            </w:r>
            <w:r w:rsidRPr="002323BC">
              <w:t>.</w:t>
            </w:r>
          </w:p>
          <w:p w14:paraId="4CDC8670" w14:textId="77777777" w:rsidR="00875291" w:rsidRPr="002323BC" w:rsidRDefault="00875291" w:rsidP="00875291">
            <w:pPr>
              <w:pStyle w:val="tv213"/>
              <w:spacing w:before="0" w:beforeAutospacing="0" w:after="0" w:afterAutospacing="0"/>
              <w:jc w:val="both"/>
            </w:pPr>
          </w:p>
          <w:p w14:paraId="431E61FC" w14:textId="77777777" w:rsidR="00824887" w:rsidRPr="00FD769A" w:rsidRDefault="005E72D6" w:rsidP="00FD769A">
            <w:pPr>
              <w:pStyle w:val="tv213"/>
              <w:spacing w:before="0" w:beforeAutospacing="0" w:after="0" w:afterAutospacing="0"/>
              <w:jc w:val="both"/>
            </w:pPr>
            <w:r w:rsidRPr="005E72D6">
              <w:t>Aprēķins: (5,34 x 80) x (17</w:t>
            </w:r>
            <w:r w:rsidR="00875291" w:rsidRPr="005E72D6">
              <w:t xml:space="preserve"> x 0,3) = 427</w:t>
            </w:r>
            <w:r w:rsidRPr="005E72D6">
              <w:t>,</w:t>
            </w:r>
            <w:r w:rsidR="00875291" w:rsidRPr="005E72D6">
              <w:t xml:space="preserve">2 x </w:t>
            </w:r>
            <w:r w:rsidRPr="005E72D6">
              <w:t>5,1</w:t>
            </w:r>
            <w:r w:rsidR="00875291" w:rsidRPr="005E72D6">
              <w:t xml:space="preserve"> = </w:t>
            </w:r>
            <w:r w:rsidRPr="005E72D6">
              <w:t>2 178,72</w:t>
            </w:r>
            <w:r w:rsidR="00875291" w:rsidRPr="005E72D6">
              <w:t xml:space="preserve"> </w:t>
            </w:r>
            <w:proofErr w:type="spellStart"/>
            <w:r w:rsidR="00875291" w:rsidRPr="005E72D6">
              <w:rPr>
                <w:i/>
              </w:rPr>
              <w:t>euro</w:t>
            </w:r>
            <w:proofErr w:type="spellEnd"/>
            <w:r w:rsidR="00875291" w:rsidRPr="005E72D6">
              <w:rPr>
                <w:i/>
              </w:rPr>
              <w:t>/</w:t>
            </w:r>
            <w:r w:rsidR="00875291" w:rsidRPr="005E72D6">
              <w:t>gadā</w:t>
            </w:r>
          </w:p>
        </w:tc>
      </w:tr>
      <w:tr w:rsidR="00824887" w:rsidRPr="00550846" w14:paraId="45653132" w14:textId="77777777" w:rsidTr="009B6979">
        <w:tc>
          <w:tcPr>
            <w:tcW w:w="396" w:type="dxa"/>
          </w:tcPr>
          <w:p w14:paraId="7FE4D264"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4.</w:t>
            </w:r>
          </w:p>
        </w:tc>
        <w:tc>
          <w:tcPr>
            <w:tcW w:w="1736" w:type="dxa"/>
          </w:tcPr>
          <w:p w14:paraId="086845A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Atbilstības izmaksu monetārs novērtējums</w:t>
            </w:r>
          </w:p>
        </w:tc>
        <w:tc>
          <w:tcPr>
            <w:tcW w:w="7155" w:type="dxa"/>
          </w:tcPr>
          <w:p w14:paraId="234422B5" w14:textId="77777777" w:rsidR="009618A2" w:rsidRDefault="00BA632A" w:rsidP="008F58E0">
            <w:pPr>
              <w:jc w:val="both"/>
              <w:rPr>
                <w:rFonts w:ascii="Times New Roman" w:hAnsi="Times New Roman" w:cs="Times New Roman"/>
                <w:sz w:val="24"/>
                <w:szCs w:val="24"/>
              </w:rPr>
            </w:pPr>
            <w:r w:rsidRPr="009618A2">
              <w:rPr>
                <w:rFonts w:ascii="Times New Roman" w:hAnsi="Times New Roman" w:cs="Times New Roman"/>
                <w:sz w:val="24"/>
                <w:szCs w:val="24"/>
              </w:rPr>
              <w:t xml:space="preserve">Izvērtējot VVD informāciju par </w:t>
            </w:r>
            <w:proofErr w:type="spellStart"/>
            <w:r w:rsidR="009618A2" w:rsidRPr="009618A2">
              <w:rPr>
                <w:rFonts w:ascii="Times New Roman" w:hAnsi="Times New Roman" w:cs="Times New Roman"/>
                <w:sz w:val="24"/>
                <w:szCs w:val="24"/>
              </w:rPr>
              <w:t>apsaimniekotāju</w:t>
            </w:r>
            <w:proofErr w:type="spellEnd"/>
            <w:r w:rsidR="009618A2" w:rsidRPr="009618A2">
              <w:rPr>
                <w:rFonts w:ascii="Times New Roman" w:hAnsi="Times New Roman" w:cs="Times New Roman"/>
                <w:sz w:val="24"/>
                <w:szCs w:val="24"/>
              </w:rPr>
              <w:t xml:space="preserve"> </w:t>
            </w:r>
            <w:r w:rsidRPr="009618A2">
              <w:rPr>
                <w:rFonts w:ascii="Times New Roman" w:hAnsi="Times New Roman"/>
                <w:sz w:val="24"/>
                <w:szCs w:val="24"/>
              </w:rPr>
              <w:t>aprēķināt</w:t>
            </w:r>
            <w:r w:rsidR="009618A2" w:rsidRPr="009618A2">
              <w:rPr>
                <w:rFonts w:ascii="Times New Roman" w:hAnsi="Times New Roman"/>
                <w:sz w:val="24"/>
                <w:szCs w:val="24"/>
              </w:rPr>
              <w:t>o nodokļi</w:t>
            </w:r>
            <w:r w:rsidRPr="009618A2">
              <w:rPr>
                <w:rFonts w:ascii="Times New Roman" w:hAnsi="Times New Roman"/>
                <w:sz w:val="24"/>
                <w:szCs w:val="24"/>
              </w:rPr>
              <w:t xml:space="preserve"> gadam</w:t>
            </w:r>
            <w:r w:rsidR="00C75BD6">
              <w:rPr>
                <w:rFonts w:ascii="Times New Roman" w:hAnsi="Times New Roman"/>
                <w:sz w:val="24"/>
                <w:szCs w:val="24"/>
              </w:rPr>
              <w:t>, secināms, ka uz deviņiem</w:t>
            </w:r>
            <w:r w:rsidR="009618A2">
              <w:rPr>
                <w:rFonts w:ascii="Times New Roman" w:hAnsi="Times New Roman"/>
                <w:sz w:val="24"/>
                <w:szCs w:val="24"/>
              </w:rPr>
              <w:t xml:space="preserve"> noslēgtajiem apsaimniekošanas līgumiem var attiecināt </w:t>
            </w:r>
            <w:r w:rsidR="009618A2">
              <w:rPr>
                <w:rFonts w:ascii="Times New Roman" w:hAnsi="Times New Roman" w:cs="Times New Roman"/>
                <w:sz w:val="24"/>
                <w:szCs w:val="24"/>
              </w:rPr>
              <w:t>minimālo</w:t>
            </w:r>
            <w:r w:rsidR="009618A2" w:rsidRPr="009618A2">
              <w:rPr>
                <w:rFonts w:ascii="Times New Roman" w:hAnsi="Times New Roman" w:cs="Times New Roman"/>
                <w:sz w:val="24"/>
                <w:szCs w:val="24"/>
              </w:rPr>
              <w:t xml:space="preserve"> finanšu nodrošinājuma summu </w:t>
            </w:r>
            <w:r w:rsidR="009618A2">
              <w:rPr>
                <w:rFonts w:ascii="Times New Roman" w:hAnsi="Times New Roman" w:cs="Times New Roman"/>
                <w:sz w:val="24"/>
                <w:szCs w:val="24"/>
              </w:rPr>
              <w:t>– 50 </w:t>
            </w:r>
            <w:r w:rsidR="009618A2" w:rsidRPr="009618A2">
              <w:rPr>
                <w:rFonts w:ascii="Times New Roman" w:hAnsi="Times New Roman" w:cs="Times New Roman"/>
                <w:sz w:val="24"/>
                <w:szCs w:val="24"/>
              </w:rPr>
              <w:t xml:space="preserve">000 </w:t>
            </w:r>
            <w:proofErr w:type="spellStart"/>
            <w:r w:rsidR="009618A2" w:rsidRPr="009618A2">
              <w:rPr>
                <w:rFonts w:ascii="Times New Roman" w:hAnsi="Times New Roman" w:cs="Times New Roman"/>
                <w:i/>
                <w:sz w:val="24"/>
                <w:szCs w:val="24"/>
              </w:rPr>
              <w:t>euro</w:t>
            </w:r>
            <w:proofErr w:type="spellEnd"/>
            <w:r w:rsidR="00A97377">
              <w:rPr>
                <w:rFonts w:ascii="Times New Roman" w:hAnsi="Times New Roman" w:cs="Times New Roman"/>
                <w:sz w:val="24"/>
                <w:szCs w:val="24"/>
              </w:rPr>
              <w:t xml:space="preserve"> gadā</w:t>
            </w:r>
            <w:r w:rsidR="009618A2">
              <w:rPr>
                <w:rFonts w:ascii="Times New Roman" w:hAnsi="Times New Roman" w:cs="Times New Roman"/>
                <w:sz w:val="24"/>
                <w:szCs w:val="24"/>
              </w:rPr>
              <w:t>.</w:t>
            </w:r>
          </w:p>
          <w:p w14:paraId="07F43ED7" w14:textId="77777777" w:rsidR="009618A2" w:rsidRDefault="009618A2" w:rsidP="008F58E0">
            <w:pPr>
              <w:jc w:val="both"/>
              <w:rPr>
                <w:rFonts w:ascii="Times New Roman" w:hAnsi="Times New Roman" w:cs="Times New Roman"/>
                <w:sz w:val="24"/>
                <w:szCs w:val="24"/>
              </w:rPr>
            </w:pPr>
            <w:r>
              <w:rPr>
                <w:rFonts w:ascii="Times New Roman" w:hAnsi="Times New Roman" w:cs="Times New Roman"/>
                <w:sz w:val="24"/>
                <w:szCs w:val="24"/>
              </w:rPr>
              <w:t xml:space="preserve">Savukārt uz 8 </w:t>
            </w:r>
            <w:r w:rsidRPr="009618A2">
              <w:rPr>
                <w:rFonts w:ascii="Times New Roman" w:hAnsi="Times New Roman" w:cs="Times New Roman"/>
                <w:sz w:val="24"/>
                <w:szCs w:val="24"/>
              </w:rPr>
              <w:t xml:space="preserve">noslēgtajiem apsaimniekošanas līgumiem var attiecināt </w:t>
            </w:r>
            <w:r>
              <w:rPr>
                <w:rFonts w:ascii="Times New Roman" w:hAnsi="Times New Roman" w:cs="Times New Roman"/>
                <w:sz w:val="24"/>
                <w:szCs w:val="24"/>
              </w:rPr>
              <w:t>maksimālo finanšu nodrošinājuma summu, kuru veido:</w:t>
            </w:r>
          </w:p>
          <w:p w14:paraId="401B83B7" w14:textId="77777777" w:rsidR="009618A2" w:rsidRDefault="009618A2" w:rsidP="008F58E0">
            <w:pPr>
              <w:jc w:val="both"/>
              <w:rPr>
                <w:rFonts w:ascii="Times New Roman" w:hAnsi="Times New Roman" w:cs="Times New Roman"/>
                <w:sz w:val="24"/>
                <w:szCs w:val="24"/>
              </w:rPr>
            </w:pPr>
            <w:r>
              <w:rPr>
                <w:rFonts w:ascii="Times New Roman" w:hAnsi="Times New Roman" w:cs="Times New Roman"/>
                <w:sz w:val="24"/>
                <w:szCs w:val="24"/>
              </w:rPr>
              <w:t>- 7</w:t>
            </w:r>
            <w:r w:rsidRPr="009618A2">
              <w:rPr>
                <w:rFonts w:ascii="Times New Roman" w:hAnsi="Times New Roman" w:cs="Times New Roman"/>
                <w:sz w:val="24"/>
                <w:szCs w:val="24"/>
              </w:rPr>
              <w:t xml:space="preserve">0 000 </w:t>
            </w:r>
            <w:proofErr w:type="spellStart"/>
            <w:r w:rsidRPr="009618A2">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897EA9">
              <w:rPr>
                <w:rFonts w:ascii="Times New Roman" w:hAnsi="Times New Roman" w:cs="Times New Roman"/>
                <w:sz w:val="24"/>
                <w:szCs w:val="24"/>
              </w:rPr>
              <w:t xml:space="preserve">gadā </w:t>
            </w:r>
            <w:r>
              <w:rPr>
                <w:rFonts w:ascii="Times New Roman" w:hAnsi="Times New Roman" w:cs="Times New Roman"/>
                <w:sz w:val="24"/>
                <w:szCs w:val="24"/>
              </w:rPr>
              <w:t>(nemainīg</w:t>
            </w:r>
            <w:r w:rsidR="00A97377">
              <w:rPr>
                <w:rFonts w:ascii="Times New Roman" w:hAnsi="Times New Roman" w:cs="Times New Roman"/>
                <w:sz w:val="24"/>
                <w:szCs w:val="24"/>
              </w:rPr>
              <w:t>ā</w:t>
            </w:r>
            <w:r>
              <w:rPr>
                <w:rFonts w:ascii="Times New Roman" w:hAnsi="Times New Roman" w:cs="Times New Roman"/>
                <w:sz w:val="24"/>
                <w:szCs w:val="24"/>
              </w:rPr>
              <w:t xml:space="preserve"> daļa) un </w:t>
            </w:r>
          </w:p>
          <w:p w14:paraId="7A98D380" w14:textId="77777777" w:rsidR="009618A2" w:rsidRDefault="009618A2" w:rsidP="008F58E0">
            <w:pPr>
              <w:jc w:val="both"/>
              <w:rPr>
                <w:rFonts w:ascii="Times New Roman" w:hAnsi="Times New Roman"/>
                <w:sz w:val="24"/>
                <w:szCs w:val="24"/>
              </w:rPr>
            </w:pPr>
            <w:r>
              <w:rPr>
                <w:rFonts w:ascii="Times New Roman" w:hAnsi="Times New Roman"/>
                <w:sz w:val="24"/>
                <w:szCs w:val="24"/>
              </w:rPr>
              <w:t xml:space="preserve">- no 2 500 līdz 31 000 </w:t>
            </w:r>
            <w:proofErr w:type="spellStart"/>
            <w:r w:rsidRPr="009618A2">
              <w:rPr>
                <w:rFonts w:ascii="Times New Roman" w:hAnsi="Times New Roman"/>
                <w:i/>
                <w:sz w:val="24"/>
                <w:szCs w:val="24"/>
              </w:rPr>
              <w:t>euro</w:t>
            </w:r>
            <w:proofErr w:type="spellEnd"/>
            <w:r>
              <w:rPr>
                <w:rFonts w:ascii="Times New Roman" w:hAnsi="Times New Roman"/>
                <w:i/>
                <w:sz w:val="24"/>
                <w:szCs w:val="24"/>
              </w:rPr>
              <w:t xml:space="preserve"> </w:t>
            </w:r>
            <w:r w:rsidR="00897EA9">
              <w:rPr>
                <w:rFonts w:ascii="Times New Roman" w:hAnsi="Times New Roman"/>
                <w:sz w:val="24"/>
                <w:szCs w:val="24"/>
              </w:rPr>
              <w:t xml:space="preserve">gadā </w:t>
            </w:r>
            <w:r>
              <w:rPr>
                <w:rFonts w:ascii="Times New Roman" w:hAnsi="Times New Roman"/>
                <w:sz w:val="24"/>
                <w:szCs w:val="24"/>
              </w:rPr>
              <w:t>(main</w:t>
            </w:r>
            <w:r w:rsidR="00A97377">
              <w:rPr>
                <w:rFonts w:ascii="Times New Roman" w:hAnsi="Times New Roman"/>
                <w:sz w:val="24"/>
                <w:szCs w:val="24"/>
              </w:rPr>
              <w:t>īgā</w:t>
            </w:r>
            <w:r>
              <w:rPr>
                <w:rFonts w:ascii="Times New Roman" w:hAnsi="Times New Roman"/>
                <w:sz w:val="24"/>
                <w:szCs w:val="24"/>
              </w:rPr>
              <w:t xml:space="preserve"> daļa</w:t>
            </w:r>
            <w:r w:rsidR="00A97377">
              <w:rPr>
                <w:rFonts w:ascii="Times New Roman" w:hAnsi="Times New Roman"/>
                <w:sz w:val="24"/>
                <w:szCs w:val="24"/>
              </w:rPr>
              <w:t xml:space="preserve">, </w:t>
            </w:r>
            <w:r w:rsidR="00A97377" w:rsidRPr="00A97377">
              <w:rPr>
                <w:rFonts w:ascii="Times New Roman" w:hAnsi="Times New Roman"/>
                <w:sz w:val="24"/>
                <w:szCs w:val="24"/>
              </w:rPr>
              <w:t>0,05 % no aprēķinātā nodokļa gadam</w:t>
            </w:r>
            <w:r>
              <w:rPr>
                <w:rFonts w:ascii="Times New Roman" w:hAnsi="Times New Roman"/>
                <w:sz w:val="24"/>
                <w:szCs w:val="24"/>
              </w:rPr>
              <w:t>)</w:t>
            </w:r>
            <w:r w:rsidR="00A97377">
              <w:rPr>
                <w:rFonts w:ascii="Times New Roman" w:hAnsi="Times New Roman"/>
                <w:sz w:val="24"/>
                <w:szCs w:val="24"/>
              </w:rPr>
              <w:t>.</w:t>
            </w:r>
          </w:p>
          <w:p w14:paraId="53F6D567" w14:textId="77777777" w:rsidR="00A97377" w:rsidRPr="00A97377" w:rsidRDefault="00A97377" w:rsidP="00A97377">
            <w:pPr>
              <w:jc w:val="both"/>
              <w:rPr>
                <w:rFonts w:ascii="Times New Roman" w:hAnsi="Times New Roman"/>
                <w:sz w:val="24"/>
                <w:szCs w:val="24"/>
              </w:rPr>
            </w:pPr>
            <w:r>
              <w:rPr>
                <w:rFonts w:ascii="Times New Roman" w:hAnsi="Times New Roman"/>
                <w:sz w:val="24"/>
                <w:szCs w:val="24"/>
              </w:rPr>
              <w:t xml:space="preserve">Tādejādi </w:t>
            </w:r>
            <w:proofErr w:type="spellStart"/>
            <w:r w:rsidRPr="00A97377">
              <w:rPr>
                <w:rFonts w:ascii="Times New Roman" w:hAnsi="Times New Roman"/>
                <w:sz w:val="24"/>
                <w:szCs w:val="24"/>
              </w:rPr>
              <w:t>apsaimniekotāj</w:t>
            </w:r>
            <w:r>
              <w:rPr>
                <w:rFonts w:ascii="Times New Roman" w:hAnsi="Times New Roman"/>
                <w:sz w:val="24"/>
                <w:szCs w:val="24"/>
              </w:rPr>
              <w:t>u</w:t>
            </w:r>
            <w:proofErr w:type="spellEnd"/>
            <w:r>
              <w:rPr>
                <w:rFonts w:ascii="Times New Roman" w:hAnsi="Times New Roman"/>
                <w:sz w:val="24"/>
                <w:szCs w:val="24"/>
              </w:rPr>
              <w:t xml:space="preserve">, </w:t>
            </w:r>
            <w:r w:rsidRPr="00A97377">
              <w:rPr>
                <w:rFonts w:ascii="Times New Roman" w:hAnsi="Times New Roman"/>
                <w:sz w:val="24"/>
                <w:szCs w:val="24"/>
              </w:rPr>
              <w:t xml:space="preserve">kuru aprēķinātais nodoklis pārsniedz 4 000 000 </w:t>
            </w:r>
            <w:proofErr w:type="spellStart"/>
            <w:r w:rsidRPr="00A97377">
              <w:rPr>
                <w:rFonts w:ascii="Times New Roman" w:hAnsi="Times New Roman"/>
                <w:i/>
                <w:sz w:val="24"/>
                <w:szCs w:val="24"/>
              </w:rPr>
              <w:t>euro</w:t>
            </w:r>
            <w:proofErr w:type="spellEnd"/>
            <w:r w:rsidRPr="00A97377">
              <w:rPr>
                <w:rFonts w:ascii="Times New Roman" w:hAnsi="Times New Roman"/>
                <w:sz w:val="24"/>
                <w:szCs w:val="24"/>
              </w:rPr>
              <w:t xml:space="preserve"> gadā</w:t>
            </w:r>
            <w:r>
              <w:rPr>
                <w:rFonts w:ascii="Times New Roman" w:hAnsi="Times New Roman"/>
                <w:sz w:val="24"/>
                <w:szCs w:val="24"/>
              </w:rPr>
              <w:t xml:space="preserve">, finanšu nodrošinājuma summa ir no 72 500 līdz 101 000 </w:t>
            </w:r>
            <w:proofErr w:type="spellStart"/>
            <w:r w:rsidR="00897EA9" w:rsidRPr="000B7525">
              <w:rPr>
                <w:rFonts w:ascii="Times New Roman" w:hAnsi="Times New Roman"/>
                <w:i/>
                <w:sz w:val="24"/>
                <w:szCs w:val="24"/>
              </w:rPr>
              <w:t>euro</w:t>
            </w:r>
            <w:proofErr w:type="spellEnd"/>
            <w:r w:rsidR="00897EA9" w:rsidRPr="00897EA9">
              <w:rPr>
                <w:rFonts w:ascii="Times New Roman" w:hAnsi="Times New Roman"/>
                <w:sz w:val="24"/>
                <w:szCs w:val="24"/>
              </w:rPr>
              <w:t xml:space="preserve"> gadā</w:t>
            </w:r>
            <w:r w:rsidR="00897EA9">
              <w:rPr>
                <w:rFonts w:ascii="Times New Roman" w:hAnsi="Times New Roman"/>
                <w:sz w:val="24"/>
                <w:szCs w:val="24"/>
              </w:rPr>
              <w:t>.</w:t>
            </w:r>
          </w:p>
          <w:p w14:paraId="3F65ACA8" w14:textId="77777777" w:rsidR="00BA632A" w:rsidRDefault="00BA632A" w:rsidP="008F58E0">
            <w:pPr>
              <w:jc w:val="both"/>
              <w:rPr>
                <w:rFonts w:ascii="Times New Roman" w:hAnsi="Times New Roman" w:cs="Times New Roman"/>
                <w:sz w:val="24"/>
                <w:szCs w:val="24"/>
              </w:rPr>
            </w:pPr>
          </w:p>
          <w:p w14:paraId="3A9D7383" w14:textId="77777777" w:rsidR="003D43D9" w:rsidRPr="00550846" w:rsidRDefault="005A3C8E" w:rsidP="00E2411B">
            <w:pPr>
              <w:jc w:val="both"/>
              <w:rPr>
                <w:rFonts w:ascii="Times New Roman" w:hAnsi="Times New Roman" w:cs="Times New Roman"/>
                <w:sz w:val="24"/>
                <w:szCs w:val="24"/>
              </w:rPr>
            </w:pPr>
            <w:r w:rsidRPr="006A03EA">
              <w:rPr>
                <w:rFonts w:ascii="Times New Roman" w:hAnsi="Times New Roman" w:cs="Times New Roman"/>
                <w:sz w:val="24"/>
                <w:szCs w:val="24"/>
              </w:rPr>
              <w:t xml:space="preserve">Pēc </w:t>
            </w:r>
            <w:r w:rsidR="005E72D6" w:rsidRPr="006A03EA">
              <w:rPr>
                <w:rFonts w:ascii="Times New Roman" w:hAnsi="Times New Roman" w:cs="Times New Roman"/>
                <w:sz w:val="24"/>
                <w:szCs w:val="24"/>
              </w:rPr>
              <w:t>Vides aizsardzības un reģion</w:t>
            </w:r>
            <w:r w:rsidR="00897EA9" w:rsidRPr="006A03EA">
              <w:rPr>
                <w:rFonts w:ascii="Times New Roman" w:hAnsi="Times New Roman" w:cs="Times New Roman"/>
                <w:sz w:val="24"/>
                <w:szCs w:val="24"/>
              </w:rPr>
              <w:t>ālā</w:t>
            </w:r>
            <w:r w:rsidR="005E72D6" w:rsidRPr="006A03EA">
              <w:rPr>
                <w:rFonts w:ascii="Times New Roman" w:hAnsi="Times New Roman" w:cs="Times New Roman"/>
                <w:sz w:val="24"/>
                <w:szCs w:val="24"/>
              </w:rPr>
              <w:t>s attīstības ministrijas (turpmāk –</w:t>
            </w:r>
            <w:r w:rsidRPr="006A03EA">
              <w:rPr>
                <w:rFonts w:ascii="Times New Roman" w:hAnsi="Times New Roman" w:cs="Times New Roman"/>
                <w:sz w:val="24"/>
                <w:szCs w:val="24"/>
              </w:rPr>
              <w:t>VARAM</w:t>
            </w:r>
            <w:r w:rsidR="005E72D6" w:rsidRPr="006A03EA">
              <w:rPr>
                <w:rFonts w:ascii="Times New Roman" w:hAnsi="Times New Roman" w:cs="Times New Roman"/>
                <w:sz w:val="24"/>
                <w:szCs w:val="24"/>
              </w:rPr>
              <w:t>)</w:t>
            </w:r>
            <w:r w:rsidRPr="006A03EA">
              <w:rPr>
                <w:rFonts w:ascii="Times New Roman" w:hAnsi="Times New Roman" w:cs="Times New Roman"/>
                <w:sz w:val="24"/>
                <w:szCs w:val="24"/>
              </w:rPr>
              <w:t xml:space="preserve"> </w:t>
            </w:r>
            <w:r w:rsidR="00E2411B" w:rsidRPr="006A03EA">
              <w:rPr>
                <w:rFonts w:ascii="Times New Roman" w:hAnsi="Times New Roman" w:cs="Times New Roman"/>
                <w:sz w:val="24"/>
                <w:szCs w:val="24"/>
              </w:rPr>
              <w:t xml:space="preserve">novērtējuma </w:t>
            </w:r>
            <w:r w:rsidR="00CF2EAB" w:rsidRPr="006A03EA">
              <w:rPr>
                <w:rFonts w:ascii="Times New Roman" w:hAnsi="Times New Roman" w:cs="Times New Roman"/>
                <w:sz w:val="24"/>
                <w:szCs w:val="24"/>
              </w:rPr>
              <w:t>a</w:t>
            </w:r>
            <w:r w:rsidRPr="006A03EA">
              <w:rPr>
                <w:rFonts w:ascii="Times New Roman" w:hAnsi="Times New Roman" w:cs="Times New Roman"/>
                <w:sz w:val="24"/>
                <w:szCs w:val="24"/>
              </w:rPr>
              <w:t xml:space="preserve">tbilstības izmaksas par </w:t>
            </w:r>
            <w:r w:rsidR="00CF2EAB" w:rsidRPr="006A03EA">
              <w:rPr>
                <w:rFonts w:ascii="Times New Roman" w:hAnsi="Times New Roman" w:cs="Times New Roman"/>
                <w:sz w:val="24"/>
                <w:szCs w:val="24"/>
              </w:rPr>
              <w:t>f</w:t>
            </w:r>
            <w:r w:rsidR="00897EA9" w:rsidRPr="006A03EA">
              <w:rPr>
                <w:rFonts w:ascii="Times New Roman" w:hAnsi="Times New Roman" w:cs="Times New Roman"/>
                <w:sz w:val="24"/>
                <w:szCs w:val="24"/>
              </w:rPr>
              <w:t>inanšu nodrošinājuma uzturēšanu</w:t>
            </w:r>
            <w:r w:rsidR="00CF2EAB" w:rsidRPr="006A03EA">
              <w:rPr>
                <w:rFonts w:ascii="Times New Roman" w:hAnsi="Times New Roman" w:cs="Times New Roman"/>
                <w:sz w:val="24"/>
                <w:szCs w:val="24"/>
              </w:rPr>
              <w:t xml:space="preserve"> </w:t>
            </w:r>
            <w:r w:rsidR="00897EA9" w:rsidRPr="006A03EA">
              <w:rPr>
                <w:rFonts w:ascii="Times New Roman" w:hAnsi="Times New Roman" w:cs="Times New Roman"/>
                <w:sz w:val="24"/>
                <w:szCs w:val="24"/>
              </w:rPr>
              <w:t xml:space="preserve">gādā </w:t>
            </w:r>
            <w:r w:rsidR="00E2411B" w:rsidRPr="006A03EA">
              <w:rPr>
                <w:rFonts w:ascii="Times New Roman" w:hAnsi="Times New Roman" w:cs="Times New Roman"/>
                <w:sz w:val="24"/>
                <w:szCs w:val="24"/>
              </w:rPr>
              <w:t xml:space="preserve">sastādīs </w:t>
            </w:r>
            <w:r w:rsidR="00897EA9" w:rsidRPr="006A03EA">
              <w:rPr>
                <w:rFonts w:ascii="Times New Roman" w:hAnsi="Times New Roman" w:cs="Times New Roman"/>
                <w:sz w:val="24"/>
                <w:szCs w:val="24"/>
              </w:rPr>
              <w:t xml:space="preserve">aptuveni 1 000 – 2 000 </w:t>
            </w:r>
            <w:proofErr w:type="spellStart"/>
            <w:r w:rsidR="00897EA9" w:rsidRPr="006A03EA">
              <w:rPr>
                <w:rFonts w:ascii="Times New Roman" w:hAnsi="Times New Roman" w:cs="Times New Roman"/>
                <w:i/>
                <w:sz w:val="24"/>
                <w:szCs w:val="24"/>
              </w:rPr>
              <w:t>euro</w:t>
            </w:r>
            <w:proofErr w:type="spellEnd"/>
            <w:r w:rsidR="00897EA9" w:rsidRPr="006A03EA">
              <w:rPr>
                <w:rFonts w:ascii="Times New Roman" w:hAnsi="Times New Roman" w:cs="Times New Roman"/>
                <w:sz w:val="24"/>
                <w:szCs w:val="24"/>
              </w:rPr>
              <w:t xml:space="preserve"> gadā. Šīs izmaksas ir atkarīgas no finanšu nodrošinājuma veida (bankas garantija vai apdrošināšana) un </w:t>
            </w:r>
            <w:r w:rsidR="00E2411B" w:rsidRPr="006A03EA">
              <w:rPr>
                <w:rFonts w:ascii="Times New Roman" w:hAnsi="Times New Roman" w:cs="Times New Roman"/>
                <w:sz w:val="24"/>
                <w:szCs w:val="24"/>
              </w:rPr>
              <w:t xml:space="preserve">starp </w:t>
            </w:r>
            <w:proofErr w:type="spellStart"/>
            <w:r w:rsidR="00897EA9" w:rsidRPr="006A03EA">
              <w:rPr>
                <w:rFonts w:ascii="Times New Roman" w:hAnsi="Times New Roman" w:cs="Times New Roman"/>
                <w:sz w:val="24"/>
                <w:szCs w:val="24"/>
              </w:rPr>
              <w:t>aps</w:t>
            </w:r>
            <w:r w:rsidR="00E2411B" w:rsidRPr="006A03EA">
              <w:rPr>
                <w:rFonts w:ascii="Times New Roman" w:hAnsi="Times New Roman" w:cs="Times New Roman"/>
                <w:sz w:val="24"/>
                <w:szCs w:val="24"/>
              </w:rPr>
              <w:t>a</w:t>
            </w:r>
            <w:r w:rsidR="00897EA9" w:rsidRPr="006A03EA">
              <w:rPr>
                <w:rFonts w:ascii="Times New Roman" w:hAnsi="Times New Roman" w:cs="Times New Roman"/>
                <w:sz w:val="24"/>
                <w:szCs w:val="24"/>
              </w:rPr>
              <w:t>imni</w:t>
            </w:r>
            <w:r w:rsidR="00E2411B" w:rsidRPr="006A03EA">
              <w:rPr>
                <w:rFonts w:ascii="Times New Roman" w:hAnsi="Times New Roman" w:cs="Times New Roman"/>
                <w:sz w:val="24"/>
                <w:szCs w:val="24"/>
              </w:rPr>
              <w:t>e</w:t>
            </w:r>
            <w:r w:rsidR="00897EA9" w:rsidRPr="006A03EA">
              <w:rPr>
                <w:rFonts w:ascii="Times New Roman" w:hAnsi="Times New Roman" w:cs="Times New Roman"/>
                <w:sz w:val="24"/>
                <w:szCs w:val="24"/>
              </w:rPr>
              <w:t>kotāj</w:t>
            </w:r>
            <w:r w:rsidR="00E2411B" w:rsidRPr="006A03EA">
              <w:rPr>
                <w:rFonts w:ascii="Times New Roman" w:hAnsi="Times New Roman" w:cs="Times New Roman"/>
                <w:sz w:val="24"/>
                <w:szCs w:val="24"/>
              </w:rPr>
              <w:t>u</w:t>
            </w:r>
            <w:proofErr w:type="spellEnd"/>
            <w:r w:rsidR="00E2411B" w:rsidRPr="006A03EA">
              <w:rPr>
                <w:rFonts w:ascii="Times New Roman" w:hAnsi="Times New Roman" w:cs="Times New Roman"/>
                <w:sz w:val="24"/>
                <w:szCs w:val="24"/>
              </w:rPr>
              <w:t xml:space="preserve"> un apdrošinātāju vai banku noslēgto līgumu.</w:t>
            </w:r>
          </w:p>
        </w:tc>
      </w:tr>
      <w:tr w:rsidR="00824887" w:rsidRPr="00550846" w14:paraId="65F84DA2" w14:textId="77777777" w:rsidTr="009B6979">
        <w:tc>
          <w:tcPr>
            <w:tcW w:w="396" w:type="dxa"/>
          </w:tcPr>
          <w:p w14:paraId="561D2560"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5.</w:t>
            </w:r>
          </w:p>
        </w:tc>
        <w:tc>
          <w:tcPr>
            <w:tcW w:w="1736" w:type="dxa"/>
          </w:tcPr>
          <w:p w14:paraId="372FC864"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55" w:type="dxa"/>
          </w:tcPr>
          <w:p w14:paraId="3F27691D" w14:textId="0E0D9C5F"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01C7205D"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287"/>
      </w:tblGrid>
      <w:tr w:rsidR="00824887" w:rsidRPr="00550846" w14:paraId="2FA9361F" w14:textId="77777777" w:rsidTr="009B6979">
        <w:tc>
          <w:tcPr>
            <w:tcW w:w="9287" w:type="dxa"/>
          </w:tcPr>
          <w:p w14:paraId="4F314176" w14:textId="77777777" w:rsidR="00824887" w:rsidRPr="00550846" w:rsidRDefault="00824887" w:rsidP="00F201D0">
            <w:pPr>
              <w:jc w:val="right"/>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III. Tiesību akta projekta ietekme uz valsts budžetu un pašvaldību budžetiem</w:t>
            </w:r>
          </w:p>
        </w:tc>
      </w:tr>
      <w:tr w:rsidR="00824887" w:rsidRPr="00550846" w14:paraId="2733D757" w14:textId="77777777" w:rsidTr="009B6979">
        <w:tc>
          <w:tcPr>
            <w:tcW w:w="9287" w:type="dxa"/>
          </w:tcPr>
          <w:p w14:paraId="098DFD1C" w14:textId="77777777" w:rsidR="00824887" w:rsidRPr="00550846" w:rsidRDefault="00824887" w:rsidP="009B6979">
            <w:pPr>
              <w:jc w:val="center"/>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bl>
    <w:p w14:paraId="0AD8F8FA" w14:textId="77777777" w:rsidR="00824887"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92"/>
        <w:gridCol w:w="6203"/>
      </w:tblGrid>
      <w:tr w:rsidR="006C3BC4" w:rsidRPr="006C3BC4" w14:paraId="2D084C5D" w14:textId="77777777" w:rsidTr="00F7356C">
        <w:trPr>
          <w:trHeight w:val="461"/>
          <w:jc w:val="center"/>
        </w:trPr>
        <w:tc>
          <w:tcPr>
            <w:tcW w:w="9291" w:type="dxa"/>
            <w:gridSpan w:val="3"/>
            <w:vAlign w:val="center"/>
          </w:tcPr>
          <w:p w14:paraId="40D45687" w14:textId="77777777" w:rsidR="006C3BC4" w:rsidRPr="006C3BC4" w:rsidRDefault="006C3BC4" w:rsidP="006C3BC4">
            <w:pPr>
              <w:spacing w:after="0" w:line="240" w:lineRule="auto"/>
              <w:jc w:val="center"/>
              <w:rPr>
                <w:rFonts w:ascii="Times New Roman" w:eastAsia="Times New Roman" w:hAnsi="Times New Roman" w:cs="Times New Roman"/>
                <w:bCs/>
                <w:sz w:val="24"/>
                <w:szCs w:val="24"/>
                <w:lang w:eastAsia="lv-LV"/>
              </w:rPr>
            </w:pPr>
            <w:r w:rsidRPr="006C3BC4">
              <w:rPr>
                <w:rFonts w:ascii="Times New Roman" w:eastAsia="Times New Roman" w:hAnsi="Times New Roman" w:cs="Times New Roman"/>
                <w:b/>
                <w:bCs/>
                <w:sz w:val="24"/>
                <w:szCs w:val="24"/>
                <w:lang w:eastAsia="lv-LV"/>
              </w:rPr>
              <w:br w:type="page"/>
              <w:t>IV. Tiesību akta projekta ietekme uz spēkā esošo tiesību normu sistēmu</w:t>
            </w:r>
          </w:p>
        </w:tc>
      </w:tr>
      <w:tr w:rsidR="006C3BC4" w:rsidRPr="006C3BC4" w14:paraId="7A0FB61A" w14:textId="77777777" w:rsidTr="00F7356C">
        <w:trPr>
          <w:jc w:val="center"/>
        </w:trPr>
        <w:tc>
          <w:tcPr>
            <w:tcW w:w="250" w:type="dxa"/>
          </w:tcPr>
          <w:p w14:paraId="32666507"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1.</w:t>
            </w:r>
          </w:p>
        </w:tc>
        <w:tc>
          <w:tcPr>
            <w:tcW w:w="2728" w:type="dxa"/>
          </w:tcPr>
          <w:p w14:paraId="1D3E7DD5" w14:textId="77777777" w:rsidR="006C3BC4" w:rsidRPr="006C3BC4" w:rsidRDefault="00EA3E66" w:rsidP="006C3BC4">
            <w:pPr>
              <w:tabs>
                <w:tab w:val="left" w:pos="2628"/>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006C3BC4" w:rsidRPr="006C3BC4">
              <w:rPr>
                <w:rFonts w:ascii="Times New Roman" w:eastAsia="Times New Roman" w:hAnsi="Times New Roman" w:cs="Times New Roman"/>
                <w:sz w:val="24"/>
                <w:szCs w:val="24"/>
                <w:lang w:eastAsia="lv-LV"/>
              </w:rPr>
              <w:t>aistītie tiesību aktu projekti</w:t>
            </w:r>
          </w:p>
        </w:tc>
        <w:tc>
          <w:tcPr>
            <w:tcW w:w="6313" w:type="dxa"/>
            <w:shd w:val="clear" w:color="auto" w:fill="auto"/>
          </w:tcPr>
          <w:p w14:paraId="016E2861" w14:textId="77777777" w:rsidR="006C3BC4" w:rsidRPr="006C3BC4" w:rsidRDefault="00E16544" w:rsidP="00E16544">
            <w:pPr>
              <w:spacing w:after="0" w:line="240" w:lineRule="auto"/>
              <w:ind w:right="113"/>
              <w:jc w:val="both"/>
              <w:rPr>
                <w:rFonts w:ascii="Times New Roman" w:eastAsia="Times New Roman" w:hAnsi="Times New Roman" w:cs="Times New Roman"/>
                <w:sz w:val="24"/>
                <w:szCs w:val="24"/>
                <w:highlight w:val="yellow"/>
                <w:lang w:eastAsia="lv-LV"/>
              </w:rPr>
            </w:pPr>
            <w:r>
              <w:rPr>
                <w:rFonts w:ascii="Times New Roman" w:eastAsia="Calibri" w:hAnsi="Times New Roman" w:cs="Times New Roman"/>
                <w:sz w:val="24"/>
                <w:szCs w:val="24"/>
                <w:lang w:eastAsia="lv-LV"/>
              </w:rPr>
              <w:t xml:space="preserve">Pēc noteikumu projekta stāšanos spēkā tiks sagatavots </w:t>
            </w:r>
            <w:r w:rsidR="00F7356C" w:rsidRPr="00F7356C">
              <w:rPr>
                <w:rFonts w:ascii="Times New Roman" w:eastAsia="Calibri" w:hAnsi="Times New Roman" w:cs="Times New Roman"/>
                <w:sz w:val="24"/>
                <w:szCs w:val="24"/>
                <w:lang w:eastAsia="lv-LV"/>
              </w:rPr>
              <w:t>un virzīt</w:t>
            </w:r>
            <w:r>
              <w:rPr>
                <w:rFonts w:ascii="Times New Roman" w:eastAsia="Calibri" w:hAnsi="Times New Roman" w:cs="Times New Roman"/>
                <w:sz w:val="24"/>
                <w:szCs w:val="24"/>
                <w:lang w:eastAsia="lv-LV"/>
              </w:rPr>
              <w:t>s</w:t>
            </w:r>
            <w:r w:rsidR="00F7356C" w:rsidRPr="00F7356C">
              <w:rPr>
                <w:rFonts w:ascii="Times New Roman" w:eastAsia="Calibri" w:hAnsi="Times New Roman" w:cs="Times New Roman"/>
                <w:sz w:val="24"/>
                <w:szCs w:val="24"/>
                <w:lang w:eastAsia="lv-LV"/>
              </w:rPr>
              <w:t xml:space="preserve"> Ministru kabineta noteikumu projekts “</w:t>
            </w:r>
            <w:r w:rsidR="00E83FF2" w:rsidRPr="00E83FF2">
              <w:rPr>
                <w:rFonts w:ascii="Times New Roman" w:eastAsia="Calibri" w:hAnsi="Times New Roman" w:cs="Times New Roman"/>
                <w:sz w:val="24"/>
                <w:szCs w:val="24"/>
                <w:lang w:eastAsia="lv-LV"/>
              </w:rPr>
              <w:t>Grozījumi Ministru kabineta 2009.</w:t>
            </w:r>
            <w:r w:rsidR="00E83FF2">
              <w:rPr>
                <w:rFonts w:ascii="Times New Roman" w:eastAsia="Calibri" w:hAnsi="Times New Roman" w:cs="Times New Roman"/>
                <w:sz w:val="24"/>
                <w:szCs w:val="24"/>
                <w:lang w:eastAsia="lv-LV"/>
              </w:rPr>
              <w:t> </w:t>
            </w:r>
            <w:r w:rsidR="00E95620">
              <w:rPr>
                <w:rFonts w:ascii="Times New Roman" w:eastAsia="Calibri" w:hAnsi="Times New Roman" w:cs="Times New Roman"/>
                <w:sz w:val="24"/>
                <w:szCs w:val="24"/>
                <w:lang w:eastAsia="lv-LV"/>
              </w:rPr>
              <w:t>gada 3. novembra noteikumos Nr. </w:t>
            </w:r>
            <w:r w:rsidR="00F201D0">
              <w:rPr>
                <w:rFonts w:ascii="Times New Roman" w:eastAsia="Calibri" w:hAnsi="Times New Roman" w:cs="Times New Roman"/>
                <w:sz w:val="24"/>
                <w:szCs w:val="24"/>
                <w:lang w:eastAsia="lv-LV"/>
              </w:rPr>
              <w:t>1294 “</w:t>
            </w:r>
            <w:r w:rsidR="00E83FF2" w:rsidRPr="00E83FF2">
              <w:rPr>
                <w:rFonts w:ascii="Times New Roman" w:eastAsia="Calibri" w:hAnsi="Times New Roman" w:cs="Times New Roman"/>
                <w:sz w:val="24"/>
                <w:szCs w:val="24"/>
                <w:lang w:eastAsia="lv-LV"/>
              </w:rPr>
              <w:t>Kārtība, kādā atbrīvo no dabas resursu nodokļa samaksas par videi kaitīgām precēm</w:t>
            </w:r>
            <w:r w:rsidR="00F7356C" w:rsidRPr="00F7356C">
              <w:rPr>
                <w:rFonts w:ascii="Times New Roman" w:eastAsia="Calibri" w:hAnsi="Times New Roman" w:cs="Times New Roman"/>
                <w:sz w:val="24"/>
                <w:szCs w:val="24"/>
                <w:lang w:eastAsia="lv-LV"/>
              </w:rPr>
              <w:t>”</w:t>
            </w:r>
            <w:r w:rsidR="00E83FF2">
              <w:rPr>
                <w:rFonts w:ascii="Times New Roman" w:eastAsia="Calibri" w:hAnsi="Times New Roman" w:cs="Times New Roman"/>
                <w:sz w:val="24"/>
                <w:szCs w:val="24"/>
                <w:lang w:eastAsia="lv-LV"/>
              </w:rPr>
              <w:t>”</w:t>
            </w:r>
            <w:r w:rsidR="00F7356C" w:rsidRPr="00F7356C">
              <w:rPr>
                <w:rFonts w:ascii="Times New Roman" w:eastAsia="Calibri" w:hAnsi="Times New Roman" w:cs="Times New Roman"/>
                <w:sz w:val="24"/>
                <w:szCs w:val="24"/>
                <w:lang w:eastAsia="lv-LV"/>
              </w:rPr>
              <w:t xml:space="preserve"> un Minist</w:t>
            </w:r>
            <w:r w:rsidR="00F201D0">
              <w:rPr>
                <w:rFonts w:ascii="Times New Roman" w:eastAsia="Calibri" w:hAnsi="Times New Roman" w:cs="Times New Roman"/>
                <w:sz w:val="24"/>
                <w:szCs w:val="24"/>
                <w:lang w:eastAsia="lv-LV"/>
              </w:rPr>
              <w:t>ru kabineta noteikumu projekts “</w:t>
            </w:r>
            <w:r>
              <w:rPr>
                <w:rFonts w:ascii="Times New Roman" w:eastAsia="Calibri" w:hAnsi="Times New Roman" w:cs="Times New Roman"/>
                <w:sz w:val="24"/>
                <w:szCs w:val="24"/>
                <w:lang w:eastAsia="lv-LV"/>
              </w:rPr>
              <w:t xml:space="preserve">Grozījumi </w:t>
            </w:r>
            <w:r w:rsidRPr="00E16544">
              <w:rPr>
                <w:rFonts w:ascii="Times New Roman" w:eastAsia="Calibri" w:hAnsi="Times New Roman" w:cs="Times New Roman"/>
                <w:sz w:val="24"/>
                <w:szCs w:val="24"/>
                <w:lang w:eastAsia="lv-LV"/>
              </w:rPr>
              <w:t>Ministru kabineta 2017.</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gada 16.</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augusta noteikum</w:t>
            </w:r>
            <w:r>
              <w:rPr>
                <w:rFonts w:ascii="Times New Roman" w:eastAsia="Calibri" w:hAnsi="Times New Roman" w:cs="Times New Roman"/>
                <w:sz w:val="24"/>
                <w:szCs w:val="24"/>
                <w:lang w:eastAsia="lv-LV"/>
              </w:rPr>
              <w:t>os</w:t>
            </w:r>
            <w:r w:rsidRPr="00E16544">
              <w:rPr>
                <w:rFonts w:ascii="Times New Roman" w:eastAsia="Calibri" w:hAnsi="Times New Roman" w:cs="Times New Roman"/>
                <w:sz w:val="24"/>
                <w:szCs w:val="24"/>
                <w:lang w:eastAsia="lv-LV"/>
              </w:rPr>
              <w:t xml:space="preserve"> Nr.</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480 “Noteikumi par atbrīvojuma piemērošanu no dabas resursu nodokļa samaksas par iepakojumu un vienreiz lietojamiem galda traukiem un piederumiem”</w:t>
            </w:r>
            <w:r w:rsidR="00F7356C" w:rsidRPr="00F7356C">
              <w:rPr>
                <w:rFonts w:ascii="Times New Roman" w:eastAsia="Calibri" w:hAnsi="Times New Roman" w:cs="Times New Roman"/>
                <w:sz w:val="24"/>
                <w:szCs w:val="24"/>
                <w:lang w:eastAsia="lv-LV"/>
              </w:rPr>
              <w:t>”</w:t>
            </w:r>
            <w:r w:rsidR="00E83FF2">
              <w:rPr>
                <w:rFonts w:ascii="Times New Roman" w:eastAsia="Calibri" w:hAnsi="Times New Roman" w:cs="Times New Roman"/>
                <w:sz w:val="24"/>
                <w:szCs w:val="24"/>
                <w:lang w:eastAsia="lv-LV"/>
              </w:rPr>
              <w:t>”</w:t>
            </w:r>
            <w:r w:rsidR="00F7356C" w:rsidRPr="00F7356C">
              <w:rPr>
                <w:rFonts w:ascii="Times New Roman" w:eastAsia="Calibri" w:hAnsi="Times New Roman" w:cs="Times New Roman"/>
                <w:sz w:val="24"/>
                <w:szCs w:val="24"/>
                <w:lang w:eastAsia="lv-LV"/>
              </w:rPr>
              <w:t>.</w:t>
            </w:r>
          </w:p>
        </w:tc>
      </w:tr>
      <w:tr w:rsidR="006C3BC4" w:rsidRPr="006C3BC4" w14:paraId="71D79932" w14:textId="77777777" w:rsidTr="00F7356C">
        <w:trPr>
          <w:jc w:val="center"/>
        </w:trPr>
        <w:tc>
          <w:tcPr>
            <w:tcW w:w="250" w:type="dxa"/>
          </w:tcPr>
          <w:p w14:paraId="47C9EB5F"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2.</w:t>
            </w:r>
          </w:p>
        </w:tc>
        <w:tc>
          <w:tcPr>
            <w:tcW w:w="2728" w:type="dxa"/>
          </w:tcPr>
          <w:p w14:paraId="28577E7E"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sz w:val="24"/>
                <w:szCs w:val="24"/>
                <w:lang w:eastAsia="lv-LV"/>
              </w:rPr>
            </w:pPr>
            <w:r w:rsidRPr="006C3BC4">
              <w:rPr>
                <w:rFonts w:ascii="Times New Roman" w:eastAsia="Times New Roman" w:hAnsi="Times New Roman" w:cs="Times New Roman"/>
                <w:sz w:val="24"/>
                <w:szCs w:val="24"/>
                <w:lang w:eastAsia="lv-LV"/>
              </w:rPr>
              <w:t>Atbildīgā institūcija</w:t>
            </w:r>
          </w:p>
        </w:tc>
        <w:tc>
          <w:tcPr>
            <w:tcW w:w="6313" w:type="dxa"/>
          </w:tcPr>
          <w:p w14:paraId="3F9C7F97" w14:textId="77777777" w:rsidR="006C3BC4" w:rsidRPr="006C3BC4" w:rsidRDefault="006C3BC4" w:rsidP="00F201D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C3BC4">
              <w:rPr>
                <w:rFonts w:ascii="Times New Roman" w:eastAsia="Times New Roman" w:hAnsi="Times New Roman" w:cs="Times New Roman"/>
                <w:color w:val="000000"/>
                <w:sz w:val="24"/>
                <w:szCs w:val="24"/>
                <w:lang w:eastAsia="lv-LV"/>
              </w:rPr>
              <w:t>V</w:t>
            </w:r>
            <w:r w:rsidR="00F201D0">
              <w:rPr>
                <w:rFonts w:ascii="Times New Roman" w:eastAsia="Times New Roman" w:hAnsi="Times New Roman" w:cs="Times New Roman"/>
                <w:color w:val="000000"/>
                <w:sz w:val="24"/>
                <w:szCs w:val="24"/>
                <w:lang w:eastAsia="lv-LV"/>
              </w:rPr>
              <w:t>ARAM</w:t>
            </w:r>
          </w:p>
        </w:tc>
      </w:tr>
      <w:tr w:rsidR="006C3BC4" w:rsidRPr="006C3BC4" w14:paraId="5FEBE487" w14:textId="77777777" w:rsidTr="00F7356C">
        <w:trPr>
          <w:jc w:val="center"/>
        </w:trPr>
        <w:tc>
          <w:tcPr>
            <w:tcW w:w="250" w:type="dxa"/>
          </w:tcPr>
          <w:p w14:paraId="771D0F18"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3.</w:t>
            </w:r>
          </w:p>
        </w:tc>
        <w:tc>
          <w:tcPr>
            <w:tcW w:w="2728" w:type="dxa"/>
          </w:tcPr>
          <w:p w14:paraId="30D8F658"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Cita informācija</w:t>
            </w:r>
          </w:p>
        </w:tc>
        <w:tc>
          <w:tcPr>
            <w:tcW w:w="6313" w:type="dxa"/>
          </w:tcPr>
          <w:p w14:paraId="0E6F53BB"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Nav</w:t>
            </w:r>
          </w:p>
        </w:tc>
      </w:tr>
    </w:tbl>
    <w:p w14:paraId="77AB06B3" w14:textId="77777777" w:rsidR="00146FE0" w:rsidRPr="00550846" w:rsidRDefault="00146FE0"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061"/>
      </w:tblGrid>
      <w:tr w:rsidR="00824887" w:rsidRPr="00550846" w14:paraId="150AE0CE" w14:textId="77777777" w:rsidTr="009637B1">
        <w:tc>
          <w:tcPr>
            <w:tcW w:w="9061" w:type="dxa"/>
          </w:tcPr>
          <w:p w14:paraId="772D044C"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37B1" w:rsidRPr="00550846" w14:paraId="21E111F0" w14:textId="77777777" w:rsidTr="009637B1">
        <w:trPr>
          <w:trHeight w:val="144"/>
        </w:trPr>
        <w:tc>
          <w:tcPr>
            <w:tcW w:w="9061" w:type="dxa"/>
          </w:tcPr>
          <w:p w14:paraId="5D5F08CA" w14:textId="77777777" w:rsidR="009637B1" w:rsidRPr="000B7525" w:rsidRDefault="009637B1" w:rsidP="009637B1">
            <w:pPr>
              <w:jc w:val="center"/>
              <w:rPr>
                <w:rFonts w:ascii="Times New Roman" w:eastAsia="Times New Roman" w:hAnsi="Times New Roman" w:cs="Times New Roman"/>
                <w:bCs/>
                <w:iCs/>
                <w:sz w:val="24"/>
                <w:szCs w:val="24"/>
                <w:lang w:eastAsia="lv-LV"/>
              </w:rPr>
            </w:pPr>
            <w:r w:rsidRPr="000B7525">
              <w:rPr>
                <w:rFonts w:ascii="Times New Roman" w:eastAsia="Times New Roman" w:hAnsi="Times New Roman" w:cs="Times New Roman"/>
                <w:bCs/>
                <w:iCs/>
                <w:sz w:val="24"/>
                <w:szCs w:val="24"/>
                <w:lang w:eastAsia="lv-LV"/>
              </w:rPr>
              <w:t>Projekts šo jomu neskar.</w:t>
            </w:r>
          </w:p>
        </w:tc>
      </w:tr>
    </w:tbl>
    <w:p w14:paraId="5279F4E2"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493"/>
      </w:tblGrid>
      <w:tr w:rsidR="00824887" w:rsidRPr="00550846" w14:paraId="44D2B4B6" w14:textId="77777777" w:rsidTr="009B6979">
        <w:tc>
          <w:tcPr>
            <w:tcW w:w="9287" w:type="dxa"/>
            <w:gridSpan w:val="3"/>
          </w:tcPr>
          <w:p w14:paraId="2BB473FE" w14:textId="77777777" w:rsidR="00824887" w:rsidRPr="00550846" w:rsidRDefault="00824887" w:rsidP="00F201D0">
            <w:pPr>
              <w:jc w:val="cente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
                <w:bCs/>
                <w:iCs/>
                <w:sz w:val="24"/>
                <w:szCs w:val="24"/>
                <w:lang w:eastAsia="lv-LV"/>
              </w:rPr>
              <w:t>VI. Sabiedrības līdzdalība un komunikācijas aktivitātes</w:t>
            </w:r>
          </w:p>
        </w:tc>
      </w:tr>
      <w:tr w:rsidR="00824887" w:rsidRPr="00550846" w14:paraId="3DE1F416" w14:textId="77777777" w:rsidTr="00952632">
        <w:trPr>
          <w:trHeight w:val="1833"/>
        </w:trPr>
        <w:tc>
          <w:tcPr>
            <w:tcW w:w="534" w:type="dxa"/>
          </w:tcPr>
          <w:p w14:paraId="626B70FF"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14:paraId="4EDAE065"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93" w:type="dxa"/>
          </w:tcPr>
          <w:p w14:paraId="3DDF62E6" w14:textId="77777777" w:rsidR="006C3BC4" w:rsidRPr="00550846" w:rsidRDefault="00824887" w:rsidP="00952632">
            <w:pPr>
              <w:pStyle w:val="naisf"/>
              <w:spacing w:before="0" w:after="120"/>
              <w:ind w:firstLine="0"/>
            </w:pPr>
            <w:r w:rsidRPr="00550846">
              <w:t>Saskaņā ar Ministru kabineta 2009. gada</w:t>
            </w:r>
            <w:r w:rsidR="00F201D0">
              <w:t xml:space="preserve"> 25. augusta noteikumu Nr. 970 “</w:t>
            </w:r>
            <w:r w:rsidRPr="00550846">
              <w:t>Sabiedrības līdzdalības kārtība attīstības plānošanas procesā” 7.4.</w:t>
            </w:r>
            <w:r w:rsidRPr="00550846">
              <w:rPr>
                <w:vertAlign w:val="superscript"/>
              </w:rPr>
              <w:t>1</w:t>
            </w:r>
            <w:r w:rsidRPr="00550846">
              <w:t> apakšpunktu sabiedrības pārstāvji ir aicināti līdzdarboties, rakstiski sniedzot viedokli par noteikumu projektu tā izstrādes stadijā.</w:t>
            </w:r>
          </w:p>
        </w:tc>
      </w:tr>
      <w:tr w:rsidR="00824887" w:rsidRPr="00550846" w14:paraId="025D5EA9" w14:textId="77777777" w:rsidTr="009B6979">
        <w:tc>
          <w:tcPr>
            <w:tcW w:w="534" w:type="dxa"/>
          </w:tcPr>
          <w:p w14:paraId="205DC45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14:paraId="4842EB7E" w14:textId="77777777" w:rsidR="00824887" w:rsidRPr="00F201D0" w:rsidRDefault="00824887" w:rsidP="009B6979">
            <w:pPr>
              <w:rPr>
                <w:rFonts w:ascii="Times New Roman" w:eastAsia="Times New Roman" w:hAnsi="Times New Roman" w:cs="Times New Roman"/>
                <w:iCs/>
                <w:sz w:val="24"/>
                <w:szCs w:val="24"/>
                <w:lang w:eastAsia="lv-LV"/>
              </w:rPr>
            </w:pPr>
            <w:r w:rsidRPr="00F201D0">
              <w:rPr>
                <w:rFonts w:ascii="Times New Roman" w:eastAsia="Times New Roman" w:hAnsi="Times New Roman" w:cs="Times New Roman"/>
                <w:iCs/>
                <w:sz w:val="24"/>
                <w:szCs w:val="24"/>
                <w:lang w:eastAsia="lv-LV"/>
              </w:rPr>
              <w:t>Sabiedrības līdzdalība projekta izstrādē</w:t>
            </w:r>
          </w:p>
        </w:tc>
        <w:tc>
          <w:tcPr>
            <w:tcW w:w="5493" w:type="dxa"/>
          </w:tcPr>
          <w:p w14:paraId="4A511418" w14:textId="14C1495F" w:rsidR="00824887" w:rsidRPr="00841A9C" w:rsidRDefault="00824887" w:rsidP="009B6979">
            <w:pPr>
              <w:jc w:val="both"/>
              <w:rPr>
                <w:rFonts w:ascii="Times New Roman" w:hAnsi="Times New Roman" w:cs="Times New Roman"/>
                <w:sz w:val="24"/>
                <w:szCs w:val="24"/>
              </w:rPr>
            </w:pPr>
            <w:r w:rsidRPr="00C32D97">
              <w:rPr>
                <w:rFonts w:ascii="Times New Roman" w:hAnsi="Times New Roman" w:cs="Times New Roman"/>
                <w:sz w:val="24"/>
                <w:szCs w:val="24"/>
              </w:rPr>
              <w:t xml:space="preserve">Noteikumu projekts ievietots </w:t>
            </w:r>
            <w:r w:rsidR="00986719" w:rsidRPr="00C32D97">
              <w:rPr>
                <w:rFonts w:ascii="Times New Roman" w:hAnsi="Times New Roman" w:cs="Times New Roman"/>
                <w:sz w:val="24"/>
                <w:szCs w:val="24"/>
              </w:rPr>
              <w:t>VARAM</w:t>
            </w:r>
            <w:r w:rsidRPr="00C32D97">
              <w:rPr>
                <w:rFonts w:ascii="Times New Roman" w:hAnsi="Times New Roman" w:cs="Times New Roman"/>
                <w:sz w:val="24"/>
                <w:szCs w:val="24"/>
              </w:rPr>
              <w:t xml:space="preserve"> tīmekļvietnē</w:t>
            </w:r>
            <w:r w:rsidR="00F201D0" w:rsidRPr="00C32D97">
              <w:rPr>
                <w:rFonts w:ascii="Times New Roman" w:hAnsi="Times New Roman" w:cs="Times New Roman"/>
                <w:sz w:val="24"/>
                <w:szCs w:val="24"/>
              </w:rPr>
              <w:t xml:space="preserve"> </w:t>
            </w:r>
            <w:hyperlink r:id="rId9" w:history="1">
              <w:r w:rsidRPr="00C32D97">
                <w:rPr>
                  <w:rStyle w:val="Hyperlink"/>
                  <w:rFonts w:ascii="Times New Roman" w:eastAsia="Times New Roman" w:hAnsi="Times New Roman" w:cs="Times New Roman"/>
                  <w:sz w:val="24"/>
                  <w:szCs w:val="24"/>
                  <w:lang w:eastAsia="lv-LV"/>
                </w:rPr>
                <w:t>www.varam.gov.lv</w:t>
              </w:r>
            </w:hyperlink>
            <w:r w:rsidR="00044922" w:rsidRPr="00C32D97">
              <w:rPr>
                <w:rFonts w:ascii="Times New Roman" w:hAnsi="Times New Roman" w:cs="Times New Roman"/>
                <w:sz w:val="24"/>
                <w:szCs w:val="24"/>
              </w:rPr>
              <w:t xml:space="preserve"> </w:t>
            </w:r>
            <w:r w:rsidR="00160D04" w:rsidRPr="00C32D97">
              <w:rPr>
                <w:rFonts w:ascii="Times New Roman" w:hAnsi="Times New Roman" w:cs="Times New Roman"/>
                <w:sz w:val="24"/>
                <w:szCs w:val="24"/>
              </w:rPr>
              <w:t>2018. gada</w:t>
            </w:r>
            <w:r w:rsidR="00044922" w:rsidRPr="00C32D97">
              <w:rPr>
                <w:rFonts w:ascii="Times New Roman" w:hAnsi="Times New Roman" w:cs="Times New Roman"/>
                <w:sz w:val="24"/>
                <w:szCs w:val="24"/>
              </w:rPr>
              <w:t xml:space="preserve"> </w:t>
            </w:r>
            <w:r w:rsidR="00BC285E" w:rsidRPr="00C32D97">
              <w:rPr>
                <w:rFonts w:ascii="Times New Roman" w:hAnsi="Times New Roman" w:cs="Times New Roman"/>
                <w:sz w:val="24"/>
                <w:szCs w:val="24"/>
              </w:rPr>
              <w:t>29</w:t>
            </w:r>
            <w:r w:rsidRPr="00C32D97">
              <w:rPr>
                <w:rFonts w:ascii="Times New Roman" w:hAnsi="Times New Roman" w:cs="Times New Roman"/>
                <w:sz w:val="24"/>
                <w:szCs w:val="24"/>
              </w:rPr>
              <w:t>. </w:t>
            </w:r>
            <w:r w:rsidR="00986719" w:rsidRPr="00C32D97">
              <w:rPr>
                <w:rFonts w:ascii="Times New Roman" w:hAnsi="Times New Roman" w:cs="Times New Roman"/>
                <w:sz w:val="24"/>
                <w:szCs w:val="24"/>
              </w:rPr>
              <w:t>maijā</w:t>
            </w:r>
            <w:r w:rsidRPr="00C32D97">
              <w:rPr>
                <w:rFonts w:ascii="Times New Roman" w:hAnsi="Times New Roman" w:cs="Times New Roman"/>
                <w:sz w:val="24"/>
                <w:szCs w:val="24"/>
              </w:rPr>
              <w:t xml:space="preserve">, līdz ar to ieinteresētajām personām </w:t>
            </w:r>
            <w:r w:rsidR="00986719" w:rsidRPr="00C32D97">
              <w:rPr>
                <w:rFonts w:ascii="Times New Roman" w:hAnsi="Times New Roman" w:cs="Times New Roman"/>
                <w:sz w:val="24"/>
                <w:szCs w:val="24"/>
              </w:rPr>
              <w:t>ir</w:t>
            </w:r>
            <w:r w:rsidRPr="00C32D97">
              <w:rPr>
                <w:rFonts w:ascii="Times New Roman" w:hAnsi="Times New Roman" w:cs="Times New Roman"/>
                <w:sz w:val="24"/>
                <w:szCs w:val="24"/>
              </w:rPr>
              <w:t xml:space="preserve"> iespēja izteikt viedokli un sniegt priekšlikumus.</w:t>
            </w:r>
          </w:p>
          <w:p w14:paraId="237CB5F6" w14:textId="46EFE1FA" w:rsidR="00824887" w:rsidRPr="001A413F" w:rsidRDefault="00824887" w:rsidP="00952632">
            <w:pPr>
              <w:jc w:val="both"/>
              <w:rPr>
                <w:rFonts w:ascii="Times New Roman" w:hAnsi="Times New Roman" w:cs="Times New Roman"/>
                <w:sz w:val="24"/>
                <w:szCs w:val="24"/>
              </w:rPr>
            </w:pPr>
          </w:p>
        </w:tc>
      </w:tr>
      <w:tr w:rsidR="00824887" w:rsidRPr="00550846" w14:paraId="72545C6F" w14:textId="77777777" w:rsidTr="009B6979">
        <w:tc>
          <w:tcPr>
            <w:tcW w:w="534" w:type="dxa"/>
          </w:tcPr>
          <w:p w14:paraId="5305270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3260" w:type="dxa"/>
          </w:tcPr>
          <w:p w14:paraId="07B702C7"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līdzdalības rezultāti</w:t>
            </w:r>
          </w:p>
        </w:tc>
        <w:tc>
          <w:tcPr>
            <w:tcW w:w="5493" w:type="dxa"/>
          </w:tcPr>
          <w:p w14:paraId="12F23E7F" w14:textId="63D7D4AF" w:rsidR="00824887" w:rsidRPr="008223F3" w:rsidRDefault="006C50A2" w:rsidP="001A413F">
            <w:pPr>
              <w:jc w:val="both"/>
              <w:rPr>
                <w:rFonts w:ascii="Times New Roman" w:eastAsia="Times New Roman" w:hAnsi="Times New Roman" w:cs="Times New Roman"/>
                <w:iCs/>
                <w:color w:val="414142"/>
                <w:sz w:val="24"/>
                <w:szCs w:val="24"/>
                <w:highlight w:val="yellow"/>
                <w:lang w:eastAsia="lv-LV"/>
              </w:rPr>
            </w:pPr>
            <w:r w:rsidRPr="006C50A2">
              <w:rPr>
                <w:rFonts w:ascii="Times New Roman" w:eastAsia="Times New Roman" w:hAnsi="Times New Roman" w:cs="Times New Roman"/>
                <w:sz w:val="24"/>
                <w:szCs w:val="24"/>
                <w:lang w:eastAsia="lv-LV"/>
              </w:rPr>
              <w:t>Sabiedrības līdzdalības rezultātā nav saņemti iebildumi un priekšlikumi.</w:t>
            </w:r>
          </w:p>
        </w:tc>
      </w:tr>
      <w:tr w:rsidR="00824887" w:rsidRPr="00550846" w14:paraId="5C9138F9" w14:textId="77777777" w:rsidTr="009B6979">
        <w:tc>
          <w:tcPr>
            <w:tcW w:w="534" w:type="dxa"/>
          </w:tcPr>
          <w:p w14:paraId="296B0769"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3260" w:type="dxa"/>
          </w:tcPr>
          <w:p w14:paraId="0A080F0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493" w:type="dxa"/>
          </w:tcPr>
          <w:p w14:paraId="72345441" w14:textId="3B34B0F8"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Nav</w:t>
            </w:r>
            <w:r w:rsidR="007641DB">
              <w:rPr>
                <w:rFonts w:ascii="Times New Roman" w:eastAsia="Times New Roman" w:hAnsi="Times New Roman" w:cs="Times New Roman"/>
                <w:iCs/>
                <w:color w:val="414142"/>
                <w:sz w:val="24"/>
                <w:szCs w:val="24"/>
                <w:lang w:eastAsia="lv-LV"/>
              </w:rPr>
              <w:t>.</w:t>
            </w:r>
          </w:p>
        </w:tc>
      </w:tr>
    </w:tbl>
    <w:p w14:paraId="4A438FEF"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493"/>
      </w:tblGrid>
      <w:tr w:rsidR="00824887" w:rsidRPr="00550846" w14:paraId="14CB3EA6" w14:textId="77777777" w:rsidTr="009B6979">
        <w:tc>
          <w:tcPr>
            <w:tcW w:w="9287" w:type="dxa"/>
            <w:gridSpan w:val="3"/>
          </w:tcPr>
          <w:p w14:paraId="1CF597BF" w14:textId="77777777" w:rsidR="00824887" w:rsidRPr="00550846" w:rsidRDefault="00824887" w:rsidP="00F201D0">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24887" w:rsidRPr="00550846" w14:paraId="08851DC8" w14:textId="77777777" w:rsidTr="009B6979">
        <w:tc>
          <w:tcPr>
            <w:tcW w:w="534" w:type="dxa"/>
          </w:tcPr>
          <w:p w14:paraId="542F2BF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14:paraId="30B75FE7"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izpildē iesaistītās institūcijas</w:t>
            </w:r>
          </w:p>
        </w:tc>
        <w:tc>
          <w:tcPr>
            <w:tcW w:w="5493" w:type="dxa"/>
          </w:tcPr>
          <w:p w14:paraId="05E6F657" w14:textId="1913A0E8" w:rsidR="00824887" w:rsidRPr="00550846" w:rsidRDefault="006A03EA" w:rsidP="006A03EA">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rsidR="00824887" w:rsidRPr="00550846" w14:paraId="14C546C0" w14:textId="77777777" w:rsidTr="009B6979">
        <w:tc>
          <w:tcPr>
            <w:tcW w:w="534" w:type="dxa"/>
          </w:tcPr>
          <w:p w14:paraId="75D441A4"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14:paraId="6AE7356C" w14:textId="77777777" w:rsidR="00550846"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izpildes ietekme uz pārvaldes funkcijām un institucionālo struktūru.</w:t>
            </w:r>
            <w:r w:rsidRPr="00550846">
              <w:rPr>
                <w:rFonts w:ascii="Times New Roman" w:eastAsia="Times New Roman" w:hAnsi="Times New Roman" w:cs="Times New Roman"/>
                <w:iCs/>
                <w:sz w:val="24"/>
                <w:szCs w:val="24"/>
                <w:lang w:eastAsia="lv-LV"/>
              </w:rPr>
              <w:br/>
            </w:r>
          </w:p>
          <w:p w14:paraId="42F9726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493" w:type="dxa"/>
          </w:tcPr>
          <w:p w14:paraId="76A60712" w14:textId="4306967B" w:rsidR="00550846" w:rsidRPr="00550846" w:rsidRDefault="00044922" w:rsidP="00EF6016">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w:t>
            </w:r>
            <w:r w:rsidR="00550846" w:rsidRPr="00550846">
              <w:rPr>
                <w:rFonts w:ascii="Times New Roman" w:eastAsia="Times New Roman" w:hAnsi="Times New Roman"/>
                <w:sz w:val="24"/>
                <w:szCs w:val="24"/>
                <w:lang w:eastAsia="lv-LV"/>
              </w:rPr>
              <w:t>neietekmē iesaistīto institūciju funkcijas un uzdevumus.</w:t>
            </w:r>
          </w:p>
          <w:p w14:paraId="5A6A25D7" w14:textId="77777777" w:rsidR="00550846" w:rsidRPr="00550846" w:rsidRDefault="00550846" w:rsidP="00EF6016">
            <w:pPr>
              <w:jc w:val="both"/>
              <w:rPr>
                <w:rFonts w:ascii="Times New Roman" w:eastAsia="Times New Roman" w:hAnsi="Times New Roman"/>
                <w:sz w:val="24"/>
                <w:szCs w:val="24"/>
                <w:lang w:eastAsia="lv-LV"/>
              </w:rPr>
            </w:pPr>
          </w:p>
          <w:p w14:paraId="353A7CF4" w14:textId="77777777" w:rsidR="00550846" w:rsidRPr="00550846" w:rsidRDefault="00550846" w:rsidP="00EF6016">
            <w:pPr>
              <w:jc w:val="both"/>
              <w:rPr>
                <w:rFonts w:ascii="Times New Roman" w:eastAsia="Times New Roman" w:hAnsi="Times New Roman"/>
                <w:sz w:val="24"/>
                <w:szCs w:val="24"/>
                <w:lang w:eastAsia="lv-LV"/>
              </w:rPr>
            </w:pPr>
          </w:p>
          <w:p w14:paraId="1FD859EF" w14:textId="6EC7C506" w:rsidR="00550846" w:rsidRPr="00550846" w:rsidRDefault="00044922" w:rsidP="00EF6016">
            <w:pPr>
              <w:rPr>
                <w:rFonts w:ascii="Times New Roman" w:eastAsia="Times New Roman" w:hAnsi="Times New Roman" w:cs="Times New Roman"/>
                <w:bCs/>
                <w:sz w:val="24"/>
                <w:szCs w:val="24"/>
                <w:lang w:eastAsia="lv-LV"/>
              </w:rPr>
            </w:pPr>
            <w:r>
              <w:rPr>
                <w:rFonts w:ascii="Times New Roman" w:eastAsia="Times New Roman" w:hAnsi="Times New Roman"/>
                <w:sz w:val="24"/>
                <w:szCs w:val="24"/>
                <w:lang w:eastAsia="lv-LV"/>
              </w:rPr>
              <w:t>Noteikumu projekts</w:t>
            </w:r>
            <w:r w:rsidR="00550846" w:rsidRPr="00550846">
              <w:rPr>
                <w:rFonts w:ascii="Times New Roman" w:eastAsia="Times New Roman" w:hAnsi="Times New Roman"/>
                <w:sz w:val="24"/>
                <w:szCs w:val="24"/>
                <w:lang w:eastAsia="lv-LV"/>
              </w:rPr>
              <w:t xml:space="preserve"> neparedz jaunu institūciju izveidi, likvidāciju vai reorganizāciju.</w:t>
            </w:r>
          </w:p>
          <w:p w14:paraId="49FEEFA1" w14:textId="77777777" w:rsidR="00550846" w:rsidRPr="00550846" w:rsidRDefault="00550846" w:rsidP="009B6979">
            <w:pPr>
              <w:rPr>
                <w:rFonts w:ascii="Times New Roman" w:eastAsia="Times New Roman" w:hAnsi="Times New Roman" w:cs="Times New Roman"/>
                <w:bCs/>
                <w:sz w:val="24"/>
                <w:szCs w:val="24"/>
                <w:lang w:eastAsia="lv-LV"/>
              </w:rPr>
            </w:pPr>
          </w:p>
          <w:p w14:paraId="543BCA1B" w14:textId="77777777" w:rsidR="00550846" w:rsidRPr="00550846" w:rsidRDefault="00550846" w:rsidP="009B6979">
            <w:pPr>
              <w:rPr>
                <w:rFonts w:ascii="Times New Roman" w:eastAsia="Times New Roman" w:hAnsi="Times New Roman" w:cs="Times New Roman"/>
                <w:iCs/>
                <w:sz w:val="24"/>
                <w:szCs w:val="24"/>
                <w:lang w:eastAsia="lv-LV"/>
              </w:rPr>
            </w:pPr>
          </w:p>
        </w:tc>
      </w:tr>
      <w:tr w:rsidR="00824887" w:rsidRPr="00550846" w14:paraId="7D705EA9" w14:textId="77777777" w:rsidTr="009B6979">
        <w:tc>
          <w:tcPr>
            <w:tcW w:w="534" w:type="dxa"/>
          </w:tcPr>
          <w:p w14:paraId="6F37FE87"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3260" w:type="dxa"/>
          </w:tcPr>
          <w:p w14:paraId="522C6585"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493" w:type="dxa"/>
          </w:tcPr>
          <w:p w14:paraId="0C3F8F7D" w14:textId="6F75E65E"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14:paraId="5AEC78B2"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p w14:paraId="3CDF35E2"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p w14:paraId="5A22E42F" w14:textId="77777777" w:rsidR="00824887" w:rsidRPr="00550846" w:rsidRDefault="00824887" w:rsidP="00824887">
      <w:pPr>
        <w:spacing w:after="0" w:line="240" w:lineRule="auto"/>
        <w:rPr>
          <w:rFonts w:ascii="Times New Roman" w:hAnsi="Times New Roman" w:cs="Times New Roman"/>
          <w:sz w:val="28"/>
          <w:szCs w:val="28"/>
        </w:rPr>
      </w:pPr>
    </w:p>
    <w:p w14:paraId="0798CB0D" w14:textId="77777777" w:rsidR="00824887" w:rsidRPr="008964E3" w:rsidRDefault="00824887" w:rsidP="00824887">
      <w:pPr>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ministrs</w:t>
      </w:r>
      <w:r w:rsidRPr="008964E3">
        <w:rPr>
          <w:rFonts w:ascii="Times New Roman" w:hAnsi="Times New Roman" w:cs="Times New Roman"/>
          <w:sz w:val="24"/>
          <w:szCs w:val="24"/>
        </w:rPr>
        <w:tab/>
      </w:r>
      <w:r w:rsidRPr="008964E3">
        <w:rPr>
          <w:rFonts w:ascii="Times New Roman" w:hAnsi="Times New Roman" w:cs="Times New Roman"/>
          <w:sz w:val="24"/>
          <w:szCs w:val="24"/>
        </w:rPr>
        <w:tab/>
      </w:r>
      <w:r w:rsidR="008964E3">
        <w:rPr>
          <w:rFonts w:ascii="Times New Roman" w:hAnsi="Times New Roman" w:cs="Times New Roman"/>
          <w:sz w:val="24"/>
          <w:szCs w:val="24"/>
        </w:rPr>
        <w:tab/>
      </w:r>
      <w:r w:rsidRPr="008964E3">
        <w:rPr>
          <w:rFonts w:ascii="Times New Roman" w:hAnsi="Times New Roman" w:cs="Times New Roman"/>
          <w:sz w:val="24"/>
          <w:szCs w:val="24"/>
        </w:rPr>
        <w:t>Kaspars Gerhards</w:t>
      </w:r>
    </w:p>
    <w:p w14:paraId="0BB25B63" w14:textId="77777777" w:rsidR="00824887" w:rsidRPr="008964E3" w:rsidRDefault="00824887" w:rsidP="00C765F0">
      <w:pPr>
        <w:tabs>
          <w:tab w:val="left" w:pos="6237"/>
        </w:tabs>
        <w:spacing w:after="0" w:line="240" w:lineRule="auto"/>
        <w:rPr>
          <w:rFonts w:ascii="Times New Roman" w:hAnsi="Times New Roman" w:cs="Times New Roman"/>
          <w:sz w:val="24"/>
          <w:szCs w:val="24"/>
        </w:rPr>
      </w:pPr>
    </w:p>
    <w:p w14:paraId="54689824" w14:textId="77777777" w:rsidR="00C765F0" w:rsidRPr="008964E3" w:rsidRDefault="00C765F0" w:rsidP="00C765F0">
      <w:pPr>
        <w:tabs>
          <w:tab w:val="left" w:pos="6237"/>
        </w:tabs>
        <w:spacing w:after="0" w:line="240" w:lineRule="auto"/>
        <w:rPr>
          <w:rFonts w:ascii="Times New Roman" w:hAnsi="Times New Roman" w:cs="Times New Roman"/>
          <w:sz w:val="24"/>
          <w:szCs w:val="24"/>
        </w:rPr>
      </w:pPr>
    </w:p>
    <w:p w14:paraId="4BA1793D" w14:textId="77777777" w:rsidR="00824887" w:rsidRPr="008964E3" w:rsidRDefault="00C765F0" w:rsidP="00C765F0">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ministrijas</w:t>
      </w:r>
    </w:p>
    <w:p w14:paraId="0CB5030A" w14:textId="77777777" w:rsidR="00C765F0" w:rsidRPr="008964E3" w:rsidRDefault="00C765F0" w:rsidP="00C765F0">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 xml:space="preserve">valsts sekretārs                                                                     </w:t>
      </w:r>
      <w:r w:rsidR="008964E3">
        <w:rPr>
          <w:rFonts w:ascii="Times New Roman" w:hAnsi="Times New Roman" w:cs="Times New Roman"/>
          <w:sz w:val="24"/>
          <w:szCs w:val="24"/>
        </w:rPr>
        <w:tab/>
      </w:r>
      <w:r w:rsidR="008964E3">
        <w:rPr>
          <w:rFonts w:ascii="Times New Roman" w:hAnsi="Times New Roman" w:cs="Times New Roman"/>
          <w:sz w:val="24"/>
          <w:szCs w:val="24"/>
        </w:rPr>
        <w:tab/>
      </w:r>
      <w:r w:rsidRPr="008964E3">
        <w:rPr>
          <w:rFonts w:ascii="Times New Roman" w:hAnsi="Times New Roman" w:cs="Times New Roman"/>
          <w:sz w:val="24"/>
          <w:szCs w:val="24"/>
        </w:rPr>
        <w:t xml:space="preserve">Rinalds </w:t>
      </w:r>
      <w:proofErr w:type="spellStart"/>
      <w:r w:rsidRPr="008964E3">
        <w:rPr>
          <w:rFonts w:ascii="Times New Roman" w:hAnsi="Times New Roman" w:cs="Times New Roman"/>
          <w:sz w:val="24"/>
          <w:szCs w:val="24"/>
        </w:rPr>
        <w:t>Muciņš</w:t>
      </w:r>
      <w:proofErr w:type="spellEnd"/>
    </w:p>
    <w:p w14:paraId="17423D00" w14:textId="77777777" w:rsidR="00824887" w:rsidRDefault="00824887" w:rsidP="00824887">
      <w:pPr>
        <w:tabs>
          <w:tab w:val="left" w:pos="6237"/>
        </w:tabs>
        <w:spacing w:after="0" w:line="240" w:lineRule="auto"/>
        <w:ind w:firstLine="720"/>
        <w:rPr>
          <w:rFonts w:ascii="Times New Roman" w:hAnsi="Times New Roman" w:cs="Times New Roman"/>
          <w:sz w:val="28"/>
          <w:szCs w:val="28"/>
        </w:rPr>
      </w:pPr>
    </w:p>
    <w:p w14:paraId="632ADC79" w14:textId="77777777" w:rsidR="00C765F0" w:rsidRPr="00550846" w:rsidRDefault="00C765F0" w:rsidP="00824887">
      <w:pPr>
        <w:tabs>
          <w:tab w:val="left" w:pos="6237"/>
        </w:tabs>
        <w:spacing w:after="0" w:line="240" w:lineRule="auto"/>
        <w:ind w:firstLine="720"/>
        <w:rPr>
          <w:rFonts w:ascii="Times New Roman" w:hAnsi="Times New Roman" w:cs="Times New Roman"/>
          <w:sz w:val="28"/>
          <w:szCs w:val="28"/>
        </w:rPr>
      </w:pPr>
    </w:p>
    <w:p w14:paraId="7E5905FD" w14:textId="77777777" w:rsidR="00824887" w:rsidRPr="00AA1917" w:rsidRDefault="00C569E3" w:rsidP="00824887">
      <w:pPr>
        <w:tabs>
          <w:tab w:val="left" w:pos="6237"/>
        </w:tabs>
        <w:spacing w:after="0" w:line="240" w:lineRule="auto"/>
        <w:rPr>
          <w:rFonts w:ascii="Times New Roman" w:hAnsi="Times New Roman" w:cs="Times New Roman"/>
          <w:sz w:val="20"/>
          <w:szCs w:val="20"/>
        </w:rPr>
      </w:pPr>
      <w:r w:rsidRPr="00AA1917">
        <w:rPr>
          <w:rFonts w:ascii="Times New Roman" w:hAnsi="Times New Roman" w:cs="Times New Roman"/>
          <w:sz w:val="20"/>
          <w:szCs w:val="20"/>
        </w:rPr>
        <w:t>Alekse</w:t>
      </w:r>
      <w:r w:rsidR="00824887" w:rsidRPr="00AA1917">
        <w:rPr>
          <w:rFonts w:ascii="Times New Roman" w:hAnsi="Times New Roman" w:cs="Times New Roman"/>
          <w:sz w:val="20"/>
          <w:szCs w:val="20"/>
        </w:rPr>
        <w:t xml:space="preserve"> 67026</w:t>
      </w:r>
      <w:r w:rsidRPr="00AA1917">
        <w:rPr>
          <w:rFonts w:ascii="Times New Roman" w:hAnsi="Times New Roman" w:cs="Times New Roman"/>
          <w:sz w:val="20"/>
          <w:szCs w:val="20"/>
        </w:rPr>
        <w:t>479</w:t>
      </w:r>
    </w:p>
    <w:p w14:paraId="3847BAAA" w14:textId="77777777" w:rsidR="00824887" w:rsidRPr="00AA1917" w:rsidRDefault="00015195" w:rsidP="00824887">
      <w:pPr>
        <w:tabs>
          <w:tab w:val="left" w:pos="6237"/>
        </w:tabs>
        <w:spacing w:after="0" w:line="240" w:lineRule="auto"/>
        <w:rPr>
          <w:rFonts w:ascii="Times New Roman" w:hAnsi="Times New Roman" w:cs="Times New Roman"/>
          <w:sz w:val="20"/>
          <w:szCs w:val="20"/>
        </w:rPr>
      </w:pPr>
      <w:hyperlink r:id="rId10" w:history="1">
        <w:r w:rsidR="00C569E3" w:rsidRPr="00AA1917">
          <w:rPr>
            <w:rStyle w:val="Hyperlink"/>
            <w:rFonts w:ascii="Times New Roman" w:hAnsi="Times New Roman" w:cs="Times New Roman"/>
            <w:sz w:val="20"/>
            <w:szCs w:val="20"/>
          </w:rPr>
          <w:t>tatjana.alekse@varam.gov.lv</w:t>
        </w:r>
      </w:hyperlink>
      <w:r w:rsidR="00824887" w:rsidRPr="00AA1917">
        <w:rPr>
          <w:rFonts w:ascii="Times New Roman" w:hAnsi="Times New Roman" w:cs="Times New Roman"/>
          <w:sz w:val="20"/>
          <w:szCs w:val="20"/>
        </w:rPr>
        <w:t xml:space="preserve"> </w:t>
      </w:r>
    </w:p>
    <w:p w14:paraId="32D0DA0F" w14:textId="77777777" w:rsidR="000D6C3A" w:rsidRPr="00550846" w:rsidRDefault="000D6C3A"/>
    <w:sectPr w:rsidR="000D6C3A" w:rsidRPr="00550846" w:rsidSect="004767A5">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C21AD" w14:textId="77777777" w:rsidR="00A959B4" w:rsidRDefault="00A959B4" w:rsidP="00374402">
      <w:pPr>
        <w:spacing w:after="0" w:line="240" w:lineRule="auto"/>
      </w:pPr>
      <w:r>
        <w:separator/>
      </w:r>
    </w:p>
  </w:endnote>
  <w:endnote w:type="continuationSeparator" w:id="0">
    <w:p w14:paraId="34F87893" w14:textId="77777777" w:rsidR="00A959B4" w:rsidRDefault="00A959B4" w:rsidP="003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B54A" w14:textId="77777777" w:rsidR="00E75A0C" w:rsidRPr="00894C55" w:rsidRDefault="00D37606">
    <w:pPr>
      <w:pStyle w:val="Footer"/>
      <w:rPr>
        <w:rFonts w:ascii="Times New Roman" w:hAnsi="Times New Roman" w:cs="Times New Roman"/>
        <w:sz w:val="20"/>
        <w:szCs w:val="20"/>
      </w:rPr>
    </w:pPr>
    <w:r>
      <w:rPr>
        <w:rFonts w:ascii="Times New Roman" w:hAnsi="Times New Roman" w:cs="Times New Roman"/>
        <w:sz w:val="20"/>
        <w:szCs w:val="20"/>
      </w:rPr>
      <w:t>VARAMa</w:t>
    </w:r>
    <w:r w:rsidR="00160D04">
      <w:rPr>
        <w:rFonts w:ascii="Times New Roman" w:hAnsi="Times New Roman" w:cs="Times New Roman"/>
        <w:sz w:val="20"/>
        <w:szCs w:val="20"/>
      </w:rPr>
      <w:t>not_</w:t>
    </w:r>
    <w:r w:rsidR="002243D7">
      <w:rPr>
        <w:rFonts w:ascii="Times New Roman" w:hAnsi="Times New Roman" w:cs="Times New Roman"/>
        <w:sz w:val="20"/>
        <w:szCs w:val="20"/>
      </w:rPr>
      <w:t>22</w:t>
    </w:r>
    <w:r w:rsidR="000F6962">
      <w:rPr>
        <w:rFonts w:ascii="Times New Roman" w:hAnsi="Times New Roman" w:cs="Times New Roman"/>
        <w:sz w:val="20"/>
        <w:szCs w:val="20"/>
      </w:rPr>
      <w:t>05</w:t>
    </w:r>
    <w:r w:rsidR="00160D04">
      <w:rPr>
        <w:rFonts w:ascii="Times New Roman" w:hAnsi="Times New Roman" w:cs="Times New Roman"/>
        <w:sz w:val="20"/>
        <w:szCs w:val="20"/>
      </w:rPr>
      <w:t>18_</w:t>
    </w:r>
    <w:r w:rsidR="00D82760">
      <w:rPr>
        <w:rFonts w:ascii="Times New Roman" w:hAnsi="Times New Roman" w:cs="Times New Roman"/>
        <w:sz w:val="20"/>
        <w:szCs w:val="20"/>
      </w:rPr>
      <w:t>ligumi_fin_nodros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82E0" w14:textId="77777777" w:rsidR="00D82760" w:rsidRDefault="00D82760" w:rsidP="00D82760">
    <w:pPr>
      <w:pStyle w:val="Footer"/>
      <w:rPr>
        <w:rFonts w:ascii="Times New Roman" w:hAnsi="Times New Roman" w:cs="Times New Roman"/>
        <w:sz w:val="20"/>
        <w:szCs w:val="20"/>
      </w:rPr>
    </w:pPr>
  </w:p>
  <w:p w14:paraId="0065836D" w14:textId="77777777" w:rsidR="00E75A0C" w:rsidRPr="00FD769A" w:rsidRDefault="00D82760" w:rsidP="00D82760">
    <w:pPr>
      <w:pStyle w:val="Footer"/>
      <w:rPr>
        <w:rFonts w:ascii="Times New Roman" w:hAnsi="Times New Roman" w:cs="Times New Roman"/>
        <w:sz w:val="20"/>
        <w:szCs w:val="20"/>
      </w:rPr>
    </w:pPr>
    <w:r>
      <w:rPr>
        <w:rFonts w:ascii="Times New Roman" w:hAnsi="Times New Roman" w:cs="Times New Roman"/>
        <w:sz w:val="20"/>
        <w:szCs w:val="20"/>
      </w:rPr>
      <w:t>VARAManot_220518_ligumi_fin_nodros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AFC5B" w14:textId="77777777" w:rsidR="00A959B4" w:rsidRDefault="00A959B4" w:rsidP="00374402">
      <w:pPr>
        <w:spacing w:after="0" w:line="240" w:lineRule="auto"/>
      </w:pPr>
      <w:r>
        <w:separator/>
      </w:r>
    </w:p>
  </w:footnote>
  <w:footnote w:type="continuationSeparator" w:id="0">
    <w:p w14:paraId="1DD37CC1" w14:textId="77777777" w:rsidR="00A959B4" w:rsidRDefault="00A959B4" w:rsidP="00374402">
      <w:pPr>
        <w:spacing w:after="0" w:line="240" w:lineRule="auto"/>
      </w:pPr>
      <w:r>
        <w:continuationSeparator/>
      </w:r>
    </w:p>
  </w:footnote>
  <w:footnote w:id="1">
    <w:p w14:paraId="3220309D" w14:textId="77777777" w:rsidR="007E708C" w:rsidRDefault="007E708C" w:rsidP="007E708C">
      <w:pPr>
        <w:pStyle w:val="FootnoteText"/>
        <w:jc w:val="both"/>
      </w:pPr>
      <w:r>
        <w:rPr>
          <w:rStyle w:val="FootnoteReference"/>
        </w:rPr>
        <w:footnoteRef/>
      </w:r>
      <w:r>
        <w:t xml:space="preserve"> Ministru kabineta 2017. </w:t>
      </w:r>
      <w:r w:rsidRPr="007E708C">
        <w:t>gada 16.</w:t>
      </w:r>
      <w:r>
        <w:t> augusta noteikumi Nr. </w:t>
      </w:r>
      <w:r w:rsidRPr="007E708C">
        <w:t>480 “Noteikumi par atbrīvojuma piemērošanu no dabas resursu nodokļa samaksas par iepakojumu un vienreiz lietojamiem galda traukiem un piederumiem” un Ministru kabineta 2009.</w:t>
      </w:r>
      <w:r>
        <w:t> </w:t>
      </w:r>
      <w:r w:rsidRPr="007E708C">
        <w:t>gada 3.</w:t>
      </w:r>
      <w:r>
        <w:t> </w:t>
      </w:r>
      <w:r w:rsidRPr="007E708C">
        <w:t>novembra noteikumi Nr.</w:t>
      </w:r>
      <w:r>
        <w:t> </w:t>
      </w:r>
      <w:r w:rsidRPr="007E708C">
        <w:t>1294 “Kārtība, kādā atbrīvo no dabas resursu nodokļa samaksas par videi kaitīgām precēm”</w:t>
      </w:r>
    </w:p>
  </w:footnote>
  <w:footnote w:id="2">
    <w:p w14:paraId="17F5CD5B" w14:textId="23545D02" w:rsidR="00E622D2" w:rsidRDefault="00D82760" w:rsidP="00D82760">
      <w:pPr>
        <w:pStyle w:val="FootnoteText"/>
      </w:pPr>
      <w:r>
        <w:rPr>
          <w:rStyle w:val="FootnoteReference"/>
        </w:rPr>
        <w:footnoteRef/>
      </w:r>
      <w:r>
        <w:t xml:space="preserve"> V</w:t>
      </w:r>
      <w:r w:rsidR="00CF5B57">
        <w:t>VD</w:t>
      </w:r>
      <w:r>
        <w:t xml:space="preserve"> tīmekļvietne </w:t>
      </w:r>
    </w:p>
    <w:p w14:paraId="4BD3D920" w14:textId="4956F7A9" w:rsidR="00D82760" w:rsidRDefault="00015195" w:rsidP="00D82760">
      <w:pPr>
        <w:pStyle w:val="FootnoteText"/>
      </w:pPr>
      <w:hyperlink r:id="rId1" w:history="1">
        <w:r w:rsidR="00C75BD6" w:rsidRPr="00F76146">
          <w:rPr>
            <w:rStyle w:val="Hyperlink"/>
          </w:rPr>
          <w:t>http://www.vvd.gov.lv/biezak-uzdotie-jautajumi/atbrivojums-no-dabas-resursu-nodoklu-maksas/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AEB67A" w14:textId="77777777" w:rsidR="00EA59CC" w:rsidRDefault="00803F89">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003C4D6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519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p w14:paraId="75A4806E" w14:textId="7D9B4EC4" w:rsidR="00E75A0C" w:rsidRPr="00C25B49" w:rsidRDefault="00015195">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3DD12D12"/>
    <w:multiLevelType w:val="hybridMultilevel"/>
    <w:tmpl w:val="0ADA9114"/>
    <w:lvl w:ilvl="0" w:tplc="1CE4E14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7B1C"/>
    <w:multiLevelType w:val="hybridMultilevel"/>
    <w:tmpl w:val="8454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887"/>
    <w:rsid w:val="00015195"/>
    <w:rsid w:val="00044922"/>
    <w:rsid w:val="000975D6"/>
    <w:rsid w:val="000A004E"/>
    <w:rsid w:val="000A1204"/>
    <w:rsid w:val="000A58D8"/>
    <w:rsid w:val="000A6625"/>
    <w:rsid w:val="000B3A0B"/>
    <w:rsid w:val="000B7525"/>
    <w:rsid w:val="000D6C3A"/>
    <w:rsid w:val="000E219F"/>
    <w:rsid w:val="000E232F"/>
    <w:rsid w:val="000F3AE4"/>
    <w:rsid w:val="000F6962"/>
    <w:rsid w:val="00140896"/>
    <w:rsid w:val="00146FE0"/>
    <w:rsid w:val="00160D04"/>
    <w:rsid w:val="00170311"/>
    <w:rsid w:val="0017270C"/>
    <w:rsid w:val="00175832"/>
    <w:rsid w:val="00186AA0"/>
    <w:rsid w:val="00192EB9"/>
    <w:rsid w:val="001A413F"/>
    <w:rsid w:val="001B293F"/>
    <w:rsid w:val="001C03F3"/>
    <w:rsid w:val="001C1FD8"/>
    <w:rsid w:val="001C67BE"/>
    <w:rsid w:val="001D2CA5"/>
    <w:rsid w:val="001F05CF"/>
    <w:rsid w:val="00200DC6"/>
    <w:rsid w:val="00212667"/>
    <w:rsid w:val="002155FE"/>
    <w:rsid w:val="002243D7"/>
    <w:rsid w:val="002379B0"/>
    <w:rsid w:val="00244AEE"/>
    <w:rsid w:val="00253439"/>
    <w:rsid w:val="00265A7E"/>
    <w:rsid w:val="002737CD"/>
    <w:rsid w:val="002A6777"/>
    <w:rsid w:val="002B743F"/>
    <w:rsid w:val="002D48F0"/>
    <w:rsid w:val="002E4418"/>
    <w:rsid w:val="002F1833"/>
    <w:rsid w:val="002F1C2E"/>
    <w:rsid w:val="002F3D09"/>
    <w:rsid w:val="00326C6C"/>
    <w:rsid w:val="0033460D"/>
    <w:rsid w:val="00334740"/>
    <w:rsid w:val="0033667A"/>
    <w:rsid w:val="0034472F"/>
    <w:rsid w:val="00374402"/>
    <w:rsid w:val="003879BC"/>
    <w:rsid w:val="003C3E89"/>
    <w:rsid w:val="003C4D63"/>
    <w:rsid w:val="003D43D9"/>
    <w:rsid w:val="003D5ED9"/>
    <w:rsid w:val="003E561B"/>
    <w:rsid w:val="003E65F6"/>
    <w:rsid w:val="003F5254"/>
    <w:rsid w:val="004177A2"/>
    <w:rsid w:val="00431FA4"/>
    <w:rsid w:val="00433DF7"/>
    <w:rsid w:val="00444F7F"/>
    <w:rsid w:val="00452004"/>
    <w:rsid w:val="004635D1"/>
    <w:rsid w:val="00465BDC"/>
    <w:rsid w:val="00475175"/>
    <w:rsid w:val="004767A5"/>
    <w:rsid w:val="004944F2"/>
    <w:rsid w:val="004A1562"/>
    <w:rsid w:val="004B0985"/>
    <w:rsid w:val="004B1130"/>
    <w:rsid w:val="004B7668"/>
    <w:rsid w:val="004D2694"/>
    <w:rsid w:val="005015E8"/>
    <w:rsid w:val="00541844"/>
    <w:rsid w:val="005448C7"/>
    <w:rsid w:val="00550846"/>
    <w:rsid w:val="005651C4"/>
    <w:rsid w:val="00571420"/>
    <w:rsid w:val="005724AE"/>
    <w:rsid w:val="00582A11"/>
    <w:rsid w:val="005A3C8E"/>
    <w:rsid w:val="005B1889"/>
    <w:rsid w:val="005C6421"/>
    <w:rsid w:val="005D0FBC"/>
    <w:rsid w:val="005D3DC8"/>
    <w:rsid w:val="005E07BD"/>
    <w:rsid w:val="005E72D6"/>
    <w:rsid w:val="005F0B30"/>
    <w:rsid w:val="005F42A0"/>
    <w:rsid w:val="00604D07"/>
    <w:rsid w:val="00610065"/>
    <w:rsid w:val="00615968"/>
    <w:rsid w:val="006217FE"/>
    <w:rsid w:val="00635DDD"/>
    <w:rsid w:val="00643CB6"/>
    <w:rsid w:val="00645160"/>
    <w:rsid w:val="00653742"/>
    <w:rsid w:val="00663B9A"/>
    <w:rsid w:val="00664A4C"/>
    <w:rsid w:val="00691B87"/>
    <w:rsid w:val="006A03EA"/>
    <w:rsid w:val="006C3BC4"/>
    <w:rsid w:val="006C50A2"/>
    <w:rsid w:val="006D7D6A"/>
    <w:rsid w:val="006E0E2B"/>
    <w:rsid w:val="0070362B"/>
    <w:rsid w:val="00706554"/>
    <w:rsid w:val="00744324"/>
    <w:rsid w:val="00751B32"/>
    <w:rsid w:val="007641DB"/>
    <w:rsid w:val="007750F9"/>
    <w:rsid w:val="00781B9D"/>
    <w:rsid w:val="007B2BE2"/>
    <w:rsid w:val="007C2976"/>
    <w:rsid w:val="007E708C"/>
    <w:rsid w:val="007F520C"/>
    <w:rsid w:val="00803F89"/>
    <w:rsid w:val="00814C45"/>
    <w:rsid w:val="008223F3"/>
    <w:rsid w:val="00824887"/>
    <w:rsid w:val="008355CE"/>
    <w:rsid w:val="0083726E"/>
    <w:rsid w:val="00841A9C"/>
    <w:rsid w:val="008435B8"/>
    <w:rsid w:val="00851BBE"/>
    <w:rsid w:val="00864887"/>
    <w:rsid w:val="00875291"/>
    <w:rsid w:val="008964E3"/>
    <w:rsid w:val="00897EA9"/>
    <w:rsid w:val="008B6660"/>
    <w:rsid w:val="008D4A4B"/>
    <w:rsid w:val="008F58E0"/>
    <w:rsid w:val="009005B9"/>
    <w:rsid w:val="009019E1"/>
    <w:rsid w:val="00904CB7"/>
    <w:rsid w:val="0091121D"/>
    <w:rsid w:val="00921E50"/>
    <w:rsid w:val="009250BE"/>
    <w:rsid w:val="00925C13"/>
    <w:rsid w:val="0092783E"/>
    <w:rsid w:val="00952632"/>
    <w:rsid w:val="00956771"/>
    <w:rsid w:val="009618A2"/>
    <w:rsid w:val="009637B1"/>
    <w:rsid w:val="00986719"/>
    <w:rsid w:val="009B2A1F"/>
    <w:rsid w:val="009D6C76"/>
    <w:rsid w:val="009F6496"/>
    <w:rsid w:val="00A14F4C"/>
    <w:rsid w:val="00A15EED"/>
    <w:rsid w:val="00A32BA8"/>
    <w:rsid w:val="00A436C3"/>
    <w:rsid w:val="00A65555"/>
    <w:rsid w:val="00A77362"/>
    <w:rsid w:val="00A80707"/>
    <w:rsid w:val="00A807BA"/>
    <w:rsid w:val="00A843C0"/>
    <w:rsid w:val="00A87BDC"/>
    <w:rsid w:val="00A959B4"/>
    <w:rsid w:val="00A97377"/>
    <w:rsid w:val="00AA0138"/>
    <w:rsid w:val="00AA1917"/>
    <w:rsid w:val="00AB3169"/>
    <w:rsid w:val="00B02655"/>
    <w:rsid w:val="00B1527B"/>
    <w:rsid w:val="00B50A94"/>
    <w:rsid w:val="00B6309E"/>
    <w:rsid w:val="00B757B8"/>
    <w:rsid w:val="00B75C13"/>
    <w:rsid w:val="00BA632A"/>
    <w:rsid w:val="00BC10F4"/>
    <w:rsid w:val="00BC285E"/>
    <w:rsid w:val="00BC7A0D"/>
    <w:rsid w:val="00BC7F92"/>
    <w:rsid w:val="00BE0B42"/>
    <w:rsid w:val="00C32D97"/>
    <w:rsid w:val="00C417B5"/>
    <w:rsid w:val="00C569E3"/>
    <w:rsid w:val="00C75BD6"/>
    <w:rsid w:val="00C765F0"/>
    <w:rsid w:val="00C83D36"/>
    <w:rsid w:val="00CC47F8"/>
    <w:rsid w:val="00CE0F96"/>
    <w:rsid w:val="00CF192A"/>
    <w:rsid w:val="00CF2EAB"/>
    <w:rsid w:val="00CF5B57"/>
    <w:rsid w:val="00D37606"/>
    <w:rsid w:val="00D53F2E"/>
    <w:rsid w:val="00D75D1C"/>
    <w:rsid w:val="00D80CEF"/>
    <w:rsid w:val="00D82760"/>
    <w:rsid w:val="00DA4D01"/>
    <w:rsid w:val="00DA5F10"/>
    <w:rsid w:val="00DC3A2F"/>
    <w:rsid w:val="00DD0B26"/>
    <w:rsid w:val="00DD47AF"/>
    <w:rsid w:val="00DE5383"/>
    <w:rsid w:val="00E13C77"/>
    <w:rsid w:val="00E16544"/>
    <w:rsid w:val="00E23D75"/>
    <w:rsid w:val="00E2411B"/>
    <w:rsid w:val="00E622D2"/>
    <w:rsid w:val="00E83FF2"/>
    <w:rsid w:val="00E95620"/>
    <w:rsid w:val="00EA3E66"/>
    <w:rsid w:val="00EA59CC"/>
    <w:rsid w:val="00EB0AA8"/>
    <w:rsid w:val="00ED52A4"/>
    <w:rsid w:val="00EF6016"/>
    <w:rsid w:val="00EF7485"/>
    <w:rsid w:val="00F01490"/>
    <w:rsid w:val="00F12B95"/>
    <w:rsid w:val="00F16642"/>
    <w:rsid w:val="00F201D0"/>
    <w:rsid w:val="00F247F2"/>
    <w:rsid w:val="00F64639"/>
    <w:rsid w:val="00F64D5C"/>
    <w:rsid w:val="00F7356C"/>
    <w:rsid w:val="00F8579A"/>
    <w:rsid w:val="00F9018C"/>
    <w:rsid w:val="00FB6330"/>
    <w:rsid w:val="00FC453A"/>
    <w:rsid w:val="00FC4EDC"/>
    <w:rsid w:val="00FD4273"/>
    <w:rsid w:val="00FD4C70"/>
    <w:rsid w:val="00FD769A"/>
    <w:rsid w:val="00FF0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EF3"/>
  <w15:docId w15:val="{6340EA51-7A5C-4FCE-B64C-E06C276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B1130"/>
    <w:rPr>
      <w:b/>
      <w:bCs/>
    </w:rPr>
  </w:style>
  <w:style w:type="character" w:customStyle="1" w:styleId="CommentSubjectChar">
    <w:name w:val="Comment Subject Char"/>
    <w:basedOn w:val="CommentTextChar"/>
    <w:link w:val="CommentSubject"/>
    <w:uiPriority w:val="99"/>
    <w:semiHidden/>
    <w:rsid w:val="004B1130"/>
    <w:rPr>
      <w:b/>
      <w:bCs/>
      <w:sz w:val="20"/>
      <w:szCs w:val="20"/>
    </w:rPr>
  </w:style>
  <w:style w:type="paragraph" w:customStyle="1" w:styleId="Default">
    <w:name w:val="Default"/>
    <w:rsid w:val="005F0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9598">
      <w:bodyDiv w:val="1"/>
      <w:marLeft w:val="0"/>
      <w:marRight w:val="0"/>
      <w:marTop w:val="0"/>
      <w:marBottom w:val="0"/>
      <w:divBdr>
        <w:top w:val="none" w:sz="0" w:space="0" w:color="auto"/>
        <w:left w:val="none" w:sz="0" w:space="0" w:color="auto"/>
        <w:bottom w:val="none" w:sz="0" w:space="0" w:color="auto"/>
        <w:right w:val="none" w:sz="0" w:space="0" w:color="auto"/>
      </w:divBdr>
    </w:div>
    <w:div w:id="17901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aleks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biezak-uzdotie-jautajumi/atbrivojums-no-dabas-resursu-nodoklu-mak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1EA3-CBB3-4BFC-AD4C-15F4DCEF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7556</Words>
  <Characters>4307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2009. gada 19. maija noteikumos Nr. 450 „Kārtība, kādā slēdz un izbeidz līgumu par nolietotu transportlīdzekļu, preču un izstrādājumu iepakojuma un vienreiz lietojamo galda trauku un piederumu vai videi kaitīgu preču atkritumu </vt:lpstr>
    </vt:vector>
  </TitlesOfParts>
  <Company>VARAM</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19. maija noteikumos 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dc:title>
  <dc:subject>Noteikumu projekta anotācija</dc:subject>
  <dc:creator>Tatjana Alekse</dc:creator>
  <dc:description>tālrunis 67026479;_x000d_
e-pasts tatjana.alekse@varam.gov.lv</dc:description>
  <cp:lastModifiedBy>Tatjana Alekse</cp:lastModifiedBy>
  <cp:revision>365</cp:revision>
  <cp:lastPrinted>2018-05-24T06:46:00Z</cp:lastPrinted>
  <dcterms:created xsi:type="dcterms:W3CDTF">2018-04-25T19:50:00Z</dcterms:created>
  <dcterms:modified xsi:type="dcterms:W3CDTF">2018-06-11T12:34:00Z</dcterms:modified>
</cp:coreProperties>
</file>