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A0D22" w14:textId="77777777" w:rsidR="001C2083" w:rsidRPr="00A91BB2" w:rsidRDefault="002F2CB1" w:rsidP="00A91BB2">
      <w:pPr>
        <w:jc w:val="center"/>
        <w:outlineLvl w:val="0"/>
        <w:rPr>
          <w:b/>
          <w:sz w:val="28"/>
          <w:szCs w:val="28"/>
        </w:rPr>
      </w:pPr>
      <w:r w:rsidRPr="00A91BB2">
        <w:rPr>
          <w:b/>
          <w:sz w:val="28"/>
          <w:szCs w:val="28"/>
        </w:rPr>
        <w:t>Ministru kabineta noteikumu projekta</w:t>
      </w:r>
    </w:p>
    <w:p w14:paraId="40AA0D23" w14:textId="021A1E81" w:rsidR="005865C5" w:rsidRDefault="002F2CB1" w:rsidP="00A91BB2">
      <w:pPr>
        <w:jc w:val="center"/>
        <w:outlineLvl w:val="0"/>
        <w:rPr>
          <w:b/>
          <w:sz w:val="28"/>
          <w:szCs w:val="28"/>
        </w:rPr>
      </w:pPr>
      <w:r>
        <w:rPr>
          <w:b/>
          <w:sz w:val="28"/>
          <w:szCs w:val="28"/>
        </w:rPr>
        <w:t>„</w:t>
      </w:r>
      <w:r w:rsidR="001C2083" w:rsidRPr="00A91BB2">
        <w:rPr>
          <w:b/>
          <w:sz w:val="28"/>
          <w:szCs w:val="28"/>
        </w:rPr>
        <w:t xml:space="preserve">Jaundzimušo reģistra </w:t>
      </w:r>
      <w:r w:rsidR="008F2589">
        <w:rPr>
          <w:b/>
          <w:sz w:val="28"/>
          <w:szCs w:val="28"/>
        </w:rPr>
        <w:t>noteikumi</w:t>
      </w:r>
      <w:r>
        <w:rPr>
          <w:b/>
          <w:sz w:val="28"/>
          <w:szCs w:val="28"/>
        </w:rPr>
        <w:t>”</w:t>
      </w:r>
      <w:r w:rsidR="00E7359E">
        <w:rPr>
          <w:b/>
          <w:sz w:val="28"/>
          <w:szCs w:val="28"/>
        </w:rPr>
        <w:t xml:space="preserve"> </w:t>
      </w:r>
      <w:r w:rsidR="00E7359E" w:rsidRPr="00FA0EB2">
        <w:rPr>
          <w:b/>
          <w:sz w:val="28"/>
          <w:szCs w:val="28"/>
        </w:rPr>
        <w:t xml:space="preserve">sākotnējās ietekmes novērtējuma ziņojums </w:t>
      </w:r>
      <w:r w:rsidR="00E7359E">
        <w:rPr>
          <w:b/>
          <w:sz w:val="28"/>
          <w:szCs w:val="28"/>
        </w:rPr>
        <w:t>(</w:t>
      </w:r>
      <w:r w:rsidRPr="00A91BB2">
        <w:rPr>
          <w:b/>
          <w:sz w:val="28"/>
          <w:szCs w:val="28"/>
        </w:rPr>
        <w:t>anotācija</w:t>
      </w:r>
      <w:r w:rsidR="00E7359E">
        <w:rPr>
          <w:b/>
          <w:sz w:val="28"/>
          <w:szCs w:val="28"/>
        </w:rPr>
        <w:t>)</w:t>
      </w:r>
    </w:p>
    <w:p w14:paraId="40AA0D24" w14:textId="77777777" w:rsidR="00A91BB2" w:rsidRDefault="00A91BB2" w:rsidP="00A91BB2">
      <w:pPr>
        <w:jc w:val="center"/>
        <w:outlineLvl w:val="0"/>
        <w:rPr>
          <w:b/>
          <w:sz w:val="28"/>
          <w:szCs w:val="28"/>
        </w:rPr>
      </w:pPr>
    </w:p>
    <w:tbl>
      <w:tblPr>
        <w:tblW w:w="9072" w:type="dxa"/>
        <w:tblCellSpacing w:w="0" w:type="dxa"/>
        <w:tblInd w:w="-70"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426"/>
        <w:gridCol w:w="2126"/>
        <w:gridCol w:w="6520"/>
      </w:tblGrid>
      <w:tr w:rsidR="002F350A" w14:paraId="40AA0D26" w14:textId="77777777" w:rsidTr="00FA3A18">
        <w:trPr>
          <w:tblCellSpacing w:w="0" w:type="dxa"/>
        </w:trPr>
        <w:tc>
          <w:tcPr>
            <w:tcW w:w="9072" w:type="dxa"/>
            <w:gridSpan w:val="3"/>
            <w:tcBorders>
              <w:top w:val="outset" w:sz="6" w:space="0" w:color="auto"/>
              <w:left w:val="outset" w:sz="6" w:space="0" w:color="auto"/>
              <w:bottom w:val="outset" w:sz="6" w:space="0" w:color="auto"/>
              <w:right w:val="outset" w:sz="6" w:space="0" w:color="auto"/>
            </w:tcBorders>
          </w:tcPr>
          <w:p w14:paraId="40AA0D25" w14:textId="77777777" w:rsidR="000F4405" w:rsidRPr="00FA0EB2" w:rsidRDefault="002F2CB1" w:rsidP="000F4405">
            <w:pPr>
              <w:spacing w:before="100" w:beforeAutospacing="1" w:after="100" w:afterAutospacing="1"/>
              <w:jc w:val="center"/>
              <w:rPr>
                <w:sz w:val="28"/>
                <w:szCs w:val="28"/>
              </w:rPr>
            </w:pPr>
            <w:r w:rsidRPr="00FA0EB2">
              <w:rPr>
                <w:b/>
                <w:bCs/>
                <w:sz w:val="28"/>
                <w:szCs w:val="28"/>
              </w:rPr>
              <w:t> I. Tiesību akta projekta izstrādes nepieciešamība</w:t>
            </w:r>
          </w:p>
        </w:tc>
      </w:tr>
      <w:tr w:rsidR="002F350A" w14:paraId="40AA0D2A" w14:textId="77777777" w:rsidTr="00FA3A18">
        <w:trPr>
          <w:tblCellSpacing w:w="0" w:type="dxa"/>
        </w:trPr>
        <w:tc>
          <w:tcPr>
            <w:tcW w:w="426" w:type="dxa"/>
            <w:tcBorders>
              <w:top w:val="outset" w:sz="6" w:space="0" w:color="auto"/>
              <w:left w:val="outset" w:sz="6" w:space="0" w:color="auto"/>
              <w:bottom w:val="outset" w:sz="6" w:space="0" w:color="auto"/>
              <w:right w:val="outset" w:sz="6" w:space="0" w:color="auto"/>
            </w:tcBorders>
          </w:tcPr>
          <w:p w14:paraId="40AA0D27" w14:textId="77777777" w:rsidR="000F4405" w:rsidRPr="00FA0EB2" w:rsidRDefault="002F2CB1" w:rsidP="006F7323">
            <w:pPr>
              <w:spacing w:before="100" w:beforeAutospacing="1" w:after="100" w:afterAutospacing="1"/>
              <w:ind w:left="-72"/>
              <w:jc w:val="both"/>
              <w:rPr>
                <w:sz w:val="28"/>
                <w:szCs w:val="28"/>
              </w:rPr>
            </w:pPr>
            <w:r w:rsidRPr="00FA0EB2">
              <w:rPr>
                <w:sz w:val="28"/>
                <w:szCs w:val="28"/>
              </w:rPr>
              <w:t>1.</w:t>
            </w:r>
          </w:p>
        </w:tc>
        <w:tc>
          <w:tcPr>
            <w:tcW w:w="2126" w:type="dxa"/>
            <w:tcBorders>
              <w:top w:val="outset" w:sz="6" w:space="0" w:color="auto"/>
              <w:left w:val="outset" w:sz="6" w:space="0" w:color="auto"/>
              <w:bottom w:val="outset" w:sz="6" w:space="0" w:color="auto"/>
              <w:right w:val="outset" w:sz="6" w:space="0" w:color="auto"/>
            </w:tcBorders>
          </w:tcPr>
          <w:p w14:paraId="40AA0D28" w14:textId="77777777" w:rsidR="000F4405" w:rsidRPr="00FA0EB2" w:rsidRDefault="002F2CB1" w:rsidP="000F4405">
            <w:pPr>
              <w:spacing w:before="100" w:beforeAutospacing="1" w:after="100" w:afterAutospacing="1"/>
              <w:jc w:val="both"/>
              <w:rPr>
                <w:sz w:val="28"/>
                <w:szCs w:val="28"/>
              </w:rPr>
            </w:pPr>
            <w:r w:rsidRPr="00FA0EB2">
              <w:rPr>
                <w:sz w:val="28"/>
                <w:szCs w:val="28"/>
              </w:rPr>
              <w:t> Pamatojums</w:t>
            </w:r>
          </w:p>
        </w:tc>
        <w:tc>
          <w:tcPr>
            <w:tcW w:w="6520" w:type="dxa"/>
            <w:tcBorders>
              <w:top w:val="outset" w:sz="6" w:space="0" w:color="auto"/>
              <w:left w:val="outset" w:sz="6" w:space="0" w:color="auto"/>
              <w:bottom w:val="outset" w:sz="6" w:space="0" w:color="auto"/>
              <w:right w:val="outset" w:sz="6" w:space="0" w:color="auto"/>
            </w:tcBorders>
          </w:tcPr>
          <w:p w14:paraId="40AA0D29" w14:textId="0C6933DB" w:rsidR="000F4405" w:rsidRPr="00141FA9" w:rsidRDefault="002F2CB1" w:rsidP="00546ADD">
            <w:pPr>
              <w:ind w:left="70" w:firstLine="168"/>
              <w:jc w:val="both"/>
              <w:rPr>
                <w:sz w:val="28"/>
                <w:szCs w:val="28"/>
              </w:rPr>
            </w:pPr>
            <w:r w:rsidRPr="00141FA9">
              <w:rPr>
                <w:sz w:val="28"/>
                <w:szCs w:val="28"/>
              </w:rPr>
              <w:t xml:space="preserve">Ministru kabineta noteikumu projekts „Jaundzimušo reģistra </w:t>
            </w:r>
            <w:r w:rsidR="008F2589">
              <w:rPr>
                <w:sz w:val="28"/>
                <w:szCs w:val="28"/>
              </w:rPr>
              <w:t>noteikumi</w:t>
            </w:r>
            <w:r w:rsidRPr="00141FA9">
              <w:rPr>
                <w:sz w:val="28"/>
                <w:szCs w:val="28"/>
              </w:rPr>
              <w:t>” (turpmāk – Noteikumu projekts) ir izstrādāts</w:t>
            </w:r>
            <w:r w:rsidR="00095009">
              <w:rPr>
                <w:sz w:val="28"/>
                <w:szCs w:val="28"/>
              </w:rPr>
              <w:t xml:space="preserve">  </w:t>
            </w:r>
            <w:r w:rsidR="00D54A28">
              <w:rPr>
                <w:sz w:val="28"/>
                <w:szCs w:val="28"/>
              </w:rPr>
              <w:t>saskaņā ar</w:t>
            </w:r>
            <w:r w:rsidRPr="00141FA9">
              <w:rPr>
                <w:sz w:val="28"/>
                <w:szCs w:val="28"/>
              </w:rPr>
              <w:t xml:space="preserve"> </w:t>
            </w:r>
            <w:r w:rsidR="0089548E" w:rsidRPr="00141FA9">
              <w:rPr>
                <w:sz w:val="28"/>
                <w:szCs w:val="28"/>
              </w:rPr>
              <w:t xml:space="preserve"> Ārstniecības likuma </w:t>
            </w:r>
            <w:r w:rsidRPr="00141FA9">
              <w:rPr>
                <w:sz w:val="28"/>
                <w:szCs w:val="28"/>
              </w:rPr>
              <w:t>9.</w:t>
            </w:r>
            <w:r w:rsidR="00EA1938">
              <w:rPr>
                <w:sz w:val="28"/>
                <w:szCs w:val="28"/>
              </w:rPr>
              <w:t xml:space="preserve"> </w:t>
            </w:r>
            <w:r w:rsidRPr="00141FA9">
              <w:rPr>
                <w:sz w:val="28"/>
                <w:szCs w:val="28"/>
              </w:rPr>
              <w:t>pant</w:t>
            </w:r>
            <w:r w:rsidR="0032133C">
              <w:rPr>
                <w:sz w:val="28"/>
                <w:szCs w:val="28"/>
              </w:rPr>
              <w:t>a pirmo daļu</w:t>
            </w:r>
            <w:r w:rsidR="0089548E" w:rsidRPr="00141FA9">
              <w:rPr>
                <w:sz w:val="28"/>
                <w:szCs w:val="28"/>
              </w:rPr>
              <w:t>.</w:t>
            </w:r>
          </w:p>
        </w:tc>
      </w:tr>
      <w:tr w:rsidR="002F350A" w14:paraId="40AA0D3D" w14:textId="77777777" w:rsidTr="00FA3A18">
        <w:trPr>
          <w:tblCellSpacing w:w="0" w:type="dxa"/>
        </w:trPr>
        <w:tc>
          <w:tcPr>
            <w:tcW w:w="426" w:type="dxa"/>
            <w:tcBorders>
              <w:top w:val="outset" w:sz="6" w:space="0" w:color="auto"/>
              <w:left w:val="outset" w:sz="6" w:space="0" w:color="auto"/>
              <w:bottom w:val="outset" w:sz="6" w:space="0" w:color="auto"/>
              <w:right w:val="outset" w:sz="6" w:space="0" w:color="auto"/>
            </w:tcBorders>
          </w:tcPr>
          <w:p w14:paraId="40AA0D2B" w14:textId="77777777" w:rsidR="000F4405" w:rsidRPr="00FA0EB2" w:rsidRDefault="002F2CB1" w:rsidP="000F4405">
            <w:pPr>
              <w:spacing w:before="100" w:beforeAutospacing="1" w:after="100" w:afterAutospacing="1"/>
              <w:rPr>
                <w:sz w:val="28"/>
                <w:szCs w:val="28"/>
              </w:rPr>
            </w:pPr>
            <w:r w:rsidRPr="00FA0EB2">
              <w:rPr>
                <w:sz w:val="28"/>
                <w:szCs w:val="28"/>
              </w:rPr>
              <w:t>2.</w:t>
            </w:r>
          </w:p>
        </w:tc>
        <w:tc>
          <w:tcPr>
            <w:tcW w:w="2126" w:type="dxa"/>
            <w:tcBorders>
              <w:top w:val="outset" w:sz="6" w:space="0" w:color="auto"/>
              <w:left w:val="outset" w:sz="6" w:space="0" w:color="auto"/>
              <w:bottom w:val="outset" w:sz="6" w:space="0" w:color="auto"/>
              <w:right w:val="outset" w:sz="6" w:space="0" w:color="auto"/>
            </w:tcBorders>
          </w:tcPr>
          <w:p w14:paraId="40AA0D2C" w14:textId="77777777" w:rsidR="000F4405" w:rsidRPr="008B429C" w:rsidRDefault="002F2CB1" w:rsidP="008B429C">
            <w:pPr>
              <w:spacing w:before="100" w:beforeAutospacing="1" w:after="100" w:afterAutospacing="1"/>
              <w:rPr>
                <w:sz w:val="28"/>
                <w:szCs w:val="28"/>
              </w:rPr>
            </w:pPr>
            <w:r w:rsidRPr="00FA0EB2">
              <w:rPr>
                <w:sz w:val="28"/>
                <w:szCs w:val="28"/>
              </w:rPr>
              <w:t> </w:t>
            </w:r>
            <w:r w:rsidR="008B429C" w:rsidRPr="008B429C">
              <w:rPr>
                <w:sz w:val="28"/>
                <w:szCs w:val="28"/>
              </w:rPr>
              <w:t>Pašreizējā situācija un problēmas, kuru risināšanai tiesību akta projekts izstrādāts, tiesiskā regulējuma mērķis un būtība</w:t>
            </w:r>
          </w:p>
          <w:p w14:paraId="40AA0D2D" w14:textId="77777777" w:rsidR="000F4405" w:rsidRPr="00FA0EB2" w:rsidRDefault="002F2CB1" w:rsidP="000F4405">
            <w:pPr>
              <w:spacing w:before="100" w:beforeAutospacing="1" w:after="100" w:afterAutospacing="1"/>
              <w:rPr>
                <w:sz w:val="28"/>
                <w:szCs w:val="28"/>
              </w:rPr>
            </w:pPr>
            <w:r w:rsidRPr="00FA0EB2">
              <w:rPr>
                <w:sz w:val="28"/>
                <w:szCs w:val="28"/>
              </w:rPr>
              <w:t> </w:t>
            </w:r>
          </w:p>
          <w:p w14:paraId="40AA0D2E" w14:textId="77777777" w:rsidR="000F4405" w:rsidRPr="00FA0EB2" w:rsidRDefault="002F2CB1" w:rsidP="000F4405">
            <w:pPr>
              <w:spacing w:before="100" w:beforeAutospacing="1" w:after="100" w:afterAutospacing="1"/>
              <w:rPr>
                <w:sz w:val="28"/>
                <w:szCs w:val="28"/>
              </w:rPr>
            </w:pPr>
            <w:r w:rsidRPr="00FA0EB2">
              <w:rPr>
                <w:sz w:val="28"/>
                <w:szCs w:val="28"/>
              </w:rPr>
              <w:t> </w:t>
            </w:r>
          </w:p>
        </w:tc>
        <w:tc>
          <w:tcPr>
            <w:tcW w:w="6520" w:type="dxa"/>
            <w:tcBorders>
              <w:top w:val="outset" w:sz="6" w:space="0" w:color="auto"/>
              <w:left w:val="outset" w:sz="6" w:space="0" w:color="auto"/>
              <w:bottom w:val="outset" w:sz="6" w:space="0" w:color="auto"/>
              <w:right w:val="outset" w:sz="6" w:space="0" w:color="auto"/>
            </w:tcBorders>
          </w:tcPr>
          <w:p w14:paraId="40AA0D2F" w14:textId="77777777" w:rsidR="00D04FD4" w:rsidRPr="000B77A6" w:rsidRDefault="002F2CB1" w:rsidP="00546ADD">
            <w:pPr>
              <w:ind w:left="70" w:right="69" w:firstLine="98"/>
              <w:jc w:val="both"/>
              <w:rPr>
                <w:sz w:val="28"/>
                <w:szCs w:val="28"/>
              </w:rPr>
            </w:pPr>
            <w:r w:rsidRPr="000B77A6">
              <w:rPr>
                <w:sz w:val="28"/>
                <w:szCs w:val="28"/>
              </w:rPr>
              <w:t xml:space="preserve"> </w:t>
            </w:r>
            <w:r w:rsidR="00B23C73" w:rsidRPr="000B77A6">
              <w:rPr>
                <w:sz w:val="28"/>
                <w:szCs w:val="28"/>
              </w:rPr>
              <w:t xml:space="preserve">  Ņemot vērā Ārstniecības likuma 9.</w:t>
            </w:r>
            <w:r w:rsidR="00EA1938" w:rsidRPr="000B77A6">
              <w:rPr>
                <w:sz w:val="28"/>
                <w:szCs w:val="28"/>
              </w:rPr>
              <w:t xml:space="preserve"> </w:t>
            </w:r>
            <w:r w:rsidR="00B23C73" w:rsidRPr="000B77A6">
              <w:rPr>
                <w:sz w:val="28"/>
                <w:szCs w:val="28"/>
              </w:rPr>
              <w:t>pant</w:t>
            </w:r>
            <w:r w:rsidR="00AF48F1" w:rsidRPr="000B77A6">
              <w:rPr>
                <w:sz w:val="28"/>
                <w:szCs w:val="28"/>
              </w:rPr>
              <w:t>a pirmajā daļā</w:t>
            </w:r>
            <w:r w:rsidR="00B23C73" w:rsidRPr="000B77A6">
              <w:rPr>
                <w:sz w:val="28"/>
                <w:szCs w:val="28"/>
              </w:rPr>
              <w:t xml:space="preserve"> </w:t>
            </w:r>
            <w:r w:rsidR="00C2383E" w:rsidRPr="000B77A6">
              <w:rPr>
                <w:sz w:val="28"/>
                <w:szCs w:val="28"/>
              </w:rPr>
              <w:t>ietverto</w:t>
            </w:r>
            <w:r w:rsidR="00B23C73" w:rsidRPr="000B77A6">
              <w:rPr>
                <w:sz w:val="28"/>
                <w:szCs w:val="28"/>
              </w:rPr>
              <w:t xml:space="preserve"> deleģējumu, ir izstrādāts Noteikumu projekts, kas paredz Jaundzimušo reģistra </w:t>
            </w:r>
            <w:r w:rsidR="00674479" w:rsidRPr="000B77A6">
              <w:rPr>
                <w:sz w:val="28"/>
                <w:szCs w:val="28"/>
              </w:rPr>
              <w:t xml:space="preserve">(ar ziņām par viņu mātēm) (turpmāk – Reģistrs) </w:t>
            </w:r>
            <w:r w:rsidR="00B23C73" w:rsidRPr="000B77A6">
              <w:rPr>
                <w:sz w:val="28"/>
                <w:szCs w:val="28"/>
              </w:rPr>
              <w:t>izveides, papildināšanas un uzturēšanas kārtību</w:t>
            </w:r>
            <w:r w:rsidR="00B26C24" w:rsidRPr="000B77A6">
              <w:rPr>
                <w:sz w:val="28"/>
                <w:szCs w:val="28"/>
              </w:rPr>
              <w:t>.</w:t>
            </w:r>
            <w:r w:rsidR="00BA72BB" w:rsidRPr="000B77A6">
              <w:rPr>
                <w:sz w:val="28"/>
                <w:szCs w:val="28"/>
              </w:rPr>
              <w:t xml:space="preserve"> </w:t>
            </w:r>
            <w:r w:rsidR="009071A6" w:rsidRPr="000B77A6">
              <w:rPr>
                <w:sz w:val="28"/>
                <w:szCs w:val="28"/>
              </w:rPr>
              <w:t>Atbilstoši Ārstniecības likuma 3.</w:t>
            </w:r>
            <w:r w:rsidR="00EA1938" w:rsidRPr="000B77A6">
              <w:rPr>
                <w:sz w:val="28"/>
                <w:szCs w:val="28"/>
              </w:rPr>
              <w:t xml:space="preserve"> </w:t>
            </w:r>
            <w:r w:rsidR="009071A6" w:rsidRPr="000B77A6">
              <w:rPr>
                <w:sz w:val="28"/>
                <w:szCs w:val="28"/>
              </w:rPr>
              <w:t xml:space="preserve">panta otrajā daļā minētajam, grūtnieces un bērna veselība valstī ir prioritāra, līdz ar ko </w:t>
            </w:r>
            <w:r w:rsidR="00674479" w:rsidRPr="000B77A6">
              <w:rPr>
                <w:sz w:val="28"/>
                <w:szCs w:val="28"/>
              </w:rPr>
              <w:t>R</w:t>
            </w:r>
            <w:r w:rsidRPr="000B77A6">
              <w:rPr>
                <w:sz w:val="28"/>
                <w:szCs w:val="28"/>
              </w:rPr>
              <w:t xml:space="preserve">eģistra </w:t>
            </w:r>
            <w:r w:rsidR="00527312" w:rsidRPr="000B77A6">
              <w:rPr>
                <w:sz w:val="28"/>
                <w:szCs w:val="28"/>
              </w:rPr>
              <w:t xml:space="preserve">uzturēšanas </w:t>
            </w:r>
            <w:r w:rsidRPr="000B77A6">
              <w:rPr>
                <w:sz w:val="28"/>
                <w:szCs w:val="28"/>
              </w:rPr>
              <w:t>mērķis ir ne tikai datu uzkrāšana par dzimušo skaitu (šajā gadījumā – Latvijā), bet arī jaundzimušā veselības analizē</w:t>
            </w:r>
            <w:r w:rsidR="008D3FDD" w:rsidRPr="000B77A6">
              <w:rPr>
                <w:sz w:val="28"/>
                <w:szCs w:val="28"/>
              </w:rPr>
              <w:t>šan</w:t>
            </w:r>
            <w:r w:rsidR="00EA1938" w:rsidRPr="000B77A6">
              <w:rPr>
                <w:sz w:val="28"/>
                <w:szCs w:val="28"/>
              </w:rPr>
              <w:t>a</w:t>
            </w:r>
            <w:r w:rsidRPr="000B77A6">
              <w:rPr>
                <w:sz w:val="28"/>
                <w:szCs w:val="28"/>
              </w:rPr>
              <w:t>, ņemot vērā mātes veselību, antenatālo aprūpi un citus rādītājus, lai varētu identificēt un novērtēt perinatālās mirstības riskus un noteikt prioritāros virzienus, kā arī nepieciešamos pasākumus mātes un bērna veselības uzlabošanā valstī kopumā.</w:t>
            </w:r>
            <w:r w:rsidR="00B26C24" w:rsidRPr="000B77A6">
              <w:rPr>
                <w:sz w:val="28"/>
                <w:szCs w:val="28"/>
              </w:rPr>
              <w:t xml:space="preserve"> </w:t>
            </w:r>
            <w:r w:rsidR="00527312" w:rsidRPr="000B77A6">
              <w:rPr>
                <w:sz w:val="28"/>
                <w:szCs w:val="28"/>
              </w:rPr>
              <w:t>Novērtējot dzemdību palīdzības kvalitāti un analizējot bērnu ar nelabvēlīgu grūtniecības vai dzemdību anamnēzi turpmāko attīstību, ir iespēja paredzēt perinatālās mirstības samazināšanas iespējas valstī, analizēt galvenos demogrāfiskos rādītājus, identificēt riska faktoru</w:t>
            </w:r>
            <w:r w:rsidR="007D6306" w:rsidRPr="000B77A6">
              <w:rPr>
                <w:sz w:val="28"/>
                <w:szCs w:val="28"/>
              </w:rPr>
              <w:t>s, prognozēt gaidāmās tendences</w:t>
            </w:r>
            <w:r w:rsidR="00527312" w:rsidRPr="000B77A6">
              <w:rPr>
                <w:sz w:val="28"/>
                <w:szCs w:val="28"/>
              </w:rPr>
              <w:t>.</w:t>
            </w:r>
            <w:r w:rsidR="009071A6" w:rsidRPr="000B77A6">
              <w:rPr>
                <w:sz w:val="28"/>
                <w:szCs w:val="28"/>
              </w:rPr>
              <w:t xml:space="preserve"> Tādējādi, mātes un jaundzimušā personas datu apstrāde</w:t>
            </w:r>
            <w:r w:rsidR="00A97DBF" w:rsidRPr="000B77A6">
              <w:rPr>
                <w:sz w:val="28"/>
                <w:szCs w:val="28"/>
              </w:rPr>
              <w:t xml:space="preserve"> un ar to saistītais Satversmē minēto pamattiesību</w:t>
            </w:r>
            <w:r w:rsidR="002A7E88" w:rsidRPr="000B77A6">
              <w:rPr>
                <w:sz w:val="28"/>
                <w:szCs w:val="28"/>
              </w:rPr>
              <w:t xml:space="preserve"> (tiesības uz privātās dzīves neaizskaramību) </w:t>
            </w:r>
            <w:r w:rsidR="00A97DBF" w:rsidRPr="000B77A6">
              <w:rPr>
                <w:sz w:val="28"/>
                <w:szCs w:val="28"/>
              </w:rPr>
              <w:t>ierobežojums ir samērīgs un tam ir leģitīms mērķis</w:t>
            </w:r>
            <w:r w:rsidR="002A7E88" w:rsidRPr="000B77A6">
              <w:rPr>
                <w:sz w:val="28"/>
                <w:szCs w:val="28"/>
              </w:rPr>
              <w:t>, kurš izriet no Ārstniecības likumā, Pacientu tiesību likumā</w:t>
            </w:r>
            <w:r w:rsidR="00E96C78" w:rsidRPr="000B77A6">
              <w:rPr>
                <w:sz w:val="28"/>
                <w:szCs w:val="28"/>
              </w:rPr>
              <w:t xml:space="preserve"> (turpmāk – PTL)</w:t>
            </w:r>
            <w:r w:rsidR="002A7E88" w:rsidRPr="000B77A6">
              <w:rPr>
                <w:sz w:val="28"/>
                <w:szCs w:val="28"/>
              </w:rPr>
              <w:t xml:space="preserve">, Fizisko personu datu aizsardzības likumā </w:t>
            </w:r>
            <w:r w:rsidR="00E96C78" w:rsidRPr="000B77A6">
              <w:rPr>
                <w:sz w:val="28"/>
                <w:szCs w:val="28"/>
              </w:rPr>
              <w:t>(</w:t>
            </w:r>
            <w:r w:rsidR="00D0394A" w:rsidRPr="000B77A6">
              <w:rPr>
                <w:sz w:val="28"/>
                <w:szCs w:val="28"/>
              </w:rPr>
              <w:t xml:space="preserve">turpmāk – </w:t>
            </w:r>
            <w:r w:rsidR="00E96C78" w:rsidRPr="000B77A6">
              <w:rPr>
                <w:sz w:val="28"/>
                <w:szCs w:val="28"/>
              </w:rPr>
              <w:t xml:space="preserve">FPDAL) </w:t>
            </w:r>
            <w:r w:rsidR="002A7E88" w:rsidRPr="000B77A6">
              <w:rPr>
                <w:sz w:val="28"/>
                <w:szCs w:val="28"/>
              </w:rPr>
              <w:t xml:space="preserve">un Valsts statistikas likumā </w:t>
            </w:r>
            <w:r w:rsidR="00E96C78" w:rsidRPr="000B77A6">
              <w:rPr>
                <w:sz w:val="28"/>
                <w:szCs w:val="28"/>
              </w:rPr>
              <w:t xml:space="preserve">(turpmāk – VSL) </w:t>
            </w:r>
            <w:r w:rsidR="002A7E88" w:rsidRPr="000B77A6">
              <w:rPr>
                <w:sz w:val="28"/>
                <w:szCs w:val="28"/>
              </w:rPr>
              <w:t xml:space="preserve">noteiktajām tiesību normām. </w:t>
            </w:r>
          </w:p>
          <w:p w14:paraId="40AA0D30" w14:textId="773B09D0" w:rsidR="001D1751" w:rsidRPr="000B77A6" w:rsidRDefault="002F2CB1" w:rsidP="00546ADD">
            <w:pPr>
              <w:ind w:left="70" w:right="69" w:firstLine="98"/>
              <w:jc w:val="both"/>
              <w:rPr>
                <w:sz w:val="28"/>
                <w:szCs w:val="28"/>
              </w:rPr>
            </w:pPr>
            <w:r w:rsidRPr="000B77A6">
              <w:rPr>
                <w:sz w:val="28"/>
                <w:szCs w:val="28"/>
              </w:rPr>
              <w:t>Saskaņā ar Ministru kabineta 2012.</w:t>
            </w:r>
            <w:r w:rsidR="0035558C" w:rsidRPr="000B77A6">
              <w:rPr>
                <w:sz w:val="28"/>
                <w:szCs w:val="28"/>
              </w:rPr>
              <w:t xml:space="preserve"> </w:t>
            </w:r>
            <w:r w:rsidRPr="000B77A6">
              <w:rPr>
                <w:sz w:val="28"/>
                <w:szCs w:val="28"/>
              </w:rPr>
              <w:t>gada 3. aprīļa noteikumu Nr.</w:t>
            </w:r>
            <w:r w:rsidR="0035558C" w:rsidRPr="000B77A6">
              <w:rPr>
                <w:sz w:val="28"/>
                <w:szCs w:val="28"/>
              </w:rPr>
              <w:t xml:space="preserve"> </w:t>
            </w:r>
            <w:r w:rsidRPr="000B77A6">
              <w:rPr>
                <w:sz w:val="28"/>
                <w:szCs w:val="28"/>
              </w:rPr>
              <w:t>241 „Slimību profilakses un kontroles centrs” (turpmāk – noteikumi Nr.</w:t>
            </w:r>
            <w:r w:rsidR="0035558C" w:rsidRPr="000B77A6">
              <w:rPr>
                <w:sz w:val="28"/>
                <w:szCs w:val="28"/>
              </w:rPr>
              <w:t xml:space="preserve"> </w:t>
            </w:r>
            <w:r w:rsidRPr="000B77A6">
              <w:rPr>
                <w:sz w:val="28"/>
                <w:szCs w:val="28"/>
              </w:rPr>
              <w:t>241) 3.6.</w:t>
            </w:r>
            <w:r w:rsidR="00E96C78" w:rsidRPr="000B77A6">
              <w:rPr>
                <w:sz w:val="28"/>
                <w:szCs w:val="28"/>
              </w:rPr>
              <w:t xml:space="preserve"> </w:t>
            </w:r>
            <w:r w:rsidRPr="000B77A6">
              <w:rPr>
                <w:sz w:val="28"/>
                <w:szCs w:val="28"/>
              </w:rPr>
              <w:t xml:space="preserve">apakšpunktu viena no Slimību profilakses un kontroles centram </w:t>
            </w:r>
            <w:r w:rsidR="00E96C78" w:rsidRPr="000B77A6">
              <w:rPr>
                <w:sz w:val="28"/>
                <w:szCs w:val="28"/>
              </w:rPr>
              <w:lastRenderedPageBreak/>
              <w:t>(turpmā</w:t>
            </w:r>
            <w:r w:rsidRPr="000B77A6">
              <w:rPr>
                <w:sz w:val="28"/>
                <w:szCs w:val="28"/>
              </w:rPr>
              <w:t>k –</w:t>
            </w:r>
            <w:r w:rsidR="00007050">
              <w:rPr>
                <w:sz w:val="28"/>
                <w:szCs w:val="28"/>
              </w:rPr>
              <w:t>SPKC</w:t>
            </w:r>
            <w:r w:rsidRPr="000B77A6">
              <w:rPr>
                <w:sz w:val="28"/>
                <w:szCs w:val="28"/>
              </w:rPr>
              <w:t>) deleģētajām funkcijām ir sabiedrības veselības un veselības aprūpes statistikas informācijas iegūšana, apkopošana, apstrādāšana un analizēšana. Atbilstoši</w:t>
            </w:r>
            <w:r w:rsidRPr="000B77A6">
              <w:rPr>
                <w:rFonts w:ascii="Arial" w:hAnsi="Arial" w:cs="Arial"/>
              </w:rPr>
              <w:t xml:space="preserve"> </w:t>
            </w:r>
            <w:r w:rsidRPr="000B77A6">
              <w:rPr>
                <w:sz w:val="28"/>
                <w:szCs w:val="28"/>
              </w:rPr>
              <w:t>noteikumu Nr.</w:t>
            </w:r>
            <w:r w:rsidR="00674479" w:rsidRPr="000B77A6">
              <w:rPr>
                <w:sz w:val="28"/>
                <w:szCs w:val="28"/>
              </w:rPr>
              <w:t xml:space="preserve"> </w:t>
            </w:r>
            <w:r w:rsidRPr="000B77A6">
              <w:rPr>
                <w:sz w:val="28"/>
                <w:szCs w:val="28"/>
              </w:rPr>
              <w:t xml:space="preserve">241 4.12.5. un 4.13. apakšpunktā SPKC noteiktajiem uzdevumiem, SPKC </w:t>
            </w:r>
            <w:r w:rsidR="00527312" w:rsidRPr="000B77A6">
              <w:rPr>
                <w:sz w:val="28"/>
                <w:szCs w:val="28"/>
              </w:rPr>
              <w:t xml:space="preserve"> </w:t>
            </w:r>
            <w:r w:rsidRPr="000B77A6">
              <w:rPr>
                <w:sz w:val="28"/>
                <w:szCs w:val="28"/>
              </w:rPr>
              <w:t xml:space="preserve">veido, uztur un papildina jaundzimušo reģistru, kā arī atbilstoši kompetencei nodrošina Centrālo statistikas pārvaldi, Pasaules Veselības organizāciju, Eiropas Savienības institūcijas, valsts un pašvaldību institūcijas ar SPKC rīcībā esošo informāciju. </w:t>
            </w:r>
            <w:r w:rsidR="008A4B8F" w:rsidRPr="000B77A6">
              <w:rPr>
                <w:sz w:val="28"/>
                <w:szCs w:val="28"/>
              </w:rPr>
              <w:t xml:space="preserve">Līdz ar augstāk minēto, noteikumu projektā norādītā personas datu apstrāde tiks veikta atbilstoši </w:t>
            </w:r>
            <w:r w:rsidR="00674479" w:rsidRPr="000B77A6">
              <w:rPr>
                <w:sz w:val="28"/>
                <w:szCs w:val="28"/>
              </w:rPr>
              <w:t>FPDAL</w:t>
            </w:r>
            <w:r w:rsidR="008A4B8F" w:rsidRPr="000B77A6">
              <w:rPr>
                <w:sz w:val="28"/>
                <w:szCs w:val="28"/>
              </w:rPr>
              <w:t xml:space="preserve"> 11.</w:t>
            </w:r>
            <w:r w:rsidR="0035558C" w:rsidRPr="000B77A6">
              <w:rPr>
                <w:sz w:val="28"/>
                <w:szCs w:val="28"/>
              </w:rPr>
              <w:t xml:space="preserve"> </w:t>
            </w:r>
            <w:r w:rsidR="008A4B8F" w:rsidRPr="000B77A6">
              <w:rPr>
                <w:sz w:val="28"/>
                <w:szCs w:val="28"/>
              </w:rPr>
              <w:t>panta 11.</w:t>
            </w:r>
            <w:r w:rsidR="0035558C" w:rsidRPr="000B77A6">
              <w:rPr>
                <w:sz w:val="28"/>
                <w:szCs w:val="28"/>
              </w:rPr>
              <w:t xml:space="preserve"> </w:t>
            </w:r>
            <w:r w:rsidR="008A4B8F" w:rsidRPr="000B77A6">
              <w:rPr>
                <w:sz w:val="28"/>
                <w:szCs w:val="28"/>
              </w:rPr>
              <w:t xml:space="preserve">punktam </w:t>
            </w:r>
            <w:r w:rsidR="008A4B8F" w:rsidRPr="000B77A6">
              <w:rPr>
                <w:i/>
                <w:sz w:val="28"/>
                <w:szCs w:val="28"/>
              </w:rPr>
              <w:t>(personas datu apstrāde ir nepieciešama, pildot valsts pārvaldes funkcijas vai veidojot likumā noteiktās valsts informācijas sistēmas).</w:t>
            </w:r>
          </w:p>
          <w:p w14:paraId="40AA0D31" w14:textId="77777777" w:rsidR="00BE3C76" w:rsidRPr="000B77A6" w:rsidRDefault="002F2CB1" w:rsidP="00BA72BB">
            <w:pPr>
              <w:ind w:firstLine="238"/>
              <w:jc w:val="both"/>
              <w:rPr>
                <w:sz w:val="28"/>
                <w:szCs w:val="28"/>
              </w:rPr>
            </w:pPr>
            <w:r w:rsidRPr="000B77A6">
              <w:rPr>
                <w:sz w:val="28"/>
                <w:szCs w:val="28"/>
              </w:rPr>
              <w:t xml:space="preserve">Tāpat </w:t>
            </w:r>
            <w:r w:rsidR="00096717" w:rsidRPr="000B77A6">
              <w:rPr>
                <w:sz w:val="28"/>
                <w:szCs w:val="28"/>
              </w:rPr>
              <w:t xml:space="preserve">personas datu apstrādes reģistrācijas apliecībā, kuru Datu valsts inspekcija, atbilstoši </w:t>
            </w:r>
            <w:r w:rsidR="00674479" w:rsidRPr="000B77A6">
              <w:rPr>
                <w:sz w:val="28"/>
                <w:szCs w:val="28"/>
              </w:rPr>
              <w:t>FPDAL</w:t>
            </w:r>
            <w:r w:rsidR="00096717" w:rsidRPr="000B77A6">
              <w:rPr>
                <w:sz w:val="28"/>
                <w:szCs w:val="28"/>
              </w:rPr>
              <w:t xml:space="preserve">, ir izsniegusi SPKC, </w:t>
            </w:r>
            <w:r w:rsidRPr="000B77A6">
              <w:rPr>
                <w:sz w:val="28"/>
                <w:szCs w:val="28"/>
              </w:rPr>
              <w:t xml:space="preserve">datu apstrāde par jaundzimušajiem un dzemdībām ir norādīta </w:t>
            </w:r>
            <w:r w:rsidR="00096717" w:rsidRPr="000B77A6">
              <w:rPr>
                <w:sz w:val="28"/>
                <w:szCs w:val="28"/>
              </w:rPr>
              <w:t>kā viens no SPKC personas datu apstrādes mērķiem.</w:t>
            </w:r>
          </w:p>
          <w:p w14:paraId="40AA0D32" w14:textId="77777777" w:rsidR="00814CD8" w:rsidRPr="00007050" w:rsidRDefault="002F2CB1" w:rsidP="00814CD8">
            <w:pPr>
              <w:ind w:firstLine="238"/>
              <w:jc w:val="both"/>
              <w:rPr>
                <w:sz w:val="28"/>
                <w:szCs w:val="28"/>
              </w:rPr>
            </w:pPr>
            <w:r w:rsidRPr="000B77A6">
              <w:rPr>
                <w:sz w:val="28"/>
                <w:szCs w:val="28"/>
              </w:rPr>
              <w:t xml:space="preserve">Lai nodrošinātu funkcijas izpildi, ārstniecības iestādes sniedz Reģistram nepieciešamo informāciju atbilstoši Ministru kabineta noteikumu Nr. 265 „Medicīnisko dokumentu lietvedības kārtība” </w:t>
            </w:r>
            <w:r w:rsidR="00867AAB" w:rsidRPr="000B77A6">
              <w:rPr>
                <w:sz w:val="28"/>
                <w:szCs w:val="28"/>
              </w:rPr>
              <w:t xml:space="preserve">(turpmāk – Noteikumi Nr. 265) </w:t>
            </w:r>
            <w:r w:rsidRPr="000B77A6">
              <w:rPr>
                <w:sz w:val="28"/>
                <w:szCs w:val="28"/>
              </w:rPr>
              <w:t xml:space="preserve">36. pielikumam „Jaundzimušā karte”. </w:t>
            </w:r>
            <w:r w:rsidR="00057685" w:rsidRPr="000B77A6">
              <w:rPr>
                <w:sz w:val="28"/>
                <w:szCs w:val="28"/>
              </w:rPr>
              <w:t>Tādējādi</w:t>
            </w:r>
            <w:r w:rsidRPr="000B77A6">
              <w:rPr>
                <w:sz w:val="28"/>
                <w:szCs w:val="28"/>
              </w:rPr>
              <w:t>,</w:t>
            </w:r>
            <w:r w:rsidR="00057685" w:rsidRPr="000B77A6">
              <w:rPr>
                <w:sz w:val="28"/>
                <w:szCs w:val="28"/>
              </w:rPr>
              <w:t xml:space="preserve"> </w:t>
            </w:r>
            <w:r w:rsidR="00867AAB" w:rsidRPr="000B77A6">
              <w:rPr>
                <w:sz w:val="28"/>
                <w:szCs w:val="28"/>
              </w:rPr>
              <w:t>R</w:t>
            </w:r>
            <w:r w:rsidR="00057685" w:rsidRPr="000B77A6">
              <w:rPr>
                <w:sz w:val="28"/>
                <w:szCs w:val="28"/>
              </w:rPr>
              <w:t xml:space="preserve">eģistrs </w:t>
            </w:r>
            <w:r w:rsidR="00867AAB" w:rsidRPr="000B77A6">
              <w:rPr>
                <w:sz w:val="28"/>
                <w:szCs w:val="28"/>
              </w:rPr>
              <w:t xml:space="preserve">nav administratīvais reģistrs, jo </w:t>
            </w:r>
            <w:r w:rsidR="00057685" w:rsidRPr="000B77A6">
              <w:rPr>
                <w:sz w:val="28"/>
                <w:szCs w:val="28"/>
              </w:rPr>
              <w:t xml:space="preserve">satur dzemdību palīdzības iestāžu sniegtu </w:t>
            </w:r>
            <w:r w:rsidR="00867AAB" w:rsidRPr="000B77A6">
              <w:rPr>
                <w:sz w:val="28"/>
                <w:szCs w:val="28"/>
              </w:rPr>
              <w:t xml:space="preserve">medicīniska rakstura </w:t>
            </w:r>
            <w:r w:rsidR="00057685" w:rsidRPr="000B77A6">
              <w:rPr>
                <w:sz w:val="28"/>
                <w:szCs w:val="28"/>
              </w:rPr>
              <w:t xml:space="preserve">informāciju, līdz ar to </w:t>
            </w:r>
            <w:r w:rsidR="005F3966" w:rsidRPr="000B77A6">
              <w:rPr>
                <w:sz w:val="28"/>
                <w:szCs w:val="28"/>
              </w:rPr>
              <w:t xml:space="preserve">tam </w:t>
            </w:r>
            <w:r w:rsidR="005F3966" w:rsidRPr="00007050">
              <w:rPr>
                <w:sz w:val="28"/>
                <w:szCs w:val="28"/>
              </w:rPr>
              <w:t xml:space="preserve">nav tieša sakara ar bērnu reģistrāciju, kuru veic </w:t>
            </w:r>
            <w:r w:rsidRPr="00007050">
              <w:rPr>
                <w:sz w:val="28"/>
                <w:szCs w:val="28"/>
              </w:rPr>
              <w:t xml:space="preserve">Pilsonības un migrācijas lietu pārvalde (turpmāk – </w:t>
            </w:r>
            <w:r w:rsidR="005F3966" w:rsidRPr="00007050">
              <w:rPr>
                <w:sz w:val="28"/>
                <w:szCs w:val="28"/>
              </w:rPr>
              <w:t>PMLP</w:t>
            </w:r>
            <w:r w:rsidRPr="00007050">
              <w:rPr>
                <w:sz w:val="28"/>
                <w:szCs w:val="28"/>
              </w:rPr>
              <w:t>)</w:t>
            </w:r>
            <w:r w:rsidR="005F3966" w:rsidRPr="00007050">
              <w:rPr>
                <w:sz w:val="28"/>
                <w:szCs w:val="28"/>
              </w:rPr>
              <w:t xml:space="preserve"> Iedzīvotāju reģistrā. Tāpat </w:t>
            </w:r>
            <w:r w:rsidR="00597330" w:rsidRPr="00007050">
              <w:rPr>
                <w:sz w:val="28"/>
                <w:szCs w:val="28"/>
              </w:rPr>
              <w:t>Reģistr</w:t>
            </w:r>
            <w:r w:rsidR="00D57D0E" w:rsidRPr="00007050">
              <w:rPr>
                <w:sz w:val="28"/>
                <w:szCs w:val="28"/>
              </w:rPr>
              <w:t>a</w:t>
            </w:r>
            <w:r w:rsidR="00597330" w:rsidRPr="00007050">
              <w:rPr>
                <w:sz w:val="28"/>
                <w:szCs w:val="28"/>
              </w:rPr>
              <w:t xml:space="preserve"> </w:t>
            </w:r>
            <w:r w:rsidR="00D57D0E" w:rsidRPr="00007050">
              <w:rPr>
                <w:sz w:val="28"/>
                <w:szCs w:val="28"/>
              </w:rPr>
              <w:t xml:space="preserve">darbības mērķis nav </w:t>
            </w:r>
            <w:r w:rsidR="00597330" w:rsidRPr="00007050">
              <w:rPr>
                <w:sz w:val="28"/>
                <w:szCs w:val="28"/>
              </w:rPr>
              <w:t>automātisk</w:t>
            </w:r>
            <w:r w:rsidR="00D57D0E" w:rsidRPr="00007050">
              <w:rPr>
                <w:sz w:val="28"/>
                <w:szCs w:val="28"/>
              </w:rPr>
              <w:t>as</w:t>
            </w:r>
            <w:r w:rsidR="00597330" w:rsidRPr="00007050">
              <w:rPr>
                <w:sz w:val="28"/>
                <w:szCs w:val="28"/>
              </w:rPr>
              <w:t xml:space="preserve"> informācijas sasaist</w:t>
            </w:r>
            <w:r w:rsidR="00D57D0E" w:rsidRPr="00007050">
              <w:rPr>
                <w:sz w:val="28"/>
                <w:szCs w:val="28"/>
              </w:rPr>
              <w:t>es</w:t>
            </w:r>
            <w:r w:rsidR="00597330" w:rsidRPr="00007050">
              <w:rPr>
                <w:sz w:val="28"/>
                <w:szCs w:val="28"/>
              </w:rPr>
              <w:t xml:space="preserve"> ar Iedzīvotāju reģistru </w:t>
            </w:r>
            <w:r w:rsidR="00D57D0E" w:rsidRPr="00007050">
              <w:rPr>
                <w:sz w:val="28"/>
                <w:szCs w:val="28"/>
              </w:rPr>
              <w:t xml:space="preserve">nodrošināšana un </w:t>
            </w:r>
            <w:r w:rsidR="00597330" w:rsidRPr="00007050">
              <w:rPr>
                <w:sz w:val="28"/>
                <w:szCs w:val="28"/>
              </w:rPr>
              <w:t>ikviena jaundzimušā savlaicīg</w:t>
            </w:r>
            <w:r w:rsidR="00D57D0E" w:rsidRPr="00007050">
              <w:rPr>
                <w:sz w:val="28"/>
                <w:szCs w:val="28"/>
              </w:rPr>
              <w:t>as</w:t>
            </w:r>
            <w:r w:rsidR="00597330" w:rsidRPr="00007050">
              <w:rPr>
                <w:sz w:val="28"/>
                <w:szCs w:val="28"/>
              </w:rPr>
              <w:t xml:space="preserve"> reģistrācij</w:t>
            </w:r>
            <w:r w:rsidR="00D57D0E" w:rsidRPr="00007050">
              <w:rPr>
                <w:sz w:val="28"/>
                <w:szCs w:val="28"/>
              </w:rPr>
              <w:t>as</w:t>
            </w:r>
            <w:r w:rsidR="00597330" w:rsidRPr="00007050">
              <w:rPr>
                <w:sz w:val="28"/>
                <w:szCs w:val="28"/>
              </w:rPr>
              <w:t xml:space="preserve"> Iedzīvotāju reģistrā</w:t>
            </w:r>
            <w:r w:rsidR="00D57D0E" w:rsidRPr="00007050">
              <w:rPr>
                <w:sz w:val="28"/>
                <w:szCs w:val="28"/>
              </w:rPr>
              <w:t xml:space="preserve"> garantēšana</w:t>
            </w:r>
            <w:r w:rsidR="00597330" w:rsidRPr="00007050">
              <w:rPr>
                <w:sz w:val="28"/>
                <w:szCs w:val="28"/>
              </w:rPr>
              <w:t>.</w:t>
            </w:r>
            <w:r w:rsidRPr="00007050">
              <w:rPr>
                <w:sz w:val="28"/>
                <w:szCs w:val="28"/>
              </w:rPr>
              <w:t xml:space="preserve"> </w:t>
            </w:r>
          </w:p>
          <w:p w14:paraId="40AA0D33" w14:textId="6BBDA879" w:rsidR="00D0126A" w:rsidRPr="000B77A6" w:rsidRDefault="002F2CB1" w:rsidP="00814CD8">
            <w:pPr>
              <w:ind w:firstLine="238"/>
              <w:jc w:val="both"/>
              <w:rPr>
                <w:sz w:val="28"/>
                <w:szCs w:val="28"/>
              </w:rPr>
            </w:pPr>
            <w:r w:rsidRPr="00007050">
              <w:rPr>
                <w:sz w:val="28"/>
                <w:szCs w:val="28"/>
              </w:rPr>
              <w:t xml:space="preserve">Noteikumu projekta  </w:t>
            </w:r>
            <w:r w:rsidR="008F2589" w:rsidRPr="00007050">
              <w:rPr>
                <w:sz w:val="28"/>
                <w:szCs w:val="28"/>
              </w:rPr>
              <w:t>8</w:t>
            </w:r>
            <w:r w:rsidRPr="00007050">
              <w:rPr>
                <w:sz w:val="28"/>
                <w:szCs w:val="28"/>
              </w:rPr>
              <w:t xml:space="preserve">.2. apakšpunktā ir noteikts, ka no PMLP tiek papildināti dati par jaundzimušā personas kodu (atbilstoši </w:t>
            </w:r>
            <w:r w:rsidR="00676D1C" w:rsidRPr="00007050">
              <w:rPr>
                <w:sz w:val="28"/>
                <w:szCs w:val="28"/>
              </w:rPr>
              <w:t>N</w:t>
            </w:r>
            <w:r w:rsidRPr="00007050">
              <w:rPr>
                <w:sz w:val="28"/>
                <w:szCs w:val="28"/>
              </w:rPr>
              <w:t>oteikumu projekta pielikuma 30. punktam). Šo datu aktualizācija ir automātisks process</w:t>
            </w:r>
            <w:r w:rsidRPr="000B77A6">
              <w:rPr>
                <w:sz w:val="28"/>
                <w:szCs w:val="28"/>
              </w:rPr>
              <w:t>, līdz ar to notiek reizi d</w:t>
            </w:r>
            <w:r w:rsidR="00814CD8" w:rsidRPr="000B77A6">
              <w:rPr>
                <w:sz w:val="28"/>
                <w:szCs w:val="28"/>
              </w:rPr>
              <w:t>iennaktī, savukārt datu ievade R</w:t>
            </w:r>
            <w:r w:rsidRPr="000B77A6">
              <w:rPr>
                <w:sz w:val="28"/>
                <w:szCs w:val="28"/>
              </w:rPr>
              <w:t xml:space="preserve">eģistrā, ko nodrošina ārstniecības iestādes, notiek tiešsaistes režīmā un termiņš </w:t>
            </w:r>
            <w:r w:rsidR="00814CD8" w:rsidRPr="000B77A6">
              <w:rPr>
                <w:sz w:val="28"/>
                <w:szCs w:val="28"/>
              </w:rPr>
              <w:t>–</w:t>
            </w:r>
            <w:r w:rsidRPr="000B77A6">
              <w:rPr>
                <w:sz w:val="28"/>
                <w:szCs w:val="28"/>
              </w:rPr>
              <w:t xml:space="preserve"> ka ārstniecības iestādes ievada un aktualizē informāciju Reģistrā ne retāk kā reizi mēnesī – nozīmē to, ka iestādēm reģistrā jāievada </w:t>
            </w:r>
            <w:r w:rsidRPr="000B77A6">
              <w:rPr>
                <w:sz w:val="28"/>
                <w:szCs w:val="28"/>
              </w:rPr>
              <w:lastRenderedPageBreak/>
              <w:t>informācija par konkrētajā mēnesī dzimušajiem līdz nākamā mēneša beigām. Līdz ar to katra</w:t>
            </w:r>
            <w:r w:rsidRPr="000B77A6">
              <w:t xml:space="preserve"> </w:t>
            </w:r>
            <w:r w:rsidRPr="000B77A6">
              <w:rPr>
                <w:sz w:val="28"/>
                <w:szCs w:val="28"/>
              </w:rPr>
              <w:t>ārstniecības iestāde var šos datus ievadīt jebkurā laikā mēneša ietvaros. Tā kā ārstniecības iestādēs praktiski nevienā gadījumā nav informācijas par jaundzimušā personas kodu, jo tas tiek piešķirts vēlāk, reģistrējot bērnu PMLP Iedzīvotāju reģistrā, līdz ar to iestāde nelieto PMLP rīcībā esošās datu bāzes, lai veiktu kāda veida datu salīdzināšanu vai meklēšanu.</w:t>
            </w:r>
          </w:p>
          <w:p w14:paraId="40AA0D34" w14:textId="4A5F4B71" w:rsidR="00D0126A" w:rsidRPr="000B77A6" w:rsidRDefault="002F2CB1" w:rsidP="00D0126A">
            <w:pPr>
              <w:pStyle w:val="CommentText"/>
              <w:jc w:val="both"/>
              <w:rPr>
                <w:sz w:val="28"/>
                <w:szCs w:val="28"/>
              </w:rPr>
            </w:pPr>
            <w:r w:rsidRPr="000B77A6">
              <w:rPr>
                <w:sz w:val="28"/>
                <w:szCs w:val="28"/>
              </w:rPr>
              <w:t>Projekta 1</w:t>
            </w:r>
            <w:r w:rsidR="008F2589">
              <w:rPr>
                <w:sz w:val="28"/>
                <w:szCs w:val="28"/>
              </w:rPr>
              <w:t>3</w:t>
            </w:r>
            <w:r w:rsidRPr="000B77A6">
              <w:rPr>
                <w:sz w:val="28"/>
                <w:szCs w:val="28"/>
              </w:rPr>
              <w:t>. punkts nosaka, ka Reģistrā iekļauto informāciju izmanto Valsts statistikas likumā, Pacientu tiesību likumā un Fizisko personu datu aizsardzības likumā noteiktajā kārtībā.</w:t>
            </w:r>
          </w:p>
          <w:p w14:paraId="40AA0D35" w14:textId="77777777" w:rsidR="005F3966" w:rsidRPr="000B77A6" w:rsidRDefault="002F2CB1" w:rsidP="00D0126A">
            <w:pPr>
              <w:pStyle w:val="naisf"/>
              <w:tabs>
                <w:tab w:val="left" w:pos="34"/>
                <w:tab w:val="left" w:pos="459"/>
              </w:tabs>
              <w:spacing w:before="0" w:after="0"/>
              <w:ind w:left="33"/>
              <w:rPr>
                <w:sz w:val="28"/>
                <w:szCs w:val="28"/>
              </w:rPr>
            </w:pPr>
            <w:r w:rsidRPr="000B77A6">
              <w:rPr>
                <w:sz w:val="28"/>
                <w:szCs w:val="28"/>
              </w:rPr>
              <w:t>K</w:t>
            </w:r>
            <w:r w:rsidR="00D0126A" w:rsidRPr="000B77A6">
              <w:rPr>
                <w:sz w:val="28"/>
                <w:szCs w:val="28"/>
              </w:rPr>
              <w:t>ārtību, kādā veido, reģistrē, uztur, lieto, reorganizē vai likvidē valsts informācijas sistēmas, nosaka valsts informācijas sistēmas turētāja funkcijas un valsts informācijas sistēmas datu subjekta tiesības un pienākumus, kā arī regulē valsts informācijas sistēmu drošības pārvaldību - nosaka Valsts informācijas sistēmu likums, kura prasības ir saistošas</w:t>
            </w:r>
            <w:r w:rsidRPr="000B77A6">
              <w:rPr>
                <w:sz w:val="28"/>
                <w:szCs w:val="28"/>
              </w:rPr>
              <w:t xml:space="preserve"> arī SPKC, uzturot R</w:t>
            </w:r>
            <w:r w:rsidR="00D0126A" w:rsidRPr="000B77A6">
              <w:rPr>
                <w:sz w:val="28"/>
                <w:szCs w:val="28"/>
              </w:rPr>
              <w:t xml:space="preserve">eģistru. </w:t>
            </w:r>
            <w:r w:rsidR="00597330" w:rsidRPr="000B77A6">
              <w:rPr>
                <w:sz w:val="28"/>
                <w:szCs w:val="28"/>
              </w:rPr>
              <w:t xml:space="preserve"> </w:t>
            </w:r>
          </w:p>
          <w:p w14:paraId="40AA0D36" w14:textId="78811B75" w:rsidR="00057685" w:rsidRPr="000B77A6" w:rsidRDefault="002F2CB1" w:rsidP="00E96C78">
            <w:pPr>
              <w:ind w:firstLine="238"/>
              <w:jc w:val="both"/>
              <w:rPr>
                <w:sz w:val="28"/>
                <w:szCs w:val="28"/>
              </w:rPr>
            </w:pPr>
            <w:r w:rsidRPr="000B77A6">
              <w:rPr>
                <w:sz w:val="28"/>
                <w:szCs w:val="28"/>
              </w:rPr>
              <w:t>Ārstniecības iestādes sniedz</w:t>
            </w:r>
            <w:r w:rsidR="00463CCD" w:rsidRPr="000B77A6">
              <w:rPr>
                <w:sz w:val="28"/>
                <w:szCs w:val="28"/>
              </w:rPr>
              <w:t xml:space="preserve"> inform</w:t>
            </w:r>
            <w:r w:rsidRPr="000B77A6">
              <w:rPr>
                <w:sz w:val="28"/>
                <w:szCs w:val="28"/>
              </w:rPr>
              <w:t>āciju</w:t>
            </w:r>
            <w:r w:rsidR="00463CCD" w:rsidRPr="000B77A6">
              <w:rPr>
                <w:sz w:val="28"/>
                <w:szCs w:val="28"/>
              </w:rPr>
              <w:t xml:space="preserve"> Reģistram nevis dzimtsarakstu nodaļai bērna reģistrācijai. </w:t>
            </w:r>
            <w:r w:rsidRPr="000B77A6">
              <w:rPr>
                <w:sz w:val="28"/>
                <w:szCs w:val="28"/>
              </w:rPr>
              <w:t xml:space="preserve">Piemēram, </w:t>
            </w:r>
            <w:r w:rsidR="00867AAB" w:rsidRPr="000B77A6">
              <w:rPr>
                <w:sz w:val="28"/>
                <w:szCs w:val="28"/>
              </w:rPr>
              <w:t>N</w:t>
            </w:r>
            <w:r w:rsidRPr="000B77A6">
              <w:rPr>
                <w:sz w:val="28"/>
                <w:szCs w:val="28"/>
              </w:rPr>
              <w:t>oteikumu Nr. 265 36. pielikuma 32. punktā „Dzimums” jau šobrīd ir paredzēta izvēle „(1-vīrietis; 2- sieviete; 3- neskaidrs)”. Gadā vidēji var būt 2-3 gadījumi, kad jaundzimušā dzimums jaundzimušā kartē tiek atzīmēts kā “neskaidrs”</w:t>
            </w:r>
            <w:r w:rsidR="00E96C78" w:rsidRPr="000B77A6">
              <w:rPr>
                <w:sz w:val="28"/>
                <w:szCs w:val="28"/>
              </w:rPr>
              <w:t xml:space="preserve">. </w:t>
            </w:r>
            <w:r w:rsidRPr="000B77A6">
              <w:rPr>
                <w:sz w:val="28"/>
                <w:szCs w:val="28"/>
              </w:rPr>
              <w:t xml:space="preserve">Ja vēlāk </w:t>
            </w:r>
            <w:r w:rsidR="00E96C78" w:rsidRPr="000B77A6">
              <w:rPr>
                <w:sz w:val="28"/>
                <w:szCs w:val="28"/>
              </w:rPr>
              <w:t>šādam</w:t>
            </w:r>
            <w:r w:rsidRPr="000B77A6">
              <w:rPr>
                <w:sz w:val="28"/>
                <w:szCs w:val="28"/>
              </w:rPr>
              <w:t xml:space="preserve"> jaundzimu</w:t>
            </w:r>
            <w:r w:rsidR="00E96C78" w:rsidRPr="000B77A6">
              <w:rPr>
                <w:sz w:val="28"/>
                <w:szCs w:val="28"/>
              </w:rPr>
              <w:t xml:space="preserve">šajam </w:t>
            </w:r>
            <w:r w:rsidRPr="000B77A6">
              <w:rPr>
                <w:sz w:val="28"/>
                <w:szCs w:val="28"/>
              </w:rPr>
              <w:t xml:space="preserve">tiek noteikts precīzs dzimums, ar kuru tālāk tiek </w:t>
            </w:r>
            <w:r w:rsidR="00E96C78" w:rsidRPr="000B77A6">
              <w:rPr>
                <w:sz w:val="28"/>
                <w:szCs w:val="28"/>
              </w:rPr>
              <w:t xml:space="preserve">veikta </w:t>
            </w:r>
            <w:r w:rsidRPr="000B77A6">
              <w:rPr>
                <w:sz w:val="28"/>
                <w:szCs w:val="28"/>
              </w:rPr>
              <w:t>reģistr</w:t>
            </w:r>
            <w:r w:rsidR="00E96C78" w:rsidRPr="000B77A6">
              <w:rPr>
                <w:sz w:val="28"/>
                <w:szCs w:val="28"/>
              </w:rPr>
              <w:t xml:space="preserve">ācija </w:t>
            </w:r>
            <w:r w:rsidRPr="000B77A6">
              <w:rPr>
                <w:sz w:val="28"/>
                <w:szCs w:val="28"/>
              </w:rPr>
              <w:t>PMLP</w:t>
            </w:r>
            <w:r w:rsidR="008F2589">
              <w:rPr>
                <w:sz w:val="28"/>
                <w:szCs w:val="28"/>
              </w:rPr>
              <w:t>, tad</w:t>
            </w:r>
            <w:r w:rsidRPr="000B77A6">
              <w:rPr>
                <w:sz w:val="28"/>
                <w:szCs w:val="28"/>
              </w:rPr>
              <w:t xml:space="preserve"> veicot datu aktualizāciju ar PMLP par bērnu personas kodiem, va</w:t>
            </w:r>
            <w:r w:rsidR="00867AAB" w:rsidRPr="000B77A6">
              <w:rPr>
                <w:sz w:val="28"/>
                <w:szCs w:val="28"/>
              </w:rPr>
              <w:t>r veikt nepieciešamās izmaiņas R</w:t>
            </w:r>
            <w:r w:rsidRPr="000B77A6">
              <w:rPr>
                <w:sz w:val="28"/>
                <w:szCs w:val="28"/>
              </w:rPr>
              <w:t>eģistra datos.</w:t>
            </w:r>
          </w:p>
          <w:p w14:paraId="40AA0D37" w14:textId="3EEFB28C" w:rsidR="00BA72BB" w:rsidRPr="000B77A6" w:rsidRDefault="002F2CB1" w:rsidP="00BA72BB">
            <w:pPr>
              <w:ind w:firstLine="238"/>
              <w:jc w:val="both"/>
              <w:rPr>
                <w:sz w:val="28"/>
                <w:szCs w:val="28"/>
              </w:rPr>
            </w:pPr>
            <w:r w:rsidRPr="000B77A6">
              <w:rPr>
                <w:sz w:val="28"/>
                <w:szCs w:val="28"/>
              </w:rPr>
              <w:t>N</w:t>
            </w:r>
            <w:r w:rsidR="00E96C78" w:rsidRPr="000B77A6">
              <w:rPr>
                <w:sz w:val="28"/>
                <w:szCs w:val="28"/>
              </w:rPr>
              <w:t xml:space="preserve">oteikumos </w:t>
            </w:r>
            <w:r w:rsidRPr="000B77A6">
              <w:rPr>
                <w:sz w:val="28"/>
                <w:szCs w:val="28"/>
              </w:rPr>
              <w:t xml:space="preserve">Nr. 265 </w:t>
            </w:r>
            <w:r w:rsidR="00E96C78" w:rsidRPr="000B77A6">
              <w:rPr>
                <w:sz w:val="28"/>
                <w:szCs w:val="28"/>
              </w:rPr>
              <w:t>ir paredzēts veikt grozījumus, svītrojot 36. pielikumu</w:t>
            </w:r>
            <w:r w:rsidRPr="000B77A6">
              <w:rPr>
                <w:sz w:val="28"/>
                <w:szCs w:val="28"/>
              </w:rPr>
              <w:t xml:space="preserve"> „Jaundzimušā karte”</w:t>
            </w:r>
            <w:r w:rsidR="00E96C78" w:rsidRPr="000B77A6">
              <w:rPr>
                <w:sz w:val="28"/>
                <w:szCs w:val="28"/>
              </w:rPr>
              <w:t xml:space="preserve">, </w:t>
            </w:r>
            <w:r w:rsidRPr="000B77A6">
              <w:rPr>
                <w:sz w:val="28"/>
                <w:szCs w:val="28"/>
              </w:rPr>
              <w:t>tādējādi</w:t>
            </w:r>
            <w:r w:rsidR="00E96C78" w:rsidRPr="000B77A6">
              <w:rPr>
                <w:sz w:val="28"/>
                <w:szCs w:val="28"/>
              </w:rPr>
              <w:t xml:space="preserve"> turpmāk veidlapā norādītā informācija tiks sniegta vien</w:t>
            </w:r>
            <w:r w:rsidRPr="000B77A6">
              <w:rPr>
                <w:sz w:val="28"/>
                <w:szCs w:val="28"/>
              </w:rPr>
              <w:t>īgi R</w:t>
            </w:r>
            <w:r w:rsidR="00E96C78" w:rsidRPr="000B77A6">
              <w:rPr>
                <w:sz w:val="28"/>
                <w:szCs w:val="28"/>
              </w:rPr>
              <w:t xml:space="preserve">eģistram, un veidlapa būs pieejama tikai Ministru kabineta noteikumos “Jaundzimušo reģistra </w:t>
            </w:r>
            <w:r w:rsidR="00007050">
              <w:rPr>
                <w:sz w:val="28"/>
                <w:szCs w:val="28"/>
              </w:rPr>
              <w:t>noteikumi</w:t>
            </w:r>
            <w:bookmarkStart w:id="0" w:name="_GoBack"/>
            <w:bookmarkEnd w:id="0"/>
            <w:r w:rsidR="00E96C78" w:rsidRPr="000B77A6">
              <w:rPr>
                <w:sz w:val="28"/>
                <w:szCs w:val="28"/>
              </w:rPr>
              <w:t xml:space="preserve">”. </w:t>
            </w:r>
          </w:p>
          <w:p w14:paraId="40AA0D38" w14:textId="4C15394E" w:rsidR="006E392B" w:rsidRPr="00CE143B" w:rsidRDefault="002F2CB1" w:rsidP="00527312">
            <w:pPr>
              <w:ind w:firstLine="238"/>
              <w:jc w:val="both"/>
              <w:rPr>
                <w:sz w:val="28"/>
                <w:szCs w:val="28"/>
              </w:rPr>
            </w:pPr>
            <w:r w:rsidRPr="000B77A6">
              <w:rPr>
                <w:sz w:val="28"/>
                <w:szCs w:val="28"/>
              </w:rPr>
              <w:t xml:space="preserve">Ņemot vērā reģistra uzturēšanas mērķi, informācija, kuru </w:t>
            </w:r>
            <w:r w:rsidR="00B26C24" w:rsidRPr="000B77A6">
              <w:rPr>
                <w:sz w:val="28"/>
                <w:szCs w:val="28"/>
              </w:rPr>
              <w:t>ārstniecīb</w:t>
            </w:r>
            <w:r w:rsidR="00527312" w:rsidRPr="000B77A6">
              <w:rPr>
                <w:sz w:val="28"/>
                <w:szCs w:val="28"/>
              </w:rPr>
              <w:t>as iestā</w:t>
            </w:r>
            <w:r w:rsidRPr="000B77A6">
              <w:rPr>
                <w:sz w:val="28"/>
                <w:szCs w:val="28"/>
              </w:rPr>
              <w:t>des sniedz,</w:t>
            </w:r>
            <w:r w:rsidR="00527312" w:rsidRPr="000B77A6">
              <w:rPr>
                <w:sz w:val="28"/>
                <w:szCs w:val="28"/>
              </w:rPr>
              <w:t xml:space="preserve"> </w:t>
            </w:r>
            <w:r w:rsidR="00B26C24" w:rsidRPr="000B77A6">
              <w:rPr>
                <w:sz w:val="28"/>
                <w:szCs w:val="28"/>
              </w:rPr>
              <w:t xml:space="preserve">satur </w:t>
            </w:r>
            <w:r w:rsidR="00055710" w:rsidRPr="000B77A6">
              <w:rPr>
                <w:sz w:val="28"/>
                <w:szCs w:val="28"/>
              </w:rPr>
              <w:t>datus par visu jaundzimušā perinatālo periodu (t.i. arī grūtniecības laiku)</w:t>
            </w:r>
            <w:r w:rsidR="00C029A3" w:rsidRPr="000B77A6">
              <w:rPr>
                <w:sz w:val="28"/>
                <w:szCs w:val="28"/>
              </w:rPr>
              <w:t xml:space="preserve">, </w:t>
            </w:r>
            <w:r w:rsidR="00055710" w:rsidRPr="000B77A6">
              <w:rPr>
                <w:sz w:val="28"/>
                <w:szCs w:val="28"/>
              </w:rPr>
              <w:t xml:space="preserve">kā arī mātes veselību un antenatālo aprūpi, tādējādi atspoguļojot pilnīgu informāciju saistībā ar </w:t>
            </w:r>
            <w:r w:rsidR="00055710" w:rsidRPr="00CE143B">
              <w:rPr>
                <w:sz w:val="28"/>
                <w:szCs w:val="28"/>
              </w:rPr>
              <w:t>jaundzimušā veselību un to ietekmējošiem faktoriem.</w:t>
            </w:r>
          </w:p>
          <w:p w14:paraId="65443F8C" w14:textId="0ECC9BCE" w:rsidR="00CE143B" w:rsidRPr="00CE143B" w:rsidRDefault="00CE143B" w:rsidP="00527312">
            <w:pPr>
              <w:ind w:firstLine="238"/>
              <w:jc w:val="both"/>
              <w:rPr>
                <w:sz w:val="28"/>
                <w:szCs w:val="28"/>
              </w:rPr>
            </w:pPr>
            <w:r w:rsidRPr="00CE143B">
              <w:rPr>
                <w:sz w:val="28"/>
                <w:szCs w:val="28"/>
              </w:rPr>
              <w:t>Jaundzimušo reģistrs ietver medicīnisku informāciju par bērna piedzimšanas brīdi, kā arī iespējamiem riska faktoriem, atbilstoši mātes slimību vēsturei un kaitīgajiem ieradumiem. Šī informācija netiek uzkrāta citās datubāzēs un ir nepieciešama, lai varētu izvērtēt iespējamo slimību cēloni un attīstību visa mūža garumā, nodrošinot indivīda veselības monitorēšanu pilna dzīves cikla laikā. Lai nodrošinātu nepieciešamās informācijas iegūšanas un salīdzināšanas iespējas, identificējami bērna dati (personas kods) Jaundzimušo reģistrā tiek glabāts līdz bērna pilngadībai jeb 18 gadiem, atbilstoši termina “bērns” definīcijai (Bērnu tiesību aizsardzības likums 3.pants).</w:t>
            </w:r>
          </w:p>
          <w:p w14:paraId="40AA0D39" w14:textId="5ED034AA" w:rsidR="00527312" w:rsidRDefault="002F2CB1" w:rsidP="00527312">
            <w:pPr>
              <w:ind w:firstLine="238"/>
              <w:jc w:val="both"/>
              <w:rPr>
                <w:sz w:val="28"/>
                <w:szCs w:val="28"/>
              </w:rPr>
            </w:pPr>
            <w:r w:rsidRPr="00CE143B">
              <w:rPr>
                <w:sz w:val="28"/>
                <w:szCs w:val="28"/>
              </w:rPr>
              <w:t>Tādējādi, lai precizētu</w:t>
            </w:r>
            <w:r w:rsidR="00055710" w:rsidRPr="00CE143B">
              <w:rPr>
                <w:sz w:val="28"/>
                <w:szCs w:val="28"/>
              </w:rPr>
              <w:t xml:space="preserve"> </w:t>
            </w:r>
            <w:r w:rsidRPr="00CE143B">
              <w:rPr>
                <w:sz w:val="28"/>
                <w:szCs w:val="28"/>
              </w:rPr>
              <w:t>Ārstniecības likuma 9. panta pirmajā daļā ietverto deleģējumu</w:t>
            </w:r>
            <w:r w:rsidRPr="000B77A6">
              <w:rPr>
                <w:sz w:val="28"/>
                <w:szCs w:val="28"/>
              </w:rPr>
              <w:t>, kas paredz Ministru kabinetam noteikt jaundzimušo reģistra izveides, papildināšanas un uzturēšanas kārtību</w:t>
            </w:r>
            <w:r w:rsidR="00A9219C" w:rsidRPr="000B77A6">
              <w:rPr>
                <w:sz w:val="28"/>
                <w:szCs w:val="28"/>
              </w:rPr>
              <w:t xml:space="preserve">, atbilstoši reģistra uzturēšanas mērķim, Veselības ministrija </w:t>
            </w:r>
            <w:r w:rsidR="00F506CF" w:rsidRPr="000B77A6">
              <w:rPr>
                <w:sz w:val="28"/>
                <w:szCs w:val="28"/>
              </w:rPr>
              <w:t>bija</w:t>
            </w:r>
            <w:r w:rsidR="002D72F3" w:rsidRPr="000B77A6">
              <w:rPr>
                <w:sz w:val="28"/>
                <w:szCs w:val="28"/>
              </w:rPr>
              <w:t xml:space="preserve"> </w:t>
            </w:r>
            <w:r w:rsidR="00A9219C" w:rsidRPr="000B77A6">
              <w:rPr>
                <w:sz w:val="28"/>
                <w:szCs w:val="28"/>
              </w:rPr>
              <w:t>izstrādājusi likumprojektu „Grozījumi Ārstniecības likumā”</w:t>
            </w:r>
            <w:r w:rsidR="00F506CF" w:rsidRPr="000B77A6">
              <w:rPr>
                <w:sz w:val="28"/>
                <w:szCs w:val="28"/>
              </w:rPr>
              <w:t xml:space="preserve">. 2016. gada 1. decembrī tika pieņemts likums </w:t>
            </w:r>
            <w:r w:rsidR="00F506CF" w:rsidRPr="000B77A6">
              <w:rPr>
                <w:sz w:val="28"/>
                <w:szCs w:val="28"/>
                <w:lang w:eastAsia="en-US"/>
              </w:rPr>
              <w:t>„</w:t>
            </w:r>
            <w:r w:rsidR="00F506CF" w:rsidRPr="000B77A6">
              <w:rPr>
                <w:sz w:val="28"/>
                <w:szCs w:val="28"/>
              </w:rPr>
              <w:t xml:space="preserve">Grozījumi Ārstniecības likumā”  (stājās spēkā 2016. gada 22. decembrī), ar kuru paredzēts iekļaut Reģistrā arī ziņas par jaundzimušā māti atbilstoši Noteikumu projekta 2.  punktā noteiktajam. </w:t>
            </w:r>
          </w:p>
          <w:p w14:paraId="40AA0D3A" w14:textId="77777777" w:rsidR="00D54A28" w:rsidRPr="000B77A6" w:rsidRDefault="002F2CB1" w:rsidP="00527312">
            <w:pPr>
              <w:ind w:firstLine="238"/>
              <w:jc w:val="both"/>
              <w:rPr>
                <w:sz w:val="28"/>
                <w:szCs w:val="28"/>
              </w:rPr>
            </w:pPr>
            <w:r w:rsidRPr="000B77A6">
              <w:rPr>
                <w:sz w:val="28"/>
                <w:szCs w:val="28"/>
              </w:rPr>
              <w:t xml:space="preserve">Lai izvērtētu perinatālās veselības situāciju valstīs, ir izstrādāti starptautiski salīdzināmi ticami un pamatoti indikatori perinatālās veselības monitorēšanai  starptautiskā projekta „Eiropas perinatālās veselības uzraudzības sistēma” ietvaros. Tiek vākti un analizēti dalībvalstu perinatālo veselību raksturojošie dati, kas sevī ietver mātes un bērna veselību perinatālajā periodā – grūtniecības laikā, dzemdībās un pēcdzemdību periodā, kā arī tiek veidoti ziņojumi (skat. </w:t>
            </w:r>
            <w:hyperlink r:id="rId8" w:history="1">
              <w:r w:rsidR="00095009" w:rsidRPr="000B77A6">
                <w:rPr>
                  <w:rStyle w:val="Hyperlink"/>
                  <w:color w:val="auto"/>
                  <w:sz w:val="28"/>
                  <w:szCs w:val="28"/>
                </w:rPr>
                <w:t>www.europeristat.com</w:t>
              </w:r>
            </w:hyperlink>
            <w:r w:rsidRPr="000B77A6">
              <w:rPr>
                <w:sz w:val="28"/>
                <w:szCs w:val="28"/>
              </w:rPr>
              <w:t>) par augstāk minēto datu analīzes rezultātiem.</w:t>
            </w:r>
          </w:p>
          <w:p w14:paraId="40AA0D3B" w14:textId="77777777" w:rsidR="003E5A6F" w:rsidRPr="000B77A6" w:rsidRDefault="002F2CB1" w:rsidP="00A63AEC">
            <w:pPr>
              <w:tabs>
                <w:tab w:val="left" w:pos="1291"/>
              </w:tabs>
              <w:ind w:firstLine="238"/>
              <w:jc w:val="both"/>
              <w:rPr>
                <w:sz w:val="28"/>
                <w:szCs w:val="28"/>
              </w:rPr>
            </w:pPr>
            <w:r w:rsidRPr="000B77A6">
              <w:rPr>
                <w:sz w:val="28"/>
                <w:szCs w:val="28"/>
              </w:rPr>
              <w:t>Arī citās Eiropas valstīs Jaundzimušo reģistros</w:t>
            </w:r>
            <w:r w:rsidR="002D72F3" w:rsidRPr="000B77A6">
              <w:rPr>
                <w:sz w:val="28"/>
                <w:szCs w:val="28"/>
              </w:rPr>
              <w:t>, kuri nav administratīvie reģistri bet gan medicīniskie,</w:t>
            </w:r>
            <w:r w:rsidRPr="000B77A6">
              <w:rPr>
                <w:sz w:val="28"/>
                <w:szCs w:val="28"/>
              </w:rPr>
              <w:t xml:space="preserve"> (ang val. – Newborn Registry, Medical Birth Registry) ir ietverta informācija ne tikai par dzimšanas faktu jeb jaundzimušo</w:t>
            </w:r>
            <w:r w:rsidR="00DE2D12" w:rsidRPr="000B77A6">
              <w:rPr>
                <w:sz w:val="28"/>
                <w:szCs w:val="28"/>
              </w:rPr>
              <w:t>,</w:t>
            </w:r>
            <w:r w:rsidRPr="000B77A6">
              <w:rPr>
                <w:sz w:val="28"/>
                <w:szCs w:val="28"/>
              </w:rPr>
              <w:t xml:space="preserve"> bet arī </w:t>
            </w:r>
            <w:r w:rsidR="00DE2D12" w:rsidRPr="000B77A6">
              <w:rPr>
                <w:sz w:val="28"/>
                <w:szCs w:val="28"/>
              </w:rPr>
              <w:t xml:space="preserve">informācija, kas aptver datus </w:t>
            </w:r>
            <w:r w:rsidR="00A63AEC" w:rsidRPr="000B77A6">
              <w:rPr>
                <w:sz w:val="28"/>
                <w:szCs w:val="28"/>
              </w:rPr>
              <w:t xml:space="preserve">gan </w:t>
            </w:r>
            <w:r w:rsidRPr="000B77A6">
              <w:rPr>
                <w:sz w:val="28"/>
                <w:szCs w:val="28"/>
              </w:rPr>
              <w:t xml:space="preserve">par </w:t>
            </w:r>
            <w:r w:rsidR="00BC681D" w:rsidRPr="000B77A6">
              <w:rPr>
                <w:sz w:val="28"/>
                <w:szCs w:val="28"/>
              </w:rPr>
              <w:t>māti, gan bērnu</w:t>
            </w:r>
            <w:r w:rsidR="00A63AEC" w:rsidRPr="000B77A6">
              <w:rPr>
                <w:sz w:val="28"/>
                <w:szCs w:val="28"/>
              </w:rPr>
              <w:t>, t.sk. iepriekšējo grūtniecību</w:t>
            </w:r>
            <w:r w:rsidR="00BC681D" w:rsidRPr="000B77A6">
              <w:rPr>
                <w:sz w:val="28"/>
                <w:szCs w:val="28"/>
              </w:rPr>
              <w:t xml:space="preserve">/ dzemdību anamnēzi: </w:t>
            </w:r>
            <w:r w:rsidR="00370E2D" w:rsidRPr="000B77A6">
              <w:rPr>
                <w:sz w:val="28"/>
                <w:szCs w:val="28"/>
              </w:rPr>
              <w:t>datus par mātes veselības problēmām pirms un grūtniecības laikā, kā arī dzemdību un pēcdzemdību perioda komplikācijām un arī informāciju par jaundzimušo (</w:t>
            </w:r>
            <w:r w:rsidR="00BC681D" w:rsidRPr="000B77A6">
              <w:rPr>
                <w:sz w:val="28"/>
                <w:szCs w:val="28"/>
              </w:rPr>
              <w:t xml:space="preserve">Norvēģijā </w:t>
            </w:r>
            <w:r w:rsidR="00370E2D" w:rsidRPr="000B77A6">
              <w:rPr>
                <w:sz w:val="28"/>
                <w:szCs w:val="28"/>
              </w:rPr>
              <w:t>skat.</w:t>
            </w:r>
            <w:r w:rsidR="002D72F3" w:rsidRPr="000B77A6">
              <w:t xml:space="preserve"> </w:t>
            </w:r>
            <w:hyperlink r:id="rId9" w:history="1">
              <w:r w:rsidR="00385F23" w:rsidRPr="000B77A6">
                <w:rPr>
                  <w:rStyle w:val="Hyperlink"/>
                  <w:color w:val="auto"/>
                  <w:sz w:val="28"/>
                  <w:szCs w:val="28"/>
                </w:rPr>
                <w:t>https://www.fhi.no/en/hn/health-registries/medical-birth-registry-of-norway/medical-birth-registry-of-norway/</w:t>
              </w:r>
            </w:hyperlink>
            <w:r w:rsidR="00370E2D" w:rsidRPr="000B77A6">
              <w:rPr>
                <w:sz w:val="28"/>
                <w:szCs w:val="28"/>
              </w:rPr>
              <w:t>);</w:t>
            </w:r>
            <w:r w:rsidR="008F4C31" w:rsidRPr="000B77A6">
              <w:rPr>
                <w:sz w:val="28"/>
                <w:szCs w:val="28"/>
              </w:rPr>
              <w:t xml:space="preserve"> </w:t>
            </w:r>
            <w:r w:rsidR="00370E2D" w:rsidRPr="000B77A6">
              <w:rPr>
                <w:sz w:val="28"/>
                <w:szCs w:val="28"/>
              </w:rPr>
              <w:t>(</w:t>
            </w:r>
            <w:r w:rsidR="00BC681D" w:rsidRPr="000B77A6">
              <w:rPr>
                <w:sz w:val="28"/>
                <w:szCs w:val="28"/>
              </w:rPr>
              <w:t xml:space="preserve">Zviedrijā </w:t>
            </w:r>
            <w:r w:rsidR="00370E2D" w:rsidRPr="000B77A6">
              <w:rPr>
                <w:sz w:val="28"/>
                <w:szCs w:val="28"/>
              </w:rPr>
              <w:t xml:space="preserve">skat. </w:t>
            </w:r>
            <w:hyperlink r:id="rId10" w:history="1">
              <w:r w:rsidR="00370E2D" w:rsidRPr="000B77A6">
                <w:rPr>
                  <w:rStyle w:val="Hyperlink"/>
                  <w:color w:val="auto"/>
                  <w:sz w:val="28"/>
                  <w:szCs w:val="28"/>
                </w:rPr>
                <w:t>http://www.socialstyrelsen.se/register/halsodataregister/medicinskafodelseregistret/inenglish</w:t>
              </w:r>
            </w:hyperlink>
            <w:r w:rsidR="00370E2D" w:rsidRPr="000B77A6">
              <w:rPr>
                <w:sz w:val="28"/>
                <w:szCs w:val="28"/>
              </w:rPr>
              <w:t>); (</w:t>
            </w:r>
            <w:r w:rsidR="00BC681D" w:rsidRPr="000B77A6">
              <w:rPr>
                <w:sz w:val="28"/>
                <w:szCs w:val="28"/>
              </w:rPr>
              <w:t xml:space="preserve">Somijā </w:t>
            </w:r>
            <w:r w:rsidR="00370E2D" w:rsidRPr="000B77A6">
              <w:rPr>
                <w:sz w:val="28"/>
                <w:szCs w:val="28"/>
              </w:rPr>
              <w:t xml:space="preserve">skat. </w:t>
            </w:r>
            <w:hyperlink r:id="rId11" w:history="1">
              <w:r w:rsidR="00370E2D" w:rsidRPr="000B77A6">
                <w:rPr>
                  <w:rStyle w:val="Hyperlink"/>
                  <w:color w:val="auto"/>
                  <w:sz w:val="28"/>
                  <w:szCs w:val="28"/>
                </w:rPr>
                <w:t>https://www.thl.fi/fi/web/thlfi-en/statistics/information-on-statistics/register-descriptions/newborns</w:t>
              </w:r>
            </w:hyperlink>
            <w:r w:rsidR="00370E2D" w:rsidRPr="000B77A6">
              <w:rPr>
                <w:sz w:val="28"/>
                <w:szCs w:val="28"/>
              </w:rPr>
              <w:t>)</w:t>
            </w:r>
            <w:r w:rsidR="00BC681D" w:rsidRPr="000B77A6">
              <w:rPr>
                <w:sz w:val="28"/>
                <w:szCs w:val="28"/>
              </w:rPr>
              <w:t xml:space="preserve"> u.c valstīs. </w:t>
            </w:r>
          </w:p>
          <w:p w14:paraId="40AA0D3C" w14:textId="77777777" w:rsidR="00F128C4" w:rsidRPr="000B77A6" w:rsidRDefault="002F2CB1" w:rsidP="008F4C31">
            <w:pPr>
              <w:ind w:firstLine="238"/>
              <w:jc w:val="both"/>
              <w:rPr>
                <w:rStyle w:val="Strong"/>
                <w:b w:val="0"/>
                <w:bCs w:val="0"/>
                <w:sz w:val="28"/>
                <w:szCs w:val="28"/>
              </w:rPr>
            </w:pPr>
            <w:r w:rsidRPr="000B77A6">
              <w:rPr>
                <w:sz w:val="28"/>
                <w:szCs w:val="28"/>
              </w:rPr>
              <w:t>Vienlaikus</w:t>
            </w:r>
            <w:r w:rsidR="00900531" w:rsidRPr="000B77A6">
              <w:rPr>
                <w:sz w:val="28"/>
                <w:szCs w:val="28"/>
              </w:rPr>
              <w:t xml:space="preserve"> reģistra informācija tiek izmantota, lai nodrošinātu ikgadējo </w:t>
            </w:r>
            <w:r w:rsidR="00EE0AA3" w:rsidRPr="000B77A6">
              <w:rPr>
                <w:sz w:val="28"/>
                <w:szCs w:val="28"/>
              </w:rPr>
              <w:t>Oficiālās statistikas programmas izpildi</w:t>
            </w:r>
            <w:r w:rsidR="008F4C31" w:rsidRPr="000B77A6">
              <w:rPr>
                <w:sz w:val="28"/>
                <w:szCs w:val="28"/>
              </w:rPr>
              <w:t xml:space="preserve"> (Ministru kabineta 2016. gada 20. decembra noteikumi Nr. 813 “Noteikumi par Oficiālās statistikas programmu 2017. –2019. gadam” pielikuma 8. punkta “Veselības aprūpes statistika” 8.11. apakšpunkts)</w:t>
            </w:r>
            <w:r w:rsidR="003060B9" w:rsidRPr="000B77A6">
              <w:rPr>
                <w:sz w:val="28"/>
                <w:szCs w:val="28"/>
              </w:rPr>
              <w:t>.</w:t>
            </w:r>
            <w:r w:rsidR="007D6306" w:rsidRPr="000B77A6">
              <w:rPr>
                <w:rStyle w:val="Strong"/>
                <w:b w:val="0"/>
                <w:bCs w:val="0"/>
                <w:sz w:val="28"/>
                <w:szCs w:val="28"/>
              </w:rPr>
              <w:t xml:space="preserve"> </w:t>
            </w:r>
          </w:p>
        </w:tc>
      </w:tr>
      <w:tr w:rsidR="002F350A" w14:paraId="40AA0D41" w14:textId="77777777" w:rsidTr="00FA3A18">
        <w:trPr>
          <w:trHeight w:val="652"/>
          <w:tblCellSpacing w:w="0" w:type="dxa"/>
        </w:trPr>
        <w:tc>
          <w:tcPr>
            <w:tcW w:w="426" w:type="dxa"/>
            <w:tcBorders>
              <w:top w:val="outset" w:sz="6" w:space="0" w:color="auto"/>
              <w:left w:val="outset" w:sz="6" w:space="0" w:color="auto"/>
              <w:bottom w:val="outset" w:sz="6" w:space="0" w:color="auto"/>
              <w:right w:val="outset" w:sz="6" w:space="0" w:color="auto"/>
            </w:tcBorders>
          </w:tcPr>
          <w:p w14:paraId="40AA0D3E" w14:textId="77777777" w:rsidR="000F4405" w:rsidRPr="00FA0EB2" w:rsidRDefault="002F2CB1" w:rsidP="000F4405">
            <w:pPr>
              <w:spacing w:before="100" w:beforeAutospacing="1" w:after="100" w:afterAutospacing="1"/>
              <w:rPr>
                <w:sz w:val="28"/>
                <w:szCs w:val="28"/>
              </w:rPr>
            </w:pPr>
            <w:r w:rsidRPr="00FA0EB2">
              <w:rPr>
                <w:sz w:val="28"/>
                <w:szCs w:val="28"/>
              </w:rPr>
              <w:lastRenderedPageBreak/>
              <w:t>3.</w:t>
            </w:r>
          </w:p>
        </w:tc>
        <w:tc>
          <w:tcPr>
            <w:tcW w:w="2126" w:type="dxa"/>
            <w:tcBorders>
              <w:top w:val="outset" w:sz="6" w:space="0" w:color="auto"/>
              <w:left w:val="outset" w:sz="6" w:space="0" w:color="auto"/>
              <w:bottom w:val="outset" w:sz="6" w:space="0" w:color="auto"/>
              <w:right w:val="outset" w:sz="6" w:space="0" w:color="auto"/>
            </w:tcBorders>
          </w:tcPr>
          <w:p w14:paraId="40AA0D3F" w14:textId="77777777" w:rsidR="000F4405" w:rsidRPr="008B429C" w:rsidRDefault="002F2CB1" w:rsidP="000F4405">
            <w:pPr>
              <w:spacing w:before="100" w:beforeAutospacing="1" w:after="100" w:afterAutospacing="1"/>
              <w:rPr>
                <w:sz w:val="28"/>
                <w:szCs w:val="28"/>
              </w:rPr>
            </w:pPr>
            <w:r w:rsidRPr="00FA0EB2">
              <w:rPr>
                <w:sz w:val="28"/>
                <w:szCs w:val="28"/>
              </w:rPr>
              <w:t> </w:t>
            </w:r>
            <w:r w:rsidR="008B429C" w:rsidRPr="008B429C">
              <w:rPr>
                <w:sz w:val="28"/>
                <w:szCs w:val="28"/>
              </w:rPr>
              <w:t>Projekta izstrādē iesaistītās institūcijas</w:t>
            </w:r>
          </w:p>
        </w:tc>
        <w:tc>
          <w:tcPr>
            <w:tcW w:w="6520" w:type="dxa"/>
            <w:tcBorders>
              <w:top w:val="outset" w:sz="6" w:space="0" w:color="auto"/>
              <w:left w:val="outset" w:sz="6" w:space="0" w:color="auto"/>
              <w:bottom w:val="outset" w:sz="6" w:space="0" w:color="auto"/>
              <w:right w:val="outset" w:sz="6" w:space="0" w:color="auto"/>
            </w:tcBorders>
          </w:tcPr>
          <w:p w14:paraId="40AA0D40" w14:textId="77777777" w:rsidR="000F4405" w:rsidRPr="008B429C" w:rsidRDefault="002F2CB1" w:rsidP="007D6306">
            <w:pPr>
              <w:jc w:val="both"/>
              <w:rPr>
                <w:sz w:val="28"/>
                <w:szCs w:val="28"/>
              </w:rPr>
            </w:pPr>
            <w:r w:rsidRPr="008B429C">
              <w:rPr>
                <w:sz w:val="28"/>
                <w:szCs w:val="28"/>
              </w:rPr>
              <w:t xml:space="preserve">Veselības ministrija; </w:t>
            </w:r>
            <w:r w:rsidR="005E322A">
              <w:rPr>
                <w:sz w:val="28"/>
                <w:szCs w:val="28"/>
              </w:rPr>
              <w:t>SPKC</w:t>
            </w:r>
          </w:p>
        </w:tc>
      </w:tr>
      <w:tr w:rsidR="002F350A" w14:paraId="40AA0D45" w14:textId="77777777" w:rsidTr="00FA3A18">
        <w:trPr>
          <w:trHeight w:val="443"/>
          <w:tblCellSpacing w:w="0" w:type="dxa"/>
        </w:trPr>
        <w:tc>
          <w:tcPr>
            <w:tcW w:w="426" w:type="dxa"/>
            <w:tcBorders>
              <w:top w:val="outset" w:sz="6" w:space="0" w:color="auto"/>
              <w:left w:val="outset" w:sz="6" w:space="0" w:color="auto"/>
              <w:bottom w:val="outset" w:sz="6" w:space="0" w:color="auto"/>
              <w:right w:val="outset" w:sz="6" w:space="0" w:color="auto"/>
            </w:tcBorders>
          </w:tcPr>
          <w:p w14:paraId="40AA0D42" w14:textId="77777777" w:rsidR="000F4405" w:rsidRPr="00FA0EB2" w:rsidRDefault="002F2CB1" w:rsidP="000F4405">
            <w:pPr>
              <w:spacing w:before="100" w:beforeAutospacing="1" w:after="100" w:afterAutospacing="1"/>
              <w:rPr>
                <w:sz w:val="28"/>
                <w:szCs w:val="28"/>
              </w:rPr>
            </w:pPr>
            <w:r w:rsidRPr="00FA0EB2">
              <w:rPr>
                <w:sz w:val="28"/>
                <w:szCs w:val="28"/>
              </w:rPr>
              <w:t>4.</w:t>
            </w:r>
          </w:p>
        </w:tc>
        <w:tc>
          <w:tcPr>
            <w:tcW w:w="2126" w:type="dxa"/>
            <w:tcBorders>
              <w:top w:val="outset" w:sz="6" w:space="0" w:color="auto"/>
              <w:left w:val="outset" w:sz="6" w:space="0" w:color="auto"/>
              <w:bottom w:val="outset" w:sz="6" w:space="0" w:color="auto"/>
              <w:right w:val="outset" w:sz="6" w:space="0" w:color="auto"/>
            </w:tcBorders>
          </w:tcPr>
          <w:p w14:paraId="40AA0D43" w14:textId="77777777" w:rsidR="000F4405" w:rsidRPr="00FA0EB2" w:rsidRDefault="002F2CB1" w:rsidP="000F4405">
            <w:pPr>
              <w:spacing w:before="100" w:beforeAutospacing="1" w:after="100" w:afterAutospacing="1"/>
              <w:rPr>
                <w:sz w:val="28"/>
                <w:szCs w:val="28"/>
              </w:rPr>
            </w:pPr>
            <w:r>
              <w:rPr>
                <w:sz w:val="28"/>
                <w:szCs w:val="28"/>
              </w:rPr>
              <w:t>Cita informācija</w:t>
            </w:r>
          </w:p>
        </w:tc>
        <w:tc>
          <w:tcPr>
            <w:tcW w:w="6520" w:type="dxa"/>
            <w:tcBorders>
              <w:top w:val="outset" w:sz="6" w:space="0" w:color="auto"/>
              <w:left w:val="outset" w:sz="6" w:space="0" w:color="auto"/>
              <w:bottom w:val="outset" w:sz="6" w:space="0" w:color="auto"/>
              <w:right w:val="outset" w:sz="6" w:space="0" w:color="auto"/>
            </w:tcBorders>
          </w:tcPr>
          <w:p w14:paraId="40AA0D44" w14:textId="77777777" w:rsidR="000F4405" w:rsidRPr="008B429C" w:rsidRDefault="002F2CB1" w:rsidP="000F4405">
            <w:pPr>
              <w:pStyle w:val="NoSpacing"/>
              <w:jc w:val="both"/>
              <w:rPr>
                <w:rFonts w:ascii="Times New Roman" w:hAnsi="Times New Roman"/>
                <w:sz w:val="28"/>
                <w:szCs w:val="28"/>
              </w:rPr>
            </w:pPr>
            <w:r>
              <w:rPr>
                <w:rFonts w:ascii="Times New Roman" w:hAnsi="Times New Roman"/>
                <w:sz w:val="28"/>
                <w:szCs w:val="28"/>
              </w:rPr>
              <w:t>Nav</w:t>
            </w:r>
          </w:p>
        </w:tc>
      </w:tr>
      <w:tr w:rsidR="002F350A" w14:paraId="40AA0D47" w14:textId="77777777" w:rsidTr="00FA3A18">
        <w:trPr>
          <w:trHeight w:val="693"/>
          <w:tblCellSpacing w:w="0" w:type="dxa"/>
        </w:trPr>
        <w:tc>
          <w:tcPr>
            <w:tcW w:w="9072" w:type="dxa"/>
            <w:gridSpan w:val="3"/>
            <w:tcBorders>
              <w:top w:val="outset" w:sz="6" w:space="0" w:color="auto"/>
              <w:left w:val="outset" w:sz="6" w:space="0" w:color="auto"/>
              <w:bottom w:val="outset" w:sz="6" w:space="0" w:color="auto"/>
              <w:right w:val="outset" w:sz="6" w:space="0" w:color="auto"/>
            </w:tcBorders>
          </w:tcPr>
          <w:p w14:paraId="40AA0D46" w14:textId="77777777" w:rsidR="008B429C" w:rsidRPr="008B429C" w:rsidRDefault="002F2CB1" w:rsidP="008B429C">
            <w:pPr>
              <w:ind w:firstLine="238"/>
              <w:jc w:val="center"/>
              <w:rPr>
                <w:sz w:val="28"/>
                <w:szCs w:val="28"/>
              </w:rPr>
            </w:pPr>
            <w:r w:rsidRPr="008B429C">
              <w:rPr>
                <w:b/>
                <w:sz w:val="28"/>
                <w:szCs w:val="28"/>
              </w:rPr>
              <w:t>II. Tiesību akta projekta ietekme uz sabiedrību, tautsaimniecības attīstību un administratīvo slogu</w:t>
            </w:r>
          </w:p>
        </w:tc>
      </w:tr>
      <w:tr w:rsidR="002F350A" w14:paraId="40AA0D4B" w14:textId="77777777" w:rsidTr="00FA3A18">
        <w:trPr>
          <w:trHeight w:val="773"/>
          <w:tblCellSpacing w:w="0" w:type="dxa"/>
        </w:trPr>
        <w:tc>
          <w:tcPr>
            <w:tcW w:w="426" w:type="dxa"/>
            <w:tcBorders>
              <w:top w:val="outset" w:sz="6" w:space="0" w:color="auto"/>
              <w:left w:val="outset" w:sz="6" w:space="0" w:color="auto"/>
              <w:bottom w:val="outset" w:sz="6" w:space="0" w:color="auto"/>
              <w:right w:val="outset" w:sz="6" w:space="0" w:color="auto"/>
            </w:tcBorders>
          </w:tcPr>
          <w:p w14:paraId="40AA0D48" w14:textId="77777777" w:rsidR="000F4405" w:rsidRPr="00FA0EB2" w:rsidRDefault="002F2CB1" w:rsidP="008B429C">
            <w:pPr>
              <w:spacing w:before="100" w:beforeAutospacing="1" w:after="100" w:afterAutospacing="1"/>
              <w:rPr>
                <w:sz w:val="28"/>
                <w:szCs w:val="28"/>
              </w:rPr>
            </w:pPr>
            <w:r>
              <w:rPr>
                <w:sz w:val="28"/>
                <w:szCs w:val="28"/>
              </w:rPr>
              <w:t>1.</w:t>
            </w:r>
          </w:p>
        </w:tc>
        <w:tc>
          <w:tcPr>
            <w:tcW w:w="2126" w:type="dxa"/>
            <w:tcBorders>
              <w:top w:val="outset" w:sz="6" w:space="0" w:color="auto"/>
              <w:left w:val="outset" w:sz="6" w:space="0" w:color="auto"/>
              <w:bottom w:val="outset" w:sz="6" w:space="0" w:color="auto"/>
              <w:right w:val="outset" w:sz="6" w:space="0" w:color="auto"/>
            </w:tcBorders>
          </w:tcPr>
          <w:p w14:paraId="40AA0D49" w14:textId="77777777" w:rsidR="000F4405" w:rsidRPr="008B429C" w:rsidRDefault="002F2CB1" w:rsidP="008B429C">
            <w:pPr>
              <w:spacing w:before="100" w:beforeAutospacing="1" w:after="100" w:afterAutospacing="1"/>
              <w:rPr>
                <w:sz w:val="28"/>
                <w:szCs w:val="28"/>
              </w:rPr>
            </w:pPr>
            <w:r w:rsidRPr="008B429C">
              <w:rPr>
                <w:sz w:val="28"/>
                <w:szCs w:val="28"/>
              </w:rPr>
              <w:t>Sabiedrības mērķgrupas, kuras tiesiskais regulējums ietekmē vai varētu ietekmēt</w:t>
            </w:r>
          </w:p>
        </w:tc>
        <w:tc>
          <w:tcPr>
            <w:tcW w:w="6520" w:type="dxa"/>
            <w:tcBorders>
              <w:top w:val="outset" w:sz="6" w:space="0" w:color="auto"/>
              <w:left w:val="outset" w:sz="6" w:space="0" w:color="auto"/>
              <w:bottom w:val="outset" w:sz="6" w:space="0" w:color="auto"/>
              <w:right w:val="outset" w:sz="6" w:space="0" w:color="auto"/>
            </w:tcBorders>
          </w:tcPr>
          <w:p w14:paraId="40AA0D4A" w14:textId="77777777" w:rsidR="000F4405" w:rsidRPr="00ED1A35" w:rsidRDefault="002F2CB1" w:rsidP="00096FEF">
            <w:pPr>
              <w:jc w:val="both"/>
              <w:rPr>
                <w:sz w:val="28"/>
                <w:szCs w:val="28"/>
              </w:rPr>
            </w:pPr>
            <w:r w:rsidRPr="00ED1A35">
              <w:rPr>
                <w:sz w:val="28"/>
                <w:szCs w:val="28"/>
              </w:rPr>
              <w:t>Noteikumu projekts ietekmēs</w:t>
            </w:r>
            <w:r w:rsidR="00915231">
              <w:rPr>
                <w:sz w:val="28"/>
                <w:szCs w:val="28"/>
              </w:rPr>
              <w:t xml:space="preserve"> </w:t>
            </w:r>
            <w:r w:rsidR="00166F3B">
              <w:rPr>
                <w:sz w:val="28"/>
                <w:szCs w:val="28"/>
              </w:rPr>
              <w:t>21</w:t>
            </w:r>
            <w:r w:rsidR="00166F3B" w:rsidRPr="00ED1A35">
              <w:rPr>
                <w:sz w:val="28"/>
                <w:szCs w:val="28"/>
              </w:rPr>
              <w:t xml:space="preserve"> </w:t>
            </w:r>
            <w:r w:rsidR="001D3F3B" w:rsidRPr="00ED1A35">
              <w:rPr>
                <w:sz w:val="28"/>
                <w:szCs w:val="28"/>
              </w:rPr>
              <w:t>ā</w:t>
            </w:r>
            <w:r w:rsidR="0094093E" w:rsidRPr="00ED1A35">
              <w:rPr>
                <w:sz w:val="28"/>
                <w:szCs w:val="28"/>
              </w:rPr>
              <w:t xml:space="preserve">rstniecības </w:t>
            </w:r>
            <w:r w:rsidR="00166F3B" w:rsidRPr="00ED1A35">
              <w:rPr>
                <w:sz w:val="28"/>
                <w:szCs w:val="28"/>
              </w:rPr>
              <w:t>iestād</w:t>
            </w:r>
            <w:r w:rsidR="00166F3B">
              <w:rPr>
                <w:sz w:val="28"/>
                <w:szCs w:val="28"/>
              </w:rPr>
              <w:t>i</w:t>
            </w:r>
            <w:r w:rsidR="0094093E" w:rsidRPr="00ED1A35">
              <w:rPr>
                <w:sz w:val="28"/>
                <w:szCs w:val="28"/>
              </w:rPr>
              <w:t>,</w:t>
            </w:r>
            <w:r w:rsidR="00915231">
              <w:rPr>
                <w:sz w:val="28"/>
                <w:szCs w:val="28"/>
              </w:rPr>
              <w:t xml:space="preserve"> kura sniedz dzemdību palīdzību</w:t>
            </w:r>
            <w:r w:rsidR="00355DF0">
              <w:rPr>
                <w:sz w:val="28"/>
                <w:szCs w:val="28"/>
              </w:rPr>
              <w:t xml:space="preserve">, </w:t>
            </w:r>
            <w:r w:rsidR="00BB47FB">
              <w:rPr>
                <w:sz w:val="28"/>
                <w:szCs w:val="28"/>
              </w:rPr>
              <w:t xml:space="preserve">kā arī </w:t>
            </w:r>
            <w:r w:rsidR="005E322A" w:rsidRPr="00ED1A35">
              <w:rPr>
                <w:sz w:val="28"/>
                <w:szCs w:val="28"/>
              </w:rPr>
              <w:t>SPKC</w:t>
            </w:r>
            <w:r w:rsidR="00E8763E" w:rsidRPr="00ED1A35">
              <w:rPr>
                <w:sz w:val="28"/>
                <w:szCs w:val="28"/>
              </w:rPr>
              <w:t xml:space="preserve">, </w:t>
            </w:r>
            <w:r w:rsidR="00C9640D" w:rsidRPr="00ED1A35">
              <w:rPr>
                <w:sz w:val="28"/>
                <w:szCs w:val="28"/>
              </w:rPr>
              <w:t>kur</w:t>
            </w:r>
            <w:r w:rsidR="00915231">
              <w:rPr>
                <w:sz w:val="28"/>
                <w:szCs w:val="28"/>
              </w:rPr>
              <w:t>š</w:t>
            </w:r>
            <w:r w:rsidR="00E8763E" w:rsidRPr="00ED1A35">
              <w:rPr>
                <w:sz w:val="28"/>
                <w:szCs w:val="28"/>
              </w:rPr>
              <w:t xml:space="preserve"> nodrošinās reģistra darbību, datu kontroli, apstrādi un aizsardzību, kā arī slēgs līgumus ar ārstniecības iestādēm par datu ievadi tiešsaistes režīmā.</w:t>
            </w:r>
          </w:p>
        </w:tc>
      </w:tr>
      <w:tr w:rsidR="002F350A" w14:paraId="40AA0D51" w14:textId="77777777" w:rsidTr="00FA3A18">
        <w:trPr>
          <w:tblCellSpacing w:w="0" w:type="dxa"/>
        </w:trPr>
        <w:tc>
          <w:tcPr>
            <w:tcW w:w="426" w:type="dxa"/>
            <w:tcBorders>
              <w:top w:val="outset" w:sz="6" w:space="0" w:color="auto"/>
              <w:left w:val="outset" w:sz="6" w:space="0" w:color="auto"/>
              <w:bottom w:val="outset" w:sz="6" w:space="0" w:color="auto"/>
              <w:right w:val="outset" w:sz="6" w:space="0" w:color="auto"/>
            </w:tcBorders>
          </w:tcPr>
          <w:p w14:paraId="40AA0D4C" w14:textId="77777777" w:rsidR="000F4405" w:rsidRPr="00FA0EB2" w:rsidRDefault="002F2CB1" w:rsidP="000F4405">
            <w:pPr>
              <w:spacing w:before="100" w:beforeAutospacing="1" w:after="100" w:afterAutospacing="1"/>
              <w:rPr>
                <w:sz w:val="28"/>
                <w:szCs w:val="28"/>
              </w:rPr>
            </w:pPr>
            <w:r>
              <w:rPr>
                <w:sz w:val="28"/>
                <w:szCs w:val="28"/>
              </w:rPr>
              <w:t>2.</w:t>
            </w:r>
          </w:p>
        </w:tc>
        <w:tc>
          <w:tcPr>
            <w:tcW w:w="2126" w:type="dxa"/>
            <w:tcBorders>
              <w:top w:val="outset" w:sz="6" w:space="0" w:color="auto"/>
              <w:left w:val="outset" w:sz="6" w:space="0" w:color="auto"/>
              <w:bottom w:val="outset" w:sz="6" w:space="0" w:color="auto"/>
              <w:right w:val="outset" w:sz="6" w:space="0" w:color="auto"/>
            </w:tcBorders>
          </w:tcPr>
          <w:p w14:paraId="40AA0D4D" w14:textId="77777777" w:rsidR="000F4405" w:rsidRPr="004F783B" w:rsidRDefault="002F2CB1" w:rsidP="000F4405">
            <w:pPr>
              <w:spacing w:before="100" w:beforeAutospacing="1" w:after="100" w:afterAutospacing="1"/>
              <w:rPr>
                <w:sz w:val="28"/>
                <w:szCs w:val="28"/>
              </w:rPr>
            </w:pPr>
            <w:r w:rsidRPr="004F783B">
              <w:rPr>
                <w:sz w:val="28"/>
                <w:szCs w:val="28"/>
              </w:rPr>
              <w:t>Tiesiskā regulējuma ietekme uz tautsaimniecību un administratīvo slogu</w:t>
            </w:r>
          </w:p>
        </w:tc>
        <w:tc>
          <w:tcPr>
            <w:tcW w:w="6520" w:type="dxa"/>
            <w:tcBorders>
              <w:top w:val="outset" w:sz="6" w:space="0" w:color="auto"/>
              <w:left w:val="outset" w:sz="6" w:space="0" w:color="auto"/>
              <w:bottom w:val="outset" w:sz="6" w:space="0" w:color="auto"/>
              <w:right w:val="outset" w:sz="6" w:space="0" w:color="auto"/>
            </w:tcBorders>
          </w:tcPr>
          <w:p w14:paraId="40AA0D4E" w14:textId="77777777" w:rsidR="005E322A" w:rsidRDefault="002F2CB1" w:rsidP="002F393D">
            <w:pPr>
              <w:pStyle w:val="ListParagraph"/>
              <w:spacing w:after="0" w:line="240" w:lineRule="auto"/>
              <w:ind w:left="0"/>
              <w:jc w:val="both"/>
              <w:rPr>
                <w:rFonts w:ascii="Times New Roman" w:hAnsi="Times New Roman"/>
                <w:sz w:val="28"/>
                <w:szCs w:val="28"/>
                <w:lang w:val="lv-LV"/>
              </w:rPr>
            </w:pPr>
            <w:r w:rsidRPr="004F783B">
              <w:rPr>
                <w:rFonts w:ascii="Times New Roman" w:hAnsi="Times New Roman"/>
                <w:sz w:val="28"/>
                <w:szCs w:val="28"/>
                <w:lang w:val="lv-LV"/>
              </w:rPr>
              <w:t xml:space="preserve">Normatīvā </w:t>
            </w:r>
            <w:smartTag w:uri="schemas-tilde-lv/tildestengine" w:element="veidnes">
              <w:smartTagPr>
                <w:attr w:name="baseform" w:val="akt|s"/>
                <w:attr w:name="id" w:val="-1"/>
                <w:attr w:name="text" w:val="akta"/>
              </w:smartTagPr>
              <w:r w:rsidRPr="004F783B">
                <w:rPr>
                  <w:rFonts w:ascii="Times New Roman" w:hAnsi="Times New Roman"/>
                  <w:sz w:val="28"/>
                  <w:szCs w:val="28"/>
                  <w:lang w:val="lv-LV"/>
                </w:rPr>
                <w:t>akta</w:t>
              </w:r>
            </w:smartTag>
            <w:r w:rsidRPr="004F783B">
              <w:rPr>
                <w:rFonts w:ascii="Times New Roman" w:hAnsi="Times New Roman"/>
                <w:sz w:val="28"/>
                <w:szCs w:val="28"/>
                <w:lang w:val="lv-LV"/>
              </w:rPr>
              <w:t xml:space="preserve"> ieviešana atvieglos sadarbību vienotas informācijas iegūšanā ar ārstniecības personām, statistiskās informācijas apmaiņu ar Centrālo Statistikas pārvaldi, Pasaules Veselības organizāciju, Eiropas Kopienas statistikas institūciju Eurostat.</w:t>
            </w:r>
          </w:p>
          <w:p w14:paraId="40AA0D4F" w14:textId="77777777" w:rsidR="00847C4E" w:rsidRPr="00ED1A35" w:rsidRDefault="002F2CB1" w:rsidP="002F393D">
            <w:pPr>
              <w:pStyle w:val="ListParagraph"/>
              <w:spacing w:after="0" w:line="240" w:lineRule="auto"/>
              <w:ind w:left="0"/>
              <w:jc w:val="both"/>
              <w:rPr>
                <w:rFonts w:ascii="Times New Roman" w:hAnsi="Times New Roman"/>
                <w:sz w:val="28"/>
                <w:szCs w:val="28"/>
                <w:lang w:val="lv-LV"/>
              </w:rPr>
            </w:pPr>
            <w:r>
              <w:rPr>
                <w:rFonts w:ascii="Times New Roman" w:hAnsi="Times New Roman"/>
                <w:color w:val="C00000"/>
                <w:sz w:val="28"/>
                <w:szCs w:val="28"/>
                <w:lang w:val="lv-LV"/>
              </w:rPr>
              <w:t xml:space="preserve">   </w:t>
            </w:r>
            <w:r w:rsidRPr="00ED1A35">
              <w:rPr>
                <w:rFonts w:ascii="Times New Roman" w:hAnsi="Times New Roman"/>
                <w:sz w:val="28"/>
                <w:szCs w:val="28"/>
                <w:lang w:val="lv-LV"/>
              </w:rPr>
              <w:t xml:space="preserve">Normatīvā akta ieviešana </w:t>
            </w:r>
            <w:r w:rsidR="00BB47FB">
              <w:rPr>
                <w:rFonts w:ascii="Times New Roman" w:hAnsi="Times New Roman"/>
                <w:sz w:val="28"/>
                <w:szCs w:val="28"/>
                <w:lang w:val="lv-LV"/>
              </w:rPr>
              <w:t>radīs</w:t>
            </w:r>
            <w:r w:rsidRPr="00ED1A35">
              <w:rPr>
                <w:rFonts w:ascii="Times New Roman" w:hAnsi="Times New Roman"/>
                <w:sz w:val="28"/>
                <w:szCs w:val="28"/>
                <w:lang w:val="lv-LV"/>
              </w:rPr>
              <w:t xml:space="preserve"> papildu </w:t>
            </w:r>
            <w:r w:rsidR="00BB47FB">
              <w:rPr>
                <w:rFonts w:ascii="Times New Roman" w:hAnsi="Times New Roman"/>
                <w:sz w:val="28"/>
                <w:szCs w:val="28"/>
                <w:lang w:val="lv-LV"/>
              </w:rPr>
              <w:t>administratīvo slogu</w:t>
            </w:r>
            <w:r w:rsidR="00BB47FB" w:rsidRPr="00ED1A35">
              <w:rPr>
                <w:rFonts w:ascii="Times New Roman" w:hAnsi="Times New Roman"/>
                <w:sz w:val="28"/>
                <w:szCs w:val="28"/>
                <w:lang w:val="lv-LV"/>
              </w:rPr>
              <w:t xml:space="preserve"> </w:t>
            </w:r>
            <w:r w:rsidRPr="00ED1A35">
              <w:rPr>
                <w:rFonts w:ascii="Times New Roman" w:hAnsi="Times New Roman"/>
                <w:sz w:val="28"/>
                <w:szCs w:val="28"/>
                <w:lang w:val="lv-LV"/>
              </w:rPr>
              <w:t xml:space="preserve">ārstniecības iestādēm, </w:t>
            </w:r>
            <w:r w:rsidR="002F393D" w:rsidRPr="00ED1A35">
              <w:rPr>
                <w:rFonts w:ascii="Times New Roman" w:hAnsi="Times New Roman"/>
                <w:sz w:val="28"/>
                <w:szCs w:val="28"/>
                <w:lang w:val="lv-LV"/>
              </w:rPr>
              <w:t xml:space="preserve">tiešsaistē </w:t>
            </w:r>
            <w:r w:rsidRPr="00ED1A35">
              <w:rPr>
                <w:rFonts w:ascii="Times New Roman" w:hAnsi="Times New Roman"/>
                <w:sz w:val="28"/>
                <w:szCs w:val="28"/>
                <w:lang w:val="lv-LV"/>
              </w:rPr>
              <w:t xml:space="preserve">ievadot </w:t>
            </w:r>
            <w:r w:rsidR="002F393D" w:rsidRPr="00ED1A35">
              <w:rPr>
                <w:rFonts w:ascii="Times New Roman" w:hAnsi="Times New Roman"/>
                <w:sz w:val="28"/>
                <w:szCs w:val="28"/>
                <w:lang w:val="lv-LV"/>
              </w:rPr>
              <w:t>reģistrā datus par pacientiem.</w:t>
            </w:r>
          </w:p>
          <w:p w14:paraId="40AA0D50" w14:textId="77777777" w:rsidR="001D3F3B" w:rsidRPr="001D3F3B" w:rsidRDefault="002F2CB1" w:rsidP="00592A94">
            <w:pPr>
              <w:pStyle w:val="ListParagraph"/>
              <w:spacing w:after="0" w:line="240" w:lineRule="auto"/>
              <w:ind w:left="0"/>
              <w:jc w:val="both"/>
              <w:rPr>
                <w:rFonts w:ascii="Times New Roman" w:hAnsi="Times New Roman"/>
                <w:color w:val="C00000"/>
                <w:sz w:val="28"/>
                <w:szCs w:val="28"/>
                <w:lang w:val="lv-LV"/>
              </w:rPr>
            </w:pPr>
            <w:r w:rsidRPr="00ED1A35">
              <w:rPr>
                <w:rFonts w:ascii="Times New Roman" w:hAnsi="Times New Roman"/>
                <w:sz w:val="28"/>
                <w:szCs w:val="28"/>
                <w:lang w:val="lv-LV"/>
              </w:rPr>
              <w:t xml:space="preserve">  Noteikumu projekts palielinās administratīvo slogu SPKC </w:t>
            </w:r>
            <w:r w:rsidR="00BB47FB">
              <w:rPr>
                <w:rFonts w:ascii="Times New Roman" w:hAnsi="Times New Roman"/>
                <w:sz w:val="28"/>
                <w:szCs w:val="28"/>
                <w:lang w:val="lv-LV"/>
              </w:rPr>
              <w:t xml:space="preserve">saistībā ar reģistra </w:t>
            </w:r>
            <w:r w:rsidR="00592A94">
              <w:rPr>
                <w:rFonts w:ascii="Times New Roman" w:hAnsi="Times New Roman"/>
                <w:sz w:val="28"/>
                <w:szCs w:val="28"/>
                <w:lang w:val="lv-LV"/>
              </w:rPr>
              <w:t>uzturēšanu.</w:t>
            </w:r>
          </w:p>
        </w:tc>
      </w:tr>
      <w:tr w:rsidR="002F350A" w14:paraId="40AA0D5A" w14:textId="77777777" w:rsidTr="00FA3A18">
        <w:trPr>
          <w:tblCellSpacing w:w="0" w:type="dxa"/>
        </w:trPr>
        <w:tc>
          <w:tcPr>
            <w:tcW w:w="426" w:type="dxa"/>
            <w:tcBorders>
              <w:top w:val="outset" w:sz="6" w:space="0" w:color="auto"/>
              <w:left w:val="outset" w:sz="6" w:space="0" w:color="auto"/>
              <w:bottom w:val="outset" w:sz="6" w:space="0" w:color="auto"/>
              <w:right w:val="outset" w:sz="6" w:space="0" w:color="auto"/>
            </w:tcBorders>
          </w:tcPr>
          <w:p w14:paraId="40AA0D52" w14:textId="77777777" w:rsidR="004F783B" w:rsidRDefault="002F2CB1" w:rsidP="006F7323">
            <w:pPr>
              <w:spacing w:before="100" w:beforeAutospacing="1" w:after="100" w:afterAutospacing="1"/>
              <w:ind w:left="-72" w:firstLine="72"/>
              <w:rPr>
                <w:sz w:val="28"/>
                <w:szCs w:val="28"/>
              </w:rPr>
            </w:pPr>
            <w:r>
              <w:rPr>
                <w:sz w:val="28"/>
                <w:szCs w:val="28"/>
              </w:rPr>
              <w:t>3.</w:t>
            </w:r>
          </w:p>
        </w:tc>
        <w:tc>
          <w:tcPr>
            <w:tcW w:w="2126" w:type="dxa"/>
            <w:tcBorders>
              <w:top w:val="outset" w:sz="6" w:space="0" w:color="auto"/>
              <w:left w:val="outset" w:sz="6" w:space="0" w:color="auto"/>
              <w:bottom w:val="outset" w:sz="6" w:space="0" w:color="auto"/>
              <w:right w:val="outset" w:sz="6" w:space="0" w:color="auto"/>
            </w:tcBorders>
          </w:tcPr>
          <w:p w14:paraId="40AA0D53" w14:textId="77777777" w:rsidR="004F783B" w:rsidRPr="004F783B" w:rsidRDefault="002F2CB1" w:rsidP="000F4405">
            <w:pPr>
              <w:spacing w:before="100" w:beforeAutospacing="1" w:after="100" w:afterAutospacing="1"/>
              <w:rPr>
                <w:sz w:val="28"/>
                <w:szCs w:val="28"/>
              </w:rPr>
            </w:pPr>
            <w:r w:rsidRPr="004F783B">
              <w:rPr>
                <w:sz w:val="28"/>
                <w:szCs w:val="28"/>
                <w:shd w:val="clear" w:color="auto" w:fill="FFFFFF"/>
              </w:rPr>
              <w:t>Administratīvo izmaksu monetārs novērtējums</w:t>
            </w:r>
          </w:p>
        </w:tc>
        <w:tc>
          <w:tcPr>
            <w:tcW w:w="6520" w:type="dxa"/>
            <w:tcBorders>
              <w:top w:val="outset" w:sz="6" w:space="0" w:color="auto"/>
              <w:left w:val="outset" w:sz="6" w:space="0" w:color="auto"/>
              <w:bottom w:val="outset" w:sz="6" w:space="0" w:color="auto"/>
              <w:right w:val="outset" w:sz="6" w:space="0" w:color="auto"/>
            </w:tcBorders>
          </w:tcPr>
          <w:p w14:paraId="40AA0D54" w14:textId="77777777" w:rsidR="00E63B6D" w:rsidRDefault="002F2CB1" w:rsidP="00355DF0">
            <w:pPr>
              <w:spacing w:after="120"/>
              <w:jc w:val="both"/>
              <w:rPr>
                <w:color w:val="000000"/>
                <w:sz w:val="28"/>
                <w:szCs w:val="28"/>
              </w:rPr>
            </w:pPr>
            <w:r>
              <w:rPr>
                <w:color w:val="000000"/>
                <w:sz w:val="28"/>
                <w:szCs w:val="28"/>
              </w:rPr>
              <w:t>Administratīvās izmaksas ārstniecības iestādēm, kas nodrošina dzemdību palīdzību (ņemot vērā vidējo darba samaksu 201</w:t>
            </w:r>
            <w:r w:rsidR="00E5038C">
              <w:rPr>
                <w:color w:val="000000"/>
                <w:sz w:val="28"/>
                <w:szCs w:val="28"/>
              </w:rPr>
              <w:t>7</w:t>
            </w:r>
            <w:r>
              <w:rPr>
                <w:color w:val="000000"/>
                <w:sz w:val="28"/>
                <w:szCs w:val="28"/>
              </w:rPr>
              <w:t>.</w:t>
            </w:r>
            <w:r w:rsidR="00355DF0">
              <w:rPr>
                <w:color w:val="000000"/>
                <w:sz w:val="28"/>
                <w:szCs w:val="28"/>
              </w:rPr>
              <w:t xml:space="preserve"> </w:t>
            </w:r>
            <w:r>
              <w:rPr>
                <w:color w:val="000000"/>
                <w:sz w:val="28"/>
                <w:szCs w:val="28"/>
              </w:rPr>
              <w:t>gad</w:t>
            </w:r>
            <w:r w:rsidR="00FC1EE3">
              <w:rPr>
                <w:color w:val="000000"/>
                <w:sz w:val="28"/>
                <w:szCs w:val="28"/>
              </w:rPr>
              <w:t>a 1. ceturksnī</w:t>
            </w:r>
            <w:r>
              <w:rPr>
                <w:color w:val="000000"/>
                <w:sz w:val="28"/>
                <w:szCs w:val="28"/>
              </w:rPr>
              <w:t xml:space="preserve"> </w:t>
            </w:r>
            <w:r w:rsidR="00FC1EE3">
              <w:rPr>
                <w:color w:val="000000"/>
                <w:sz w:val="28"/>
                <w:szCs w:val="28"/>
              </w:rPr>
              <w:t>88</w:t>
            </w:r>
            <w:r>
              <w:rPr>
                <w:color w:val="000000"/>
                <w:sz w:val="28"/>
                <w:szCs w:val="28"/>
              </w:rPr>
              <w:t>1 euro privātajā sektorā</w:t>
            </w:r>
            <w:r>
              <w:rPr>
                <w:rStyle w:val="FootnoteReference"/>
                <w:color w:val="000000"/>
                <w:sz w:val="28"/>
                <w:szCs w:val="28"/>
              </w:rPr>
              <w:footnoteReference w:id="1"/>
            </w:r>
            <w:r>
              <w:rPr>
                <w:color w:val="000000"/>
                <w:sz w:val="28"/>
                <w:szCs w:val="28"/>
              </w:rPr>
              <w:t xml:space="preserve"> un vidējo darba stundu skaitu mēnesī 165,58), </w:t>
            </w:r>
            <w:r w:rsidRPr="00355DF0">
              <w:rPr>
                <w:color w:val="000000"/>
                <w:sz w:val="28"/>
                <w:szCs w:val="28"/>
              </w:rPr>
              <w:t>ievadot datus reģistrā tiešsaistes režīmā.</w:t>
            </w:r>
          </w:p>
          <w:p w14:paraId="40AA0D55" w14:textId="77777777" w:rsidR="00915231" w:rsidRDefault="002F2CB1" w:rsidP="00355DF0">
            <w:pPr>
              <w:spacing w:after="120"/>
              <w:jc w:val="both"/>
              <w:rPr>
                <w:color w:val="000000"/>
                <w:sz w:val="28"/>
                <w:szCs w:val="28"/>
              </w:rPr>
            </w:pPr>
            <w:r>
              <w:rPr>
                <w:color w:val="000000"/>
                <w:sz w:val="28"/>
                <w:szCs w:val="28"/>
              </w:rPr>
              <w:t>C=(</w:t>
            </w:r>
            <w:r w:rsidR="00933576">
              <w:rPr>
                <w:color w:val="000000"/>
                <w:sz w:val="28"/>
                <w:szCs w:val="28"/>
              </w:rPr>
              <w:t>5,</w:t>
            </w:r>
            <w:r w:rsidR="00FC1EE3">
              <w:rPr>
                <w:color w:val="000000"/>
                <w:sz w:val="28"/>
                <w:szCs w:val="28"/>
              </w:rPr>
              <w:t>32</w:t>
            </w:r>
            <w:r w:rsidR="00933576">
              <w:rPr>
                <w:color w:val="000000"/>
                <w:sz w:val="28"/>
                <w:szCs w:val="28"/>
              </w:rPr>
              <w:t xml:space="preserve"> </w:t>
            </w:r>
            <w:r>
              <w:rPr>
                <w:color w:val="000000"/>
                <w:sz w:val="28"/>
                <w:szCs w:val="28"/>
              </w:rPr>
              <w:t>x</w:t>
            </w:r>
            <w:r w:rsidR="00933576">
              <w:rPr>
                <w:color w:val="000000"/>
                <w:sz w:val="28"/>
                <w:szCs w:val="28"/>
              </w:rPr>
              <w:t xml:space="preserve"> </w:t>
            </w:r>
            <w:r w:rsidR="00F1042A">
              <w:rPr>
                <w:color w:val="000000"/>
                <w:sz w:val="28"/>
                <w:szCs w:val="28"/>
              </w:rPr>
              <w:t>1,5</w:t>
            </w:r>
            <w:r>
              <w:rPr>
                <w:color w:val="000000"/>
                <w:sz w:val="28"/>
                <w:szCs w:val="28"/>
              </w:rPr>
              <w:t>)</w:t>
            </w:r>
            <w:r w:rsidR="00933576">
              <w:rPr>
                <w:color w:val="000000"/>
                <w:sz w:val="28"/>
                <w:szCs w:val="28"/>
              </w:rPr>
              <w:t xml:space="preserve"> </w:t>
            </w:r>
            <w:r>
              <w:rPr>
                <w:color w:val="000000"/>
                <w:sz w:val="28"/>
                <w:szCs w:val="28"/>
              </w:rPr>
              <w:t>x</w:t>
            </w:r>
            <w:r w:rsidR="00933576">
              <w:rPr>
                <w:color w:val="000000"/>
                <w:sz w:val="28"/>
                <w:szCs w:val="28"/>
              </w:rPr>
              <w:t xml:space="preserve"> </w:t>
            </w:r>
            <w:r>
              <w:rPr>
                <w:color w:val="000000"/>
                <w:sz w:val="28"/>
                <w:szCs w:val="28"/>
              </w:rPr>
              <w:t>(</w:t>
            </w:r>
            <w:r w:rsidR="00166F3B">
              <w:rPr>
                <w:color w:val="000000"/>
                <w:sz w:val="28"/>
                <w:szCs w:val="28"/>
              </w:rPr>
              <w:t>21</w:t>
            </w:r>
            <w:r w:rsidR="00FC1EE3">
              <w:rPr>
                <w:color w:val="000000"/>
                <w:sz w:val="28"/>
                <w:szCs w:val="28"/>
              </w:rPr>
              <w:t>x12)=7,98</w:t>
            </w:r>
            <w:r w:rsidR="00933576">
              <w:rPr>
                <w:color w:val="000000"/>
                <w:sz w:val="28"/>
                <w:szCs w:val="28"/>
              </w:rPr>
              <w:t xml:space="preserve"> </w:t>
            </w:r>
            <w:r w:rsidR="00166F3B">
              <w:rPr>
                <w:color w:val="000000"/>
                <w:sz w:val="28"/>
                <w:szCs w:val="28"/>
              </w:rPr>
              <w:t>x</w:t>
            </w:r>
            <w:r w:rsidR="00933576">
              <w:rPr>
                <w:color w:val="000000"/>
                <w:sz w:val="28"/>
                <w:szCs w:val="28"/>
              </w:rPr>
              <w:t xml:space="preserve"> </w:t>
            </w:r>
            <w:r w:rsidR="00166F3B">
              <w:rPr>
                <w:color w:val="000000"/>
                <w:sz w:val="28"/>
                <w:szCs w:val="28"/>
              </w:rPr>
              <w:t>252</w:t>
            </w:r>
            <w:r w:rsidR="00F1042A">
              <w:rPr>
                <w:color w:val="000000"/>
                <w:sz w:val="28"/>
                <w:szCs w:val="28"/>
              </w:rPr>
              <w:t>=</w:t>
            </w:r>
            <w:r w:rsidR="00FC1EE3">
              <w:rPr>
                <w:color w:val="000000"/>
                <w:sz w:val="28"/>
                <w:szCs w:val="28"/>
              </w:rPr>
              <w:t>2010,96</w:t>
            </w:r>
          </w:p>
          <w:p w14:paraId="40AA0D56" w14:textId="77777777" w:rsidR="00E63B6D" w:rsidRPr="00355DF0" w:rsidRDefault="002F2CB1" w:rsidP="00355DF0">
            <w:pPr>
              <w:spacing w:after="120"/>
              <w:jc w:val="both"/>
              <w:rPr>
                <w:color w:val="000000"/>
                <w:sz w:val="28"/>
                <w:szCs w:val="28"/>
              </w:rPr>
            </w:pPr>
            <w:r w:rsidRPr="00355DF0">
              <w:rPr>
                <w:color w:val="000000"/>
                <w:sz w:val="28"/>
                <w:szCs w:val="28"/>
              </w:rPr>
              <w:t>Administratīvās izmaksas ārstniecības iestādēm, kas nodrošina dzemdību palīdzību (ņemot vērā vidējo darba samaksu 201</w:t>
            </w:r>
            <w:r w:rsidR="00262195">
              <w:rPr>
                <w:color w:val="000000"/>
                <w:sz w:val="28"/>
                <w:szCs w:val="28"/>
              </w:rPr>
              <w:t>7</w:t>
            </w:r>
            <w:r w:rsidRPr="00355DF0">
              <w:rPr>
                <w:color w:val="000000"/>
                <w:sz w:val="28"/>
                <w:szCs w:val="28"/>
              </w:rPr>
              <w:t>.</w:t>
            </w:r>
            <w:r w:rsidR="00262195">
              <w:rPr>
                <w:color w:val="000000"/>
                <w:sz w:val="28"/>
                <w:szCs w:val="28"/>
              </w:rPr>
              <w:t xml:space="preserve"> </w:t>
            </w:r>
            <w:r w:rsidRPr="00355DF0">
              <w:rPr>
                <w:color w:val="000000"/>
                <w:sz w:val="28"/>
                <w:szCs w:val="28"/>
              </w:rPr>
              <w:t>gad</w:t>
            </w:r>
            <w:r w:rsidR="00262195">
              <w:rPr>
                <w:color w:val="000000"/>
                <w:sz w:val="28"/>
                <w:szCs w:val="28"/>
              </w:rPr>
              <w:t>a 1. ceturksnī</w:t>
            </w:r>
            <w:r w:rsidRPr="00355DF0">
              <w:rPr>
                <w:color w:val="000000"/>
                <w:sz w:val="28"/>
                <w:szCs w:val="28"/>
              </w:rPr>
              <w:t xml:space="preserve"> </w:t>
            </w:r>
            <w:r w:rsidR="00117597">
              <w:rPr>
                <w:color w:val="000000"/>
                <w:sz w:val="28"/>
                <w:szCs w:val="28"/>
              </w:rPr>
              <w:t>881</w:t>
            </w:r>
            <w:r w:rsidRPr="00355DF0">
              <w:rPr>
                <w:color w:val="000000"/>
                <w:sz w:val="28"/>
                <w:szCs w:val="28"/>
              </w:rPr>
              <w:t xml:space="preserve"> euro privātajā sektorā un vidējo darba stundu skaitu mēnesī 165,58), </w:t>
            </w:r>
            <w:r w:rsidRPr="00355DF0">
              <w:rPr>
                <w:sz w:val="28"/>
                <w:szCs w:val="28"/>
              </w:rPr>
              <w:t xml:space="preserve">iesniedzot Centrā šo noteikumu pielikumā minēto karti papīra formātā. </w:t>
            </w:r>
          </w:p>
          <w:p w14:paraId="40AA0D57" w14:textId="77777777" w:rsidR="00F1042A" w:rsidRDefault="002F2CB1" w:rsidP="00355DF0">
            <w:pPr>
              <w:spacing w:after="120"/>
              <w:jc w:val="both"/>
              <w:rPr>
                <w:color w:val="000000"/>
                <w:sz w:val="28"/>
                <w:szCs w:val="28"/>
              </w:rPr>
            </w:pPr>
            <w:r w:rsidRPr="00355DF0">
              <w:rPr>
                <w:color w:val="000000"/>
                <w:sz w:val="28"/>
                <w:szCs w:val="28"/>
              </w:rPr>
              <w:t>C</w:t>
            </w:r>
            <w:r w:rsidR="00E101A6" w:rsidRPr="00355DF0">
              <w:rPr>
                <w:color w:val="000000"/>
                <w:sz w:val="28"/>
                <w:szCs w:val="28"/>
              </w:rPr>
              <w:t>=(</w:t>
            </w:r>
            <w:r w:rsidR="00933576">
              <w:rPr>
                <w:color w:val="000000"/>
                <w:sz w:val="28"/>
                <w:szCs w:val="28"/>
              </w:rPr>
              <w:t xml:space="preserve">5,32 </w:t>
            </w:r>
            <w:r w:rsidR="00E101A6" w:rsidRPr="00355DF0">
              <w:rPr>
                <w:color w:val="000000"/>
                <w:sz w:val="28"/>
                <w:szCs w:val="28"/>
              </w:rPr>
              <w:t>x 4,5)</w:t>
            </w:r>
            <w:r w:rsidR="00933576">
              <w:rPr>
                <w:color w:val="000000"/>
                <w:sz w:val="28"/>
                <w:szCs w:val="28"/>
              </w:rPr>
              <w:t xml:space="preserve"> </w:t>
            </w:r>
            <w:r w:rsidR="00E101A6" w:rsidRPr="00355DF0">
              <w:rPr>
                <w:color w:val="000000"/>
                <w:sz w:val="28"/>
                <w:szCs w:val="28"/>
              </w:rPr>
              <w:t>x</w:t>
            </w:r>
            <w:r w:rsidR="00933576">
              <w:rPr>
                <w:color w:val="000000"/>
                <w:sz w:val="28"/>
                <w:szCs w:val="28"/>
              </w:rPr>
              <w:t xml:space="preserve"> </w:t>
            </w:r>
            <w:r w:rsidR="00E101A6" w:rsidRPr="00355DF0">
              <w:rPr>
                <w:color w:val="000000"/>
                <w:sz w:val="28"/>
                <w:szCs w:val="28"/>
              </w:rPr>
              <w:t>(21x12)=</w:t>
            </w:r>
            <w:r w:rsidR="00E101A6">
              <w:rPr>
                <w:color w:val="000000"/>
                <w:sz w:val="28"/>
                <w:szCs w:val="28"/>
              </w:rPr>
              <w:t xml:space="preserve"> </w:t>
            </w:r>
            <w:r w:rsidR="00933576">
              <w:rPr>
                <w:color w:val="000000"/>
                <w:sz w:val="28"/>
                <w:szCs w:val="28"/>
              </w:rPr>
              <w:t xml:space="preserve">23,94 </w:t>
            </w:r>
            <w:r w:rsidR="00E101A6">
              <w:rPr>
                <w:color w:val="000000"/>
                <w:sz w:val="28"/>
                <w:szCs w:val="28"/>
              </w:rPr>
              <w:t>x</w:t>
            </w:r>
            <w:r w:rsidR="00933576">
              <w:rPr>
                <w:color w:val="000000"/>
                <w:sz w:val="28"/>
                <w:szCs w:val="28"/>
              </w:rPr>
              <w:t xml:space="preserve"> </w:t>
            </w:r>
            <w:r w:rsidR="00E101A6">
              <w:rPr>
                <w:color w:val="000000"/>
                <w:sz w:val="28"/>
                <w:szCs w:val="28"/>
              </w:rPr>
              <w:t xml:space="preserve">252= </w:t>
            </w:r>
            <w:r w:rsidR="00933576">
              <w:rPr>
                <w:color w:val="000000"/>
                <w:sz w:val="28"/>
                <w:szCs w:val="28"/>
              </w:rPr>
              <w:t>6032,88</w:t>
            </w:r>
          </w:p>
          <w:p w14:paraId="40AA0D58" w14:textId="77777777" w:rsidR="00355DF0" w:rsidRDefault="002F2CB1" w:rsidP="00355DF0">
            <w:pPr>
              <w:spacing w:after="120"/>
              <w:jc w:val="both"/>
              <w:rPr>
                <w:color w:val="000000"/>
                <w:sz w:val="28"/>
                <w:szCs w:val="28"/>
              </w:rPr>
            </w:pPr>
            <w:r>
              <w:rPr>
                <w:color w:val="000000"/>
                <w:sz w:val="28"/>
                <w:szCs w:val="28"/>
              </w:rPr>
              <w:t>Administratīvās izmaksas SPKC (ņemot vērā vidējo darba samaksu 201</w:t>
            </w:r>
            <w:r w:rsidR="00117597">
              <w:rPr>
                <w:color w:val="000000"/>
                <w:sz w:val="28"/>
                <w:szCs w:val="28"/>
              </w:rPr>
              <w:t>7</w:t>
            </w:r>
            <w:r>
              <w:rPr>
                <w:color w:val="000000"/>
                <w:sz w:val="28"/>
                <w:szCs w:val="28"/>
              </w:rPr>
              <w:t>.</w:t>
            </w:r>
            <w:r w:rsidR="00117597">
              <w:rPr>
                <w:color w:val="000000"/>
                <w:sz w:val="28"/>
                <w:szCs w:val="28"/>
              </w:rPr>
              <w:t xml:space="preserve"> </w:t>
            </w:r>
            <w:r>
              <w:rPr>
                <w:color w:val="000000"/>
                <w:sz w:val="28"/>
                <w:szCs w:val="28"/>
              </w:rPr>
              <w:t>gad</w:t>
            </w:r>
            <w:r w:rsidR="00117597">
              <w:rPr>
                <w:color w:val="000000"/>
                <w:sz w:val="28"/>
                <w:szCs w:val="28"/>
              </w:rPr>
              <w:t>a 1. ceturksnī</w:t>
            </w:r>
            <w:r>
              <w:rPr>
                <w:color w:val="000000"/>
                <w:sz w:val="28"/>
                <w:szCs w:val="28"/>
              </w:rPr>
              <w:t xml:space="preserve"> 8</w:t>
            </w:r>
            <w:r w:rsidR="00117597">
              <w:rPr>
                <w:color w:val="000000"/>
                <w:sz w:val="28"/>
                <w:szCs w:val="28"/>
              </w:rPr>
              <w:t>97</w:t>
            </w:r>
            <w:r>
              <w:rPr>
                <w:color w:val="000000"/>
                <w:sz w:val="28"/>
                <w:szCs w:val="28"/>
              </w:rPr>
              <w:t xml:space="preserve"> euro sabiedriskajā sektorā</w:t>
            </w:r>
            <w:r>
              <w:rPr>
                <w:rStyle w:val="FootnoteReference"/>
                <w:color w:val="000000"/>
                <w:sz w:val="28"/>
                <w:szCs w:val="28"/>
              </w:rPr>
              <w:footnoteReference w:id="2"/>
            </w:r>
            <w:r>
              <w:rPr>
                <w:color w:val="000000"/>
                <w:sz w:val="28"/>
                <w:szCs w:val="28"/>
              </w:rPr>
              <w:t>, vidējo stundu skaitu mēnesī 165,58 un vidējo darba dienu skaitu gadā 249 dienas)</w:t>
            </w:r>
          </w:p>
          <w:p w14:paraId="40AA0D59" w14:textId="77777777" w:rsidR="00F1042A" w:rsidRPr="00ED5239" w:rsidRDefault="002F2CB1" w:rsidP="008F4C31">
            <w:pPr>
              <w:spacing w:after="120"/>
              <w:jc w:val="both"/>
              <w:rPr>
                <w:color w:val="C00000"/>
                <w:sz w:val="28"/>
                <w:szCs w:val="28"/>
              </w:rPr>
            </w:pPr>
            <w:r>
              <w:rPr>
                <w:color w:val="000000"/>
                <w:sz w:val="28"/>
                <w:szCs w:val="28"/>
              </w:rPr>
              <w:t>C=(</w:t>
            </w:r>
            <w:r w:rsidR="00117597">
              <w:rPr>
                <w:color w:val="000000"/>
                <w:sz w:val="28"/>
                <w:szCs w:val="28"/>
              </w:rPr>
              <w:t xml:space="preserve">5,42 </w:t>
            </w:r>
            <w:r>
              <w:rPr>
                <w:color w:val="000000"/>
                <w:sz w:val="28"/>
                <w:szCs w:val="28"/>
              </w:rPr>
              <w:t>x</w:t>
            </w:r>
            <w:r w:rsidR="00117597">
              <w:rPr>
                <w:color w:val="000000"/>
                <w:sz w:val="28"/>
                <w:szCs w:val="28"/>
              </w:rPr>
              <w:t xml:space="preserve"> </w:t>
            </w:r>
            <w:r>
              <w:rPr>
                <w:color w:val="000000"/>
                <w:sz w:val="28"/>
                <w:szCs w:val="28"/>
              </w:rPr>
              <w:t>4)</w:t>
            </w:r>
            <w:r w:rsidR="00117597">
              <w:rPr>
                <w:color w:val="000000"/>
                <w:sz w:val="28"/>
                <w:szCs w:val="28"/>
              </w:rPr>
              <w:t xml:space="preserve"> </w:t>
            </w:r>
            <w:r>
              <w:rPr>
                <w:color w:val="000000"/>
                <w:sz w:val="28"/>
                <w:szCs w:val="28"/>
              </w:rPr>
              <w:t>x</w:t>
            </w:r>
            <w:r w:rsidR="00117597">
              <w:rPr>
                <w:color w:val="000000"/>
                <w:sz w:val="28"/>
                <w:szCs w:val="28"/>
              </w:rPr>
              <w:t xml:space="preserve"> </w:t>
            </w:r>
            <w:r>
              <w:rPr>
                <w:color w:val="000000"/>
                <w:sz w:val="28"/>
                <w:szCs w:val="28"/>
              </w:rPr>
              <w:t>(1</w:t>
            </w:r>
            <w:r w:rsidR="00117597">
              <w:rPr>
                <w:color w:val="000000"/>
                <w:sz w:val="28"/>
                <w:szCs w:val="28"/>
              </w:rPr>
              <w:t xml:space="preserve"> </w:t>
            </w:r>
            <w:r>
              <w:rPr>
                <w:color w:val="000000"/>
                <w:sz w:val="28"/>
                <w:szCs w:val="28"/>
              </w:rPr>
              <w:t>x</w:t>
            </w:r>
            <w:r w:rsidR="00117597">
              <w:rPr>
                <w:color w:val="000000"/>
                <w:sz w:val="28"/>
                <w:szCs w:val="28"/>
              </w:rPr>
              <w:t xml:space="preserve"> </w:t>
            </w:r>
            <w:r>
              <w:rPr>
                <w:color w:val="000000"/>
                <w:sz w:val="28"/>
                <w:szCs w:val="28"/>
              </w:rPr>
              <w:t>249)=</w:t>
            </w:r>
            <w:r w:rsidR="00117597">
              <w:rPr>
                <w:color w:val="000000"/>
                <w:sz w:val="28"/>
                <w:szCs w:val="28"/>
              </w:rPr>
              <w:t xml:space="preserve">21,67 </w:t>
            </w:r>
            <w:r>
              <w:rPr>
                <w:color w:val="000000"/>
                <w:sz w:val="28"/>
                <w:szCs w:val="28"/>
              </w:rPr>
              <w:t>x</w:t>
            </w:r>
            <w:r w:rsidR="00117597">
              <w:rPr>
                <w:color w:val="000000"/>
                <w:sz w:val="28"/>
                <w:szCs w:val="28"/>
              </w:rPr>
              <w:t xml:space="preserve"> </w:t>
            </w:r>
            <w:r>
              <w:rPr>
                <w:color w:val="000000"/>
                <w:sz w:val="28"/>
                <w:szCs w:val="28"/>
              </w:rPr>
              <w:t>249</w:t>
            </w:r>
            <w:r w:rsidR="00117597">
              <w:rPr>
                <w:color w:val="000000"/>
                <w:sz w:val="28"/>
                <w:szCs w:val="28"/>
              </w:rPr>
              <w:t xml:space="preserve"> </w:t>
            </w:r>
            <w:r>
              <w:rPr>
                <w:color w:val="000000"/>
                <w:sz w:val="28"/>
                <w:szCs w:val="28"/>
              </w:rPr>
              <w:t>=</w:t>
            </w:r>
            <w:r w:rsidR="00117597">
              <w:rPr>
                <w:color w:val="000000"/>
                <w:sz w:val="28"/>
                <w:szCs w:val="28"/>
              </w:rPr>
              <w:t xml:space="preserve"> 5395,65</w:t>
            </w:r>
          </w:p>
        </w:tc>
      </w:tr>
      <w:tr w:rsidR="002F350A" w14:paraId="40AA0D61" w14:textId="77777777" w:rsidTr="00FA3A18">
        <w:trPr>
          <w:tblCellSpacing w:w="0" w:type="dxa"/>
        </w:trPr>
        <w:tc>
          <w:tcPr>
            <w:tcW w:w="426" w:type="dxa"/>
            <w:tcBorders>
              <w:top w:val="outset" w:sz="6" w:space="0" w:color="auto"/>
              <w:left w:val="outset" w:sz="6" w:space="0" w:color="auto"/>
              <w:bottom w:val="outset" w:sz="6" w:space="0" w:color="auto"/>
              <w:right w:val="outset" w:sz="6" w:space="0" w:color="auto"/>
            </w:tcBorders>
          </w:tcPr>
          <w:p w14:paraId="40AA0D5B" w14:textId="77777777" w:rsidR="004F783B" w:rsidRDefault="002F2CB1" w:rsidP="000F4405">
            <w:pPr>
              <w:spacing w:before="100" w:beforeAutospacing="1" w:after="100" w:afterAutospacing="1"/>
              <w:rPr>
                <w:sz w:val="28"/>
                <w:szCs w:val="28"/>
              </w:rPr>
            </w:pPr>
            <w:r>
              <w:rPr>
                <w:sz w:val="28"/>
                <w:szCs w:val="28"/>
              </w:rPr>
              <w:t>4.</w:t>
            </w:r>
          </w:p>
        </w:tc>
        <w:tc>
          <w:tcPr>
            <w:tcW w:w="2126" w:type="dxa"/>
            <w:tcBorders>
              <w:top w:val="outset" w:sz="6" w:space="0" w:color="auto"/>
              <w:left w:val="outset" w:sz="6" w:space="0" w:color="auto"/>
              <w:bottom w:val="outset" w:sz="6" w:space="0" w:color="auto"/>
              <w:right w:val="outset" w:sz="6" w:space="0" w:color="auto"/>
            </w:tcBorders>
          </w:tcPr>
          <w:p w14:paraId="40AA0D5C" w14:textId="77777777" w:rsidR="004F783B" w:rsidRPr="004F783B" w:rsidRDefault="002F2CB1" w:rsidP="000F4405">
            <w:pPr>
              <w:spacing w:before="100" w:beforeAutospacing="1" w:after="100" w:afterAutospacing="1"/>
              <w:rPr>
                <w:sz w:val="28"/>
                <w:szCs w:val="28"/>
              </w:rPr>
            </w:pPr>
            <w:r>
              <w:rPr>
                <w:sz w:val="28"/>
                <w:szCs w:val="28"/>
              </w:rPr>
              <w:t>Cita informācija</w:t>
            </w:r>
          </w:p>
        </w:tc>
        <w:tc>
          <w:tcPr>
            <w:tcW w:w="6520" w:type="dxa"/>
            <w:tcBorders>
              <w:top w:val="outset" w:sz="6" w:space="0" w:color="auto"/>
              <w:left w:val="outset" w:sz="6" w:space="0" w:color="auto"/>
              <w:bottom w:val="outset" w:sz="6" w:space="0" w:color="auto"/>
              <w:right w:val="outset" w:sz="6" w:space="0" w:color="auto"/>
            </w:tcBorders>
          </w:tcPr>
          <w:p w14:paraId="40AA0D5D" w14:textId="77777777" w:rsidR="004F783B" w:rsidRPr="004F783B" w:rsidRDefault="002F2CB1" w:rsidP="004F783B">
            <w:pPr>
              <w:ind w:firstLine="238"/>
              <w:jc w:val="both"/>
              <w:rPr>
                <w:sz w:val="28"/>
                <w:szCs w:val="28"/>
              </w:rPr>
            </w:pPr>
            <w:r w:rsidRPr="004F783B">
              <w:rPr>
                <w:sz w:val="28"/>
                <w:szCs w:val="28"/>
              </w:rPr>
              <w:t>Dati par jaundzimušajiem atspoguļo problēmas grūtniecības novērošanā un dzemdību palīdzīb</w:t>
            </w:r>
            <w:r w:rsidR="008F6A5C">
              <w:rPr>
                <w:sz w:val="28"/>
                <w:szCs w:val="28"/>
              </w:rPr>
              <w:t>as sniegšanā</w:t>
            </w:r>
            <w:r w:rsidRPr="004F783B">
              <w:rPr>
                <w:sz w:val="28"/>
                <w:szCs w:val="28"/>
              </w:rPr>
              <w:t xml:space="preserve">, kas ļaus noteikt prioritātes turpmākajai veselības politikai šajā jomā. </w:t>
            </w:r>
          </w:p>
          <w:p w14:paraId="40AA0D5E" w14:textId="77777777" w:rsidR="004F783B" w:rsidRPr="004F783B" w:rsidRDefault="002F2CB1" w:rsidP="004F783B">
            <w:pPr>
              <w:ind w:firstLine="238"/>
              <w:jc w:val="both"/>
              <w:rPr>
                <w:sz w:val="28"/>
                <w:szCs w:val="28"/>
              </w:rPr>
            </w:pPr>
            <w:r w:rsidRPr="004F783B">
              <w:rPr>
                <w:sz w:val="28"/>
                <w:szCs w:val="28"/>
              </w:rPr>
              <w:t xml:space="preserve">Jaundzimušo mirstības izvērtējums saistībā ar dzimšanas apstākļiem un perinatālajiem veselības stāvokļiem palīdzēs noteikt veicamo pasākumu kopumu mirstības samazināšanai.  </w:t>
            </w:r>
          </w:p>
          <w:p w14:paraId="40AA0D5F" w14:textId="77777777" w:rsidR="004F783B" w:rsidRDefault="002F2CB1" w:rsidP="004F783B">
            <w:pPr>
              <w:ind w:firstLine="238"/>
              <w:jc w:val="both"/>
              <w:rPr>
                <w:sz w:val="28"/>
                <w:szCs w:val="28"/>
              </w:rPr>
            </w:pPr>
            <w:r w:rsidRPr="004F783B">
              <w:rPr>
                <w:sz w:val="28"/>
                <w:szCs w:val="28"/>
              </w:rPr>
              <w:t>Reģistrā iekļautā informācija ir aizsargājama atbilstoši Fizisko personu datu aizsardzības likumam</w:t>
            </w:r>
            <w:r>
              <w:rPr>
                <w:sz w:val="28"/>
                <w:szCs w:val="28"/>
              </w:rPr>
              <w:t>,</w:t>
            </w:r>
            <w:r w:rsidRPr="004F783B">
              <w:rPr>
                <w:sz w:val="28"/>
                <w:szCs w:val="28"/>
              </w:rPr>
              <w:t xml:space="preserve"> un saskaņā ar Informācijas atklātības likumu tā ir ierobežotas pieejamības informācija.</w:t>
            </w:r>
          </w:p>
          <w:p w14:paraId="40AA0D60" w14:textId="77777777" w:rsidR="00880D53" w:rsidRDefault="002F2CB1">
            <w:pPr>
              <w:jc w:val="both"/>
              <w:rPr>
                <w:rFonts w:asciiTheme="majorHAnsi" w:eastAsiaTheme="majorEastAsia" w:hAnsiTheme="majorHAnsi" w:cstheme="majorBidi"/>
                <w:b/>
                <w:bCs/>
                <w:color w:val="4F81BD" w:themeColor="accent1"/>
                <w:sz w:val="28"/>
                <w:szCs w:val="28"/>
              </w:rPr>
            </w:pPr>
            <w:r>
              <w:rPr>
                <w:sz w:val="28"/>
                <w:szCs w:val="28"/>
              </w:rPr>
              <w:t>SPKC noteikumu projektā paredzētos pasākumus īstenos piešķirto valsts budžeta līdzekļu ietvaros</w:t>
            </w:r>
            <w:r w:rsidR="00592A94">
              <w:rPr>
                <w:sz w:val="28"/>
                <w:szCs w:val="28"/>
              </w:rPr>
              <w:t>.</w:t>
            </w:r>
          </w:p>
        </w:tc>
      </w:tr>
      <w:tr w:rsidR="002F350A" w14:paraId="40AA0D63" w14:textId="77777777" w:rsidTr="00FA3A18">
        <w:trPr>
          <w:tblCellSpacing w:w="0" w:type="dxa"/>
        </w:trPr>
        <w:tc>
          <w:tcPr>
            <w:tcW w:w="9072" w:type="dxa"/>
            <w:gridSpan w:val="3"/>
            <w:tcBorders>
              <w:top w:val="outset" w:sz="6" w:space="0" w:color="auto"/>
              <w:left w:val="outset" w:sz="6" w:space="0" w:color="auto"/>
              <w:bottom w:val="outset" w:sz="6" w:space="0" w:color="auto"/>
              <w:right w:val="outset" w:sz="6" w:space="0" w:color="auto"/>
            </w:tcBorders>
          </w:tcPr>
          <w:p w14:paraId="40AA0D62" w14:textId="77777777" w:rsidR="00510F43" w:rsidRPr="004F783B" w:rsidRDefault="002F2CB1" w:rsidP="00510F43">
            <w:pPr>
              <w:ind w:firstLine="238"/>
              <w:jc w:val="center"/>
              <w:rPr>
                <w:sz w:val="28"/>
                <w:szCs w:val="28"/>
              </w:rPr>
            </w:pPr>
            <w:r w:rsidRPr="00510F43">
              <w:rPr>
                <w:b/>
                <w:sz w:val="28"/>
                <w:szCs w:val="28"/>
              </w:rPr>
              <w:t>IV. Tiesību akta projekta ietekme uz spēkā esošo tiesību normu sistēmu</w:t>
            </w:r>
          </w:p>
        </w:tc>
      </w:tr>
      <w:tr w:rsidR="002F350A" w14:paraId="40AA0D68" w14:textId="77777777" w:rsidTr="00355DF0">
        <w:trPr>
          <w:tblCellSpacing w:w="0" w:type="dxa"/>
        </w:trPr>
        <w:tc>
          <w:tcPr>
            <w:tcW w:w="426" w:type="dxa"/>
            <w:tcBorders>
              <w:top w:val="outset" w:sz="6" w:space="0" w:color="auto"/>
              <w:left w:val="outset" w:sz="6" w:space="0" w:color="auto"/>
              <w:bottom w:val="outset" w:sz="6" w:space="0" w:color="auto"/>
              <w:right w:val="outset" w:sz="6" w:space="0" w:color="auto"/>
            </w:tcBorders>
          </w:tcPr>
          <w:p w14:paraId="40AA0D64" w14:textId="77777777" w:rsidR="00510F43" w:rsidRDefault="002F2CB1" w:rsidP="000F4405">
            <w:pPr>
              <w:spacing w:before="100" w:beforeAutospacing="1" w:after="100" w:afterAutospacing="1"/>
              <w:rPr>
                <w:sz w:val="28"/>
                <w:szCs w:val="28"/>
              </w:rPr>
            </w:pPr>
            <w:r>
              <w:rPr>
                <w:sz w:val="28"/>
                <w:szCs w:val="28"/>
              </w:rPr>
              <w:t>1.</w:t>
            </w:r>
          </w:p>
        </w:tc>
        <w:tc>
          <w:tcPr>
            <w:tcW w:w="2126" w:type="dxa"/>
            <w:tcBorders>
              <w:top w:val="outset" w:sz="6" w:space="0" w:color="auto"/>
              <w:left w:val="outset" w:sz="6" w:space="0" w:color="auto"/>
              <w:bottom w:val="outset" w:sz="6" w:space="0" w:color="auto"/>
              <w:right w:val="outset" w:sz="6" w:space="0" w:color="auto"/>
            </w:tcBorders>
          </w:tcPr>
          <w:p w14:paraId="40AA0D65" w14:textId="77777777" w:rsidR="00510F43" w:rsidRPr="00510F43" w:rsidRDefault="002F2CB1" w:rsidP="000F4405">
            <w:pPr>
              <w:spacing w:before="100" w:beforeAutospacing="1" w:after="100" w:afterAutospacing="1"/>
              <w:rPr>
                <w:sz w:val="28"/>
                <w:szCs w:val="28"/>
              </w:rPr>
            </w:pPr>
            <w:r w:rsidRPr="00510F43">
              <w:rPr>
                <w:sz w:val="28"/>
                <w:szCs w:val="28"/>
              </w:rPr>
              <w:t>Nepieciešamie saistītie tiesību aktu projekti</w:t>
            </w:r>
          </w:p>
        </w:tc>
        <w:tc>
          <w:tcPr>
            <w:tcW w:w="6520" w:type="dxa"/>
            <w:tcBorders>
              <w:top w:val="outset" w:sz="6" w:space="0" w:color="auto"/>
              <w:left w:val="outset" w:sz="6" w:space="0" w:color="auto"/>
              <w:bottom w:val="outset" w:sz="6" w:space="0" w:color="auto"/>
              <w:right w:val="outset" w:sz="6" w:space="0" w:color="auto"/>
            </w:tcBorders>
            <w:shd w:val="clear" w:color="auto" w:fill="auto"/>
          </w:tcPr>
          <w:p w14:paraId="40AA0D66" w14:textId="77777777" w:rsidR="005D17A2" w:rsidRDefault="002F2CB1" w:rsidP="00742CBA">
            <w:pPr>
              <w:ind w:firstLine="238"/>
              <w:jc w:val="both"/>
              <w:rPr>
                <w:sz w:val="28"/>
                <w:szCs w:val="28"/>
              </w:rPr>
            </w:pPr>
            <w:r>
              <w:rPr>
                <w:sz w:val="28"/>
                <w:szCs w:val="28"/>
              </w:rPr>
              <w:t>Nepieciešams veikt grozījumus Ministru kabineta 2006.</w:t>
            </w:r>
            <w:r w:rsidR="00355DF0">
              <w:rPr>
                <w:sz w:val="28"/>
                <w:szCs w:val="28"/>
              </w:rPr>
              <w:t xml:space="preserve"> </w:t>
            </w:r>
            <w:r>
              <w:rPr>
                <w:sz w:val="28"/>
                <w:szCs w:val="28"/>
              </w:rPr>
              <w:t>gada 4.</w:t>
            </w:r>
            <w:r w:rsidR="00355DF0">
              <w:rPr>
                <w:sz w:val="28"/>
                <w:szCs w:val="28"/>
              </w:rPr>
              <w:t xml:space="preserve"> </w:t>
            </w:r>
            <w:r>
              <w:rPr>
                <w:sz w:val="28"/>
                <w:szCs w:val="28"/>
              </w:rPr>
              <w:t>aprīļa noteikumos Nr.</w:t>
            </w:r>
            <w:r w:rsidR="00355DF0">
              <w:rPr>
                <w:sz w:val="28"/>
                <w:szCs w:val="28"/>
              </w:rPr>
              <w:t xml:space="preserve"> </w:t>
            </w:r>
            <w:r>
              <w:rPr>
                <w:sz w:val="28"/>
                <w:szCs w:val="28"/>
              </w:rPr>
              <w:t>265 „Medicīnisko dokumentu lietvedības kārtība”, svītrojot šo noteikumu 36.</w:t>
            </w:r>
            <w:r w:rsidR="00355DF0">
              <w:rPr>
                <w:sz w:val="28"/>
                <w:szCs w:val="28"/>
              </w:rPr>
              <w:t xml:space="preserve"> </w:t>
            </w:r>
            <w:r>
              <w:rPr>
                <w:sz w:val="28"/>
                <w:szCs w:val="28"/>
              </w:rPr>
              <w:t>pielikumu „</w:t>
            </w:r>
            <w:r w:rsidRPr="00510F43">
              <w:rPr>
                <w:sz w:val="28"/>
                <w:szCs w:val="28"/>
              </w:rPr>
              <w:t>Jaundzimušā karte</w:t>
            </w:r>
            <w:r>
              <w:rPr>
                <w:sz w:val="28"/>
                <w:szCs w:val="28"/>
              </w:rPr>
              <w:t>”</w:t>
            </w:r>
            <w:r w:rsidRPr="00510F43">
              <w:rPr>
                <w:sz w:val="28"/>
                <w:szCs w:val="28"/>
              </w:rPr>
              <w:t xml:space="preserve"> (veidlapa Nr.098/u)</w:t>
            </w:r>
            <w:r>
              <w:rPr>
                <w:sz w:val="28"/>
                <w:szCs w:val="28"/>
              </w:rPr>
              <w:t>, kā arī 37.</w:t>
            </w:r>
            <w:r w:rsidR="00355DF0">
              <w:rPr>
                <w:sz w:val="28"/>
                <w:szCs w:val="28"/>
              </w:rPr>
              <w:t xml:space="preserve"> </w:t>
            </w:r>
            <w:r>
              <w:rPr>
                <w:sz w:val="28"/>
                <w:szCs w:val="28"/>
              </w:rPr>
              <w:t>pielikumu „</w:t>
            </w:r>
            <w:r w:rsidRPr="001B72C9">
              <w:rPr>
                <w:sz w:val="28"/>
                <w:szCs w:val="28"/>
              </w:rPr>
              <w:t>Jaundzimušā kartes papildtalons</w:t>
            </w:r>
            <w:r>
              <w:rPr>
                <w:sz w:val="28"/>
                <w:szCs w:val="28"/>
              </w:rPr>
              <w:t>”</w:t>
            </w:r>
            <w:r w:rsidRPr="001B72C9">
              <w:rPr>
                <w:sz w:val="28"/>
                <w:szCs w:val="28"/>
              </w:rPr>
              <w:t xml:space="preserve"> (veidlapa Nr.098-1/u</w:t>
            </w:r>
            <w:r w:rsidRPr="00044544">
              <w:rPr>
                <w:sz w:val="28"/>
                <w:szCs w:val="28"/>
              </w:rPr>
              <w:t xml:space="preserve">), </w:t>
            </w:r>
            <w:r w:rsidRPr="00194219">
              <w:rPr>
                <w:sz w:val="28"/>
                <w:szCs w:val="28"/>
              </w:rPr>
              <w:t>ar atbilstošām korekcijām minēto noteikumu 31. un 35.2. apakšpunktos</w:t>
            </w:r>
            <w:r>
              <w:rPr>
                <w:sz w:val="28"/>
                <w:szCs w:val="28"/>
              </w:rPr>
              <w:t xml:space="preserve">, </w:t>
            </w:r>
            <w:r w:rsidRPr="00044544">
              <w:rPr>
                <w:sz w:val="28"/>
                <w:szCs w:val="28"/>
              </w:rPr>
              <w:t>jo</w:t>
            </w:r>
            <w:r>
              <w:rPr>
                <w:sz w:val="28"/>
                <w:szCs w:val="28"/>
              </w:rPr>
              <w:t xml:space="preserve"> informācija par perinatālā periodā mirušo jaundzimušo galīgo nāves cēloni tiek iegūta no SPKC pārraudzībā esošās Latvijas iedzīvotāju nāves cēloņu datu bāzes, aktualizējot Jaundzimušo reģistrā esošos datus.</w:t>
            </w:r>
          </w:p>
          <w:p w14:paraId="40AA0D67" w14:textId="77777777" w:rsidR="001351E3" w:rsidRPr="00510F43" w:rsidRDefault="002F2CB1" w:rsidP="007D3211">
            <w:pPr>
              <w:ind w:firstLine="238"/>
              <w:jc w:val="both"/>
              <w:rPr>
                <w:sz w:val="28"/>
                <w:szCs w:val="28"/>
              </w:rPr>
            </w:pPr>
            <w:r w:rsidRPr="00355DF0">
              <w:rPr>
                <w:sz w:val="28"/>
                <w:szCs w:val="28"/>
              </w:rPr>
              <w:t>Ņemot vērā minēto, šo noteikumu 36. un 37.</w:t>
            </w:r>
            <w:r w:rsidR="000B77A6">
              <w:rPr>
                <w:sz w:val="28"/>
                <w:szCs w:val="28"/>
              </w:rPr>
              <w:t xml:space="preserve"> </w:t>
            </w:r>
            <w:r w:rsidRPr="00355DF0">
              <w:rPr>
                <w:sz w:val="28"/>
                <w:szCs w:val="28"/>
              </w:rPr>
              <w:t>pielikumu nepieciešams svītrot</w:t>
            </w:r>
            <w:r w:rsidR="005D17A2" w:rsidRPr="00355DF0">
              <w:rPr>
                <w:sz w:val="28"/>
                <w:szCs w:val="28"/>
              </w:rPr>
              <w:t>, kā arī veikt grozījumus šo</w:t>
            </w:r>
            <w:r w:rsidRPr="00355DF0">
              <w:rPr>
                <w:sz w:val="28"/>
                <w:szCs w:val="28"/>
              </w:rPr>
              <w:t xml:space="preserve"> noteikumu 31.</w:t>
            </w:r>
            <w:r w:rsidR="00355DF0" w:rsidRPr="00355DF0">
              <w:rPr>
                <w:sz w:val="28"/>
                <w:szCs w:val="28"/>
              </w:rPr>
              <w:t xml:space="preserve"> </w:t>
            </w:r>
            <w:r w:rsidRPr="00355DF0">
              <w:rPr>
                <w:sz w:val="28"/>
                <w:szCs w:val="28"/>
              </w:rPr>
              <w:t>punktā, kurā norādīti stacionārās ārstniecības iestādēs izmantojamie uzskaites dokumenti un noteikumu 35.2. apakšpunktā, kurā noteikt</w:t>
            </w:r>
            <w:r w:rsidR="007D3211" w:rsidRPr="00355DF0">
              <w:rPr>
                <w:sz w:val="28"/>
                <w:szCs w:val="28"/>
              </w:rPr>
              <w:t>s</w:t>
            </w:r>
            <w:r w:rsidRPr="00355DF0">
              <w:rPr>
                <w:sz w:val="28"/>
                <w:szCs w:val="28"/>
              </w:rPr>
              <w:t xml:space="preserve"> 36. un 37.pielikumā paredzēto medicīnisko dokumentu</w:t>
            </w:r>
            <w:r w:rsidR="007D3211" w:rsidRPr="00355DF0">
              <w:rPr>
                <w:sz w:val="28"/>
                <w:szCs w:val="28"/>
              </w:rPr>
              <w:t xml:space="preserve"> glabāšanas termiņš.</w:t>
            </w:r>
            <w:r>
              <w:rPr>
                <w:sz w:val="28"/>
                <w:szCs w:val="28"/>
              </w:rPr>
              <w:t xml:space="preserve"> </w:t>
            </w:r>
          </w:p>
        </w:tc>
      </w:tr>
      <w:tr w:rsidR="002F350A" w14:paraId="40AA0D6C" w14:textId="77777777" w:rsidTr="00FA3A18">
        <w:trPr>
          <w:tblCellSpacing w:w="0" w:type="dxa"/>
        </w:trPr>
        <w:tc>
          <w:tcPr>
            <w:tcW w:w="426" w:type="dxa"/>
            <w:tcBorders>
              <w:top w:val="outset" w:sz="6" w:space="0" w:color="auto"/>
              <w:left w:val="outset" w:sz="6" w:space="0" w:color="auto"/>
              <w:bottom w:val="outset" w:sz="6" w:space="0" w:color="auto"/>
              <w:right w:val="outset" w:sz="6" w:space="0" w:color="auto"/>
            </w:tcBorders>
          </w:tcPr>
          <w:p w14:paraId="40AA0D69" w14:textId="77777777" w:rsidR="00510F43" w:rsidRPr="00510F43" w:rsidRDefault="002F2CB1" w:rsidP="000F4405">
            <w:pPr>
              <w:spacing w:before="100" w:beforeAutospacing="1" w:after="100" w:afterAutospacing="1"/>
              <w:rPr>
                <w:sz w:val="28"/>
                <w:szCs w:val="28"/>
              </w:rPr>
            </w:pPr>
            <w:r w:rsidRPr="00510F43">
              <w:rPr>
                <w:sz w:val="28"/>
                <w:szCs w:val="28"/>
              </w:rPr>
              <w:t>2.</w:t>
            </w:r>
          </w:p>
        </w:tc>
        <w:tc>
          <w:tcPr>
            <w:tcW w:w="2126" w:type="dxa"/>
            <w:tcBorders>
              <w:top w:val="outset" w:sz="6" w:space="0" w:color="auto"/>
              <w:left w:val="outset" w:sz="6" w:space="0" w:color="auto"/>
              <w:bottom w:val="outset" w:sz="6" w:space="0" w:color="auto"/>
              <w:right w:val="outset" w:sz="6" w:space="0" w:color="auto"/>
            </w:tcBorders>
          </w:tcPr>
          <w:p w14:paraId="40AA0D6A" w14:textId="77777777" w:rsidR="00510F43" w:rsidRPr="00510F43" w:rsidRDefault="002F2CB1" w:rsidP="000F4405">
            <w:pPr>
              <w:spacing w:before="100" w:beforeAutospacing="1" w:after="100" w:afterAutospacing="1"/>
              <w:rPr>
                <w:sz w:val="28"/>
                <w:szCs w:val="28"/>
              </w:rPr>
            </w:pPr>
            <w:r w:rsidRPr="00510F43">
              <w:rPr>
                <w:sz w:val="28"/>
                <w:szCs w:val="28"/>
              </w:rPr>
              <w:t>Atbildīgā institūcija</w:t>
            </w:r>
          </w:p>
        </w:tc>
        <w:tc>
          <w:tcPr>
            <w:tcW w:w="6520" w:type="dxa"/>
            <w:tcBorders>
              <w:top w:val="outset" w:sz="6" w:space="0" w:color="auto"/>
              <w:left w:val="outset" w:sz="6" w:space="0" w:color="auto"/>
              <w:bottom w:val="outset" w:sz="6" w:space="0" w:color="auto"/>
              <w:right w:val="outset" w:sz="6" w:space="0" w:color="auto"/>
            </w:tcBorders>
          </w:tcPr>
          <w:p w14:paraId="40AA0D6B" w14:textId="77777777" w:rsidR="00510F43" w:rsidRPr="00510F43" w:rsidRDefault="002F2CB1" w:rsidP="004F783B">
            <w:pPr>
              <w:ind w:firstLine="238"/>
              <w:jc w:val="both"/>
              <w:rPr>
                <w:sz w:val="28"/>
                <w:szCs w:val="28"/>
              </w:rPr>
            </w:pPr>
            <w:r>
              <w:rPr>
                <w:sz w:val="28"/>
                <w:szCs w:val="28"/>
              </w:rPr>
              <w:t xml:space="preserve">Veselības ministrija </w:t>
            </w:r>
          </w:p>
        </w:tc>
      </w:tr>
      <w:tr w:rsidR="002F350A" w14:paraId="40AA0D6E" w14:textId="77777777" w:rsidTr="00FA3A18">
        <w:trPr>
          <w:trHeight w:val="505"/>
          <w:tblCellSpacing w:w="0" w:type="dxa"/>
        </w:trPr>
        <w:tc>
          <w:tcPr>
            <w:tcW w:w="9072" w:type="dxa"/>
            <w:gridSpan w:val="3"/>
            <w:tcBorders>
              <w:top w:val="outset" w:sz="6" w:space="0" w:color="auto"/>
              <w:left w:val="outset" w:sz="6" w:space="0" w:color="auto"/>
              <w:bottom w:val="outset" w:sz="6" w:space="0" w:color="auto"/>
              <w:right w:val="outset" w:sz="6" w:space="0" w:color="auto"/>
            </w:tcBorders>
          </w:tcPr>
          <w:p w14:paraId="40AA0D6D" w14:textId="77777777" w:rsidR="00D26D7E" w:rsidRDefault="002F2CB1" w:rsidP="00E973CB">
            <w:pPr>
              <w:ind w:firstLine="238"/>
              <w:jc w:val="center"/>
              <w:rPr>
                <w:b/>
                <w:sz w:val="28"/>
                <w:szCs w:val="28"/>
              </w:rPr>
            </w:pPr>
            <w:r>
              <w:rPr>
                <w:b/>
                <w:sz w:val="28"/>
                <w:szCs w:val="28"/>
              </w:rPr>
              <w:t>VI</w:t>
            </w:r>
            <w:r w:rsidRPr="00E973CB">
              <w:rPr>
                <w:b/>
                <w:sz w:val="28"/>
                <w:szCs w:val="28"/>
              </w:rPr>
              <w:t>.</w:t>
            </w:r>
            <w:r>
              <w:rPr>
                <w:b/>
                <w:sz w:val="28"/>
                <w:szCs w:val="28"/>
              </w:rPr>
              <w:t xml:space="preserve"> </w:t>
            </w:r>
            <w:r w:rsidRPr="00E973CB">
              <w:rPr>
                <w:b/>
                <w:sz w:val="28"/>
                <w:szCs w:val="28"/>
              </w:rPr>
              <w:t>Sabiedrības līdzdalība un komunikācijas aktivitātes</w:t>
            </w:r>
          </w:p>
        </w:tc>
      </w:tr>
      <w:tr w:rsidR="002F350A" w14:paraId="40AA0D72" w14:textId="77777777" w:rsidTr="00FA3A18">
        <w:trPr>
          <w:trHeight w:val="505"/>
          <w:tblCellSpacing w:w="0" w:type="dxa"/>
        </w:trPr>
        <w:tc>
          <w:tcPr>
            <w:tcW w:w="426" w:type="dxa"/>
            <w:tcBorders>
              <w:top w:val="outset" w:sz="6" w:space="0" w:color="auto"/>
              <w:left w:val="outset" w:sz="6" w:space="0" w:color="auto"/>
              <w:bottom w:val="outset" w:sz="6" w:space="0" w:color="auto"/>
              <w:right w:val="outset" w:sz="6" w:space="0" w:color="auto"/>
            </w:tcBorders>
          </w:tcPr>
          <w:p w14:paraId="40AA0D6F" w14:textId="77777777" w:rsidR="00E973CB" w:rsidRDefault="002F2CB1" w:rsidP="00E973CB">
            <w:pPr>
              <w:spacing w:before="100" w:beforeAutospacing="1" w:after="100" w:afterAutospacing="1"/>
              <w:rPr>
                <w:sz w:val="28"/>
                <w:szCs w:val="28"/>
              </w:rPr>
            </w:pPr>
            <w:r>
              <w:rPr>
                <w:sz w:val="28"/>
                <w:szCs w:val="28"/>
              </w:rPr>
              <w:t>1.</w:t>
            </w:r>
          </w:p>
        </w:tc>
        <w:tc>
          <w:tcPr>
            <w:tcW w:w="2126" w:type="dxa"/>
            <w:tcBorders>
              <w:top w:val="outset" w:sz="6" w:space="0" w:color="auto"/>
              <w:left w:val="outset" w:sz="6" w:space="0" w:color="auto"/>
              <w:bottom w:val="outset" w:sz="6" w:space="0" w:color="auto"/>
              <w:right w:val="outset" w:sz="6" w:space="0" w:color="auto"/>
            </w:tcBorders>
          </w:tcPr>
          <w:p w14:paraId="40AA0D70" w14:textId="77777777" w:rsidR="00E973CB" w:rsidRPr="00E973CB" w:rsidRDefault="002F2CB1" w:rsidP="00E973CB">
            <w:pPr>
              <w:ind w:left="70"/>
              <w:rPr>
                <w:sz w:val="28"/>
                <w:szCs w:val="28"/>
              </w:rPr>
            </w:pPr>
            <w:r w:rsidRPr="00E973CB">
              <w:rPr>
                <w:sz w:val="28"/>
                <w:szCs w:val="28"/>
              </w:rPr>
              <w:t>Plānotās sabiedrības līdzdalības un komunikācijas aktivitātes saistībā ar projektu</w:t>
            </w:r>
          </w:p>
        </w:tc>
        <w:tc>
          <w:tcPr>
            <w:tcW w:w="6520" w:type="dxa"/>
            <w:tcBorders>
              <w:top w:val="outset" w:sz="6" w:space="0" w:color="auto"/>
              <w:left w:val="outset" w:sz="6" w:space="0" w:color="auto"/>
              <w:bottom w:val="outset" w:sz="6" w:space="0" w:color="auto"/>
              <w:right w:val="outset" w:sz="6" w:space="0" w:color="auto"/>
            </w:tcBorders>
          </w:tcPr>
          <w:p w14:paraId="40AA0D71" w14:textId="77777777" w:rsidR="00E973CB" w:rsidRPr="00E973CB" w:rsidRDefault="002F2CB1" w:rsidP="00127744">
            <w:pPr>
              <w:ind w:firstLine="238"/>
              <w:jc w:val="both"/>
              <w:rPr>
                <w:sz w:val="28"/>
                <w:szCs w:val="28"/>
              </w:rPr>
            </w:pPr>
            <w:r>
              <w:rPr>
                <w:sz w:val="28"/>
                <w:szCs w:val="28"/>
              </w:rPr>
              <w:t xml:space="preserve">Noteikumu projekta izstrādes procesā </w:t>
            </w:r>
            <w:r w:rsidRPr="00E973CB">
              <w:rPr>
                <w:sz w:val="28"/>
                <w:szCs w:val="28"/>
              </w:rPr>
              <w:t>noti</w:t>
            </w:r>
            <w:r>
              <w:rPr>
                <w:sz w:val="28"/>
                <w:szCs w:val="28"/>
              </w:rPr>
              <w:t>ka</w:t>
            </w:r>
            <w:r w:rsidRPr="00E973CB">
              <w:rPr>
                <w:sz w:val="28"/>
                <w:szCs w:val="28"/>
              </w:rPr>
              <w:t xml:space="preserve"> sadarbība un konsultācijas par reģistra datu aktualizāciju un nepieciešamajām izma</w:t>
            </w:r>
            <w:r>
              <w:rPr>
                <w:sz w:val="28"/>
                <w:szCs w:val="28"/>
              </w:rPr>
              <w:t>iņām ar Veselības ministrijas G</w:t>
            </w:r>
            <w:r w:rsidRPr="00E973CB">
              <w:rPr>
                <w:sz w:val="28"/>
                <w:szCs w:val="28"/>
              </w:rPr>
              <w:t xml:space="preserve">alveno speciālistu ginekoloģijā un dzemdniecībā, kā arī ar Latvijas </w:t>
            </w:r>
            <w:r w:rsidR="00355DF0">
              <w:rPr>
                <w:sz w:val="28"/>
                <w:szCs w:val="28"/>
              </w:rPr>
              <w:t>G</w:t>
            </w:r>
            <w:r>
              <w:rPr>
                <w:sz w:val="28"/>
                <w:szCs w:val="28"/>
              </w:rPr>
              <w:t xml:space="preserve">inekologu </w:t>
            </w:r>
            <w:r w:rsidRPr="00E973CB">
              <w:rPr>
                <w:sz w:val="28"/>
                <w:szCs w:val="28"/>
              </w:rPr>
              <w:t>un dzemdību speciālistu asociāciju.</w:t>
            </w:r>
          </w:p>
        </w:tc>
      </w:tr>
      <w:tr w:rsidR="002F350A" w14:paraId="40AA0D77" w14:textId="77777777" w:rsidTr="00FA3A18">
        <w:trPr>
          <w:trHeight w:val="505"/>
          <w:tblCellSpacing w:w="0" w:type="dxa"/>
        </w:trPr>
        <w:tc>
          <w:tcPr>
            <w:tcW w:w="426" w:type="dxa"/>
            <w:tcBorders>
              <w:top w:val="outset" w:sz="6" w:space="0" w:color="auto"/>
              <w:left w:val="outset" w:sz="6" w:space="0" w:color="auto"/>
              <w:bottom w:val="outset" w:sz="6" w:space="0" w:color="auto"/>
              <w:right w:val="outset" w:sz="6" w:space="0" w:color="auto"/>
            </w:tcBorders>
          </w:tcPr>
          <w:p w14:paraId="40AA0D73" w14:textId="77777777" w:rsidR="00E973CB" w:rsidRDefault="002F2CB1" w:rsidP="00E973CB">
            <w:pPr>
              <w:spacing w:before="100" w:beforeAutospacing="1" w:after="100" w:afterAutospacing="1"/>
              <w:rPr>
                <w:sz w:val="28"/>
                <w:szCs w:val="28"/>
              </w:rPr>
            </w:pPr>
            <w:r>
              <w:rPr>
                <w:sz w:val="28"/>
                <w:szCs w:val="28"/>
              </w:rPr>
              <w:t>2.</w:t>
            </w:r>
          </w:p>
        </w:tc>
        <w:tc>
          <w:tcPr>
            <w:tcW w:w="2126" w:type="dxa"/>
            <w:tcBorders>
              <w:top w:val="outset" w:sz="6" w:space="0" w:color="auto"/>
              <w:left w:val="outset" w:sz="6" w:space="0" w:color="auto"/>
              <w:bottom w:val="outset" w:sz="6" w:space="0" w:color="auto"/>
              <w:right w:val="outset" w:sz="6" w:space="0" w:color="auto"/>
            </w:tcBorders>
          </w:tcPr>
          <w:p w14:paraId="40AA0D74" w14:textId="77777777" w:rsidR="00E973CB" w:rsidRPr="00E973CB" w:rsidRDefault="002F2CB1" w:rsidP="00E973CB">
            <w:pPr>
              <w:ind w:left="70"/>
              <w:rPr>
                <w:sz w:val="28"/>
                <w:szCs w:val="28"/>
              </w:rPr>
            </w:pPr>
            <w:r w:rsidRPr="00E973CB">
              <w:rPr>
                <w:sz w:val="28"/>
                <w:szCs w:val="28"/>
              </w:rPr>
              <w:t>Sabiedrības līdzdalība projekta izstrādē</w:t>
            </w:r>
          </w:p>
        </w:tc>
        <w:tc>
          <w:tcPr>
            <w:tcW w:w="6520" w:type="dxa"/>
            <w:tcBorders>
              <w:top w:val="outset" w:sz="6" w:space="0" w:color="auto"/>
              <w:left w:val="outset" w:sz="6" w:space="0" w:color="auto"/>
              <w:bottom w:val="outset" w:sz="6" w:space="0" w:color="auto"/>
              <w:right w:val="outset" w:sz="6" w:space="0" w:color="auto"/>
            </w:tcBorders>
          </w:tcPr>
          <w:p w14:paraId="40AA0D75" w14:textId="77777777" w:rsidR="00E973CB" w:rsidRDefault="002F2CB1" w:rsidP="00EC325E">
            <w:pPr>
              <w:ind w:firstLine="238"/>
              <w:jc w:val="both"/>
              <w:rPr>
                <w:sz w:val="28"/>
                <w:szCs w:val="28"/>
              </w:rPr>
            </w:pPr>
            <w:r>
              <w:rPr>
                <w:sz w:val="28"/>
                <w:szCs w:val="28"/>
              </w:rPr>
              <w:t>Noteikumu projekts 2015.</w:t>
            </w:r>
            <w:r w:rsidR="00355DF0">
              <w:rPr>
                <w:sz w:val="28"/>
                <w:szCs w:val="28"/>
              </w:rPr>
              <w:t xml:space="preserve"> </w:t>
            </w:r>
            <w:r>
              <w:rPr>
                <w:sz w:val="28"/>
                <w:szCs w:val="28"/>
              </w:rPr>
              <w:t>gada 15.</w:t>
            </w:r>
            <w:r w:rsidR="00355DF0">
              <w:rPr>
                <w:sz w:val="28"/>
                <w:szCs w:val="28"/>
              </w:rPr>
              <w:t xml:space="preserve"> </w:t>
            </w:r>
            <w:r>
              <w:rPr>
                <w:sz w:val="28"/>
                <w:szCs w:val="28"/>
              </w:rPr>
              <w:t>maijā tika ievietots Veselības ministrijas mājas lapā publiskai apspriešanai.</w:t>
            </w:r>
          </w:p>
          <w:p w14:paraId="40AA0D76" w14:textId="77777777" w:rsidR="005B5942" w:rsidRPr="00E973CB" w:rsidRDefault="002F2CB1" w:rsidP="00EC325E">
            <w:pPr>
              <w:ind w:firstLine="238"/>
              <w:jc w:val="both"/>
              <w:rPr>
                <w:sz w:val="28"/>
                <w:szCs w:val="28"/>
              </w:rPr>
            </w:pPr>
            <w:r>
              <w:rPr>
                <w:sz w:val="28"/>
                <w:szCs w:val="28"/>
              </w:rPr>
              <w:t>Priekšlikumi un iebildumi par noteikumu projektu mēneša laikā no tā ievietošanas Veselības ministrijas mājas lapā netika saņemti.</w:t>
            </w:r>
          </w:p>
        </w:tc>
      </w:tr>
      <w:tr w:rsidR="002F350A" w14:paraId="40AA0D7B" w14:textId="77777777" w:rsidTr="00FA3A18">
        <w:trPr>
          <w:trHeight w:val="505"/>
          <w:tblCellSpacing w:w="0" w:type="dxa"/>
        </w:trPr>
        <w:tc>
          <w:tcPr>
            <w:tcW w:w="426" w:type="dxa"/>
            <w:tcBorders>
              <w:top w:val="outset" w:sz="6" w:space="0" w:color="auto"/>
              <w:left w:val="outset" w:sz="6" w:space="0" w:color="auto"/>
              <w:bottom w:val="outset" w:sz="6" w:space="0" w:color="auto"/>
              <w:right w:val="outset" w:sz="6" w:space="0" w:color="auto"/>
            </w:tcBorders>
          </w:tcPr>
          <w:p w14:paraId="40AA0D78" w14:textId="77777777" w:rsidR="00E973CB" w:rsidRDefault="002F2CB1" w:rsidP="00E973CB">
            <w:pPr>
              <w:spacing w:before="100" w:beforeAutospacing="1" w:after="100" w:afterAutospacing="1"/>
              <w:rPr>
                <w:sz w:val="28"/>
                <w:szCs w:val="28"/>
              </w:rPr>
            </w:pPr>
            <w:r>
              <w:rPr>
                <w:sz w:val="28"/>
                <w:szCs w:val="28"/>
              </w:rPr>
              <w:t>3.</w:t>
            </w:r>
          </w:p>
        </w:tc>
        <w:tc>
          <w:tcPr>
            <w:tcW w:w="2126" w:type="dxa"/>
            <w:tcBorders>
              <w:top w:val="outset" w:sz="6" w:space="0" w:color="auto"/>
              <w:left w:val="outset" w:sz="6" w:space="0" w:color="auto"/>
              <w:bottom w:val="outset" w:sz="6" w:space="0" w:color="auto"/>
              <w:right w:val="outset" w:sz="6" w:space="0" w:color="auto"/>
            </w:tcBorders>
          </w:tcPr>
          <w:p w14:paraId="40AA0D79" w14:textId="77777777" w:rsidR="00E973CB" w:rsidRPr="00E973CB" w:rsidRDefault="002F2CB1" w:rsidP="00E973CB">
            <w:pPr>
              <w:ind w:left="70"/>
              <w:rPr>
                <w:sz w:val="28"/>
                <w:szCs w:val="28"/>
              </w:rPr>
            </w:pPr>
            <w:r w:rsidRPr="00E973CB">
              <w:rPr>
                <w:sz w:val="28"/>
                <w:szCs w:val="28"/>
              </w:rPr>
              <w:t>Sabiedrības līdzdalības rezultāti</w:t>
            </w:r>
          </w:p>
        </w:tc>
        <w:tc>
          <w:tcPr>
            <w:tcW w:w="6520" w:type="dxa"/>
            <w:tcBorders>
              <w:top w:val="outset" w:sz="6" w:space="0" w:color="auto"/>
              <w:left w:val="outset" w:sz="6" w:space="0" w:color="auto"/>
              <w:bottom w:val="outset" w:sz="6" w:space="0" w:color="auto"/>
              <w:right w:val="outset" w:sz="6" w:space="0" w:color="auto"/>
            </w:tcBorders>
          </w:tcPr>
          <w:p w14:paraId="40AA0D7A" w14:textId="77777777" w:rsidR="00E973CB" w:rsidRPr="00E973CB" w:rsidRDefault="002F2CB1" w:rsidP="00C07FC8">
            <w:pPr>
              <w:ind w:firstLine="238"/>
              <w:jc w:val="both"/>
              <w:rPr>
                <w:sz w:val="28"/>
                <w:szCs w:val="28"/>
              </w:rPr>
            </w:pPr>
            <w:r>
              <w:rPr>
                <w:sz w:val="28"/>
                <w:szCs w:val="28"/>
              </w:rPr>
              <w:t>Veselības ministrijas G</w:t>
            </w:r>
            <w:r w:rsidRPr="00E973CB">
              <w:rPr>
                <w:sz w:val="28"/>
                <w:szCs w:val="28"/>
              </w:rPr>
              <w:t xml:space="preserve">alvenais speciālists ginekoloģijā un dzemdniecībā, kā arī Latvijas </w:t>
            </w:r>
            <w:r>
              <w:rPr>
                <w:sz w:val="28"/>
                <w:szCs w:val="28"/>
              </w:rPr>
              <w:t xml:space="preserve">Ginekologu </w:t>
            </w:r>
            <w:r w:rsidRPr="00E973CB">
              <w:rPr>
                <w:sz w:val="28"/>
                <w:szCs w:val="28"/>
              </w:rPr>
              <w:t>un dzemdību speciālistu asociācija atbalsta normatīvā akta nepieciešamību.</w:t>
            </w:r>
          </w:p>
        </w:tc>
      </w:tr>
      <w:tr w:rsidR="002F350A" w14:paraId="40AA0D7F" w14:textId="77777777" w:rsidTr="00FA3A18">
        <w:trPr>
          <w:trHeight w:val="505"/>
          <w:tblCellSpacing w:w="0" w:type="dxa"/>
        </w:trPr>
        <w:tc>
          <w:tcPr>
            <w:tcW w:w="426" w:type="dxa"/>
            <w:tcBorders>
              <w:top w:val="outset" w:sz="6" w:space="0" w:color="auto"/>
              <w:left w:val="outset" w:sz="6" w:space="0" w:color="auto"/>
              <w:bottom w:val="outset" w:sz="6" w:space="0" w:color="auto"/>
              <w:right w:val="outset" w:sz="6" w:space="0" w:color="auto"/>
            </w:tcBorders>
          </w:tcPr>
          <w:p w14:paraId="40AA0D7C" w14:textId="77777777" w:rsidR="00E973CB" w:rsidRDefault="002F2CB1" w:rsidP="00E973CB">
            <w:pPr>
              <w:spacing w:before="100" w:beforeAutospacing="1" w:after="100" w:afterAutospacing="1"/>
              <w:rPr>
                <w:sz w:val="28"/>
                <w:szCs w:val="28"/>
              </w:rPr>
            </w:pPr>
            <w:r>
              <w:rPr>
                <w:sz w:val="28"/>
                <w:szCs w:val="28"/>
              </w:rPr>
              <w:t>4.</w:t>
            </w:r>
          </w:p>
        </w:tc>
        <w:tc>
          <w:tcPr>
            <w:tcW w:w="2126" w:type="dxa"/>
            <w:tcBorders>
              <w:top w:val="outset" w:sz="6" w:space="0" w:color="auto"/>
              <w:left w:val="outset" w:sz="6" w:space="0" w:color="auto"/>
              <w:bottom w:val="outset" w:sz="6" w:space="0" w:color="auto"/>
              <w:right w:val="outset" w:sz="6" w:space="0" w:color="auto"/>
            </w:tcBorders>
          </w:tcPr>
          <w:p w14:paraId="40AA0D7D" w14:textId="77777777" w:rsidR="00E973CB" w:rsidRPr="00E973CB" w:rsidRDefault="002F2CB1" w:rsidP="00E973CB">
            <w:pPr>
              <w:ind w:left="70"/>
              <w:rPr>
                <w:sz w:val="28"/>
                <w:szCs w:val="28"/>
              </w:rPr>
            </w:pPr>
            <w:r w:rsidRPr="00E973CB">
              <w:rPr>
                <w:sz w:val="28"/>
                <w:szCs w:val="28"/>
              </w:rPr>
              <w:t>Cita informācija</w:t>
            </w:r>
          </w:p>
        </w:tc>
        <w:tc>
          <w:tcPr>
            <w:tcW w:w="6520" w:type="dxa"/>
            <w:tcBorders>
              <w:top w:val="outset" w:sz="6" w:space="0" w:color="auto"/>
              <w:left w:val="outset" w:sz="6" w:space="0" w:color="auto"/>
              <w:bottom w:val="outset" w:sz="6" w:space="0" w:color="auto"/>
              <w:right w:val="outset" w:sz="6" w:space="0" w:color="auto"/>
            </w:tcBorders>
          </w:tcPr>
          <w:p w14:paraId="40AA0D7E" w14:textId="77777777" w:rsidR="00E973CB" w:rsidRPr="00E973CB" w:rsidRDefault="002F2CB1" w:rsidP="00E973CB">
            <w:pPr>
              <w:ind w:firstLine="238"/>
              <w:jc w:val="both"/>
              <w:rPr>
                <w:sz w:val="28"/>
                <w:szCs w:val="28"/>
              </w:rPr>
            </w:pPr>
            <w:r>
              <w:rPr>
                <w:sz w:val="28"/>
                <w:szCs w:val="28"/>
              </w:rPr>
              <w:t>Nav</w:t>
            </w:r>
          </w:p>
        </w:tc>
      </w:tr>
      <w:tr w:rsidR="002F350A" w14:paraId="40AA0D81" w14:textId="77777777" w:rsidTr="00FA3A18">
        <w:trPr>
          <w:trHeight w:val="505"/>
          <w:tblCellSpacing w:w="0" w:type="dxa"/>
        </w:trPr>
        <w:tc>
          <w:tcPr>
            <w:tcW w:w="9072" w:type="dxa"/>
            <w:gridSpan w:val="3"/>
            <w:tcBorders>
              <w:top w:val="outset" w:sz="6" w:space="0" w:color="auto"/>
              <w:left w:val="outset" w:sz="6" w:space="0" w:color="auto"/>
              <w:bottom w:val="outset" w:sz="6" w:space="0" w:color="auto"/>
              <w:right w:val="outset" w:sz="6" w:space="0" w:color="auto"/>
            </w:tcBorders>
          </w:tcPr>
          <w:p w14:paraId="40AA0D80" w14:textId="77777777" w:rsidR="006226D5" w:rsidRPr="006226D5" w:rsidRDefault="002F2CB1" w:rsidP="006226D5">
            <w:pPr>
              <w:ind w:firstLine="238"/>
              <w:jc w:val="center"/>
              <w:rPr>
                <w:b/>
                <w:sz w:val="28"/>
                <w:szCs w:val="28"/>
              </w:rPr>
            </w:pPr>
            <w:r w:rsidRPr="006226D5">
              <w:rPr>
                <w:b/>
                <w:sz w:val="28"/>
                <w:szCs w:val="28"/>
              </w:rPr>
              <w:t>VII. Tiesību akta projekta izpildes nodrošināšana un tās ietekme uz institūcijām</w:t>
            </w:r>
          </w:p>
        </w:tc>
      </w:tr>
      <w:tr w:rsidR="002F350A" w14:paraId="40AA0D85" w14:textId="77777777" w:rsidTr="00FA3A18">
        <w:trPr>
          <w:trHeight w:val="505"/>
          <w:tblCellSpacing w:w="0" w:type="dxa"/>
        </w:trPr>
        <w:tc>
          <w:tcPr>
            <w:tcW w:w="426" w:type="dxa"/>
            <w:tcBorders>
              <w:top w:val="outset" w:sz="6" w:space="0" w:color="auto"/>
              <w:left w:val="outset" w:sz="6" w:space="0" w:color="auto"/>
              <w:bottom w:val="outset" w:sz="6" w:space="0" w:color="auto"/>
              <w:right w:val="outset" w:sz="6" w:space="0" w:color="auto"/>
            </w:tcBorders>
          </w:tcPr>
          <w:p w14:paraId="40AA0D82" w14:textId="77777777" w:rsidR="006226D5" w:rsidRDefault="002F2CB1" w:rsidP="006226D5">
            <w:pPr>
              <w:spacing w:before="100" w:beforeAutospacing="1" w:after="100" w:afterAutospacing="1"/>
              <w:rPr>
                <w:sz w:val="28"/>
                <w:szCs w:val="28"/>
              </w:rPr>
            </w:pPr>
            <w:r>
              <w:rPr>
                <w:sz w:val="28"/>
                <w:szCs w:val="28"/>
              </w:rPr>
              <w:t>1.</w:t>
            </w:r>
          </w:p>
        </w:tc>
        <w:tc>
          <w:tcPr>
            <w:tcW w:w="2126" w:type="dxa"/>
            <w:tcBorders>
              <w:top w:val="outset" w:sz="6" w:space="0" w:color="auto"/>
              <w:left w:val="outset" w:sz="6" w:space="0" w:color="auto"/>
              <w:bottom w:val="outset" w:sz="6" w:space="0" w:color="auto"/>
              <w:right w:val="outset" w:sz="6" w:space="0" w:color="auto"/>
            </w:tcBorders>
          </w:tcPr>
          <w:p w14:paraId="40AA0D83" w14:textId="77777777" w:rsidR="006226D5" w:rsidRPr="006226D5" w:rsidRDefault="002F2CB1" w:rsidP="006226D5">
            <w:pPr>
              <w:ind w:left="70"/>
              <w:rPr>
                <w:sz w:val="28"/>
                <w:szCs w:val="28"/>
              </w:rPr>
            </w:pPr>
            <w:r w:rsidRPr="006226D5">
              <w:rPr>
                <w:sz w:val="28"/>
                <w:szCs w:val="28"/>
              </w:rPr>
              <w:t>Projekta izpildē iesaistītās institūcijas</w:t>
            </w:r>
          </w:p>
        </w:tc>
        <w:tc>
          <w:tcPr>
            <w:tcW w:w="6520" w:type="dxa"/>
            <w:tcBorders>
              <w:top w:val="outset" w:sz="6" w:space="0" w:color="auto"/>
              <w:left w:val="outset" w:sz="6" w:space="0" w:color="auto"/>
              <w:bottom w:val="outset" w:sz="6" w:space="0" w:color="auto"/>
              <w:right w:val="outset" w:sz="6" w:space="0" w:color="auto"/>
            </w:tcBorders>
          </w:tcPr>
          <w:p w14:paraId="40AA0D84" w14:textId="77777777" w:rsidR="006226D5" w:rsidRPr="006226D5" w:rsidRDefault="002F2CB1" w:rsidP="004A0675">
            <w:pPr>
              <w:ind w:firstLine="70"/>
              <w:jc w:val="both"/>
              <w:rPr>
                <w:sz w:val="28"/>
                <w:szCs w:val="28"/>
              </w:rPr>
            </w:pPr>
            <w:r>
              <w:rPr>
                <w:sz w:val="28"/>
                <w:szCs w:val="28"/>
              </w:rPr>
              <w:t>SPKC</w:t>
            </w:r>
          </w:p>
        </w:tc>
      </w:tr>
      <w:tr w:rsidR="002F350A" w14:paraId="40AA0D89" w14:textId="77777777" w:rsidTr="00FA3A18">
        <w:trPr>
          <w:trHeight w:val="505"/>
          <w:tblCellSpacing w:w="0" w:type="dxa"/>
        </w:trPr>
        <w:tc>
          <w:tcPr>
            <w:tcW w:w="426" w:type="dxa"/>
            <w:tcBorders>
              <w:top w:val="outset" w:sz="6" w:space="0" w:color="auto"/>
              <w:left w:val="outset" w:sz="6" w:space="0" w:color="auto"/>
              <w:bottom w:val="outset" w:sz="6" w:space="0" w:color="auto"/>
              <w:right w:val="outset" w:sz="6" w:space="0" w:color="auto"/>
            </w:tcBorders>
          </w:tcPr>
          <w:p w14:paraId="40AA0D86" w14:textId="77777777" w:rsidR="006226D5" w:rsidRDefault="002F2CB1" w:rsidP="006226D5">
            <w:pPr>
              <w:spacing w:before="100" w:beforeAutospacing="1" w:after="100" w:afterAutospacing="1"/>
              <w:rPr>
                <w:sz w:val="28"/>
                <w:szCs w:val="28"/>
              </w:rPr>
            </w:pPr>
            <w:r>
              <w:rPr>
                <w:sz w:val="28"/>
                <w:szCs w:val="28"/>
              </w:rPr>
              <w:t>2.</w:t>
            </w:r>
          </w:p>
        </w:tc>
        <w:tc>
          <w:tcPr>
            <w:tcW w:w="2126" w:type="dxa"/>
            <w:tcBorders>
              <w:top w:val="outset" w:sz="6" w:space="0" w:color="auto"/>
              <w:left w:val="outset" w:sz="6" w:space="0" w:color="auto"/>
              <w:bottom w:val="outset" w:sz="6" w:space="0" w:color="auto"/>
              <w:right w:val="outset" w:sz="6" w:space="0" w:color="auto"/>
            </w:tcBorders>
          </w:tcPr>
          <w:p w14:paraId="40AA0D87" w14:textId="77777777" w:rsidR="006226D5" w:rsidRPr="006226D5" w:rsidRDefault="002F2CB1" w:rsidP="006226D5">
            <w:pPr>
              <w:ind w:left="70"/>
              <w:rPr>
                <w:sz w:val="28"/>
                <w:szCs w:val="28"/>
              </w:rPr>
            </w:pPr>
            <w:r w:rsidRPr="006226D5">
              <w:rPr>
                <w:sz w:val="28"/>
                <w:szCs w:val="28"/>
              </w:rPr>
              <w:t>Projekta izpildes ietekme uz pārvaldes funkcijām un institucionālo struktūru. Jaunu institūciju izveide, esošu institūciju likvidācija vai reorganizācija, to ietekme uz institūcijas cilvēkresursiem.</w:t>
            </w:r>
          </w:p>
        </w:tc>
        <w:tc>
          <w:tcPr>
            <w:tcW w:w="6520" w:type="dxa"/>
            <w:tcBorders>
              <w:top w:val="outset" w:sz="6" w:space="0" w:color="auto"/>
              <w:left w:val="outset" w:sz="6" w:space="0" w:color="auto"/>
              <w:bottom w:val="outset" w:sz="6" w:space="0" w:color="auto"/>
              <w:right w:val="outset" w:sz="6" w:space="0" w:color="auto"/>
            </w:tcBorders>
          </w:tcPr>
          <w:p w14:paraId="40AA0D88" w14:textId="77777777" w:rsidR="00127744" w:rsidRPr="006226D5" w:rsidRDefault="002F2CB1" w:rsidP="004A0675">
            <w:pPr>
              <w:ind w:firstLine="70"/>
              <w:jc w:val="both"/>
              <w:rPr>
                <w:sz w:val="28"/>
                <w:szCs w:val="28"/>
              </w:rPr>
            </w:pPr>
            <w:r>
              <w:rPr>
                <w:sz w:val="28"/>
                <w:szCs w:val="28"/>
              </w:rPr>
              <w:t xml:space="preserve">Noteikumu projektu īstenos SPKC esošo cilvēkresursu ietvaros. </w:t>
            </w:r>
          </w:p>
        </w:tc>
      </w:tr>
      <w:tr w:rsidR="002F350A" w14:paraId="40AA0D8D" w14:textId="77777777" w:rsidTr="00FA3A18">
        <w:trPr>
          <w:trHeight w:val="505"/>
          <w:tblCellSpacing w:w="0" w:type="dxa"/>
        </w:trPr>
        <w:tc>
          <w:tcPr>
            <w:tcW w:w="426" w:type="dxa"/>
            <w:tcBorders>
              <w:top w:val="outset" w:sz="6" w:space="0" w:color="auto"/>
              <w:left w:val="outset" w:sz="6" w:space="0" w:color="auto"/>
              <w:bottom w:val="outset" w:sz="6" w:space="0" w:color="auto"/>
              <w:right w:val="outset" w:sz="6" w:space="0" w:color="auto"/>
            </w:tcBorders>
          </w:tcPr>
          <w:p w14:paraId="40AA0D8A" w14:textId="77777777" w:rsidR="006226D5" w:rsidRDefault="002F2CB1" w:rsidP="006226D5">
            <w:pPr>
              <w:spacing w:before="100" w:beforeAutospacing="1" w:after="100" w:afterAutospacing="1"/>
              <w:rPr>
                <w:sz w:val="28"/>
                <w:szCs w:val="28"/>
              </w:rPr>
            </w:pPr>
            <w:r>
              <w:rPr>
                <w:sz w:val="28"/>
                <w:szCs w:val="28"/>
              </w:rPr>
              <w:t>3.</w:t>
            </w:r>
          </w:p>
        </w:tc>
        <w:tc>
          <w:tcPr>
            <w:tcW w:w="2126" w:type="dxa"/>
            <w:tcBorders>
              <w:top w:val="outset" w:sz="6" w:space="0" w:color="auto"/>
              <w:left w:val="outset" w:sz="6" w:space="0" w:color="auto"/>
              <w:bottom w:val="outset" w:sz="6" w:space="0" w:color="auto"/>
              <w:right w:val="outset" w:sz="6" w:space="0" w:color="auto"/>
            </w:tcBorders>
          </w:tcPr>
          <w:p w14:paraId="40AA0D8B" w14:textId="77777777" w:rsidR="006226D5" w:rsidRPr="006226D5" w:rsidRDefault="002F2CB1" w:rsidP="006226D5">
            <w:pPr>
              <w:ind w:left="70"/>
              <w:rPr>
                <w:sz w:val="28"/>
                <w:szCs w:val="28"/>
              </w:rPr>
            </w:pPr>
            <w:r w:rsidRPr="006226D5">
              <w:rPr>
                <w:sz w:val="28"/>
                <w:szCs w:val="28"/>
              </w:rPr>
              <w:t>Cita informācija</w:t>
            </w:r>
          </w:p>
        </w:tc>
        <w:tc>
          <w:tcPr>
            <w:tcW w:w="6520" w:type="dxa"/>
            <w:tcBorders>
              <w:top w:val="outset" w:sz="6" w:space="0" w:color="auto"/>
              <w:left w:val="outset" w:sz="6" w:space="0" w:color="auto"/>
              <w:bottom w:val="outset" w:sz="6" w:space="0" w:color="auto"/>
              <w:right w:val="outset" w:sz="6" w:space="0" w:color="auto"/>
            </w:tcBorders>
          </w:tcPr>
          <w:p w14:paraId="40AA0D8C" w14:textId="77777777" w:rsidR="006226D5" w:rsidRPr="006226D5" w:rsidRDefault="002F2CB1" w:rsidP="00E973CB">
            <w:pPr>
              <w:ind w:firstLine="238"/>
              <w:jc w:val="both"/>
              <w:rPr>
                <w:sz w:val="28"/>
                <w:szCs w:val="28"/>
              </w:rPr>
            </w:pPr>
            <w:r>
              <w:rPr>
                <w:sz w:val="28"/>
                <w:szCs w:val="28"/>
              </w:rPr>
              <w:t>Nav</w:t>
            </w:r>
          </w:p>
        </w:tc>
      </w:tr>
    </w:tbl>
    <w:p w14:paraId="40AA0D8E" w14:textId="77777777" w:rsidR="000F4405" w:rsidRDefault="002F2CB1" w:rsidP="00A91BB2">
      <w:pPr>
        <w:jc w:val="center"/>
        <w:outlineLvl w:val="0"/>
        <w:rPr>
          <w:i/>
          <w:sz w:val="28"/>
          <w:szCs w:val="28"/>
        </w:rPr>
      </w:pPr>
      <w:r w:rsidRPr="00E70F94">
        <w:rPr>
          <w:i/>
          <w:sz w:val="28"/>
          <w:szCs w:val="28"/>
        </w:rPr>
        <w:t>Anotācijas III.</w:t>
      </w:r>
      <w:r w:rsidR="004A0675">
        <w:rPr>
          <w:i/>
          <w:sz w:val="28"/>
          <w:szCs w:val="28"/>
        </w:rPr>
        <w:t xml:space="preserve"> </w:t>
      </w:r>
      <w:r w:rsidR="00127744">
        <w:rPr>
          <w:i/>
          <w:sz w:val="28"/>
          <w:szCs w:val="28"/>
        </w:rPr>
        <w:t>un V.</w:t>
      </w:r>
      <w:r w:rsidR="004A0675">
        <w:rPr>
          <w:i/>
          <w:sz w:val="28"/>
          <w:szCs w:val="28"/>
        </w:rPr>
        <w:t xml:space="preserve"> </w:t>
      </w:r>
      <w:r w:rsidRPr="00E70F94">
        <w:rPr>
          <w:i/>
          <w:sz w:val="28"/>
          <w:szCs w:val="28"/>
        </w:rPr>
        <w:t>sadaļa – projekts šo jomu neskar.</w:t>
      </w:r>
    </w:p>
    <w:p w14:paraId="40AA0D8F" w14:textId="77777777" w:rsidR="007B46AB" w:rsidRPr="00E70F94" w:rsidRDefault="007B46AB" w:rsidP="009664CF">
      <w:pPr>
        <w:outlineLvl w:val="0"/>
        <w:rPr>
          <w:b/>
          <w:i/>
          <w:sz w:val="28"/>
          <w:szCs w:val="28"/>
        </w:rPr>
      </w:pPr>
    </w:p>
    <w:p w14:paraId="40AA0D90" w14:textId="77777777" w:rsidR="000F4405" w:rsidRDefault="000F4405" w:rsidP="009664CF">
      <w:pPr>
        <w:outlineLvl w:val="0"/>
        <w:rPr>
          <w:b/>
          <w:sz w:val="28"/>
          <w:szCs w:val="28"/>
        </w:rPr>
      </w:pPr>
    </w:p>
    <w:p w14:paraId="12AF474B" w14:textId="77777777" w:rsidR="009664CF" w:rsidRPr="006E6505" w:rsidRDefault="009664CF" w:rsidP="00835C86">
      <w:pPr>
        <w:pStyle w:val="BodyTextIndent"/>
        <w:ind w:left="0" w:firstLine="0"/>
        <w:rPr>
          <w:szCs w:val="28"/>
        </w:rPr>
      </w:pPr>
    </w:p>
    <w:p w14:paraId="694EC1F0" w14:textId="77777777" w:rsidR="009664CF" w:rsidRPr="006E6505" w:rsidRDefault="009664CF" w:rsidP="00835C86">
      <w:pPr>
        <w:pStyle w:val="BodyTextIndent"/>
        <w:tabs>
          <w:tab w:val="left" w:pos="6521"/>
          <w:tab w:val="right" w:pos="8931"/>
        </w:tabs>
        <w:ind w:left="0" w:firstLine="709"/>
        <w:rPr>
          <w:szCs w:val="28"/>
        </w:rPr>
      </w:pPr>
      <w:r w:rsidRPr="006E6505">
        <w:rPr>
          <w:szCs w:val="28"/>
        </w:rPr>
        <w:t>Veselības ministre</w:t>
      </w:r>
      <w:r w:rsidRPr="006E6505">
        <w:rPr>
          <w:szCs w:val="28"/>
        </w:rPr>
        <w:tab/>
        <w:t>Anda Čakša</w:t>
      </w:r>
    </w:p>
    <w:p w14:paraId="40AA0D93" w14:textId="435E1866" w:rsidR="0060010C" w:rsidRDefault="0060010C" w:rsidP="0060010C">
      <w:pPr>
        <w:pStyle w:val="NormalWeb"/>
        <w:spacing w:before="0" w:beforeAutospacing="0" w:after="0" w:afterAutospacing="0"/>
        <w:rPr>
          <w:rFonts w:eastAsia="Calibri"/>
          <w:sz w:val="28"/>
          <w:szCs w:val="28"/>
        </w:rPr>
      </w:pPr>
    </w:p>
    <w:p w14:paraId="40AA0D9B" w14:textId="77777777" w:rsidR="000B77A6" w:rsidRPr="005871D8" w:rsidRDefault="000B77A6" w:rsidP="000B77A6">
      <w:pPr>
        <w:tabs>
          <w:tab w:val="right" w:pos="9072"/>
        </w:tabs>
        <w:ind w:right="-766"/>
        <w:rPr>
          <w:rFonts w:eastAsia="Calibri"/>
          <w:sz w:val="28"/>
          <w:szCs w:val="28"/>
        </w:rPr>
      </w:pPr>
    </w:p>
    <w:p w14:paraId="40AA0D9C" w14:textId="77777777" w:rsidR="000B77A6" w:rsidRDefault="000B77A6" w:rsidP="000B77A6">
      <w:pPr>
        <w:tabs>
          <w:tab w:val="right" w:pos="9072"/>
        </w:tabs>
        <w:ind w:right="-766"/>
        <w:rPr>
          <w:rFonts w:eastAsia="Calibri"/>
          <w:sz w:val="28"/>
          <w:szCs w:val="28"/>
        </w:rPr>
      </w:pPr>
    </w:p>
    <w:p w14:paraId="40AA0DA2" w14:textId="77777777" w:rsidR="0060010C" w:rsidRDefault="0060010C" w:rsidP="004D320C">
      <w:pPr>
        <w:pStyle w:val="NoSpacing"/>
        <w:rPr>
          <w:rFonts w:ascii="Times New Roman" w:hAnsi="Times New Roman"/>
          <w:sz w:val="24"/>
          <w:szCs w:val="24"/>
        </w:rPr>
      </w:pPr>
    </w:p>
    <w:p w14:paraId="40AA0DA3" w14:textId="77777777" w:rsidR="0060010C" w:rsidRDefault="0060010C" w:rsidP="004D320C">
      <w:pPr>
        <w:pStyle w:val="NoSpacing"/>
        <w:rPr>
          <w:rFonts w:ascii="Times New Roman" w:hAnsi="Times New Roman"/>
          <w:sz w:val="24"/>
          <w:szCs w:val="24"/>
        </w:rPr>
      </w:pPr>
    </w:p>
    <w:p w14:paraId="40AA0DA4" w14:textId="77777777" w:rsidR="004D320C" w:rsidRPr="009664CF" w:rsidRDefault="002F2CB1" w:rsidP="004D320C">
      <w:pPr>
        <w:pStyle w:val="NoSpacing"/>
        <w:rPr>
          <w:rFonts w:ascii="Times New Roman" w:hAnsi="Times New Roman"/>
          <w:sz w:val="20"/>
          <w:szCs w:val="20"/>
        </w:rPr>
      </w:pPr>
      <w:r w:rsidRPr="009664CF">
        <w:rPr>
          <w:rFonts w:ascii="Times New Roman" w:hAnsi="Times New Roman"/>
          <w:sz w:val="20"/>
          <w:szCs w:val="20"/>
        </w:rPr>
        <w:t xml:space="preserve">Korņenkova 67876098 </w:t>
      </w:r>
    </w:p>
    <w:p w14:paraId="40AA0DA5" w14:textId="77777777" w:rsidR="000B77A6" w:rsidRPr="009664CF" w:rsidRDefault="00007050" w:rsidP="000B77A6">
      <w:pPr>
        <w:pStyle w:val="NoSpacing"/>
        <w:spacing w:after="120"/>
        <w:rPr>
          <w:rFonts w:ascii="Times New Roman" w:hAnsi="Times New Roman"/>
          <w:bCs/>
          <w:sz w:val="20"/>
          <w:szCs w:val="20"/>
        </w:rPr>
      </w:pPr>
      <w:hyperlink r:id="rId12" w:history="1">
        <w:r w:rsidR="004D320C" w:rsidRPr="009664CF">
          <w:rPr>
            <w:rStyle w:val="Hyperlink"/>
            <w:rFonts w:ascii="Times New Roman" w:hAnsi="Times New Roman"/>
            <w:bCs/>
            <w:sz w:val="20"/>
            <w:szCs w:val="20"/>
          </w:rPr>
          <w:t>viktorija.kornenkova@vm.gov.lv</w:t>
        </w:r>
      </w:hyperlink>
    </w:p>
    <w:p w14:paraId="40AA0DA6" w14:textId="77777777" w:rsidR="004D320C" w:rsidRPr="009664CF" w:rsidRDefault="002F2CB1" w:rsidP="000B77A6">
      <w:pPr>
        <w:pStyle w:val="NoSpacing"/>
        <w:rPr>
          <w:rFonts w:ascii="Times New Roman" w:hAnsi="Times New Roman"/>
          <w:bCs/>
          <w:sz w:val="20"/>
          <w:szCs w:val="20"/>
        </w:rPr>
      </w:pPr>
      <w:r w:rsidRPr="009664CF">
        <w:rPr>
          <w:rFonts w:ascii="Times New Roman" w:hAnsi="Times New Roman"/>
          <w:bCs/>
          <w:sz w:val="20"/>
          <w:szCs w:val="20"/>
        </w:rPr>
        <w:t>Zīle 67387607</w:t>
      </w:r>
    </w:p>
    <w:p w14:paraId="40AA0DA7" w14:textId="77777777" w:rsidR="004D320C" w:rsidRPr="009664CF" w:rsidRDefault="00007050" w:rsidP="004D320C">
      <w:pPr>
        <w:pStyle w:val="NoSpacing"/>
        <w:rPr>
          <w:rFonts w:ascii="Times New Roman" w:hAnsi="Times New Roman"/>
          <w:bCs/>
          <w:sz w:val="20"/>
          <w:szCs w:val="20"/>
        </w:rPr>
      </w:pPr>
      <w:hyperlink r:id="rId13" w:history="1">
        <w:r w:rsidR="00080A43" w:rsidRPr="009664CF">
          <w:rPr>
            <w:rStyle w:val="Hyperlink"/>
            <w:rFonts w:ascii="Times New Roman" w:hAnsi="Times New Roman"/>
            <w:bCs/>
            <w:sz w:val="20"/>
            <w:szCs w:val="20"/>
          </w:rPr>
          <w:t>irisa.zile@spkc.gov.lv</w:t>
        </w:r>
      </w:hyperlink>
      <w:r w:rsidR="002F2CB1" w:rsidRPr="009664CF">
        <w:rPr>
          <w:rFonts w:ascii="Times New Roman" w:hAnsi="Times New Roman"/>
          <w:bCs/>
          <w:sz w:val="20"/>
          <w:szCs w:val="20"/>
        </w:rPr>
        <w:t xml:space="preserve"> </w:t>
      </w:r>
    </w:p>
    <w:sectPr w:rsidR="004D320C" w:rsidRPr="009664CF" w:rsidSect="00095009">
      <w:headerReference w:type="default" r:id="rId14"/>
      <w:footerReference w:type="even"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A0DB6" w14:textId="77777777" w:rsidR="00DF0BFF" w:rsidRDefault="002F2CB1">
      <w:r>
        <w:separator/>
      </w:r>
    </w:p>
  </w:endnote>
  <w:endnote w:type="continuationSeparator" w:id="0">
    <w:p w14:paraId="40AA0DB8" w14:textId="77777777" w:rsidR="00DF0BFF" w:rsidRDefault="002F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0DAC" w14:textId="77777777" w:rsidR="00DC70B9" w:rsidRDefault="002F2CB1" w:rsidP="00F935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AA0DAD" w14:textId="77777777" w:rsidR="00DC70B9" w:rsidRDefault="00DC70B9" w:rsidP="00F935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0DAE" w14:textId="77777777" w:rsidR="00DC70B9" w:rsidRDefault="00DC70B9" w:rsidP="00BC56E4">
    <w:pPr>
      <w:pStyle w:val="Footer"/>
      <w:jc w:val="both"/>
    </w:pPr>
  </w:p>
  <w:p w14:paraId="40AA0DB0" w14:textId="4C674F93" w:rsidR="00DC70B9" w:rsidRDefault="002F2CB1" w:rsidP="009664CF">
    <w:pPr>
      <w:pStyle w:val="Footer"/>
      <w:jc w:val="both"/>
    </w:pPr>
    <w:r w:rsidRPr="00D24B5B">
      <w:t>VM</w:t>
    </w:r>
    <w:r w:rsidR="000214E9">
      <w:t>a</w:t>
    </w:r>
    <w:r w:rsidRPr="00D24B5B">
      <w:t>not_</w:t>
    </w:r>
    <w:bookmarkStart w:id="1" w:name="OLE_LINK3"/>
    <w:bookmarkStart w:id="2" w:name="OLE_LINK4"/>
    <w:r w:rsidR="00007050">
      <w:t>0106</w:t>
    </w:r>
    <w:r w:rsidR="0060010C">
      <w:t>18</w:t>
    </w:r>
    <w:r>
      <w:t>_JaundzReg</w:t>
    </w:r>
    <w:bookmarkEnd w:id="1"/>
    <w:bookmarkEnd w:id="2"/>
    <w:r w:rsidR="009664CF">
      <w:t xml:space="preserve">  (TA-555)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0DB1" w14:textId="77777777" w:rsidR="00DC70B9" w:rsidRDefault="00DC70B9" w:rsidP="00BC56E4">
    <w:pPr>
      <w:pStyle w:val="Footer"/>
      <w:jc w:val="both"/>
    </w:pPr>
  </w:p>
  <w:p w14:paraId="40AA0DB3" w14:textId="3BA830BD" w:rsidR="00DC70B9" w:rsidRDefault="002F2CB1" w:rsidP="009664CF">
    <w:pPr>
      <w:pStyle w:val="Footer"/>
      <w:jc w:val="both"/>
    </w:pPr>
    <w:r w:rsidRPr="00D24B5B">
      <w:t>VM</w:t>
    </w:r>
    <w:r w:rsidR="000214E9">
      <w:t>a</w:t>
    </w:r>
    <w:r w:rsidRPr="00D24B5B">
      <w:t>not_</w:t>
    </w:r>
    <w:r w:rsidR="00007050">
      <w:t>0106</w:t>
    </w:r>
    <w:r w:rsidR="0060010C">
      <w:t>18</w:t>
    </w:r>
    <w:r>
      <w:t>_JaundzReg</w:t>
    </w:r>
    <w:r w:rsidR="009664CF">
      <w:t xml:space="preserve"> (TA-555)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A0DA8" w14:textId="77777777" w:rsidR="00DC70B9" w:rsidRDefault="002F2CB1">
      <w:r>
        <w:separator/>
      </w:r>
    </w:p>
  </w:footnote>
  <w:footnote w:type="continuationSeparator" w:id="0">
    <w:p w14:paraId="40AA0DA9" w14:textId="77777777" w:rsidR="00DC70B9" w:rsidRDefault="002F2CB1">
      <w:r>
        <w:continuationSeparator/>
      </w:r>
    </w:p>
  </w:footnote>
  <w:footnote w:id="1">
    <w:p w14:paraId="40AA0DB4" w14:textId="77777777" w:rsidR="00FC1EE3" w:rsidRDefault="002F2CB1">
      <w:pPr>
        <w:pStyle w:val="FootnoteText"/>
      </w:pPr>
      <w:r>
        <w:rPr>
          <w:rStyle w:val="FootnoteReference"/>
        </w:rPr>
        <w:footnoteRef/>
      </w:r>
      <w:r>
        <w:t xml:space="preserve"> </w:t>
      </w:r>
      <w:hyperlink r:id="rId1" w:history="1">
        <w:r w:rsidRPr="008E04E3">
          <w:rPr>
            <w:rStyle w:val="Hyperlink"/>
          </w:rPr>
          <w:t>http://www.csb.gov.lv/notikumi/videja-darba-samaksa-aug-straujak-45374.html</w:t>
        </w:r>
      </w:hyperlink>
      <w:r>
        <w:t xml:space="preserve"> </w:t>
      </w:r>
    </w:p>
  </w:footnote>
  <w:footnote w:id="2">
    <w:p w14:paraId="40AA0DB5" w14:textId="77777777" w:rsidR="00933576" w:rsidRDefault="002F2CB1" w:rsidP="00933576">
      <w:pPr>
        <w:pStyle w:val="FootnoteText"/>
      </w:pPr>
      <w:r>
        <w:rPr>
          <w:rStyle w:val="FootnoteReference"/>
        </w:rPr>
        <w:footnoteRef/>
      </w:r>
      <w:r>
        <w:t xml:space="preserve"> </w:t>
      </w:r>
      <w:hyperlink r:id="rId2" w:history="1">
        <w:r w:rsidRPr="008E04E3">
          <w:rPr>
            <w:rStyle w:val="Hyperlink"/>
          </w:rPr>
          <w:t>http://www.csb.gov.lv/notikumi/videja-darba-samaksa-aug-straujak-45374.html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0DAA" w14:textId="4B7835CF" w:rsidR="00DC70B9" w:rsidRDefault="002F2CB1">
    <w:pPr>
      <w:pStyle w:val="Header"/>
      <w:jc w:val="center"/>
    </w:pPr>
    <w:r>
      <w:fldChar w:fldCharType="begin"/>
    </w:r>
    <w:r>
      <w:instrText xml:space="preserve"> PAGE   \* MERGEFORMAT </w:instrText>
    </w:r>
    <w:r>
      <w:fldChar w:fldCharType="separate"/>
    </w:r>
    <w:r w:rsidR="00007050">
      <w:rPr>
        <w:noProof/>
      </w:rPr>
      <w:t>3</w:t>
    </w:r>
    <w:r>
      <w:rPr>
        <w:noProof/>
      </w:rPr>
      <w:fldChar w:fldCharType="end"/>
    </w:r>
  </w:p>
  <w:p w14:paraId="40AA0DAB" w14:textId="77777777" w:rsidR="00DC70B9" w:rsidRDefault="00DC7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4F40CB8"/>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1">
    <w:nsid w:val="52110E19"/>
    <w:multiLevelType w:val="hybridMultilevel"/>
    <w:tmpl w:val="04DEF38E"/>
    <w:lvl w:ilvl="0" w:tplc="2E6EA2CA">
      <w:start w:val="1"/>
      <w:numFmt w:val="decimal"/>
      <w:lvlText w:val="%1."/>
      <w:lvlJc w:val="left"/>
      <w:pPr>
        <w:ind w:left="720" w:hanging="360"/>
      </w:pPr>
      <w:rPr>
        <w:rFonts w:hint="default"/>
      </w:rPr>
    </w:lvl>
    <w:lvl w:ilvl="1" w:tplc="A2029CDA" w:tentative="1">
      <w:start w:val="1"/>
      <w:numFmt w:val="lowerLetter"/>
      <w:lvlText w:val="%2."/>
      <w:lvlJc w:val="left"/>
      <w:pPr>
        <w:ind w:left="1440" w:hanging="360"/>
      </w:pPr>
    </w:lvl>
    <w:lvl w:ilvl="2" w:tplc="D422C494" w:tentative="1">
      <w:start w:val="1"/>
      <w:numFmt w:val="lowerRoman"/>
      <w:lvlText w:val="%3."/>
      <w:lvlJc w:val="right"/>
      <w:pPr>
        <w:ind w:left="2160" w:hanging="180"/>
      </w:pPr>
    </w:lvl>
    <w:lvl w:ilvl="3" w:tplc="EA06786C" w:tentative="1">
      <w:start w:val="1"/>
      <w:numFmt w:val="decimal"/>
      <w:lvlText w:val="%4."/>
      <w:lvlJc w:val="left"/>
      <w:pPr>
        <w:ind w:left="2880" w:hanging="360"/>
      </w:pPr>
    </w:lvl>
    <w:lvl w:ilvl="4" w:tplc="6838BC90" w:tentative="1">
      <w:start w:val="1"/>
      <w:numFmt w:val="lowerLetter"/>
      <w:lvlText w:val="%5."/>
      <w:lvlJc w:val="left"/>
      <w:pPr>
        <w:ind w:left="3600" w:hanging="360"/>
      </w:pPr>
    </w:lvl>
    <w:lvl w:ilvl="5" w:tplc="75D267D2" w:tentative="1">
      <w:start w:val="1"/>
      <w:numFmt w:val="lowerRoman"/>
      <w:lvlText w:val="%6."/>
      <w:lvlJc w:val="right"/>
      <w:pPr>
        <w:ind w:left="4320" w:hanging="180"/>
      </w:pPr>
    </w:lvl>
    <w:lvl w:ilvl="6" w:tplc="7868AF8A" w:tentative="1">
      <w:start w:val="1"/>
      <w:numFmt w:val="decimal"/>
      <w:lvlText w:val="%7."/>
      <w:lvlJc w:val="left"/>
      <w:pPr>
        <w:ind w:left="5040" w:hanging="360"/>
      </w:pPr>
    </w:lvl>
    <w:lvl w:ilvl="7" w:tplc="B8E27054" w:tentative="1">
      <w:start w:val="1"/>
      <w:numFmt w:val="lowerLetter"/>
      <w:lvlText w:val="%8."/>
      <w:lvlJc w:val="left"/>
      <w:pPr>
        <w:ind w:left="5760" w:hanging="360"/>
      </w:pPr>
    </w:lvl>
    <w:lvl w:ilvl="8" w:tplc="E454F6B0" w:tentative="1">
      <w:start w:val="1"/>
      <w:numFmt w:val="lowerRoman"/>
      <w:lvlText w:val="%9."/>
      <w:lvlJc w:val="right"/>
      <w:pPr>
        <w:ind w:left="6480" w:hanging="180"/>
      </w:pPr>
    </w:lvl>
  </w:abstractNum>
  <w:abstractNum w:abstractNumId="2" w15:restartNumberingAfterBreak="1">
    <w:nsid w:val="78953C69"/>
    <w:multiLevelType w:val="hybridMultilevel"/>
    <w:tmpl w:val="9BA8F128"/>
    <w:lvl w:ilvl="0" w:tplc="CF184DA6">
      <w:start w:val="1"/>
      <w:numFmt w:val="decimal"/>
      <w:lvlText w:val="%1."/>
      <w:lvlJc w:val="left"/>
      <w:pPr>
        <w:tabs>
          <w:tab w:val="num" w:pos="720"/>
        </w:tabs>
        <w:ind w:left="720" w:hanging="360"/>
      </w:pPr>
    </w:lvl>
    <w:lvl w:ilvl="1" w:tplc="6FF48778">
      <w:start w:val="1"/>
      <w:numFmt w:val="decimal"/>
      <w:lvlText w:val="%2."/>
      <w:lvlJc w:val="left"/>
      <w:pPr>
        <w:tabs>
          <w:tab w:val="num" w:pos="1440"/>
        </w:tabs>
        <w:ind w:left="1440" w:hanging="360"/>
      </w:pPr>
    </w:lvl>
    <w:lvl w:ilvl="2" w:tplc="A99406F2">
      <w:start w:val="1"/>
      <w:numFmt w:val="decimal"/>
      <w:lvlText w:val="%3."/>
      <w:lvlJc w:val="left"/>
      <w:pPr>
        <w:tabs>
          <w:tab w:val="num" w:pos="2160"/>
        </w:tabs>
        <w:ind w:left="2160" w:hanging="360"/>
      </w:pPr>
    </w:lvl>
    <w:lvl w:ilvl="3" w:tplc="ECA4EA30">
      <w:start w:val="1"/>
      <w:numFmt w:val="decimal"/>
      <w:lvlText w:val="%4."/>
      <w:lvlJc w:val="left"/>
      <w:pPr>
        <w:tabs>
          <w:tab w:val="num" w:pos="2880"/>
        </w:tabs>
        <w:ind w:left="2880" w:hanging="360"/>
      </w:pPr>
    </w:lvl>
    <w:lvl w:ilvl="4" w:tplc="F63AA67C">
      <w:start w:val="1"/>
      <w:numFmt w:val="decimal"/>
      <w:lvlText w:val="%5."/>
      <w:lvlJc w:val="left"/>
      <w:pPr>
        <w:tabs>
          <w:tab w:val="num" w:pos="3600"/>
        </w:tabs>
        <w:ind w:left="3600" w:hanging="360"/>
      </w:pPr>
    </w:lvl>
    <w:lvl w:ilvl="5" w:tplc="620E20D6">
      <w:start w:val="1"/>
      <w:numFmt w:val="decimal"/>
      <w:lvlText w:val="%6."/>
      <w:lvlJc w:val="left"/>
      <w:pPr>
        <w:tabs>
          <w:tab w:val="num" w:pos="4320"/>
        </w:tabs>
        <w:ind w:left="4320" w:hanging="360"/>
      </w:pPr>
    </w:lvl>
    <w:lvl w:ilvl="6" w:tplc="179E49E4">
      <w:start w:val="1"/>
      <w:numFmt w:val="decimal"/>
      <w:lvlText w:val="%7."/>
      <w:lvlJc w:val="left"/>
      <w:pPr>
        <w:tabs>
          <w:tab w:val="num" w:pos="5040"/>
        </w:tabs>
        <w:ind w:left="5040" w:hanging="360"/>
      </w:pPr>
    </w:lvl>
    <w:lvl w:ilvl="7" w:tplc="2A9CE778">
      <w:start w:val="1"/>
      <w:numFmt w:val="decimal"/>
      <w:lvlText w:val="%8."/>
      <w:lvlJc w:val="left"/>
      <w:pPr>
        <w:tabs>
          <w:tab w:val="num" w:pos="5760"/>
        </w:tabs>
        <w:ind w:left="5760" w:hanging="360"/>
      </w:pPr>
    </w:lvl>
    <w:lvl w:ilvl="8" w:tplc="A75872A0">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C5"/>
    <w:rsid w:val="000011A5"/>
    <w:rsid w:val="00007050"/>
    <w:rsid w:val="000149C0"/>
    <w:rsid w:val="00020951"/>
    <w:rsid w:val="000214E9"/>
    <w:rsid w:val="00023343"/>
    <w:rsid w:val="00024A26"/>
    <w:rsid w:val="00034B82"/>
    <w:rsid w:val="00044544"/>
    <w:rsid w:val="00044D4D"/>
    <w:rsid w:val="00055710"/>
    <w:rsid w:val="00057685"/>
    <w:rsid w:val="00063860"/>
    <w:rsid w:val="00080A43"/>
    <w:rsid w:val="00095009"/>
    <w:rsid w:val="00096717"/>
    <w:rsid w:val="00096FEF"/>
    <w:rsid w:val="000B079B"/>
    <w:rsid w:val="000B62E7"/>
    <w:rsid w:val="000B77A6"/>
    <w:rsid w:val="000D66D7"/>
    <w:rsid w:val="000E248A"/>
    <w:rsid w:val="000F4405"/>
    <w:rsid w:val="001072E5"/>
    <w:rsid w:val="00113C23"/>
    <w:rsid w:val="00117597"/>
    <w:rsid w:val="00120433"/>
    <w:rsid w:val="00127744"/>
    <w:rsid w:val="00130ACE"/>
    <w:rsid w:val="00132C11"/>
    <w:rsid w:val="001351E3"/>
    <w:rsid w:val="00136EAD"/>
    <w:rsid w:val="0013735C"/>
    <w:rsid w:val="00141FA9"/>
    <w:rsid w:val="001474FE"/>
    <w:rsid w:val="0015633F"/>
    <w:rsid w:val="00156A35"/>
    <w:rsid w:val="0016456C"/>
    <w:rsid w:val="001645E2"/>
    <w:rsid w:val="00166F3B"/>
    <w:rsid w:val="00174E91"/>
    <w:rsid w:val="001765CA"/>
    <w:rsid w:val="00177B62"/>
    <w:rsid w:val="00190B19"/>
    <w:rsid w:val="00194219"/>
    <w:rsid w:val="001A6E89"/>
    <w:rsid w:val="001B1E41"/>
    <w:rsid w:val="001B72C9"/>
    <w:rsid w:val="001C2083"/>
    <w:rsid w:val="001C507F"/>
    <w:rsid w:val="001D1751"/>
    <w:rsid w:val="001D3F3B"/>
    <w:rsid w:val="001E0222"/>
    <w:rsid w:val="00205915"/>
    <w:rsid w:val="00214793"/>
    <w:rsid w:val="00215189"/>
    <w:rsid w:val="002302B7"/>
    <w:rsid w:val="00232C73"/>
    <w:rsid w:val="00242092"/>
    <w:rsid w:val="0024659D"/>
    <w:rsid w:val="00253D2A"/>
    <w:rsid w:val="00260637"/>
    <w:rsid w:val="00262195"/>
    <w:rsid w:val="00264751"/>
    <w:rsid w:val="002677C6"/>
    <w:rsid w:val="002749BD"/>
    <w:rsid w:val="00274D03"/>
    <w:rsid w:val="00275352"/>
    <w:rsid w:val="00276ED5"/>
    <w:rsid w:val="00277524"/>
    <w:rsid w:val="00296C5B"/>
    <w:rsid w:val="002A27F4"/>
    <w:rsid w:val="002A7E88"/>
    <w:rsid w:val="002B2E15"/>
    <w:rsid w:val="002B78E2"/>
    <w:rsid w:val="002C1916"/>
    <w:rsid w:val="002C63BD"/>
    <w:rsid w:val="002D1C6C"/>
    <w:rsid w:val="002D21C4"/>
    <w:rsid w:val="002D72F3"/>
    <w:rsid w:val="002E0A01"/>
    <w:rsid w:val="002F2CB1"/>
    <w:rsid w:val="002F350A"/>
    <w:rsid w:val="002F393D"/>
    <w:rsid w:val="002F5275"/>
    <w:rsid w:val="002F57CD"/>
    <w:rsid w:val="002F696C"/>
    <w:rsid w:val="00302583"/>
    <w:rsid w:val="003060B9"/>
    <w:rsid w:val="00313D97"/>
    <w:rsid w:val="0032133C"/>
    <w:rsid w:val="00327D8D"/>
    <w:rsid w:val="00334362"/>
    <w:rsid w:val="00334B82"/>
    <w:rsid w:val="003371E6"/>
    <w:rsid w:val="003418EA"/>
    <w:rsid w:val="0034770B"/>
    <w:rsid w:val="0035558C"/>
    <w:rsid w:val="00355DF0"/>
    <w:rsid w:val="00370E2D"/>
    <w:rsid w:val="00375B08"/>
    <w:rsid w:val="00376921"/>
    <w:rsid w:val="0037746A"/>
    <w:rsid w:val="00384E4C"/>
    <w:rsid w:val="00385F23"/>
    <w:rsid w:val="00391A4D"/>
    <w:rsid w:val="00391E58"/>
    <w:rsid w:val="003C0246"/>
    <w:rsid w:val="003D0E64"/>
    <w:rsid w:val="003D13A0"/>
    <w:rsid w:val="003D4773"/>
    <w:rsid w:val="003D48F1"/>
    <w:rsid w:val="003E5A6F"/>
    <w:rsid w:val="003F31A5"/>
    <w:rsid w:val="003F71E3"/>
    <w:rsid w:val="004013D3"/>
    <w:rsid w:val="00414CDD"/>
    <w:rsid w:val="004156EC"/>
    <w:rsid w:val="00422594"/>
    <w:rsid w:val="00424478"/>
    <w:rsid w:val="00461453"/>
    <w:rsid w:val="00463CCD"/>
    <w:rsid w:val="00465F79"/>
    <w:rsid w:val="00483DA2"/>
    <w:rsid w:val="00486735"/>
    <w:rsid w:val="00492A2D"/>
    <w:rsid w:val="004A0675"/>
    <w:rsid w:val="004A70F5"/>
    <w:rsid w:val="004B52A3"/>
    <w:rsid w:val="004D320C"/>
    <w:rsid w:val="004F783B"/>
    <w:rsid w:val="00502725"/>
    <w:rsid w:val="00504052"/>
    <w:rsid w:val="00504F2E"/>
    <w:rsid w:val="00510F43"/>
    <w:rsid w:val="00511166"/>
    <w:rsid w:val="00511CE1"/>
    <w:rsid w:val="00523002"/>
    <w:rsid w:val="00527312"/>
    <w:rsid w:val="00544A68"/>
    <w:rsid w:val="00545252"/>
    <w:rsid w:val="00546ADD"/>
    <w:rsid w:val="00547FB6"/>
    <w:rsid w:val="005574CA"/>
    <w:rsid w:val="00563EA5"/>
    <w:rsid w:val="0056566A"/>
    <w:rsid w:val="0058113A"/>
    <w:rsid w:val="005865C5"/>
    <w:rsid w:val="005871D8"/>
    <w:rsid w:val="00592A94"/>
    <w:rsid w:val="005963F9"/>
    <w:rsid w:val="00597330"/>
    <w:rsid w:val="005A5F4E"/>
    <w:rsid w:val="005B3797"/>
    <w:rsid w:val="005B5942"/>
    <w:rsid w:val="005C6E8E"/>
    <w:rsid w:val="005D17A2"/>
    <w:rsid w:val="005E322A"/>
    <w:rsid w:val="005E7048"/>
    <w:rsid w:val="005F3966"/>
    <w:rsid w:val="0060010C"/>
    <w:rsid w:val="0060129B"/>
    <w:rsid w:val="00602D7D"/>
    <w:rsid w:val="006037E1"/>
    <w:rsid w:val="00616776"/>
    <w:rsid w:val="0061733D"/>
    <w:rsid w:val="006226D5"/>
    <w:rsid w:val="006262B0"/>
    <w:rsid w:val="0063204F"/>
    <w:rsid w:val="006504DF"/>
    <w:rsid w:val="0065581A"/>
    <w:rsid w:val="006570B1"/>
    <w:rsid w:val="00657927"/>
    <w:rsid w:val="00670BBB"/>
    <w:rsid w:val="0067389B"/>
    <w:rsid w:val="00674479"/>
    <w:rsid w:val="00674573"/>
    <w:rsid w:val="00675C24"/>
    <w:rsid w:val="006768F0"/>
    <w:rsid w:val="00676D1C"/>
    <w:rsid w:val="006A4D5D"/>
    <w:rsid w:val="006B0ACF"/>
    <w:rsid w:val="006C4511"/>
    <w:rsid w:val="006C5727"/>
    <w:rsid w:val="006D15D6"/>
    <w:rsid w:val="006E259A"/>
    <w:rsid w:val="006E392B"/>
    <w:rsid w:val="006E4709"/>
    <w:rsid w:val="006F7323"/>
    <w:rsid w:val="00711A54"/>
    <w:rsid w:val="0073195C"/>
    <w:rsid w:val="00734B2F"/>
    <w:rsid w:val="0073711D"/>
    <w:rsid w:val="00742CBA"/>
    <w:rsid w:val="00750DD9"/>
    <w:rsid w:val="0075202D"/>
    <w:rsid w:val="00757410"/>
    <w:rsid w:val="0077046B"/>
    <w:rsid w:val="007A1ACD"/>
    <w:rsid w:val="007B46AB"/>
    <w:rsid w:val="007C7712"/>
    <w:rsid w:val="007C788A"/>
    <w:rsid w:val="007C7AD8"/>
    <w:rsid w:val="007D060C"/>
    <w:rsid w:val="007D26FB"/>
    <w:rsid w:val="007D3211"/>
    <w:rsid w:val="007D6306"/>
    <w:rsid w:val="007E02D4"/>
    <w:rsid w:val="007E2273"/>
    <w:rsid w:val="007E7C6F"/>
    <w:rsid w:val="007F70C8"/>
    <w:rsid w:val="00800685"/>
    <w:rsid w:val="008030BB"/>
    <w:rsid w:val="0080728A"/>
    <w:rsid w:val="00814CD8"/>
    <w:rsid w:val="00832D1F"/>
    <w:rsid w:val="00834FC8"/>
    <w:rsid w:val="00847C4E"/>
    <w:rsid w:val="00867AAB"/>
    <w:rsid w:val="00880658"/>
    <w:rsid w:val="00880D53"/>
    <w:rsid w:val="00887A6F"/>
    <w:rsid w:val="0089548E"/>
    <w:rsid w:val="008A4B8F"/>
    <w:rsid w:val="008B429C"/>
    <w:rsid w:val="008C43E2"/>
    <w:rsid w:val="008D2782"/>
    <w:rsid w:val="008D3FDD"/>
    <w:rsid w:val="008D4434"/>
    <w:rsid w:val="008D44EA"/>
    <w:rsid w:val="008D5EFE"/>
    <w:rsid w:val="008E04E3"/>
    <w:rsid w:val="008E2F48"/>
    <w:rsid w:val="008E3615"/>
    <w:rsid w:val="008F2589"/>
    <w:rsid w:val="008F4C31"/>
    <w:rsid w:val="008F6A5C"/>
    <w:rsid w:val="008F7A07"/>
    <w:rsid w:val="00900531"/>
    <w:rsid w:val="00906375"/>
    <w:rsid w:val="009071A6"/>
    <w:rsid w:val="009077C3"/>
    <w:rsid w:val="00910408"/>
    <w:rsid w:val="00915231"/>
    <w:rsid w:val="00933576"/>
    <w:rsid w:val="00935AAD"/>
    <w:rsid w:val="0094093E"/>
    <w:rsid w:val="00942A91"/>
    <w:rsid w:val="00943F7C"/>
    <w:rsid w:val="009503AE"/>
    <w:rsid w:val="009603F7"/>
    <w:rsid w:val="009647EE"/>
    <w:rsid w:val="009664CF"/>
    <w:rsid w:val="00972100"/>
    <w:rsid w:val="00972D15"/>
    <w:rsid w:val="00982B17"/>
    <w:rsid w:val="00996346"/>
    <w:rsid w:val="009A5C7D"/>
    <w:rsid w:val="009B0F78"/>
    <w:rsid w:val="009B1E7B"/>
    <w:rsid w:val="009C520B"/>
    <w:rsid w:val="009C6D12"/>
    <w:rsid w:val="009D0679"/>
    <w:rsid w:val="00A26C85"/>
    <w:rsid w:val="00A57F92"/>
    <w:rsid w:val="00A61848"/>
    <w:rsid w:val="00A622E1"/>
    <w:rsid w:val="00A63AEC"/>
    <w:rsid w:val="00A6581D"/>
    <w:rsid w:val="00A70A92"/>
    <w:rsid w:val="00A753B1"/>
    <w:rsid w:val="00A8059D"/>
    <w:rsid w:val="00A818D5"/>
    <w:rsid w:val="00A91BB2"/>
    <w:rsid w:val="00A91D2B"/>
    <w:rsid w:val="00A9219C"/>
    <w:rsid w:val="00A96563"/>
    <w:rsid w:val="00A9774E"/>
    <w:rsid w:val="00A97DBF"/>
    <w:rsid w:val="00AA0B7C"/>
    <w:rsid w:val="00AA19A6"/>
    <w:rsid w:val="00AA4FC4"/>
    <w:rsid w:val="00AA5C09"/>
    <w:rsid w:val="00AC060D"/>
    <w:rsid w:val="00AC2BAF"/>
    <w:rsid w:val="00AC75FE"/>
    <w:rsid w:val="00AD3692"/>
    <w:rsid w:val="00AF48F1"/>
    <w:rsid w:val="00B00508"/>
    <w:rsid w:val="00B23C73"/>
    <w:rsid w:val="00B26C24"/>
    <w:rsid w:val="00B27F19"/>
    <w:rsid w:val="00B32838"/>
    <w:rsid w:val="00B46EC1"/>
    <w:rsid w:val="00B536B3"/>
    <w:rsid w:val="00B5540C"/>
    <w:rsid w:val="00B71CBC"/>
    <w:rsid w:val="00BA02B9"/>
    <w:rsid w:val="00BA1BC0"/>
    <w:rsid w:val="00BA72BB"/>
    <w:rsid w:val="00BB1A80"/>
    <w:rsid w:val="00BB47FB"/>
    <w:rsid w:val="00BC20DC"/>
    <w:rsid w:val="00BC3DE7"/>
    <w:rsid w:val="00BC56E4"/>
    <w:rsid w:val="00BC5C16"/>
    <w:rsid w:val="00BC681D"/>
    <w:rsid w:val="00BE3C76"/>
    <w:rsid w:val="00BF2E09"/>
    <w:rsid w:val="00C021ED"/>
    <w:rsid w:val="00C029A3"/>
    <w:rsid w:val="00C07FC8"/>
    <w:rsid w:val="00C126A9"/>
    <w:rsid w:val="00C2208C"/>
    <w:rsid w:val="00C2383E"/>
    <w:rsid w:val="00C3087C"/>
    <w:rsid w:val="00C31F06"/>
    <w:rsid w:val="00C46931"/>
    <w:rsid w:val="00C504C4"/>
    <w:rsid w:val="00C57BAE"/>
    <w:rsid w:val="00C842E3"/>
    <w:rsid w:val="00C9640D"/>
    <w:rsid w:val="00CB1500"/>
    <w:rsid w:val="00CC3D74"/>
    <w:rsid w:val="00CC7D0E"/>
    <w:rsid w:val="00CD2858"/>
    <w:rsid w:val="00CE143B"/>
    <w:rsid w:val="00CF3F9A"/>
    <w:rsid w:val="00CF6645"/>
    <w:rsid w:val="00D0126A"/>
    <w:rsid w:val="00D03938"/>
    <w:rsid w:val="00D0394A"/>
    <w:rsid w:val="00D04FD4"/>
    <w:rsid w:val="00D10B94"/>
    <w:rsid w:val="00D16022"/>
    <w:rsid w:val="00D20ADD"/>
    <w:rsid w:val="00D22BFD"/>
    <w:rsid w:val="00D23576"/>
    <w:rsid w:val="00D24B5B"/>
    <w:rsid w:val="00D24CE8"/>
    <w:rsid w:val="00D26D7E"/>
    <w:rsid w:val="00D45996"/>
    <w:rsid w:val="00D54A28"/>
    <w:rsid w:val="00D57D0E"/>
    <w:rsid w:val="00D6546B"/>
    <w:rsid w:val="00D723A5"/>
    <w:rsid w:val="00D723F1"/>
    <w:rsid w:val="00D73898"/>
    <w:rsid w:val="00D775D4"/>
    <w:rsid w:val="00D83110"/>
    <w:rsid w:val="00DA1229"/>
    <w:rsid w:val="00DA31C6"/>
    <w:rsid w:val="00DA432E"/>
    <w:rsid w:val="00DB2A68"/>
    <w:rsid w:val="00DC68D0"/>
    <w:rsid w:val="00DC70B9"/>
    <w:rsid w:val="00DD5AD6"/>
    <w:rsid w:val="00DE2D12"/>
    <w:rsid w:val="00DE35DB"/>
    <w:rsid w:val="00DE3722"/>
    <w:rsid w:val="00DE785C"/>
    <w:rsid w:val="00DF0BFF"/>
    <w:rsid w:val="00DF2595"/>
    <w:rsid w:val="00DF2C83"/>
    <w:rsid w:val="00E069C0"/>
    <w:rsid w:val="00E101A6"/>
    <w:rsid w:val="00E22C2E"/>
    <w:rsid w:val="00E2466A"/>
    <w:rsid w:val="00E32AB7"/>
    <w:rsid w:val="00E5038C"/>
    <w:rsid w:val="00E54600"/>
    <w:rsid w:val="00E568AA"/>
    <w:rsid w:val="00E60C21"/>
    <w:rsid w:val="00E63A08"/>
    <w:rsid w:val="00E63B6D"/>
    <w:rsid w:val="00E6530F"/>
    <w:rsid w:val="00E70F94"/>
    <w:rsid w:val="00E7359E"/>
    <w:rsid w:val="00E8015D"/>
    <w:rsid w:val="00E8763E"/>
    <w:rsid w:val="00E96C78"/>
    <w:rsid w:val="00E973CB"/>
    <w:rsid w:val="00EA1938"/>
    <w:rsid w:val="00EB2BE5"/>
    <w:rsid w:val="00EB4107"/>
    <w:rsid w:val="00EC325E"/>
    <w:rsid w:val="00EC51A0"/>
    <w:rsid w:val="00ED0D99"/>
    <w:rsid w:val="00ED1A35"/>
    <w:rsid w:val="00ED3693"/>
    <w:rsid w:val="00ED5239"/>
    <w:rsid w:val="00EE0AA3"/>
    <w:rsid w:val="00EE7E51"/>
    <w:rsid w:val="00F00B3C"/>
    <w:rsid w:val="00F0198E"/>
    <w:rsid w:val="00F01A60"/>
    <w:rsid w:val="00F1042A"/>
    <w:rsid w:val="00F128C4"/>
    <w:rsid w:val="00F22355"/>
    <w:rsid w:val="00F26C27"/>
    <w:rsid w:val="00F458AD"/>
    <w:rsid w:val="00F506CF"/>
    <w:rsid w:val="00F65879"/>
    <w:rsid w:val="00F7600D"/>
    <w:rsid w:val="00F80524"/>
    <w:rsid w:val="00F90358"/>
    <w:rsid w:val="00F91E63"/>
    <w:rsid w:val="00F9354F"/>
    <w:rsid w:val="00F93BE0"/>
    <w:rsid w:val="00F94634"/>
    <w:rsid w:val="00FA0EB2"/>
    <w:rsid w:val="00FA2956"/>
    <w:rsid w:val="00FA3A18"/>
    <w:rsid w:val="00FA6BEF"/>
    <w:rsid w:val="00FC07EF"/>
    <w:rsid w:val="00FC1EE3"/>
    <w:rsid w:val="00FC7023"/>
    <w:rsid w:val="00FD23C6"/>
    <w:rsid w:val="00FE3BDF"/>
    <w:rsid w:val="00FE4B01"/>
    <w:rsid w:val="00FF04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0AA0D22"/>
  <w15:docId w15:val="{1FEAE199-B728-421B-AD59-B66F372A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2583"/>
    <w:rPr>
      <w:rFonts w:ascii="Tahoma" w:hAnsi="Tahoma" w:cs="Tahoma"/>
      <w:sz w:val="16"/>
      <w:szCs w:val="16"/>
    </w:rPr>
  </w:style>
  <w:style w:type="paragraph" w:styleId="NormalWeb">
    <w:name w:val="Normal (Web)"/>
    <w:basedOn w:val="Normal"/>
    <w:rsid w:val="00674573"/>
    <w:pPr>
      <w:spacing w:before="100" w:beforeAutospacing="1" w:after="100" w:afterAutospacing="1"/>
    </w:pPr>
  </w:style>
  <w:style w:type="character" w:styleId="Strong">
    <w:name w:val="Strong"/>
    <w:uiPriority w:val="22"/>
    <w:qFormat/>
    <w:rsid w:val="00674573"/>
    <w:rPr>
      <w:b/>
      <w:bCs/>
    </w:rPr>
  </w:style>
  <w:style w:type="paragraph" w:styleId="Footer">
    <w:name w:val="footer"/>
    <w:basedOn w:val="Normal"/>
    <w:link w:val="FooterChar"/>
    <w:uiPriority w:val="99"/>
    <w:rsid w:val="00F9354F"/>
    <w:pPr>
      <w:tabs>
        <w:tab w:val="center" w:pos="4153"/>
        <w:tab w:val="right" w:pos="8306"/>
      </w:tabs>
    </w:pPr>
  </w:style>
  <w:style w:type="character" w:styleId="PageNumber">
    <w:name w:val="page number"/>
    <w:basedOn w:val="DefaultParagraphFont"/>
    <w:rsid w:val="00F9354F"/>
  </w:style>
  <w:style w:type="paragraph" w:styleId="Header">
    <w:name w:val="header"/>
    <w:basedOn w:val="Normal"/>
    <w:link w:val="HeaderChar"/>
    <w:uiPriority w:val="99"/>
    <w:rsid w:val="00BC56E4"/>
    <w:pPr>
      <w:tabs>
        <w:tab w:val="center" w:pos="4153"/>
        <w:tab w:val="right" w:pos="8306"/>
      </w:tabs>
    </w:pPr>
  </w:style>
  <w:style w:type="character" w:customStyle="1" w:styleId="HeaderChar">
    <w:name w:val="Header Char"/>
    <w:link w:val="Header"/>
    <w:uiPriority w:val="99"/>
    <w:rsid w:val="00BC56E4"/>
    <w:rPr>
      <w:sz w:val="24"/>
      <w:szCs w:val="24"/>
    </w:rPr>
  </w:style>
  <w:style w:type="character" w:customStyle="1" w:styleId="FooterChar">
    <w:name w:val="Footer Char"/>
    <w:link w:val="Footer"/>
    <w:uiPriority w:val="99"/>
    <w:rsid w:val="00BC56E4"/>
    <w:rPr>
      <w:sz w:val="24"/>
      <w:szCs w:val="24"/>
    </w:rPr>
  </w:style>
  <w:style w:type="paragraph" w:styleId="NoSpacing">
    <w:name w:val="No Spacing"/>
    <w:uiPriority w:val="1"/>
    <w:qFormat/>
    <w:rsid w:val="004D320C"/>
    <w:rPr>
      <w:rFonts w:ascii="Calibri" w:eastAsia="Calibri" w:hAnsi="Calibri"/>
      <w:sz w:val="22"/>
      <w:szCs w:val="22"/>
      <w:lang w:eastAsia="en-US"/>
    </w:rPr>
  </w:style>
  <w:style w:type="character" w:styleId="Hyperlink">
    <w:name w:val="Hyperlink"/>
    <w:unhideWhenUsed/>
    <w:rsid w:val="004D320C"/>
    <w:rPr>
      <w:color w:val="0000FF"/>
      <w:u w:val="single"/>
    </w:rPr>
  </w:style>
  <w:style w:type="paragraph" w:styleId="ListParagraph">
    <w:name w:val="List Paragraph"/>
    <w:basedOn w:val="Normal"/>
    <w:qFormat/>
    <w:rsid w:val="000F4405"/>
    <w:pPr>
      <w:spacing w:after="200" w:line="276" w:lineRule="auto"/>
      <w:ind w:left="720"/>
      <w:contextualSpacing/>
    </w:pPr>
    <w:rPr>
      <w:rFonts w:ascii="Calibri" w:eastAsia="Calibri" w:hAnsi="Calibri"/>
      <w:sz w:val="22"/>
      <w:szCs w:val="22"/>
      <w:lang w:val="en-US" w:eastAsia="en-US"/>
    </w:rPr>
  </w:style>
  <w:style w:type="paragraph" w:customStyle="1" w:styleId="tvhtml">
    <w:name w:val="tv_html"/>
    <w:basedOn w:val="Normal"/>
    <w:rsid w:val="006E259A"/>
    <w:pPr>
      <w:spacing w:before="100" w:beforeAutospacing="1" w:after="100" w:afterAutospacing="1"/>
    </w:pPr>
  </w:style>
  <w:style w:type="character" w:customStyle="1" w:styleId="apple-converted-space">
    <w:name w:val="apple-converted-space"/>
    <w:basedOn w:val="DefaultParagraphFont"/>
    <w:rsid w:val="006E259A"/>
  </w:style>
  <w:style w:type="character" w:styleId="CommentReference">
    <w:name w:val="annotation reference"/>
    <w:uiPriority w:val="99"/>
    <w:rsid w:val="00AC75FE"/>
    <w:rPr>
      <w:sz w:val="16"/>
      <w:szCs w:val="16"/>
    </w:rPr>
  </w:style>
  <w:style w:type="paragraph" w:styleId="CommentText">
    <w:name w:val="annotation text"/>
    <w:basedOn w:val="Normal"/>
    <w:link w:val="CommentTextChar"/>
    <w:uiPriority w:val="99"/>
    <w:rsid w:val="00AC75FE"/>
    <w:rPr>
      <w:sz w:val="20"/>
      <w:szCs w:val="20"/>
    </w:rPr>
  </w:style>
  <w:style w:type="character" w:customStyle="1" w:styleId="CommentTextChar">
    <w:name w:val="Comment Text Char"/>
    <w:basedOn w:val="DefaultParagraphFont"/>
    <w:link w:val="CommentText"/>
    <w:uiPriority w:val="99"/>
    <w:rsid w:val="00AC75FE"/>
  </w:style>
  <w:style w:type="paragraph" w:styleId="CommentSubject">
    <w:name w:val="annotation subject"/>
    <w:basedOn w:val="CommentText"/>
    <w:next w:val="CommentText"/>
    <w:link w:val="CommentSubjectChar"/>
    <w:rsid w:val="00AC75FE"/>
    <w:rPr>
      <w:b/>
      <w:bCs/>
    </w:rPr>
  </w:style>
  <w:style w:type="character" w:customStyle="1" w:styleId="CommentSubjectChar">
    <w:name w:val="Comment Subject Char"/>
    <w:link w:val="CommentSubject"/>
    <w:rsid w:val="00AC75FE"/>
    <w:rPr>
      <w:b/>
      <w:bCs/>
    </w:rPr>
  </w:style>
  <w:style w:type="paragraph" w:styleId="FootnoteText">
    <w:name w:val="footnote text"/>
    <w:basedOn w:val="Normal"/>
    <w:link w:val="FootnoteTextChar"/>
    <w:rsid w:val="00166F3B"/>
    <w:rPr>
      <w:sz w:val="20"/>
      <w:szCs w:val="20"/>
    </w:rPr>
  </w:style>
  <w:style w:type="character" w:customStyle="1" w:styleId="FootnoteTextChar">
    <w:name w:val="Footnote Text Char"/>
    <w:basedOn w:val="DefaultParagraphFont"/>
    <w:link w:val="FootnoteText"/>
    <w:rsid w:val="00166F3B"/>
  </w:style>
  <w:style w:type="character" w:styleId="FootnoteReference">
    <w:name w:val="footnote reference"/>
    <w:basedOn w:val="DefaultParagraphFont"/>
    <w:rsid w:val="00166F3B"/>
    <w:rPr>
      <w:vertAlign w:val="superscript"/>
    </w:rPr>
  </w:style>
  <w:style w:type="character" w:customStyle="1" w:styleId="Mention1">
    <w:name w:val="Mention1"/>
    <w:basedOn w:val="DefaultParagraphFont"/>
    <w:uiPriority w:val="99"/>
    <w:semiHidden/>
    <w:unhideWhenUsed/>
    <w:rsid w:val="00095009"/>
    <w:rPr>
      <w:color w:val="2B579A"/>
      <w:shd w:val="clear" w:color="auto" w:fill="E6E6E6"/>
    </w:rPr>
  </w:style>
  <w:style w:type="paragraph" w:customStyle="1" w:styleId="naisf">
    <w:name w:val="naisf"/>
    <w:basedOn w:val="Normal"/>
    <w:rsid w:val="00F128C4"/>
    <w:pPr>
      <w:spacing w:before="75" w:after="75"/>
      <w:ind w:firstLine="375"/>
      <w:jc w:val="both"/>
    </w:pPr>
  </w:style>
  <w:style w:type="paragraph" w:customStyle="1" w:styleId="naisc">
    <w:name w:val="naisc"/>
    <w:basedOn w:val="Normal"/>
    <w:rsid w:val="00D0126A"/>
    <w:pPr>
      <w:spacing w:before="75" w:after="75"/>
      <w:jc w:val="center"/>
    </w:pPr>
  </w:style>
  <w:style w:type="paragraph" w:customStyle="1" w:styleId="vline">
    <w:name w:val="vline"/>
    <w:basedOn w:val="Normal"/>
    <w:uiPriority w:val="99"/>
    <w:rsid w:val="00D0126A"/>
    <w:pPr>
      <w:spacing w:before="100" w:beforeAutospacing="1" w:after="100" w:afterAutospacing="1"/>
    </w:pPr>
  </w:style>
  <w:style w:type="character" w:customStyle="1" w:styleId="UnresolvedMention1">
    <w:name w:val="Unresolved Mention1"/>
    <w:basedOn w:val="DefaultParagraphFont"/>
    <w:uiPriority w:val="99"/>
    <w:semiHidden/>
    <w:unhideWhenUsed/>
    <w:rsid w:val="00385F23"/>
    <w:rPr>
      <w:color w:val="808080"/>
      <w:shd w:val="clear" w:color="auto" w:fill="E6E6E6"/>
    </w:rPr>
  </w:style>
  <w:style w:type="paragraph" w:styleId="BodyTextIndent">
    <w:name w:val="Body Text Indent"/>
    <w:basedOn w:val="Normal"/>
    <w:link w:val="BodyTextIndentChar"/>
    <w:rsid w:val="009664CF"/>
    <w:pPr>
      <w:ind w:left="142" w:firstLine="578"/>
      <w:jc w:val="both"/>
    </w:pPr>
    <w:rPr>
      <w:sz w:val="28"/>
      <w:szCs w:val="20"/>
      <w:lang w:eastAsia="en-US"/>
    </w:rPr>
  </w:style>
  <w:style w:type="character" w:customStyle="1" w:styleId="BodyTextIndentChar">
    <w:name w:val="Body Text Indent Char"/>
    <w:basedOn w:val="DefaultParagraphFont"/>
    <w:link w:val="BodyTextIndent"/>
    <w:rsid w:val="009664CF"/>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eristat.com" TargetMode="External"/><Relationship Id="rId13" Type="http://schemas.openxmlformats.org/officeDocument/2006/relationships/hyperlink" Target="mailto:irisa.zile@spkc.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ktorija.kornenkova@vm.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l.fi/fi/web/thlfi-en/statistics/information-on-statistics/register-descriptions/newbor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cialstyrelsen.se/register/halsodataregister/medicinskafodelseregistret/inengli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hi.no/en/hn/health-registries/medical-birth-registry-of-norway/medical-birth-registry-of-norway/"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sb.gov.lv/notikumi/videja-darba-samaksa-aug-straujak-45374.html" TargetMode="External"/><Relationship Id="rId1" Type="http://schemas.openxmlformats.org/officeDocument/2006/relationships/hyperlink" Target="http://www.csb.gov.lv/notikumi/videja-darba-samaksa-aug-straujak-453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C6A3F-09B8-49AC-BB18-8990E137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1798</Words>
  <Characters>13502</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„Jaundzimušo reģistra izveides, papildināšanas un uzturēšanas kārtība”</vt:lpstr>
    </vt:vector>
  </TitlesOfParts>
  <Company>Veselības ministrija</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„Jaundzimušo reģistra izveides, papildināšanas un uzturēšanas kārtība”</dc:title>
  <dc:subject>Anotācija</dc:subject>
  <dc:creator>Viktorija Korņenkova</dc:creator>
  <dc:description>viktorija.kornenkova@vm.gov.lv
67876098</dc:description>
  <cp:lastModifiedBy>Katrina Nikolajeva</cp:lastModifiedBy>
  <cp:revision>6</cp:revision>
  <cp:lastPrinted>2018-06-04T07:09:00Z</cp:lastPrinted>
  <dcterms:created xsi:type="dcterms:W3CDTF">2018-04-09T06:44:00Z</dcterms:created>
  <dcterms:modified xsi:type="dcterms:W3CDTF">2018-06-04T07:41:00Z</dcterms:modified>
</cp:coreProperties>
</file>