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D17D25" w:rsidRPr="004701B9" w:rsidP="00E05E2E" w14:paraId="3D88FAA2" w14:textId="7B6588A3">
      <w:pPr>
        <w:jc w:val="right"/>
        <w:rPr>
          <w:sz w:val="28"/>
          <w:szCs w:val="28"/>
        </w:rPr>
      </w:pPr>
      <w:r w:rsidRPr="004701B9">
        <w:rPr>
          <w:sz w:val="28"/>
          <w:szCs w:val="28"/>
        </w:rPr>
        <w:t>Pielikums</w:t>
      </w:r>
    </w:p>
    <w:p w:rsidR="00D17D25" w:rsidRPr="004701B9" w:rsidP="00E05E2E" w14:paraId="4B03F5FD" w14:textId="77777777">
      <w:pPr>
        <w:jc w:val="right"/>
        <w:rPr>
          <w:sz w:val="28"/>
          <w:szCs w:val="28"/>
        </w:rPr>
      </w:pPr>
      <w:r w:rsidRPr="004701B9">
        <w:rPr>
          <w:sz w:val="28"/>
          <w:szCs w:val="28"/>
        </w:rPr>
        <w:t xml:space="preserve">Ministru kabineta </w:t>
      </w:r>
    </w:p>
    <w:p w:rsidR="00D17D25" w:rsidRPr="004701B9" w:rsidP="00E05E2E" w14:paraId="7200BC48" w14:textId="13577A2A">
      <w:pPr>
        <w:jc w:val="right"/>
        <w:rPr>
          <w:rFonts w:eastAsia="Calibri"/>
          <w:sz w:val="28"/>
          <w:szCs w:val="28"/>
        </w:rPr>
      </w:pPr>
      <w:r w:rsidRPr="004701B9">
        <w:rPr>
          <w:rFonts w:eastAsia="Calibri"/>
          <w:sz w:val="28"/>
          <w:szCs w:val="28"/>
        </w:rPr>
        <w:t xml:space="preserve">. gada </w:t>
      </w:r>
      <w:r w:rsidR="002732F1">
        <w:rPr>
          <w:sz w:val="28"/>
          <w:szCs w:val="28"/>
        </w:rPr>
        <w:t>_____________</w:t>
      </w:r>
    </w:p>
    <w:p w:rsidR="00D17D25" w:rsidRPr="004701B9" w:rsidP="00E05E2E" w14:paraId="2143FA0A" w14:textId="71361A41">
      <w:pPr>
        <w:jc w:val="right"/>
        <w:rPr>
          <w:rFonts w:eastAsia="Calibri"/>
          <w:sz w:val="28"/>
          <w:szCs w:val="28"/>
        </w:rPr>
      </w:pPr>
      <w:r w:rsidRPr="004701B9">
        <w:rPr>
          <w:rFonts w:eastAsia="Calibri"/>
          <w:sz w:val="28"/>
          <w:szCs w:val="28"/>
        </w:rPr>
        <w:t>noteikumiem Nr. </w:t>
      </w:r>
      <w:r w:rsidR="002732F1">
        <w:rPr>
          <w:rFonts w:eastAsia="Calibri"/>
          <w:sz w:val="28"/>
          <w:szCs w:val="28"/>
        </w:rPr>
        <w:t>___</w:t>
      </w:r>
    </w:p>
    <w:p w:rsidR="006C3101" w:rsidRPr="004701B9" w:rsidP="006C3101" w14:paraId="188AD0DA" w14:textId="77777777">
      <w:pPr>
        <w:pStyle w:val="BodyTextIndent"/>
        <w:ind w:left="0"/>
        <w:rPr>
          <w:sz w:val="28"/>
          <w:szCs w:val="28"/>
          <w:lang w:val="lv-LV"/>
        </w:rPr>
      </w:pPr>
    </w:p>
    <w:p w:rsidR="006C3101" w:rsidRPr="004701B9" w:rsidP="006C3101" w14:paraId="188AD0DB" w14:textId="654B6E0A">
      <w:pPr>
        <w:pStyle w:val="BodyTextIndent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Latvijas </w:t>
      </w:r>
      <w:r w:rsidR="00FD2337">
        <w:rPr>
          <w:b/>
          <w:sz w:val="28"/>
          <w:szCs w:val="28"/>
          <w:lang w:val="lv-LV"/>
        </w:rPr>
        <w:t>Antidopinga biroja</w:t>
      </w:r>
      <w:r w:rsidRPr="004701B9">
        <w:rPr>
          <w:b/>
          <w:sz w:val="28"/>
          <w:szCs w:val="28"/>
          <w:lang w:val="lv-LV"/>
        </w:rPr>
        <w:t xml:space="preserve"> maksas pakalpojumu cenrādis</w:t>
      </w:r>
    </w:p>
    <w:tbl>
      <w:tblPr>
        <w:tblW w:w="93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161"/>
        <w:gridCol w:w="41"/>
        <w:gridCol w:w="1518"/>
        <w:gridCol w:w="1340"/>
        <w:gridCol w:w="77"/>
        <w:gridCol w:w="1105"/>
        <w:gridCol w:w="1144"/>
      </w:tblGrid>
      <w:tr w14:paraId="754EED51" w14:textId="77777777" w:rsidTr="00554552">
        <w:tblPrEx>
          <w:tblW w:w="9336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125"/>
        </w:trPr>
        <w:tc>
          <w:tcPr>
            <w:tcW w:w="950" w:type="dxa"/>
            <w:shd w:val="clear" w:color="auto" w:fill="auto"/>
            <w:vAlign w:val="center"/>
            <w:hideMark/>
          </w:tcPr>
          <w:p w:rsidR="00AE44C5" w:rsidRPr="00554552" w:rsidP="00AE44C5" w14:paraId="34DB43B2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Nr.p. k.</w:t>
            </w:r>
          </w:p>
        </w:tc>
        <w:tc>
          <w:tcPr>
            <w:tcW w:w="3161" w:type="dxa"/>
            <w:shd w:val="clear" w:color="auto" w:fill="auto"/>
            <w:vAlign w:val="center"/>
            <w:hideMark/>
          </w:tcPr>
          <w:p w:rsidR="00AE44C5" w:rsidRPr="00554552" w:rsidP="00AE44C5" w14:paraId="5AC0D662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Pakalpojuma veids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AE44C5" w:rsidRPr="00554552" w:rsidP="00AE44C5" w14:paraId="32ED5BD2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Mērvienība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E44C5" w:rsidRPr="00554552" w:rsidP="00AE44C5" w14:paraId="56E8688B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Cena bez PVN (</w:t>
            </w:r>
            <w:r w:rsidRPr="00554552">
              <w:rPr>
                <w:i/>
                <w:iCs/>
                <w:color w:val="000000"/>
              </w:rPr>
              <w:t>euro</w:t>
            </w:r>
            <w:r w:rsidRPr="00554552">
              <w:rPr>
                <w:color w:val="000000"/>
              </w:rPr>
              <w:t>)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  <w:hideMark/>
          </w:tcPr>
          <w:p w:rsidR="00AE44C5" w:rsidRPr="00554552" w:rsidP="00AE44C5" w14:paraId="2CFF93DC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PVN (</w:t>
            </w:r>
            <w:r w:rsidRPr="00554552">
              <w:rPr>
                <w:i/>
                <w:iCs/>
                <w:color w:val="000000"/>
              </w:rPr>
              <w:t>euro</w:t>
            </w:r>
            <w:r w:rsidRPr="00554552">
              <w:rPr>
                <w:color w:val="000000"/>
              </w:rPr>
              <w:t>)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AE44C5" w:rsidRPr="00554552" w:rsidP="00AE44C5" w14:paraId="63D81FF5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Cena ar PVN (</w:t>
            </w:r>
            <w:r w:rsidRPr="00554552">
              <w:rPr>
                <w:i/>
                <w:iCs/>
                <w:color w:val="000000"/>
              </w:rPr>
              <w:t>euro</w:t>
            </w:r>
            <w:r w:rsidRPr="00554552">
              <w:rPr>
                <w:color w:val="000000"/>
              </w:rPr>
              <w:t>)</w:t>
            </w:r>
          </w:p>
        </w:tc>
      </w:tr>
      <w:tr w14:paraId="2B793571" w14:textId="77777777" w:rsidTr="00554552">
        <w:tblPrEx>
          <w:tblW w:w="9336" w:type="dxa"/>
          <w:tblInd w:w="-5" w:type="dxa"/>
          <w:tblLook w:val="04A0"/>
        </w:tblPrEx>
        <w:trPr>
          <w:trHeight w:val="375"/>
        </w:trPr>
        <w:tc>
          <w:tcPr>
            <w:tcW w:w="950" w:type="dxa"/>
            <w:shd w:val="clear" w:color="auto" w:fill="auto"/>
            <w:vAlign w:val="center"/>
            <w:hideMark/>
          </w:tcPr>
          <w:p w:rsidR="00554552" w:rsidRPr="00554552" w:rsidP="00554552" w14:paraId="4D798B72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1.</w:t>
            </w:r>
          </w:p>
        </w:tc>
        <w:tc>
          <w:tcPr>
            <w:tcW w:w="8386" w:type="dxa"/>
            <w:gridSpan w:val="7"/>
            <w:shd w:val="clear" w:color="auto" w:fill="auto"/>
            <w:vAlign w:val="center"/>
            <w:hideMark/>
          </w:tcPr>
          <w:p w:rsidR="00554552" w:rsidRPr="00855FC4" w:rsidP="00554552" w14:paraId="4AE76E24" w14:textId="7A26D184">
            <w:pPr>
              <w:rPr>
                <w:color w:val="000000"/>
                <w:vertAlign w:val="superscript"/>
              </w:rPr>
            </w:pPr>
            <w:r w:rsidRPr="00554552">
              <w:rPr>
                <w:color w:val="000000"/>
              </w:rPr>
              <w:t>Dopinga kontrole analīzēm</w:t>
            </w:r>
            <w:r w:rsidR="008D60B5">
              <w:rPr>
                <w:color w:val="000000"/>
              </w:rPr>
              <w:t xml:space="preserve"> </w:t>
            </w:r>
            <w:r w:rsidR="00745F71">
              <w:rPr>
                <w:color w:val="000000"/>
                <w:vertAlign w:val="superscript"/>
              </w:rPr>
              <w:t xml:space="preserve">1,2,3 </w:t>
            </w:r>
          </w:p>
        </w:tc>
      </w:tr>
      <w:tr w14:paraId="7823C424" w14:textId="77777777" w:rsidTr="00554552">
        <w:tblPrEx>
          <w:tblW w:w="9336" w:type="dxa"/>
          <w:tblInd w:w="-5" w:type="dxa"/>
          <w:tblLook w:val="04A0"/>
        </w:tblPrEx>
        <w:trPr>
          <w:trHeight w:val="1125"/>
        </w:trPr>
        <w:tc>
          <w:tcPr>
            <w:tcW w:w="950" w:type="dxa"/>
            <w:shd w:val="clear" w:color="auto" w:fill="auto"/>
            <w:vAlign w:val="center"/>
            <w:hideMark/>
          </w:tcPr>
          <w:p w:rsidR="00554552" w:rsidRPr="00554552" w:rsidP="00554552" w14:paraId="64040C23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1.1.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  <w:hideMark/>
          </w:tcPr>
          <w:p w:rsidR="00554552" w:rsidRPr="00554552" w:rsidP="00554552" w14:paraId="0A527DA0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viena urīna parauga analīze dopinga vielu noteikšanai sacensību laikā bez papildu izmeklējumiem un atbildes sniegšana 14 dienu laikā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54552" w:rsidRPr="00554552" w:rsidP="00554552" w14:paraId="19AA0D9D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 analīze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54552" w:rsidRPr="00554552" w:rsidP="00554552" w14:paraId="2BD8F323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468.46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54552" w:rsidRPr="00554552" w:rsidP="00554552" w14:paraId="3CF45AE9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54552" w:rsidRPr="00554552" w:rsidP="00554552" w14:paraId="05506448" w14:textId="2E964EB0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468.46</w:t>
            </w:r>
          </w:p>
        </w:tc>
      </w:tr>
      <w:tr w14:paraId="4F584D59" w14:textId="77777777" w:rsidTr="00554552">
        <w:tblPrEx>
          <w:tblW w:w="9336" w:type="dxa"/>
          <w:tblInd w:w="-5" w:type="dxa"/>
          <w:tblLook w:val="04A0"/>
        </w:tblPrEx>
        <w:trPr>
          <w:trHeight w:val="1125"/>
        </w:trPr>
        <w:tc>
          <w:tcPr>
            <w:tcW w:w="950" w:type="dxa"/>
            <w:shd w:val="clear" w:color="auto" w:fill="auto"/>
            <w:vAlign w:val="center"/>
            <w:hideMark/>
          </w:tcPr>
          <w:p w:rsidR="00554552" w:rsidRPr="00554552" w:rsidP="00554552" w14:paraId="0F289CCE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1.2.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  <w:hideMark/>
          </w:tcPr>
          <w:p w:rsidR="00554552" w:rsidRPr="00554552" w:rsidP="00554552" w14:paraId="24144AE7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viena urīna parauga analīze dopinga vielu noteikšanai ārpus sacensībām bez papildu izmeklējumiem un atbildes sniegšana 14 dienu laikā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54552" w:rsidRPr="00554552" w:rsidP="00554552" w14:paraId="398A3F02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 analīze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54552" w:rsidRPr="00554552" w:rsidP="00554552" w14:paraId="07A00752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380.12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54552" w:rsidRPr="00554552" w:rsidP="00554552" w14:paraId="2145953B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54552" w:rsidRPr="00554552" w:rsidP="00554552" w14:paraId="057AB401" w14:textId="48E674C0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380.12</w:t>
            </w:r>
          </w:p>
        </w:tc>
      </w:tr>
      <w:tr w14:paraId="236F6C21" w14:textId="77777777" w:rsidTr="00554552">
        <w:tblPrEx>
          <w:tblW w:w="9336" w:type="dxa"/>
          <w:tblInd w:w="-5" w:type="dxa"/>
          <w:tblLook w:val="04A0"/>
        </w:tblPrEx>
        <w:trPr>
          <w:trHeight w:val="15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554552" w:rsidRPr="00554552" w:rsidP="00554552" w14:paraId="099C3803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1.3.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  <w:hideMark/>
          </w:tcPr>
          <w:p w:rsidR="00554552" w:rsidRPr="00554552" w:rsidP="00554552" w14:paraId="491D750D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viena urīna parauga analīze dopinga vielu noteikšanai sacensību laikā bez papildu izmeklējumiem un atbildes sniegšana 72 stundu laikā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54552" w:rsidRPr="00554552" w:rsidP="00554552" w14:paraId="0A2042C7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 analīze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54552" w:rsidRPr="00554552" w:rsidP="00554552" w14:paraId="12AE719C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607.48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54552" w:rsidRPr="00554552" w:rsidP="00554552" w14:paraId="494932AE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54552" w:rsidRPr="00554552" w:rsidP="00554552" w14:paraId="182A2238" w14:textId="4C19CC78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607.48</w:t>
            </w:r>
          </w:p>
        </w:tc>
      </w:tr>
      <w:tr w14:paraId="688CFB79" w14:textId="77777777" w:rsidTr="00554552">
        <w:tblPrEx>
          <w:tblW w:w="9336" w:type="dxa"/>
          <w:tblInd w:w="-5" w:type="dxa"/>
          <w:tblLook w:val="04A0"/>
        </w:tblPrEx>
        <w:trPr>
          <w:trHeight w:val="15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554552" w:rsidRPr="00554552" w:rsidP="00554552" w14:paraId="0493E0CB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1.4.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  <w:hideMark/>
          </w:tcPr>
          <w:p w:rsidR="00554552" w:rsidRPr="00554552" w:rsidP="00554552" w14:paraId="38238511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viena urīna parauga analīze dopinga vielu noteikšanai ārpus sacensībām bez papildu izmeklējumiem un atbildes sniegšana 72 stundu laikā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54552" w:rsidRPr="00554552" w:rsidP="00554552" w14:paraId="45B4B54B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 analīze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54552" w:rsidRPr="00554552" w:rsidP="00554552" w14:paraId="409BC91A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519.15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54552" w:rsidRPr="00554552" w:rsidP="00554552" w14:paraId="337EAF88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54552" w:rsidRPr="00554552" w:rsidP="00554552" w14:paraId="1E20BA04" w14:textId="14C5EA2B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519.15</w:t>
            </w:r>
          </w:p>
        </w:tc>
      </w:tr>
      <w:tr w14:paraId="319E44A2" w14:textId="77777777" w:rsidTr="00554552">
        <w:tblPrEx>
          <w:tblW w:w="9336" w:type="dxa"/>
          <w:tblInd w:w="-5" w:type="dxa"/>
          <w:tblLook w:val="04A0"/>
        </w:tblPrEx>
        <w:trPr>
          <w:trHeight w:val="15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554552" w:rsidRPr="00554552" w:rsidP="00554552" w14:paraId="039850DD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1.5.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  <w:hideMark/>
          </w:tcPr>
          <w:p w:rsidR="00554552" w:rsidRPr="00554552" w:rsidP="00554552" w14:paraId="0562E416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viena urīna parauga savākšana (bez paraugu transportēšanas uz laboratoriju. laboratorijas pakalpojumu un komandējuma izdevumu apmaksas)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54552" w:rsidRPr="00554552" w:rsidP="00554552" w14:paraId="3DD4E381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 analīze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54552" w:rsidRPr="00554552" w:rsidP="00554552" w14:paraId="2B289897" w14:textId="07B52D8B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25</w:t>
            </w:r>
            <w:r w:rsidR="00253C41">
              <w:rPr>
                <w:color w:val="000000"/>
              </w:rPr>
              <w:t>8</w:t>
            </w:r>
            <w:r w:rsidRPr="00554552">
              <w:rPr>
                <w:color w:val="000000"/>
              </w:rPr>
              <w:t>.58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54552" w:rsidRPr="00554552" w:rsidP="00554552" w14:paraId="4F72B2B2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54552" w:rsidRPr="00554552" w:rsidP="00554552" w14:paraId="7E3E2855" w14:textId="4CA0F0A2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258.</w:t>
            </w:r>
            <w:r w:rsidR="00253C41">
              <w:rPr>
                <w:color w:val="000000"/>
              </w:rPr>
              <w:t>58</w:t>
            </w:r>
          </w:p>
        </w:tc>
      </w:tr>
      <w:tr w14:paraId="21E5022E" w14:textId="77777777" w:rsidTr="00554552">
        <w:tblPrEx>
          <w:tblW w:w="9336" w:type="dxa"/>
          <w:tblInd w:w="-5" w:type="dxa"/>
          <w:tblLook w:val="04A0"/>
        </w:tblPrEx>
        <w:trPr>
          <w:trHeight w:val="75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554552" w:rsidRPr="00554552" w:rsidP="00554552" w14:paraId="1FBBC927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1.6.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  <w:hideMark/>
          </w:tcPr>
          <w:p w:rsidR="00554552" w:rsidRPr="00554552" w:rsidP="00554552" w14:paraId="0220AFE5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viens papildu izmeklējums urīnā eritropoetīna noteikšanai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54552" w:rsidRPr="00554552" w:rsidP="00554552" w14:paraId="3B0885AF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 analīze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54552" w:rsidRPr="00554552" w:rsidP="00554552" w14:paraId="50FD6BD5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243.32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54552" w:rsidRPr="00554552" w:rsidP="00554552" w14:paraId="251EB262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54552" w:rsidRPr="00554552" w:rsidP="00554552" w14:paraId="25AE1193" w14:textId="553C4719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243.3</w:t>
            </w:r>
            <w:r w:rsidR="00555301">
              <w:rPr>
                <w:color w:val="000000"/>
              </w:rPr>
              <w:t>2</w:t>
            </w:r>
          </w:p>
        </w:tc>
      </w:tr>
      <w:tr w14:paraId="2943C556" w14:textId="77777777" w:rsidTr="00554552">
        <w:tblPrEx>
          <w:tblW w:w="9336" w:type="dxa"/>
          <w:tblInd w:w="-5" w:type="dxa"/>
          <w:tblLook w:val="04A0"/>
        </w:tblPrEx>
        <w:trPr>
          <w:trHeight w:val="75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554552" w:rsidRPr="00554552" w:rsidP="00554552" w14:paraId="69916704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1.7.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  <w:hideMark/>
          </w:tcPr>
          <w:p w:rsidR="00554552" w:rsidRPr="00554552" w:rsidP="00554552" w14:paraId="0A29E929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viens papildu izmeklējums urīnā augšanas hormona atbrīvotājfaktoru noteikšanai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54552" w:rsidRPr="00554552" w:rsidP="00554552" w14:paraId="04E2822B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 analīze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54552" w:rsidRPr="00554552" w:rsidP="00554552" w14:paraId="00A86EE9" w14:textId="04807888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108.8</w:t>
            </w:r>
            <w:r w:rsidR="00555301">
              <w:rPr>
                <w:color w:val="000000"/>
              </w:rPr>
              <w:t>8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54552" w:rsidRPr="00554552" w:rsidP="00554552" w14:paraId="58B39877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54552" w:rsidRPr="00554552" w:rsidP="00554552" w14:paraId="7CECF36E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108.88</w:t>
            </w:r>
          </w:p>
        </w:tc>
      </w:tr>
      <w:tr w14:paraId="757FBC9E" w14:textId="77777777" w:rsidTr="00554552">
        <w:tblPrEx>
          <w:tblW w:w="9336" w:type="dxa"/>
          <w:tblInd w:w="-5" w:type="dxa"/>
          <w:tblLook w:val="04A0"/>
        </w:tblPrEx>
        <w:trPr>
          <w:trHeight w:val="75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554552" w:rsidRPr="00554552" w:rsidP="00554552" w14:paraId="27F6502E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1.8.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  <w:hideMark/>
          </w:tcPr>
          <w:p w:rsidR="00554552" w:rsidRPr="00554552" w:rsidP="00554552" w14:paraId="2F6EC9AE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viens papildu izmeklējums urīnā gonadotropīna atbrīvotājhormona noteikšanai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54552" w:rsidRPr="00554552" w:rsidP="00554552" w14:paraId="483BF14D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 analīze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54552" w:rsidRPr="00554552" w:rsidP="00554552" w14:paraId="3EA4EFB0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108.85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54552" w:rsidRPr="00554552" w:rsidP="00554552" w14:paraId="588C0F2C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54552" w:rsidRPr="00554552" w:rsidP="00554552" w14:paraId="102EFBD4" w14:textId="4F9CA2D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108.8</w:t>
            </w:r>
            <w:r w:rsidR="00555301">
              <w:rPr>
                <w:color w:val="000000"/>
              </w:rPr>
              <w:t>5</w:t>
            </w:r>
          </w:p>
        </w:tc>
      </w:tr>
      <w:tr w14:paraId="6CA3B2F2" w14:textId="77777777" w:rsidTr="00554552">
        <w:tblPrEx>
          <w:tblW w:w="9336" w:type="dxa"/>
          <w:tblInd w:w="-5" w:type="dxa"/>
          <w:tblLook w:val="04A0"/>
        </w:tblPrEx>
        <w:trPr>
          <w:trHeight w:val="75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554552" w:rsidRPr="00554552" w:rsidP="00554552" w14:paraId="4073F9FA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1.9.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  <w:hideMark/>
          </w:tcPr>
          <w:p w:rsidR="00554552" w:rsidRPr="00554552" w:rsidP="00554552" w14:paraId="3C49B9F9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viens papildu izmeklējums urīnā endogēno steroīdu noteikšanai ar IRMS metodi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54552" w:rsidRPr="00554552" w:rsidP="00554552" w14:paraId="73704A3D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 analīze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54552" w:rsidRPr="00554552" w:rsidP="00554552" w14:paraId="35DCFC9F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463.47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54552" w:rsidRPr="00554552" w:rsidP="00554552" w14:paraId="79D44057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54552" w:rsidRPr="00554552" w:rsidP="00554552" w14:paraId="5EB54EFA" w14:textId="471FFD1A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463.</w:t>
            </w:r>
            <w:r w:rsidR="00555301">
              <w:rPr>
                <w:color w:val="000000"/>
              </w:rPr>
              <w:t>47</w:t>
            </w:r>
          </w:p>
        </w:tc>
      </w:tr>
      <w:tr w14:paraId="50224D78" w14:textId="77777777" w:rsidTr="00554552">
        <w:tblPrEx>
          <w:tblW w:w="9336" w:type="dxa"/>
          <w:tblInd w:w="-5" w:type="dxa"/>
          <w:tblLook w:val="04A0"/>
        </w:tblPrEx>
        <w:trPr>
          <w:trHeight w:val="75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554552" w:rsidRPr="00554552" w:rsidP="00554552" w14:paraId="5F14DDDB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1.10.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  <w:hideMark/>
          </w:tcPr>
          <w:p w:rsidR="00554552" w:rsidRPr="00554552" w:rsidP="00554552" w14:paraId="3E9002C9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viens papildu izmeklējums urīnā insulīna noteikšanai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54552" w:rsidRPr="00554552" w:rsidP="00554552" w14:paraId="35C7A5E6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 analīze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54552" w:rsidRPr="00554552" w:rsidP="00554552" w14:paraId="473429F8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223.09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54552" w:rsidRPr="00554552" w:rsidP="00554552" w14:paraId="373AD886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54552" w:rsidRPr="00554552" w:rsidP="00554552" w14:paraId="679166D1" w14:textId="313DB6F9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223.</w:t>
            </w:r>
            <w:r w:rsidR="00555301">
              <w:rPr>
                <w:color w:val="000000"/>
              </w:rPr>
              <w:t>09</w:t>
            </w:r>
          </w:p>
        </w:tc>
      </w:tr>
      <w:tr w14:paraId="5FAD0D42" w14:textId="77777777" w:rsidTr="00554552">
        <w:tblPrEx>
          <w:tblW w:w="9336" w:type="dxa"/>
          <w:tblInd w:w="-5" w:type="dxa"/>
          <w:tblLook w:val="04A0"/>
        </w:tblPrEx>
        <w:trPr>
          <w:trHeight w:val="75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554552" w:rsidRPr="00554552" w:rsidP="00554552" w14:paraId="4F02E3DD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1.11.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  <w:hideMark/>
          </w:tcPr>
          <w:p w:rsidR="00554552" w:rsidRPr="00554552" w:rsidP="00554552" w14:paraId="3CEC6502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viens izmeklējums urīnā endogēno steroīdu apstiprināšanai. tai skaitā ar IRMS metodi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54552" w:rsidRPr="00554552" w:rsidP="00554552" w14:paraId="53EBE1C1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 analīze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54552" w:rsidRPr="00554552" w:rsidP="00554552" w14:paraId="1B4095C3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522.98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54552" w:rsidRPr="00554552" w:rsidP="00554552" w14:paraId="17BE1BDB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54552" w:rsidRPr="00554552" w:rsidP="00554552" w14:paraId="733F5501" w14:textId="6DDBA5C2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52</w:t>
            </w:r>
            <w:r w:rsidR="00555301">
              <w:rPr>
                <w:color w:val="000000"/>
              </w:rPr>
              <w:t>2</w:t>
            </w:r>
            <w:r w:rsidRPr="00554552">
              <w:rPr>
                <w:color w:val="000000"/>
              </w:rPr>
              <w:t>.</w:t>
            </w:r>
            <w:r w:rsidR="00555301">
              <w:rPr>
                <w:color w:val="000000"/>
              </w:rPr>
              <w:t>98</w:t>
            </w:r>
          </w:p>
        </w:tc>
      </w:tr>
      <w:tr w14:paraId="5DB3A1C2" w14:textId="77777777" w:rsidTr="00554552">
        <w:tblPrEx>
          <w:tblW w:w="9336" w:type="dxa"/>
          <w:tblInd w:w="-5" w:type="dxa"/>
          <w:tblLook w:val="04A0"/>
        </w:tblPrEx>
        <w:trPr>
          <w:trHeight w:val="75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554552" w:rsidRPr="00554552" w:rsidP="00554552" w14:paraId="0CE28D99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1.12.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  <w:hideMark/>
          </w:tcPr>
          <w:p w:rsidR="00554552" w:rsidRPr="00554552" w:rsidP="00554552" w14:paraId="6A5EDA48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viena asins parauga analīze eritropoetīna noteikšanai asins serumā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54552" w:rsidRPr="00554552" w:rsidP="00554552" w14:paraId="53E8E2BB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 analīze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54552" w:rsidRPr="00554552" w:rsidP="00554552" w14:paraId="284F1353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448.39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54552" w:rsidRPr="00554552" w:rsidP="00554552" w14:paraId="7CA5267F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54552" w:rsidRPr="00554552" w:rsidP="00554552" w14:paraId="66C2E40D" w14:textId="1E72F4C5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448.</w:t>
            </w:r>
            <w:r w:rsidR="00555301">
              <w:rPr>
                <w:color w:val="000000"/>
              </w:rPr>
              <w:t>39</w:t>
            </w:r>
          </w:p>
        </w:tc>
      </w:tr>
      <w:tr w14:paraId="013397FE" w14:textId="77777777" w:rsidTr="00554552">
        <w:tblPrEx>
          <w:tblW w:w="9336" w:type="dxa"/>
          <w:tblInd w:w="-5" w:type="dxa"/>
          <w:tblLook w:val="04A0"/>
        </w:tblPrEx>
        <w:trPr>
          <w:trHeight w:val="75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554552" w:rsidRPr="00554552" w:rsidP="00554552" w14:paraId="4F5183EA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1.13.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  <w:hideMark/>
          </w:tcPr>
          <w:p w:rsidR="00554552" w:rsidRPr="00554552" w:rsidP="00554552" w14:paraId="053E8C31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viena asins parauga analīze augšanas hormona noteikšanai asins serumā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54552" w:rsidRPr="00554552" w:rsidP="00554552" w14:paraId="4B94E1A8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 analīze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54552" w:rsidRPr="00554552" w:rsidP="00554552" w14:paraId="29A1CA2A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359.14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54552" w:rsidRPr="00554552" w:rsidP="00554552" w14:paraId="3ED588D2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54552" w:rsidRPr="00554552" w:rsidP="00554552" w14:paraId="20EEB8C8" w14:textId="3B24F59F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359.</w:t>
            </w:r>
            <w:r w:rsidR="00555301">
              <w:rPr>
                <w:color w:val="000000"/>
              </w:rPr>
              <w:t>14</w:t>
            </w:r>
          </w:p>
        </w:tc>
      </w:tr>
      <w:tr w14:paraId="4A44ADEE" w14:textId="77777777" w:rsidTr="00554552">
        <w:tblPrEx>
          <w:tblW w:w="9336" w:type="dxa"/>
          <w:tblInd w:w="-5" w:type="dxa"/>
          <w:tblLook w:val="04A0"/>
        </w:tblPrEx>
        <w:trPr>
          <w:trHeight w:val="112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554552" w:rsidRPr="00554552" w:rsidP="00554552" w14:paraId="335A9BC1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1.14.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  <w:hideMark/>
          </w:tcPr>
          <w:p w:rsidR="00554552" w:rsidRPr="00554552" w:rsidP="00554552" w14:paraId="36160299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viena asins parauga analīze mākslīgu skābekļa pārnesēju uz hemoglobīna bāzes noteikšanai asins plazmā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54552" w:rsidRPr="00554552" w:rsidP="00554552" w14:paraId="056E7181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 analīze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54552" w:rsidRPr="00554552" w:rsidP="00554552" w14:paraId="7905096C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281.00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54552" w:rsidRPr="00554552" w:rsidP="00554552" w14:paraId="514770D7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54552" w:rsidRPr="00554552" w:rsidP="00554552" w14:paraId="3CC0C4A4" w14:textId="13EF9641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281.</w:t>
            </w:r>
            <w:r w:rsidR="00555301">
              <w:rPr>
                <w:color w:val="000000"/>
              </w:rPr>
              <w:t>00</w:t>
            </w:r>
          </w:p>
        </w:tc>
      </w:tr>
      <w:tr w14:paraId="6F1B3E57" w14:textId="77777777" w:rsidTr="00554552">
        <w:tblPrEx>
          <w:tblW w:w="9336" w:type="dxa"/>
          <w:tblInd w:w="-5" w:type="dxa"/>
          <w:tblLook w:val="04A0"/>
        </w:tblPrEx>
        <w:trPr>
          <w:trHeight w:val="75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554552" w:rsidRPr="00554552" w:rsidP="00554552" w14:paraId="47D161F2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1.15.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  <w:hideMark/>
          </w:tcPr>
          <w:p w:rsidR="00554552" w:rsidRPr="00554552" w:rsidP="00554552" w14:paraId="46A75CA0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viena asins parauga analīze eritropoetīna noteikšanai asins plazmā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54552" w:rsidRPr="00554552" w:rsidP="00554552" w14:paraId="1D994C8E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 analīze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54552" w:rsidRPr="00554552" w:rsidP="00554552" w14:paraId="1D1AA2AE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442.84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54552" w:rsidRPr="00554552" w:rsidP="00554552" w14:paraId="21DF9E71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54552" w:rsidRPr="00554552" w:rsidP="00554552" w14:paraId="1ACE157E" w14:textId="386DE753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44</w:t>
            </w:r>
            <w:r w:rsidR="00555301">
              <w:rPr>
                <w:color w:val="000000"/>
              </w:rPr>
              <w:t>2</w:t>
            </w:r>
            <w:r w:rsidRPr="00554552">
              <w:rPr>
                <w:color w:val="000000"/>
              </w:rPr>
              <w:t>.</w:t>
            </w:r>
            <w:r w:rsidR="00555301">
              <w:rPr>
                <w:color w:val="000000"/>
              </w:rPr>
              <w:t>84</w:t>
            </w:r>
          </w:p>
        </w:tc>
      </w:tr>
      <w:tr w14:paraId="6CD70869" w14:textId="77777777" w:rsidTr="00554552">
        <w:tblPrEx>
          <w:tblW w:w="9336" w:type="dxa"/>
          <w:tblInd w:w="-5" w:type="dxa"/>
          <w:tblLook w:val="04A0"/>
        </w:tblPrEx>
        <w:trPr>
          <w:trHeight w:val="75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554552" w:rsidRPr="00554552" w:rsidP="00554552" w14:paraId="033378F5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1.16.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  <w:hideMark/>
          </w:tcPr>
          <w:p w:rsidR="00554552" w:rsidRPr="00554552" w:rsidP="00554552" w14:paraId="68B41177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viena asins parauga analīze sportista bioloģiskajai asins pasei asins plazmā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54552" w:rsidRPr="00554552" w:rsidP="00554552" w14:paraId="5F0EE07E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 analīze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54552" w:rsidRPr="00554552" w:rsidP="00554552" w14:paraId="58C71F95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285.72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54552" w:rsidRPr="00554552" w:rsidP="00554552" w14:paraId="6A1380DA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54552" w:rsidRPr="00554552" w:rsidP="00554552" w14:paraId="0943105A" w14:textId="6B5022B5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285.</w:t>
            </w:r>
            <w:r w:rsidR="00D01D33">
              <w:rPr>
                <w:color w:val="000000"/>
              </w:rPr>
              <w:t>72</w:t>
            </w:r>
          </w:p>
        </w:tc>
      </w:tr>
      <w:tr w14:paraId="035D1290" w14:textId="77777777" w:rsidTr="00554552">
        <w:tblPrEx>
          <w:tblW w:w="9336" w:type="dxa"/>
          <w:tblInd w:w="-5" w:type="dxa"/>
          <w:tblLook w:val="04A0"/>
        </w:tblPrEx>
        <w:trPr>
          <w:trHeight w:val="15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554552" w:rsidRPr="00554552" w:rsidP="00554552" w14:paraId="106A9B6F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1.17.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  <w:hideMark/>
          </w:tcPr>
          <w:p w:rsidR="00554552" w:rsidRPr="00554552" w:rsidP="00554552" w14:paraId="64D9AB64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viena asins parauga savākšana (bez paraugu transportēšanas uz laboratoriju. laboratorijas pakalpojumu un komandējuma izdevumu apmaksas)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54552" w:rsidRPr="00554552" w:rsidP="00554552" w14:paraId="0D9112C4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 analīze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54552" w:rsidRPr="00554552" w:rsidP="00554552" w14:paraId="1189B136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245.70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54552" w:rsidRPr="00554552" w:rsidP="00554552" w14:paraId="6A602D72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54552" w:rsidRPr="00554552" w:rsidP="00554552" w14:paraId="06BC5D89" w14:textId="7C50657F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245.</w:t>
            </w:r>
            <w:r w:rsidR="00D01D33">
              <w:rPr>
                <w:color w:val="000000"/>
              </w:rPr>
              <w:t>70</w:t>
            </w:r>
          </w:p>
        </w:tc>
      </w:tr>
      <w:tr w14:paraId="689FCFAA" w14:textId="77777777" w:rsidTr="00554552">
        <w:tblPrEx>
          <w:tblW w:w="9336" w:type="dxa"/>
          <w:tblInd w:w="-5" w:type="dxa"/>
          <w:tblLook w:val="04A0"/>
        </w:tblPrEx>
        <w:trPr>
          <w:trHeight w:val="75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554552" w:rsidRPr="00554552" w:rsidP="00554552" w14:paraId="249DBDDC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1.18.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  <w:hideMark/>
          </w:tcPr>
          <w:p w:rsidR="00554552" w:rsidRPr="00554552" w:rsidP="00554552" w14:paraId="52896674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viena parauga B daļas kvalitatīvā analīze A paraugā noteiktās dopinga vielas apstiprināšanai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54552" w:rsidRPr="00554552" w:rsidP="00554552" w14:paraId="7C2C5F8E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 analīze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54552" w:rsidRPr="00554552" w:rsidP="00554552" w14:paraId="4D5ACE9C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684.86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54552" w:rsidRPr="00554552" w:rsidP="00554552" w14:paraId="2FB5129C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54552" w:rsidRPr="00554552" w:rsidP="00554552" w14:paraId="5097BFA4" w14:textId="08C802E8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68</w:t>
            </w:r>
            <w:r w:rsidR="00D01D33">
              <w:rPr>
                <w:color w:val="000000"/>
              </w:rPr>
              <w:t>4</w:t>
            </w:r>
            <w:r w:rsidRPr="00554552">
              <w:rPr>
                <w:color w:val="000000"/>
              </w:rPr>
              <w:t>.</w:t>
            </w:r>
            <w:r w:rsidR="00D01D33">
              <w:rPr>
                <w:color w:val="000000"/>
              </w:rPr>
              <w:t>86</w:t>
            </w:r>
          </w:p>
        </w:tc>
      </w:tr>
      <w:tr w14:paraId="2A4089F4" w14:textId="77777777" w:rsidTr="00554552">
        <w:tblPrEx>
          <w:tblW w:w="9336" w:type="dxa"/>
          <w:tblInd w:w="-5" w:type="dxa"/>
          <w:tblLook w:val="04A0"/>
        </w:tblPrEx>
        <w:trPr>
          <w:trHeight w:val="75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554552" w:rsidRPr="00554552" w:rsidP="00554552" w14:paraId="55EEABD6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1.19.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  <w:hideMark/>
          </w:tcPr>
          <w:p w:rsidR="00554552" w:rsidRPr="00554552" w:rsidP="00554552" w14:paraId="40430CFB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viena parauga B daļas kvantitatīvā analīze A paraugā noteiktās dopinga vielas apstiprināšanai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54552" w:rsidRPr="00554552" w:rsidP="00554552" w14:paraId="6755C3A9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 analīze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54552" w:rsidRPr="00554552" w:rsidP="00554552" w14:paraId="6040195D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1101.36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54552" w:rsidRPr="00554552" w:rsidP="00554552" w14:paraId="1619DF00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54552" w:rsidRPr="00554552" w:rsidP="00554552" w14:paraId="798CD126" w14:textId="7C2431AE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1101.</w:t>
            </w:r>
            <w:r w:rsidR="00D01D33">
              <w:rPr>
                <w:color w:val="000000"/>
              </w:rPr>
              <w:t>36</w:t>
            </w:r>
          </w:p>
        </w:tc>
      </w:tr>
      <w:tr w14:paraId="2746675C" w14:textId="77777777" w:rsidTr="00554552">
        <w:tblPrEx>
          <w:tblW w:w="9336" w:type="dxa"/>
          <w:tblInd w:w="-5" w:type="dxa"/>
          <w:tblLook w:val="04A0"/>
        </w:tblPrEx>
        <w:trPr>
          <w:trHeight w:val="75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554552" w:rsidRPr="00554552" w:rsidP="00554552" w14:paraId="08F925E4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1.20.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  <w:hideMark/>
          </w:tcPr>
          <w:p w:rsidR="00554552" w:rsidRPr="00554552" w:rsidP="00554552" w14:paraId="592F63E8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viena parauga B daļas izmeklējums ar IRMS metodi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54552" w:rsidRPr="00554552" w:rsidP="00554552" w14:paraId="0A18B172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 analīze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54552" w:rsidRPr="00554552" w:rsidP="00554552" w14:paraId="705C270C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684.86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54552" w:rsidRPr="00554552" w:rsidP="00554552" w14:paraId="1A52DFE3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54552" w:rsidRPr="00554552" w:rsidP="00554552" w14:paraId="7863C9EC" w14:textId="02736E62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68</w:t>
            </w:r>
            <w:r w:rsidR="00D01D33">
              <w:rPr>
                <w:color w:val="000000"/>
              </w:rPr>
              <w:t>4</w:t>
            </w:r>
            <w:r w:rsidRPr="00554552">
              <w:rPr>
                <w:color w:val="000000"/>
              </w:rPr>
              <w:t>.</w:t>
            </w:r>
            <w:r w:rsidR="00D01D33">
              <w:rPr>
                <w:color w:val="000000"/>
              </w:rPr>
              <w:t>86</w:t>
            </w:r>
          </w:p>
        </w:tc>
      </w:tr>
      <w:tr w14:paraId="79772E29" w14:textId="77777777" w:rsidTr="00554552">
        <w:tblPrEx>
          <w:tblW w:w="9336" w:type="dxa"/>
          <w:tblInd w:w="-5" w:type="dxa"/>
          <w:tblLook w:val="04A0"/>
        </w:tblPrEx>
        <w:trPr>
          <w:trHeight w:val="75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554552" w:rsidRPr="00554552" w:rsidP="00554552" w14:paraId="52F7FB61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1.21.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  <w:hideMark/>
          </w:tcPr>
          <w:p w:rsidR="00554552" w:rsidRPr="00554552" w:rsidP="00554552" w14:paraId="0E73929B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viena parauga B daļas izmeklējums EPO un to analogu apstiprināšanai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54552" w:rsidRPr="00554552" w:rsidP="00554552" w14:paraId="02CBFA09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 analīze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54552" w:rsidRPr="00554552" w:rsidP="00554552" w14:paraId="6643E7CF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684.86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54552" w:rsidRPr="00554552" w:rsidP="00554552" w14:paraId="5620E769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54552" w:rsidRPr="00554552" w:rsidP="00554552" w14:paraId="475A979D" w14:textId="3ACB8E9B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68</w:t>
            </w:r>
            <w:r w:rsidR="00D01D33">
              <w:rPr>
                <w:color w:val="000000"/>
              </w:rPr>
              <w:t>4</w:t>
            </w:r>
            <w:r w:rsidRPr="00554552">
              <w:rPr>
                <w:color w:val="000000"/>
              </w:rPr>
              <w:t>.</w:t>
            </w:r>
            <w:r w:rsidR="00D01D33">
              <w:rPr>
                <w:color w:val="000000"/>
              </w:rPr>
              <w:t>86</w:t>
            </w:r>
          </w:p>
        </w:tc>
      </w:tr>
      <w:tr w14:paraId="16510456" w14:textId="77777777" w:rsidTr="00554552">
        <w:tblPrEx>
          <w:tblW w:w="9336" w:type="dxa"/>
          <w:tblInd w:w="-5" w:type="dxa"/>
          <w:tblLook w:val="04A0"/>
        </w:tblPrEx>
        <w:trPr>
          <w:trHeight w:val="75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554552" w:rsidRPr="00554552" w:rsidP="00554552" w14:paraId="6C32C9B6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1.22.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  <w:hideMark/>
          </w:tcPr>
          <w:p w:rsidR="00554552" w:rsidRPr="00554552" w:rsidP="00554552" w14:paraId="73713DD4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viena parauga B daļas izmeklējums augšanas hormona apstiprināšanai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54552" w:rsidRPr="00554552" w:rsidP="00554552" w14:paraId="5A5DF1D0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 analīze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54552" w:rsidRPr="00554552" w:rsidP="00554552" w14:paraId="6112A5E2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684.86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54552" w:rsidRPr="00554552" w:rsidP="00554552" w14:paraId="2372A978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54552" w:rsidRPr="00554552" w:rsidP="00554552" w14:paraId="00DC1652" w14:textId="349213B4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68</w:t>
            </w:r>
            <w:r w:rsidR="00D01D33">
              <w:rPr>
                <w:color w:val="000000"/>
              </w:rPr>
              <w:t>4</w:t>
            </w:r>
            <w:r w:rsidRPr="00554552">
              <w:rPr>
                <w:color w:val="000000"/>
              </w:rPr>
              <w:t>.</w:t>
            </w:r>
            <w:r w:rsidR="00D01D33">
              <w:rPr>
                <w:color w:val="000000"/>
              </w:rPr>
              <w:t>86</w:t>
            </w:r>
          </w:p>
        </w:tc>
      </w:tr>
      <w:tr w14:paraId="12883423" w14:textId="77777777" w:rsidTr="00554552">
        <w:tblPrEx>
          <w:tblW w:w="9336" w:type="dxa"/>
          <w:tblInd w:w="-5" w:type="dxa"/>
          <w:tblLook w:val="04A0"/>
        </w:tblPrEx>
        <w:trPr>
          <w:trHeight w:val="75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554552" w:rsidRPr="00554552" w:rsidP="00554552" w14:paraId="3D2001BA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1.23.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  <w:hideMark/>
          </w:tcPr>
          <w:p w:rsidR="00554552" w:rsidRPr="00554552" w:rsidP="00554552" w14:paraId="0FEF218A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 xml:space="preserve">dopinga kontroles laboratorijas sagatavots analītisko rezultātu pilns dokumentārs pārskats 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54552" w:rsidRPr="00554552" w:rsidP="00554552" w14:paraId="63E66892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 dokuments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54552" w:rsidRPr="00554552" w:rsidP="00554552" w14:paraId="1946A725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803.85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54552" w:rsidRPr="00554552" w:rsidP="00554552" w14:paraId="468704D1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54552" w:rsidRPr="00554552" w:rsidP="00554552" w14:paraId="44D09F9D" w14:textId="2C77C80A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80</w:t>
            </w:r>
            <w:r w:rsidR="00D01D33">
              <w:rPr>
                <w:color w:val="000000"/>
              </w:rPr>
              <w:t>3</w:t>
            </w:r>
            <w:r w:rsidRPr="00554552">
              <w:rPr>
                <w:color w:val="000000"/>
              </w:rPr>
              <w:t>.</w:t>
            </w:r>
            <w:r w:rsidR="00D01D33">
              <w:rPr>
                <w:color w:val="000000"/>
              </w:rPr>
              <w:t>85</w:t>
            </w:r>
          </w:p>
        </w:tc>
      </w:tr>
      <w:tr w14:paraId="7F2E396A" w14:textId="77777777" w:rsidTr="00554552">
        <w:tblPrEx>
          <w:tblW w:w="9336" w:type="dxa"/>
          <w:tblInd w:w="-5" w:type="dxa"/>
          <w:tblLook w:val="04A0"/>
        </w:tblPrEx>
        <w:trPr>
          <w:trHeight w:val="112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554552" w:rsidRPr="00554552" w:rsidP="00554552" w14:paraId="0E44DDFD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1.24.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  <w:hideMark/>
          </w:tcPr>
          <w:p w:rsidR="00554552" w:rsidRPr="00554552" w:rsidP="00554552" w14:paraId="0304DA07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dopinga kontroles laboratorijas sagatavots analītisko rezultātu pilns dokumentārs pārskats sportista bioloģiskajai asins pasei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54552" w:rsidRPr="00554552" w:rsidP="00554552" w14:paraId="6C2CEAF9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 dokuments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54552" w:rsidRPr="00554552" w:rsidP="00554552" w14:paraId="123F47A6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387.35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54552" w:rsidRPr="00554552" w:rsidP="00554552" w14:paraId="20AC7928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54552" w:rsidRPr="00554552" w:rsidP="00554552" w14:paraId="13B0C2CF" w14:textId="0A41F723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387.</w:t>
            </w:r>
            <w:r w:rsidR="00D01D33">
              <w:rPr>
                <w:color w:val="000000"/>
              </w:rPr>
              <w:t>35</w:t>
            </w:r>
          </w:p>
        </w:tc>
      </w:tr>
      <w:tr w14:paraId="7316933A" w14:textId="77777777" w:rsidTr="00554552">
        <w:tblPrEx>
          <w:tblW w:w="9336" w:type="dxa"/>
          <w:tblInd w:w="-5" w:type="dxa"/>
          <w:tblLook w:val="04A0"/>
        </w:tblPrEx>
        <w:trPr>
          <w:trHeight w:val="375"/>
        </w:trPr>
        <w:tc>
          <w:tcPr>
            <w:tcW w:w="950" w:type="dxa"/>
            <w:shd w:val="clear" w:color="auto" w:fill="auto"/>
            <w:vAlign w:val="center"/>
            <w:hideMark/>
          </w:tcPr>
          <w:p w:rsidR="00554552" w:rsidRPr="00554552" w:rsidP="00554552" w14:paraId="2B5D9CE2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2.</w:t>
            </w:r>
          </w:p>
        </w:tc>
        <w:tc>
          <w:tcPr>
            <w:tcW w:w="8386" w:type="dxa"/>
            <w:gridSpan w:val="7"/>
            <w:shd w:val="clear" w:color="auto" w:fill="auto"/>
            <w:vAlign w:val="center"/>
            <w:hideMark/>
          </w:tcPr>
          <w:p w:rsidR="00554552" w:rsidRPr="00855FC4" w:rsidP="00554552" w14:paraId="415849DE" w14:textId="3E40BA8D">
            <w:pPr>
              <w:rPr>
                <w:color w:val="000000"/>
                <w:vertAlign w:val="superscript"/>
              </w:rPr>
            </w:pPr>
            <w:r w:rsidRPr="00554552">
              <w:rPr>
                <w:color w:val="000000"/>
              </w:rPr>
              <w:t>Izglītojošie pasākumi</w:t>
            </w:r>
            <w:r w:rsidR="008D60B5">
              <w:rPr>
                <w:color w:val="000000"/>
              </w:rPr>
              <w:t xml:space="preserve"> </w:t>
            </w:r>
            <w:r w:rsidR="0095198B">
              <w:rPr>
                <w:color w:val="000000"/>
                <w:vertAlign w:val="superscript"/>
              </w:rPr>
              <w:t>4</w:t>
            </w:r>
          </w:p>
        </w:tc>
      </w:tr>
      <w:tr w14:paraId="32DBD841" w14:textId="77777777" w:rsidTr="00554552">
        <w:tblPrEx>
          <w:tblW w:w="9336" w:type="dxa"/>
          <w:tblInd w:w="-5" w:type="dxa"/>
          <w:tblLook w:val="04A0"/>
        </w:tblPrEx>
        <w:trPr>
          <w:trHeight w:val="750"/>
        </w:trPr>
        <w:tc>
          <w:tcPr>
            <w:tcW w:w="950" w:type="dxa"/>
            <w:shd w:val="clear" w:color="auto" w:fill="auto"/>
            <w:vAlign w:val="center"/>
            <w:hideMark/>
          </w:tcPr>
          <w:p w:rsidR="0068338A" w:rsidRPr="00554552" w:rsidP="0068338A" w14:paraId="441B0025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2.1.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  <w:hideMark/>
          </w:tcPr>
          <w:p w:rsidR="0068338A" w:rsidRPr="00554552" w:rsidP="0068338A" w14:paraId="5AE170D1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lekcija antidopinga jomā (bez komandējuma izdevumu apmaksas)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68338A" w:rsidRPr="00554552" w:rsidP="00855FC4" w14:paraId="15B1F8EA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1 akadēmiskā stunda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8338A" w:rsidRPr="00554552" w:rsidP="0068338A" w14:paraId="67A6ED91" w14:textId="438574A8">
            <w:pPr>
              <w:jc w:val="center"/>
              <w:rPr>
                <w:color w:val="000000"/>
              </w:rPr>
            </w:pPr>
            <w:r w:rsidRPr="0068338A">
              <w:rPr>
                <w:color w:val="000000"/>
              </w:rPr>
              <w:t>20.02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68338A" w:rsidRPr="00554552" w:rsidP="0068338A" w14:paraId="09F4B53C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68338A" w:rsidRPr="00554552" w:rsidP="0068338A" w14:paraId="0BD9854F" w14:textId="7D9F978B">
            <w:pPr>
              <w:jc w:val="center"/>
              <w:rPr>
                <w:color w:val="000000"/>
              </w:rPr>
            </w:pPr>
            <w:r w:rsidRPr="0068338A">
              <w:rPr>
                <w:color w:val="000000"/>
              </w:rPr>
              <w:t>20.02</w:t>
            </w:r>
          </w:p>
        </w:tc>
      </w:tr>
      <w:tr w14:paraId="3AB8B319" w14:textId="77777777" w:rsidTr="00554552">
        <w:tblPrEx>
          <w:tblW w:w="9336" w:type="dxa"/>
          <w:tblInd w:w="-5" w:type="dxa"/>
          <w:tblLook w:val="04A0"/>
        </w:tblPrEx>
        <w:trPr>
          <w:trHeight w:val="1605"/>
        </w:trPr>
        <w:tc>
          <w:tcPr>
            <w:tcW w:w="950" w:type="dxa"/>
            <w:shd w:val="clear" w:color="auto" w:fill="auto"/>
            <w:vAlign w:val="center"/>
            <w:hideMark/>
          </w:tcPr>
          <w:p w:rsidR="0068338A" w:rsidRPr="00554552" w:rsidP="0068338A" w14:paraId="37040410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2.2.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  <w:hideMark/>
          </w:tcPr>
          <w:p w:rsidR="0068338A" w:rsidRPr="00554552" w:rsidP="0068338A" w14:paraId="301CBA79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antidopinga stenda prezentācija (divi informatori un izdales materiāli 100 personām. bez komandējuma izdevumu apmaksas)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68338A" w:rsidRPr="00554552" w:rsidP="0068338A" w14:paraId="592A7392" w14:textId="77777777">
            <w:pPr>
              <w:rPr>
                <w:color w:val="000000"/>
              </w:rPr>
            </w:pPr>
            <w:r w:rsidRPr="00554552">
              <w:rPr>
                <w:color w:val="000000"/>
              </w:rPr>
              <w:t>1 stunda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8338A" w:rsidRPr="00554552" w:rsidP="0068338A" w14:paraId="4CA08A0B" w14:textId="3054C0F5">
            <w:pPr>
              <w:jc w:val="center"/>
              <w:rPr>
                <w:color w:val="000000"/>
              </w:rPr>
            </w:pPr>
            <w:r w:rsidRPr="0068338A">
              <w:rPr>
                <w:color w:val="000000"/>
              </w:rPr>
              <w:t>18.36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68338A" w:rsidRPr="00554552" w:rsidP="0068338A" w14:paraId="45DCB850" w14:textId="77777777">
            <w:pPr>
              <w:jc w:val="center"/>
              <w:rPr>
                <w:color w:val="000000"/>
              </w:rPr>
            </w:pPr>
            <w:r w:rsidRPr="00554552">
              <w:rPr>
                <w:color w:val="000000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68338A" w:rsidRPr="00554552" w:rsidP="0068338A" w14:paraId="3F97B99E" w14:textId="1725B50F">
            <w:pPr>
              <w:jc w:val="center"/>
              <w:rPr>
                <w:color w:val="000000"/>
              </w:rPr>
            </w:pPr>
            <w:r w:rsidRPr="0068338A">
              <w:rPr>
                <w:color w:val="000000"/>
              </w:rPr>
              <w:t>18.36</w:t>
            </w:r>
          </w:p>
        </w:tc>
      </w:tr>
    </w:tbl>
    <w:p w:rsidR="00554552" w:rsidP="006C3101" w14:paraId="041DA952" w14:textId="00F5742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44C5" w:rsidRPr="004701B9" w:rsidP="00855FC4" w14:paraId="5D72353F" w14:textId="777777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6C3101" w:rsidRPr="004701B9" w:rsidP="006C3101" w14:paraId="188AD442" w14:textId="675E7A7B">
      <w:pPr>
        <w:pStyle w:val="NormalWeb"/>
        <w:spacing w:before="0" w:beforeAutospacing="0" w:after="0" w:afterAutospacing="0"/>
        <w:ind w:firstLine="709"/>
        <w:jc w:val="both"/>
      </w:pPr>
      <w:r w:rsidRPr="004701B9">
        <w:t>Piezīmes.</w:t>
      </w:r>
    </w:p>
    <w:p w:rsidR="002E14C2" w:rsidRPr="004701B9" w:rsidP="00D17D25" w14:paraId="77CE33CB" w14:textId="26ACFDE0">
      <w:pPr>
        <w:ind w:firstLine="709"/>
        <w:jc w:val="both"/>
      </w:pPr>
      <w:r>
        <w:rPr>
          <w:vertAlign w:val="superscript"/>
        </w:rPr>
        <w:t>1</w:t>
      </w:r>
      <w:r w:rsidRPr="004701B9" w:rsidR="00143DEE">
        <w:rPr>
          <w:rStyle w:val="apple-converted-space"/>
          <w:vertAlign w:val="superscript"/>
        </w:rPr>
        <w:t> </w:t>
      </w:r>
      <w:r w:rsidRPr="004701B9" w:rsidR="00745F71">
        <w:rPr>
          <w:color w:val="212121"/>
          <w:shd w:val="clear" w:color="auto" w:fill="FFFFFF"/>
        </w:rPr>
        <w:t>Pievienotās vērtības nodokli nepiemēro saskaņā ar Pievienotās vērtības nodokļa likuma 3. panta astoto daļu.</w:t>
      </w:r>
      <w:r w:rsidR="00745F71">
        <w:rPr>
          <w:color w:val="212121"/>
          <w:shd w:val="clear" w:color="auto" w:fill="FFFFFF"/>
        </w:rPr>
        <w:t xml:space="preserve"> </w:t>
      </w:r>
    </w:p>
    <w:p w:rsidR="006C3101" w:rsidP="00D17D25" w14:paraId="188AD44B" w14:textId="5E0488AD">
      <w:pPr>
        <w:pStyle w:val="NormalWeb"/>
        <w:spacing w:before="0" w:beforeAutospacing="0" w:after="0" w:afterAutospacing="0"/>
        <w:ind w:firstLine="709"/>
        <w:jc w:val="both"/>
      </w:pPr>
      <w:r>
        <w:rPr>
          <w:vertAlign w:val="superscript"/>
        </w:rPr>
        <w:t>2</w:t>
      </w:r>
      <w:r w:rsidRPr="004701B9" w:rsidR="00143DEE">
        <w:rPr>
          <w:vertAlign w:val="superscript"/>
        </w:rPr>
        <w:t> </w:t>
      </w:r>
      <w:r w:rsidRPr="004701B9">
        <w:t xml:space="preserve">Paraugu transportēšana uz dopinga kontroles laboratoriju no </w:t>
      </w:r>
      <w:r w:rsidR="004166C8">
        <w:t>Latvijas tiek nodrošināta darb</w:t>
      </w:r>
      <w:r w:rsidRPr="004701B9">
        <w:t>dienās ar piegādi laboratorijā nākamajā darba dienā. Izsūtīšana no Rīgas vai piegāde laboratorijā nedēļas nogalē vai svētku dienās (Latvijā vai laboratorijas valstī) tiek saskaņota individuāli</w:t>
      </w:r>
      <w:r w:rsidR="00BD24E6">
        <w:t>.</w:t>
      </w:r>
      <w:r w:rsidRPr="004701B9">
        <w:t xml:space="preserve"> vienojoties par izmaksām.</w:t>
      </w:r>
    </w:p>
    <w:p w:rsidR="00175D02" w:rsidRPr="00407352" w:rsidP="00D17D25" w14:paraId="46C856B2" w14:textId="6EFC495C">
      <w:pPr>
        <w:pStyle w:val="NormalWeb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414142"/>
          <w:sz w:val="20"/>
          <w:szCs w:val="20"/>
          <w:shd w:val="clear" w:color="auto" w:fill="FFFFFF"/>
          <w:vertAlign w:val="superscript"/>
        </w:rPr>
        <w:t>3</w:t>
      </w:r>
      <w:r>
        <w:rPr>
          <w:rFonts w:ascii="Arial" w:hAnsi="Arial" w:cs="Arial"/>
          <w:color w:val="414142"/>
          <w:sz w:val="20"/>
          <w:szCs w:val="20"/>
          <w:shd w:val="clear" w:color="auto" w:fill="FFFFFF"/>
          <w:vertAlign w:val="superscript"/>
        </w:rPr>
        <w:t xml:space="preserve"> </w:t>
      </w:r>
      <w:r w:rsidRPr="002270CA">
        <w:rPr>
          <w:shd w:val="clear" w:color="auto" w:fill="FFFFFF"/>
        </w:rPr>
        <w:t>Dopinga kontroles un antidopinga izglītojošo pasākumu cenas ir norādītas bez transporta izmaksām uz antidopinga pasākumu nori</w:t>
      </w:r>
      <w:bookmarkStart w:id="0" w:name="_GoBack"/>
      <w:bookmarkEnd w:id="0"/>
      <w:r w:rsidRPr="002270CA">
        <w:rPr>
          <w:shd w:val="clear" w:color="auto" w:fill="FFFFFF"/>
        </w:rPr>
        <w:t>ses vietām un bez iespējamām nakšņošanas izmaksām</w:t>
      </w:r>
      <w:r w:rsidRPr="002270CA" w:rsidR="00407352">
        <w:rPr>
          <w:shd w:val="clear" w:color="auto" w:fill="FFFFFF"/>
        </w:rPr>
        <w:t>.</w:t>
      </w:r>
    </w:p>
    <w:p w:rsidR="006C3101" w:rsidRPr="004701B9" w:rsidP="00D17D25" w14:paraId="0427EDA7" w14:textId="5F973991">
      <w:pPr>
        <w:pStyle w:val="NormalWeb"/>
        <w:spacing w:before="0" w:beforeAutospacing="0" w:after="0" w:afterAutospacing="0"/>
        <w:ind w:firstLine="709"/>
        <w:jc w:val="both"/>
      </w:pPr>
      <w:r>
        <w:rPr>
          <w:vertAlign w:val="superscript"/>
        </w:rPr>
        <w:t>4</w:t>
      </w:r>
      <w:r w:rsidRPr="004701B9" w:rsidR="00143DEE">
        <w:t> </w:t>
      </w:r>
      <w:r w:rsidRPr="004701B9">
        <w:t>Pievienotās vērtības nodokli nepiemēro saskaņā ar Pievienotās vērtības nodokļa likuma 59. panta pirmo daļu</w:t>
      </w:r>
      <w:r>
        <w:t>.</w:t>
      </w:r>
      <w:r w:rsidRPr="004701B9">
        <w:t xml:space="preserve"> </w:t>
      </w:r>
    </w:p>
    <w:p w:rsidR="00D17D25" w:rsidRPr="004701B9" w:rsidP="00E05E2E" w14:paraId="7A05E3DF" w14:textId="77777777">
      <w:pPr>
        <w:tabs>
          <w:tab w:val="left" w:pos="4678"/>
        </w:tabs>
        <w:rPr>
          <w:sz w:val="28"/>
        </w:rPr>
      </w:pPr>
    </w:p>
    <w:p w:rsidR="00B653DC" w:rsidP="00B653DC" w14:paraId="79E74E09" w14:textId="77777777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  <w:lang w:eastAsia="en-US"/>
        </w:rPr>
      </w:pPr>
      <w:r w:rsidRPr="00DF115E">
        <w:rPr>
          <w:rFonts w:eastAsia="Calibri"/>
          <w:sz w:val="28"/>
          <w:szCs w:val="28"/>
          <w:lang w:eastAsia="en-US"/>
        </w:rPr>
        <w:t>Ministru prezidents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DF115E">
        <w:rPr>
          <w:rFonts w:eastAsia="Calibri"/>
          <w:sz w:val="28"/>
          <w:szCs w:val="28"/>
          <w:lang w:eastAsia="en-US"/>
        </w:rPr>
        <w:t>Māris Kučinskis</w:t>
      </w:r>
    </w:p>
    <w:p w:rsidR="00B653DC" w:rsidP="00B653DC" w14:paraId="39A9A8BB" w14:textId="77777777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B653DC" w:rsidP="00B653DC" w14:paraId="3CBAD258" w14:textId="77777777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</w:t>
      </w:r>
      <w:r w:rsidRPr="003842CB">
        <w:rPr>
          <w:rFonts w:eastAsia="Calibri"/>
          <w:sz w:val="28"/>
          <w:szCs w:val="28"/>
        </w:rPr>
        <w:t>eselības ministr</w:t>
      </w:r>
      <w:r>
        <w:rPr>
          <w:rFonts w:eastAsia="Calibri"/>
          <w:sz w:val="28"/>
          <w:szCs w:val="28"/>
        </w:rPr>
        <w:t xml:space="preserve">e </w:t>
      </w:r>
      <w:r w:rsidRPr="003842CB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Anda Čakša</w:t>
      </w:r>
      <w:r w:rsidRPr="00AE155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</w:p>
    <w:p w:rsidR="00B653DC" w:rsidP="00B653DC" w14:paraId="66244D96" w14:textId="77777777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B653DC" w:rsidP="00B653DC" w14:paraId="19C1689C" w14:textId="77777777">
      <w:pPr>
        <w:tabs>
          <w:tab w:val="left" w:pos="7230"/>
          <w:tab w:val="right" w:pos="9072"/>
        </w:tabs>
        <w:ind w:right="-765"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 xml:space="preserve">Iesniedzējs: </w:t>
      </w:r>
      <w:r>
        <w:rPr>
          <w:rFonts w:eastAsia="Calibri"/>
          <w:sz w:val="28"/>
          <w:szCs w:val="28"/>
        </w:rPr>
        <w:t>V</w:t>
      </w:r>
      <w:r w:rsidRPr="003842CB">
        <w:rPr>
          <w:rFonts w:eastAsia="Calibri"/>
          <w:sz w:val="28"/>
          <w:szCs w:val="28"/>
        </w:rPr>
        <w:t>eselības ministr</w:t>
      </w:r>
      <w:r>
        <w:rPr>
          <w:rFonts w:eastAsia="Calibri"/>
          <w:sz w:val="28"/>
          <w:szCs w:val="28"/>
        </w:rPr>
        <w:t>e</w:t>
      </w:r>
      <w:r>
        <w:rPr>
          <w:rFonts w:eastAsia="Calibri"/>
          <w:sz w:val="28"/>
          <w:szCs w:val="28"/>
        </w:rPr>
        <w:tab/>
        <w:t>Anda Čakša</w:t>
      </w:r>
    </w:p>
    <w:p w:rsidR="00B653DC" w:rsidRPr="00AB0C46" w:rsidP="00B653DC" w14:paraId="2BD6D87A" w14:textId="77777777">
      <w:pPr>
        <w:tabs>
          <w:tab w:val="left" w:pos="7230"/>
          <w:tab w:val="right" w:pos="9072"/>
        </w:tabs>
        <w:spacing w:before="240"/>
        <w:ind w:right="-765"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>Vīza: Valsts sekretār</w:t>
      </w:r>
      <w:r>
        <w:rPr>
          <w:rFonts w:eastAsia="Calibri"/>
          <w:sz w:val="28"/>
          <w:szCs w:val="28"/>
        </w:rPr>
        <w:t xml:space="preserve">s                                                     </w:t>
      </w:r>
      <w:r>
        <w:rPr>
          <w:rFonts w:eastAsia="Calibri"/>
          <w:sz w:val="28"/>
          <w:szCs w:val="28"/>
        </w:rPr>
        <w:tab/>
        <w:t>Aivars Lapiņš</w:t>
      </w:r>
    </w:p>
    <w:p w:rsidR="00D17D25" w:rsidRPr="004701B9" w:rsidP="00E05E2E" w14:paraId="4F03E4B0" w14:textId="77777777">
      <w:pPr>
        <w:tabs>
          <w:tab w:val="left" w:pos="4678"/>
        </w:tabs>
        <w:rPr>
          <w:sz w:val="28"/>
        </w:rPr>
      </w:pPr>
    </w:p>
    <w:p w:rsidR="00D42573" w:rsidRPr="006C3101" w:rsidP="006C3101" w14:paraId="188AD454" w14:textId="2C49576B"/>
    <w:sectPr w:rsidSect="00D17D25">
      <w:headerReference w:type="default" r:id="rId5"/>
      <w:footerReference w:type="default" r:id="rId6"/>
      <w:footerReference w:type="firs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2546" w:rsidRPr="00952546" w14:paraId="41595B07" w14:textId="75378F87">
    <w:pPr>
      <w:pStyle w:val="Footer"/>
      <w:rPr>
        <w:sz w:val="20"/>
        <w:szCs w:val="20"/>
      </w:rPr>
    </w:pPr>
    <w:r w:rsidRPr="00952546">
      <w:rPr>
        <w:sz w:val="20"/>
        <w:szCs w:val="20"/>
      </w:rPr>
      <w:t>VMnot_</w:t>
    </w:r>
    <w:r w:rsidR="0040644C">
      <w:rPr>
        <w:sz w:val="20"/>
        <w:szCs w:val="20"/>
      </w:rPr>
      <w:t>04</w:t>
    </w:r>
    <w:r w:rsidRPr="00952546">
      <w:rPr>
        <w:sz w:val="20"/>
        <w:szCs w:val="20"/>
      </w:rPr>
      <w:t>0</w:t>
    </w:r>
    <w:r w:rsidR="0040644C">
      <w:rPr>
        <w:sz w:val="20"/>
        <w:szCs w:val="20"/>
      </w:rPr>
      <w:t>6</w:t>
    </w:r>
    <w:r w:rsidRPr="00952546">
      <w:rPr>
        <w:sz w:val="20"/>
        <w:szCs w:val="20"/>
      </w:rPr>
      <w:t>18_LAB_maks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1D47" w:rsidRPr="00952546" w:rsidP="00952546" w14:paraId="188AD457" w14:textId="41A1505B">
    <w:pPr>
      <w:pStyle w:val="Footer"/>
      <w:rPr>
        <w:sz w:val="20"/>
        <w:szCs w:val="20"/>
      </w:rPr>
    </w:pPr>
    <w:r w:rsidRPr="00952546">
      <w:rPr>
        <w:sz w:val="20"/>
        <w:szCs w:val="20"/>
      </w:rPr>
      <w:t>VMnot_</w:t>
    </w:r>
    <w:r w:rsidR="0040644C">
      <w:rPr>
        <w:sz w:val="20"/>
        <w:szCs w:val="20"/>
      </w:rPr>
      <w:t>04</w:t>
    </w:r>
    <w:r w:rsidRPr="00952546">
      <w:rPr>
        <w:sz w:val="20"/>
        <w:szCs w:val="20"/>
      </w:rPr>
      <w:t>0</w:t>
    </w:r>
    <w:r w:rsidR="0040644C">
      <w:rPr>
        <w:sz w:val="20"/>
        <w:szCs w:val="20"/>
      </w:rPr>
      <w:t>6</w:t>
    </w:r>
    <w:r w:rsidRPr="00952546">
      <w:rPr>
        <w:sz w:val="20"/>
        <w:szCs w:val="20"/>
      </w:rPr>
      <w:t>18_LAB_maks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914374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1D47" w14:paraId="188AD455" w14:textId="5DAD49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5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6903EDE"/>
    <w:multiLevelType w:val="multilevel"/>
    <w:tmpl w:val="0542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2E0A7F71"/>
    <w:multiLevelType w:val="multilevel"/>
    <w:tmpl w:val="EDF8F5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1">
    <w:nsid w:val="4B220A1D"/>
    <w:multiLevelType w:val="hybridMultilevel"/>
    <w:tmpl w:val="40E051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B8"/>
    <w:rsid w:val="0001668D"/>
    <w:rsid w:val="00036D01"/>
    <w:rsid w:val="00045829"/>
    <w:rsid w:val="000B41D7"/>
    <w:rsid w:val="000C4916"/>
    <w:rsid w:val="000C75C6"/>
    <w:rsid w:val="000D10EC"/>
    <w:rsid w:val="000D1DC8"/>
    <w:rsid w:val="000D3A6B"/>
    <w:rsid w:val="000D5151"/>
    <w:rsid w:val="000E7051"/>
    <w:rsid w:val="000F002A"/>
    <w:rsid w:val="000F5633"/>
    <w:rsid w:val="00101EA4"/>
    <w:rsid w:val="00104A93"/>
    <w:rsid w:val="001076D3"/>
    <w:rsid w:val="00116631"/>
    <w:rsid w:val="00140F71"/>
    <w:rsid w:val="00143DEE"/>
    <w:rsid w:val="00162145"/>
    <w:rsid w:val="00175D02"/>
    <w:rsid w:val="00181759"/>
    <w:rsid w:val="001C257B"/>
    <w:rsid w:val="001C3ECB"/>
    <w:rsid w:val="001D1222"/>
    <w:rsid w:val="001D3197"/>
    <w:rsid w:val="001E76F3"/>
    <w:rsid w:val="001F7EA2"/>
    <w:rsid w:val="002060B8"/>
    <w:rsid w:val="0021631E"/>
    <w:rsid w:val="0022043B"/>
    <w:rsid w:val="00220610"/>
    <w:rsid w:val="0022112B"/>
    <w:rsid w:val="002270CA"/>
    <w:rsid w:val="00231EFD"/>
    <w:rsid w:val="0024007B"/>
    <w:rsid w:val="00253C41"/>
    <w:rsid w:val="002544C7"/>
    <w:rsid w:val="00266EF4"/>
    <w:rsid w:val="0027078C"/>
    <w:rsid w:val="002732F1"/>
    <w:rsid w:val="00274B44"/>
    <w:rsid w:val="00286C1E"/>
    <w:rsid w:val="00287585"/>
    <w:rsid w:val="00295EF9"/>
    <w:rsid w:val="002A1B94"/>
    <w:rsid w:val="002A5803"/>
    <w:rsid w:val="002B0137"/>
    <w:rsid w:val="002B0482"/>
    <w:rsid w:val="002B6A64"/>
    <w:rsid w:val="002B7ADF"/>
    <w:rsid w:val="002C7F82"/>
    <w:rsid w:val="002D0FE1"/>
    <w:rsid w:val="002D2521"/>
    <w:rsid w:val="002D6CCE"/>
    <w:rsid w:val="002E14C2"/>
    <w:rsid w:val="003037F5"/>
    <w:rsid w:val="00313520"/>
    <w:rsid w:val="003152CC"/>
    <w:rsid w:val="00317321"/>
    <w:rsid w:val="00323C12"/>
    <w:rsid w:val="003350BA"/>
    <w:rsid w:val="00360271"/>
    <w:rsid w:val="003730B7"/>
    <w:rsid w:val="003842CB"/>
    <w:rsid w:val="00390534"/>
    <w:rsid w:val="00392D0B"/>
    <w:rsid w:val="003A1479"/>
    <w:rsid w:val="003B0181"/>
    <w:rsid w:val="003C4BDE"/>
    <w:rsid w:val="003C5B26"/>
    <w:rsid w:val="003D354E"/>
    <w:rsid w:val="003E0AFE"/>
    <w:rsid w:val="0040644C"/>
    <w:rsid w:val="00407352"/>
    <w:rsid w:val="004166C8"/>
    <w:rsid w:val="004168BE"/>
    <w:rsid w:val="00451E6E"/>
    <w:rsid w:val="00457DF2"/>
    <w:rsid w:val="004701B9"/>
    <w:rsid w:val="00471D47"/>
    <w:rsid w:val="00474DE6"/>
    <w:rsid w:val="00475683"/>
    <w:rsid w:val="0048228C"/>
    <w:rsid w:val="004851DD"/>
    <w:rsid w:val="00492063"/>
    <w:rsid w:val="004A0519"/>
    <w:rsid w:val="004A65B1"/>
    <w:rsid w:val="004C28DE"/>
    <w:rsid w:val="004D2B79"/>
    <w:rsid w:val="004D41B7"/>
    <w:rsid w:val="004D4496"/>
    <w:rsid w:val="00510349"/>
    <w:rsid w:val="00521EA4"/>
    <w:rsid w:val="00531668"/>
    <w:rsid w:val="00534740"/>
    <w:rsid w:val="00540775"/>
    <w:rsid w:val="00540940"/>
    <w:rsid w:val="0054631B"/>
    <w:rsid w:val="00553DD7"/>
    <w:rsid w:val="00553EF0"/>
    <w:rsid w:val="00554552"/>
    <w:rsid w:val="00554583"/>
    <w:rsid w:val="00555301"/>
    <w:rsid w:val="005645AD"/>
    <w:rsid w:val="005700A1"/>
    <w:rsid w:val="005729B8"/>
    <w:rsid w:val="00584ABD"/>
    <w:rsid w:val="005903FF"/>
    <w:rsid w:val="005917C4"/>
    <w:rsid w:val="00591B4D"/>
    <w:rsid w:val="005A432C"/>
    <w:rsid w:val="005C1083"/>
    <w:rsid w:val="005C14E3"/>
    <w:rsid w:val="005D2B5E"/>
    <w:rsid w:val="006055F0"/>
    <w:rsid w:val="00607519"/>
    <w:rsid w:val="00634679"/>
    <w:rsid w:val="00642E68"/>
    <w:rsid w:val="00644C7C"/>
    <w:rsid w:val="00665389"/>
    <w:rsid w:val="00673833"/>
    <w:rsid w:val="00682759"/>
    <w:rsid w:val="0068338A"/>
    <w:rsid w:val="00693385"/>
    <w:rsid w:val="006B7A01"/>
    <w:rsid w:val="006C3101"/>
    <w:rsid w:val="006D45EA"/>
    <w:rsid w:val="006E0034"/>
    <w:rsid w:val="006E36DD"/>
    <w:rsid w:val="006F243B"/>
    <w:rsid w:val="006F47E8"/>
    <w:rsid w:val="00700AAA"/>
    <w:rsid w:val="007021B1"/>
    <w:rsid w:val="0070657D"/>
    <w:rsid w:val="00745F71"/>
    <w:rsid w:val="00764C19"/>
    <w:rsid w:val="00775D01"/>
    <w:rsid w:val="0078687A"/>
    <w:rsid w:val="007912C1"/>
    <w:rsid w:val="007957E9"/>
    <w:rsid w:val="00797B13"/>
    <w:rsid w:val="007A3DE3"/>
    <w:rsid w:val="007A4317"/>
    <w:rsid w:val="007A6C20"/>
    <w:rsid w:val="007B5AE7"/>
    <w:rsid w:val="007D416B"/>
    <w:rsid w:val="007D4274"/>
    <w:rsid w:val="007F493C"/>
    <w:rsid w:val="007F715F"/>
    <w:rsid w:val="00800A72"/>
    <w:rsid w:val="008103A8"/>
    <w:rsid w:val="00840973"/>
    <w:rsid w:val="0084745B"/>
    <w:rsid w:val="008474C7"/>
    <w:rsid w:val="00851E47"/>
    <w:rsid w:val="00855FC4"/>
    <w:rsid w:val="008612AC"/>
    <w:rsid w:val="00872AB2"/>
    <w:rsid w:val="00890251"/>
    <w:rsid w:val="008947EB"/>
    <w:rsid w:val="008A12AB"/>
    <w:rsid w:val="008A29CE"/>
    <w:rsid w:val="008A2F6D"/>
    <w:rsid w:val="008A3110"/>
    <w:rsid w:val="008D60B5"/>
    <w:rsid w:val="008F4264"/>
    <w:rsid w:val="008F60B2"/>
    <w:rsid w:val="008F66C5"/>
    <w:rsid w:val="0091202F"/>
    <w:rsid w:val="00912C43"/>
    <w:rsid w:val="0091325B"/>
    <w:rsid w:val="009158C5"/>
    <w:rsid w:val="00916249"/>
    <w:rsid w:val="009312ED"/>
    <w:rsid w:val="00936D1A"/>
    <w:rsid w:val="00946A17"/>
    <w:rsid w:val="0095198B"/>
    <w:rsid w:val="00952546"/>
    <w:rsid w:val="00973C66"/>
    <w:rsid w:val="00977194"/>
    <w:rsid w:val="0098331C"/>
    <w:rsid w:val="009834BD"/>
    <w:rsid w:val="009A0723"/>
    <w:rsid w:val="009B5950"/>
    <w:rsid w:val="009C25C1"/>
    <w:rsid w:val="009D2824"/>
    <w:rsid w:val="009E4AA6"/>
    <w:rsid w:val="009F4C02"/>
    <w:rsid w:val="00A073FD"/>
    <w:rsid w:val="00A137E6"/>
    <w:rsid w:val="00A3019B"/>
    <w:rsid w:val="00A359D2"/>
    <w:rsid w:val="00A41D00"/>
    <w:rsid w:val="00A50FE6"/>
    <w:rsid w:val="00A6133D"/>
    <w:rsid w:val="00A63249"/>
    <w:rsid w:val="00A64F89"/>
    <w:rsid w:val="00A85E5F"/>
    <w:rsid w:val="00A91C72"/>
    <w:rsid w:val="00A9746C"/>
    <w:rsid w:val="00AA15EE"/>
    <w:rsid w:val="00AB0C46"/>
    <w:rsid w:val="00AC0E26"/>
    <w:rsid w:val="00AC7B74"/>
    <w:rsid w:val="00AE1554"/>
    <w:rsid w:val="00AE44C5"/>
    <w:rsid w:val="00AE731F"/>
    <w:rsid w:val="00AF11C2"/>
    <w:rsid w:val="00AF403E"/>
    <w:rsid w:val="00AF7756"/>
    <w:rsid w:val="00B05643"/>
    <w:rsid w:val="00B2431A"/>
    <w:rsid w:val="00B379BE"/>
    <w:rsid w:val="00B653DC"/>
    <w:rsid w:val="00B72327"/>
    <w:rsid w:val="00B83F42"/>
    <w:rsid w:val="00B84F8F"/>
    <w:rsid w:val="00B85363"/>
    <w:rsid w:val="00B8739D"/>
    <w:rsid w:val="00B910A7"/>
    <w:rsid w:val="00B95430"/>
    <w:rsid w:val="00BB5727"/>
    <w:rsid w:val="00BB6378"/>
    <w:rsid w:val="00BC252A"/>
    <w:rsid w:val="00BD24E6"/>
    <w:rsid w:val="00BE6D1D"/>
    <w:rsid w:val="00BF0DEE"/>
    <w:rsid w:val="00C201C1"/>
    <w:rsid w:val="00C50E5C"/>
    <w:rsid w:val="00C513EE"/>
    <w:rsid w:val="00C55EC9"/>
    <w:rsid w:val="00C566AE"/>
    <w:rsid w:val="00CA4098"/>
    <w:rsid w:val="00CB5838"/>
    <w:rsid w:val="00CC2233"/>
    <w:rsid w:val="00CC62C0"/>
    <w:rsid w:val="00CF6FBB"/>
    <w:rsid w:val="00D0019F"/>
    <w:rsid w:val="00D01D33"/>
    <w:rsid w:val="00D02FF2"/>
    <w:rsid w:val="00D04FDE"/>
    <w:rsid w:val="00D14374"/>
    <w:rsid w:val="00D15CE5"/>
    <w:rsid w:val="00D17D25"/>
    <w:rsid w:val="00D228CF"/>
    <w:rsid w:val="00D2726D"/>
    <w:rsid w:val="00D42126"/>
    <w:rsid w:val="00D42573"/>
    <w:rsid w:val="00D51B50"/>
    <w:rsid w:val="00D6356F"/>
    <w:rsid w:val="00D63E5F"/>
    <w:rsid w:val="00D64CF8"/>
    <w:rsid w:val="00D64D52"/>
    <w:rsid w:val="00D848F8"/>
    <w:rsid w:val="00D905C3"/>
    <w:rsid w:val="00D92D38"/>
    <w:rsid w:val="00DB3AAC"/>
    <w:rsid w:val="00DB529F"/>
    <w:rsid w:val="00DB541E"/>
    <w:rsid w:val="00DC52C5"/>
    <w:rsid w:val="00DD1103"/>
    <w:rsid w:val="00DE4383"/>
    <w:rsid w:val="00DF115E"/>
    <w:rsid w:val="00DF15FC"/>
    <w:rsid w:val="00DF4AF3"/>
    <w:rsid w:val="00E03E7F"/>
    <w:rsid w:val="00E05E2E"/>
    <w:rsid w:val="00E11225"/>
    <w:rsid w:val="00E249B9"/>
    <w:rsid w:val="00E25E10"/>
    <w:rsid w:val="00E31865"/>
    <w:rsid w:val="00E73590"/>
    <w:rsid w:val="00E80F21"/>
    <w:rsid w:val="00E9083F"/>
    <w:rsid w:val="00EC634B"/>
    <w:rsid w:val="00ED46AC"/>
    <w:rsid w:val="00EE0FC8"/>
    <w:rsid w:val="00EE374F"/>
    <w:rsid w:val="00EE79FC"/>
    <w:rsid w:val="00EF0C5F"/>
    <w:rsid w:val="00F068A8"/>
    <w:rsid w:val="00F1322A"/>
    <w:rsid w:val="00F167C0"/>
    <w:rsid w:val="00F23355"/>
    <w:rsid w:val="00F255AE"/>
    <w:rsid w:val="00F34E58"/>
    <w:rsid w:val="00F4261E"/>
    <w:rsid w:val="00F46CA5"/>
    <w:rsid w:val="00F63769"/>
    <w:rsid w:val="00F85C39"/>
    <w:rsid w:val="00FA5284"/>
    <w:rsid w:val="00FC7279"/>
    <w:rsid w:val="00FD233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FE84246-CD81-4F27-9757-5480551B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DB52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DB52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52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529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lv-LV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character" w:styleId="CommentReference">
    <w:name w:val="annotation reference"/>
    <w:basedOn w:val="DefaultParagraphFont"/>
    <w:unhideWhenUsed/>
    <w:rsid w:val="000E70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E7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705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E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705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uiPriority w:val="99"/>
    <w:rsid w:val="00DB529F"/>
    <w:rPr>
      <w:color w:val="0000FF"/>
      <w:u w:val="single"/>
    </w:rPr>
  </w:style>
  <w:style w:type="paragraph" w:styleId="NormalWeb">
    <w:name w:val="Normal (Web)"/>
    <w:basedOn w:val="Normal"/>
    <w:rsid w:val="00DB5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B529F"/>
  </w:style>
  <w:style w:type="paragraph" w:customStyle="1" w:styleId="tvhtmlmktable">
    <w:name w:val="tv_html mk_table"/>
    <w:basedOn w:val="Normal"/>
    <w:rsid w:val="00DB529F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semiHidden/>
    <w:rsid w:val="00DB52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B529F"/>
    <w:rPr>
      <w:rFonts w:ascii="Tahoma" w:eastAsia="Times New Roman" w:hAnsi="Tahoma" w:cs="Tahoma"/>
      <w:sz w:val="20"/>
      <w:szCs w:val="20"/>
      <w:shd w:val="clear" w:color="auto" w:fill="000080"/>
      <w:lang w:eastAsia="lv-LV"/>
    </w:rPr>
  </w:style>
  <w:style w:type="paragraph" w:customStyle="1" w:styleId="CharCharCharCharCharChar">
    <w:name w:val="Char Char Char Char Char Char"/>
    <w:basedOn w:val="Normal"/>
    <w:rsid w:val="00DB529F"/>
    <w:pPr>
      <w:spacing w:before="40"/>
    </w:pPr>
    <w:rPr>
      <w:sz w:val="28"/>
      <w:szCs w:val="20"/>
      <w:lang w:eastAsia="en-US"/>
    </w:rPr>
  </w:style>
  <w:style w:type="table" w:styleId="TableGrid">
    <w:name w:val="Table Grid"/>
    <w:basedOn w:val="TableNormal"/>
    <w:rsid w:val="00DB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B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onormal">
    <w:name w:val="msonormal"/>
    <w:basedOn w:val="Normal"/>
    <w:rsid w:val="009158C5"/>
    <w:pPr>
      <w:spacing w:before="100" w:beforeAutospacing="1" w:after="100" w:afterAutospacing="1"/>
    </w:pPr>
  </w:style>
  <w:style w:type="paragraph" w:customStyle="1" w:styleId="font30">
    <w:name w:val="font30"/>
    <w:basedOn w:val="Normal"/>
    <w:rsid w:val="009158C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31">
    <w:name w:val="font31"/>
    <w:basedOn w:val="Normal"/>
    <w:rsid w:val="009158C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32">
    <w:name w:val="font32"/>
    <w:basedOn w:val="Normal"/>
    <w:rsid w:val="009158C5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33">
    <w:name w:val="font33"/>
    <w:basedOn w:val="Normal"/>
    <w:rsid w:val="009158C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4">
    <w:name w:val="xl154"/>
    <w:basedOn w:val="Normal"/>
    <w:rsid w:val="009158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5">
    <w:name w:val="xl155"/>
    <w:basedOn w:val="Normal"/>
    <w:rsid w:val="00915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1">
    <w:name w:val="xl161"/>
    <w:basedOn w:val="Normal"/>
    <w:rsid w:val="0091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78">
    <w:name w:val="xl178"/>
    <w:basedOn w:val="Normal"/>
    <w:rsid w:val="0091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0">
    <w:name w:val="xl180"/>
    <w:basedOn w:val="Normal"/>
    <w:rsid w:val="0091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Normal"/>
    <w:rsid w:val="00915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2">
    <w:name w:val="xl182"/>
    <w:basedOn w:val="Normal"/>
    <w:rsid w:val="009158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</w:pPr>
    <w:rPr>
      <w:color w:val="000000"/>
      <w:sz w:val="28"/>
      <w:szCs w:val="28"/>
    </w:rPr>
  </w:style>
  <w:style w:type="character" w:customStyle="1" w:styleId="font311">
    <w:name w:val="font311"/>
    <w:basedOn w:val="DefaultParagraphFont"/>
    <w:rsid w:val="009158C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01">
    <w:name w:val="font301"/>
    <w:basedOn w:val="DefaultParagraphFont"/>
    <w:rsid w:val="009158C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21">
    <w:name w:val="font321"/>
    <w:basedOn w:val="DefaultParagraphFont"/>
    <w:rsid w:val="009158C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31">
    <w:name w:val="font331"/>
    <w:basedOn w:val="DefaultParagraphFont"/>
    <w:rsid w:val="009158C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font5">
    <w:name w:val="font5"/>
    <w:basedOn w:val="Normal"/>
    <w:rsid w:val="002B0137"/>
    <w:pPr>
      <w:spacing w:before="100" w:beforeAutospacing="1" w:after="100" w:afterAutospacing="1"/>
    </w:pPr>
    <w:rPr>
      <w:color w:val="000000"/>
    </w:rPr>
  </w:style>
  <w:style w:type="paragraph" w:customStyle="1" w:styleId="font45">
    <w:name w:val="font45"/>
    <w:basedOn w:val="Normal"/>
    <w:rsid w:val="002B0137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13">
    <w:name w:val="font113"/>
    <w:basedOn w:val="Normal"/>
    <w:rsid w:val="002B013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114">
    <w:name w:val="font114"/>
    <w:basedOn w:val="Normal"/>
    <w:rsid w:val="002B013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115">
    <w:name w:val="font115"/>
    <w:basedOn w:val="Normal"/>
    <w:rsid w:val="002B0137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116">
    <w:name w:val="font116"/>
    <w:basedOn w:val="Normal"/>
    <w:rsid w:val="002B013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5">
    <w:name w:val="xl235"/>
    <w:basedOn w:val="Normal"/>
    <w:rsid w:val="002B0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1">
    <w:name w:val="xl391"/>
    <w:basedOn w:val="Normal"/>
    <w:rsid w:val="002B0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7">
    <w:name w:val="xl1147"/>
    <w:basedOn w:val="Normal"/>
    <w:rsid w:val="002B0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48">
    <w:name w:val="xl1148"/>
    <w:basedOn w:val="Normal"/>
    <w:rsid w:val="002B0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49">
    <w:name w:val="xl1149"/>
    <w:basedOn w:val="Normal"/>
    <w:rsid w:val="002B0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50">
    <w:name w:val="xl1150"/>
    <w:basedOn w:val="Normal"/>
    <w:rsid w:val="002B0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51">
    <w:name w:val="xl1151"/>
    <w:basedOn w:val="Normal"/>
    <w:rsid w:val="002B01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52">
    <w:name w:val="xl1152"/>
    <w:basedOn w:val="Normal"/>
    <w:rsid w:val="002B0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54">
    <w:name w:val="xl1154"/>
    <w:basedOn w:val="Normal"/>
    <w:rsid w:val="002B0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65">
    <w:name w:val="xl1265"/>
    <w:basedOn w:val="Normal"/>
    <w:rsid w:val="002B0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6">
    <w:name w:val="xl1266"/>
    <w:basedOn w:val="Normal"/>
    <w:rsid w:val="002B0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7">
    <w:name w:val="xl1267"/>
    <w:basedOn w:val="Normal"/>
    <w:rsid w:val="002B0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1">
    <w:name w:val="xl1451"/>
    <w:basedOn w:val="Normal"/>
    <w:rsid w:val="002B0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3">
    <w:name w:val="xl1453"/>
    <w:basedOn w:val="Normal"/>
    <w:rsid w:val="002B0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62">
    <w:name w:val="xl1462"/>
    <w:basedOn w:val="Normal"/>
    <w:rsid w:val="002B0137"/>
    <w:pPr>
      <w:spacing w:before="100" w:beforeAutospacing="1" w:after="100" w:afterAutospacing="1"/>
    </w:pPr>
  </w:style>
  <w:style w:type="character" w:customStyle="1" w:styleId="font451">
    <w:name w:val="font451"/>
    <w:basedOn w:val="DefaultParagraphFont"/>
    <w:rsid w:val="002B013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51">
    <w:name w:val="font51"/>
    <w:basedOn w:val="DefaultParagraphFont"/>
    <w:rsid w:val="002B0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31">
    <w:name w:val="font1131"/>
    <w:basedOn w:val="DefaultParagraphFont"/>
    <w:rsid w:val="002B0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141">
    <w:name w:val="font1141"/>
    <w:basedOn w:val="DefaultParagraphFont"/>
    <w:rsid w:val="002B0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151">
    <w:name w:val="font1151"/>
    <w:basedOn w:val="DefaultParagraphFont"/>
    <w:rsid w:val="002B013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161">
    <w:name w:val="font1161"/>
    <w:basedOn w:val="DefaultParagraphFont"/>
    <w:rsid w:val="002B0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DC375-42BE-44A0-8625-75EAAE96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2841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"Latvijas Antidopinga biroja maksas pakalpojumu cenrādis" pielikums</vt:lpstr>
    </vt:vector>
  </TitlesOfParts>
  <Company>Veselības ministrija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"Latvijas Antidopinga biroja maksas pakalpojumu cenrādis" pielikums</dc:title>
  <dc:subject>Noteikumu projekta pielikums</dc:subject>
  <dc:creator>Lāsma Zandberga, Juliāna Liņģīte</dc:creator>
  <dc:description>Zandberga 67876041_x000D_
lasma.zandberga@vm.gov.lv _x000D_
Liņģīte 67226066_x000D_
juliana.lingite@vsmc.gov.lv</dc:description>
  <cp:lastModifiedBy>Lāsma Zandberga</cp:lastModifiedBy>
  <cp:revision>5</cp:revision>
  <cp:lastPrinted>2018-05-28T12:36:00Z</cp:lastPrinted>
  <dcterms:created xsi:type="dcterms:W3CDTF">2018-06-04T06:46:00Z</dcterms:created>
  <dcterms:modified xsi:type="dcterms:W3CDTF">2018-06-04T06:47:00Z</dcterms:modified>
</cp:coreProperties>
</file>