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72" w:rsidRPr="0097568A" w:rsidRDefault="001A5772" w:rsidP="006D073F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03EF">
        <w:rPr>
          <w:b/>
          <w:bCs/>
          <w:sz w:val="28"/>
          <w:szCs w:val="28"/>
          <w:lang w:val="lv-LV"/>
        </w:rPr>
        <w:t xml:space="preserve">Ministru kabineta noteikumu </w:t>
      </w:r>
      <w:r w:rsidR="00C4683D">
        <w:rPr>
          <w:b/>
          <w:bCs/>
          <w:sz w:val="28"/>
          <w:szCs w:val="28"/>
          <w:lang w:val="lv-LV"/>
        </w:rPr>
        <w:t xml:space="preserve">projekta </w:t>
      </w:r>
      <w:r w:rsidR="00447461" w:rsidRPr="00447461">
        <w:rPr>
          <w:b/>
          <w:bCs/>
          <w:sz w:val="28"/>
          <w:szCs w:val="28"/>
          <w:lang w:val="lv-LV"/>
        </w:rPr>
        <w:t>“</w:t>
      </w:r>
      <w:proofErr w:type="spellStart"/>
      <w:r w:rsidR="0097568A" w:rsidRPr="004235B4">
        <w:rPr>
          <w:b/>
          <w:sz w:val="28"/>
          <w:szCs w:val="28"/>
        </w:rPr>
        <w:t>Grozījumi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Ministru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kabineta</w:t>
      </w:r>
      <w:proofErr w:type="spellEnd"/>
      <w:r w:rsidR="0097568A" w:rsidRPr="004235B4">
        <w:rPr>
          <w:b/>
          <w:sz w:val="28"/>
          <w:szCs w:val="28"/>
        </w:rPr>
        <w:t xml:space="preserve"> 2017.</w:t>
      </w:r>
      <w:r w:rsidR="0097568A">
        <w:rPr>
          <w:b/>
          <w:sz w:val="28"/>
          <w:szCs w:val="28"/>
        </w:rPr>
        <w:t> </w:t>
      </w:r>
      <w:proofErr w:type="spellStart"/>
      <w:r w:rsidR="0097568A" w:rsidRPr="004235B4">
        <w:rPr>
          <w:b/>
          <w:sz w:val="28"/>
          <w:szCs w:val="28"/>
        </w:rPr>
        <w:t>gada</w:t>
      </w:r>
      <w:proofErr w:type="spellEnd"/>
      <w:r w:rsidR="0097568A" w:rsidRPr="004235B4">
        <w:rPr>
          <w:b/>
          <w:sz w:val="28"/>
          <w:szCs w:val="28"/>
        </w:rPr>
        <w:t xml:space="preserve"> 3.</w:t>
      </w:r>
      <w:r w:rsidR="0097568A">
        <w:rPr>
          <w:b/>
          <w:sz w:val="28"/>
          <w:szCs w:val="28"/>
        </w:rPr>
        <w:t> </w:t>
      </w:r>
      <w:proofErr w:type="spellStart"/>
      <w:r w:rsidR="0097568A" w:rsidRPr="004235B4">
        <w:rPr>
          <w:b/>
          <w:sz w:val="28"/>
          <w:szCs w:val="28"/>
        </w:rPr>
        <w:t>maija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noteikumos</w:t>
      </w:r>
      <w:proofErr w:type="spellEnd"/>
      <w:r w:rsidR="0097568A" w:rsidRPr="004235B4">
        <w:rPr>
          <w:b/>
          <w:sz w:val="28"/>
          <w:szCs w:val="28"/>
        </w:rPr>
        <w:t xml:space="preserve"> </w:t>
      </w:r>
      <w:proofErr w:type="spellStart"/>
      <w:r w:rsidR="0097568A" w:rsidRPr="004235B4">
        <w:rPr>
          <w:b/>
          <w:sz w:val="28"/>
          <w:szCs w:val="28"/>
        </w:rPr>
        <w:t>Nr</w:t>
      </w:r>
      <w:proofErr w:type="spellEnd"/>
      <w:r w:rsidR="0097568A" w:rsidRPr="004235B4">
        <w:rPr>
          <w:b/>
          <w:sz w:val="28"/>
          <w:szCs w:val="28"/>
        </w:rPr>
        <w:t>.</w:t>
      </w:r>
      <w:r w:rsidR="00427882">
        <w:rPr>
          <w:b/>
          <w:sz w:val="28"/>
          <w:szCs w:val="28"/>
        </w:rPr>
        <w:t> </w:t>
      </w:r>
      <w:r w:rsidR="0097568A" w:rsidRPr="004235B4">
        <w:rPr>
          <w:b/>
          <w:sz w:val="28"/>
          <w:szCs w:val="28"/>
        </w:rPr>
        <w:t>235 “</w:t>
      </w:r>
      <w:proofErr w:type="spellStart"/>
      <w:r w:rsidR="0097568A" w:rsidRPr="004235B4">
        <w:rPr>
          <w:b/>
          <w:sz w:val="28"/>
          <w:szCs w:val="28"/>
        </w:rPr>
        <w:t>Prasības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olu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apritei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nelielā</w:t>
      </w:r>
      <w:proofErr w:type="spellEnd"/>
      <w:r w:rsidR="0097568A" w:rsidRPr="004235B4">
        <w:rPr>
          <w:b/>
          <w:bCs/>
          <w:sz w:val="28"/>
          <w:szCs w:val="28"/>
        </w:rPr>
        <w:t xml:space="preserve"> </w:t>
      </w:r>
      <w:proofErr w:type="spellStart"/>
      <w:r w:rsidR="0097568A" w:rsidRPr="004235B4">
        <w:rPr>
          <w:b/>
          <w:bCs/>
          <w:sz w:val="28"/>
          <w:szCs w:val="28"/>
        </w:rPr>
        <w:t>apjomā</w:t>
      </w:r>
      <w:proofErr w:type="spellEnd"/>
      <w:r w:rsidR="0097568A" w:rsidRPr="004235B4">
        <w:rPr>
          <w:b/>
          <w:bCs/>
          <w:sz w:val="28"/>
          <w:szCs w:val="28"/>
        </w:rPr>
        <w:t>”</w:t>
      </w:r>
      <w:r w:rsidR="00593B8F">
        <w:rPr>
          <w:b/>
          <w:bCs/>
          <w:sz w:val="28"/>
          <w:szCs w:val="28"/>
          <w:lang w:val="lv-LV"/>
        </w:rPr>
        <w:t>”</w:t>
      </w:r>
      <w:r w:rsidRPr="006303EF">
        <w:rPr>
          <w:b/>
          <w:bCs/>
          <w:sz w:val="28"/>
          <w:szCs w:val="28"/>
          <w:lang w:val="lv-LV"/>
        </w:rPr>
        <w:t xml:space="preserve"> sākotnējās ietekmes novērtējuma ziņojums (</w:t>
      </w:r>
      <w:r w:rsidRPr="001A5772">
        <w:rPr>
          <w:b/>
          <w:bCs/>
          <w:sz w:val="28"/>
          <w:szCs w:val="28"/>
          <w:lang w:val="lv-LV"/>
        </w:rPr>
        <w:t>anotācija)</w:t>
      </w:r>
    </w:p>
    <w:p w:rsidR="00A035B4" w:rsidRPr="000A242C" w:rsidRDefault="00A035B4" w:rsidP="00FB65D8">
      <w:pPr>
        <w:pStyle w:val="Bezatstarpm"/>
        <w:jc w:val="center"/>
        <w:rPr>
          <w:bCs/>
        </w:rPr>
      </w:pPr>
    </w:p>
    <w:tbl>
      <w:tblPr>
        <w:tblStyle w:val="Reatabula"/>
        <w:tblW w:w="5160" w:type="pct"/>
        <w:tblLook w:val="04A0" w:firstRow="1" w:lastRow="0" w:firstColumn="1" w:lastColumn="0" w:noHBand="0" w:noVBand="1"/>
      </w:tblPr>
      <w:tblGrid>
        <w:gridCol w:w="477"/>
        <w:gridCol w:w="1949"/>
        <w:gridCol w:w="6925"/>
      </w:tblGrid>
      <w:tr w:rsidR="00A035B4" w:rsidRPr="00D46E60" w:rsidTr="00446B35">
        <w:tc>
          <w:tcPr>
            <w:tcW w:w="5000" w:type="pct"/>
            <w:gridSpan w:val="3"/>
          </w:tcPr>
          <w:p w:rsidR="00A035B4" w:rsidRPr="00A035B4" w:rsidRDefault="00A035B4" w:rsidP="00236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3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035B4" w:rsidRPr="00D46E60" w:rsidTr="00446B35">
        <w:tc>
          <w:tcPr>
            <w:tcW w:w="1297" w:type="pct"/>
            <w:gridSpan w:val="2"/>
          </w:tcPr>
          <w:p w:rsidR="008B0177" w:rsidRP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035B4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703" w:type="pct"/>
          </w:tcPr>
          <w:p w:rsidR="00A035B4" w:rsidRP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035B4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FB65D8" w:rsidRPr="000A242C" w:rsidTr="00446B35">
        <w:tc>
          <w:tcPr>
            <w:tcW w:w="5000" w:type="pct"/>
            <w:gridSpan w:val="3"/>
          </w:tcPr>
          <w:p w:rsidR="00FB65D8" w:rsidRPr="00A035B4" w:rsidRDefault="00FB65D8" w:rsidP="00F62526">
            <w:pPr>
              <w:pStyle w:val="Bezatstarpm"/>
              <w:jc w:val="center"/>
              <w:rPr>
                <w:b/>
              </w:rPr>
            </w:pPr>
            <w:r w:rsidRPr="00A035B4">
              <w:rPr>
                <w:b/>
              </w:rPr>
              <w:t>I. Tiesību akta projekta izstrādes nepieciešamība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Pamatojums</w:t>
            </w:r>
          </w:p>
        </w:tc>
        <w:tc>
          <w:tcPr>
            <w:tcW w:w="3703" w:type="pct"/>
          </w:tcPr>
          <w:p w:rsidR="008B0177" w:rsidRPr="0097568A" w:rsidRDefault="0097568A" w:rsidP="006D073F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97568A">
              <w:rPr>
                <w:lang w:val="lv-LV"/>
              </w:rPr>
              <w:t>Pārtikas aprites uzraudzības likuma</w:t>
            </w:r>
            <w:r>
              <w:rPr>
                <w:lang w:val="lv-LV"/>
              </w:rPr>
              <w:t xml:space="preserve"> </w:t>
            </w:r>
            <w:r w:rsidRPr="0097568A">
              <w:rPr>
                <w:lang w:val="lv-LV"/>
              </w:rPr>
              <w:t>8. panta desmit</w:t>
            </w:r>
            <w:r>
              <w:rPr>
                <w:lang w:val="lv-LV"/>
              </w:rPr>
              <w:t>ā</w:t>
            </w:r>
            <w:r w:rsidRPr="0097568A">
              <w:rPr>
                <w:lang w:val="lv-LV"/>
              </w:rPr>
              <w:t xml:space="preserve"> un divpadsmit</w:t>
            </w:r>
            <w:r>
              <w:rPr>
                <w:lang w:val="lv-LV"/>
              </w:rPr>
              <w:t>ā</w:t>
            </w:r>
            <w:r w:rsidRPr="0097568A">
              <w:rPr>
                <w:lang w:val="lv-LV"/>
              </w:rPr>
              <w:t xml:space="preserve"> daļ</w:t>
            </w:r>
            <w:r>
              <w:rPr>
                <w:lang w:val="lv-LV"/>
              </w:rPr>
              <w:t>a</w:t>
            </w:r>
            <w:r w:rsidRPr="0097568A">
              <w:rPr>
                <w:lang w:val="lv-LV"/>
              </w:rPr>
              <w:t xml:space="preserve"> un13.panta trešās daļas 3.punkt</w:t>
            </w:r>
            <w:r>
              <w:rPr>
                <w:lang w:val="lv-LV"/>
              </w:rPr>
              <w:t>s</w:t>
            </w:r>
            <w:r w:rsidRPr="0097568A">
              <w:rPr>
                <w:lang w:val="lv-LV"/>
              </w:rPr>
              <w:t xml:space="preserve"> un </w:t>
            </w:r>
            <w:r w:rsidR="001A5772" w:rsidRPr="0097568A">
              <w:rPr>
                <w:lang w:val="lv-LV"/>
              </w:rPr>
              <w:t>Veterinārmedicīnas likuma 25.</w:t>
            </w:r>
            <w:r w:rsidR="00472F62" w:rsidRPr="0097568A">
              <w:rPr>
                <w:lang w:val="lv-LV"/>
              </w:rPr>
              <w:t> </w:t>
            </w:r>
            <w:r w:rsidR="001A5772" w:rsidRPr="0097568A">
              <w:rPr>
                <w:lang w:val="lv-LV"/>
              </w:rPr>
              <w:t xml:space="preserve">panta </w:t>
            </w:r>
            <w:r w:rsidR="00EC691F" w:rsidRPr="0097568A">
              <w:rPr>
                <w:lang w:val="lv-LV"/>
              </w:rPr>
              <w:t>12.punkts</w:t>
            </w:r>
            <w:r w:rsidR="00427882">
              <w:rPr>
                <w:lang w:val="lv-LV"/>
              </w:rPr>
              <w:t>.</w:t>
            </w:r>
            <w:r w:rsidR="005F4194" w:rsidRPr="0097568A">
              <w:rPr>
                <w:lang w:val="lv-LV"/>
              </w:rPr>
              <w:t xml:space="preserve"> </w:t>
            </w:r>
          </w:p>
        </w:tc>
      </w:tr>
      <w:tr w:rsidR="00FB65D8" w:rsidRPr="00A25835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Pašreizējā situācija un problēmas, kuru risināšanai tiesību akta projekts izstrādāts, tiesiskā regulējuma mērķis un būtība</w:t>
            </w:r>
          </w:p>
        </w:tc>
        <w:tc>
          <w:tcPr>
            <w:tcW w:w="3703" w:type="pct"/>
          </w:tcPr>
          <w:p w:rsidR="0097568A" w:rsidRDefault="0097568A" w:rsidP="0097568A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 xml:space="preserve">Pašlaik spēkā esošie </w:t>
            </w:r>
            <w:r w:rsidRPr="00B03784">
              <w:t>Ministru kabineta 2017. gada 3. maija noteikum</w:t>
            </w:r>
            <w:r>
              <w:t>i</w:t>
            </w:r>
            <w:r w:rsidRPr="00B03784">
              <w:t xml:space="preserve"> Nr.235 “Prasības olu apritei nelielā apjomā”</w:t>
            </w:r>
            <w:r>
              <w:t xml:space="preserve"> </w:t>
            </w:r>
            <w:r w:rsidR="00427882">
              <w:t xml:space="preserve">(turpmāk – noteikumi Nr. 235) </w:t>
            </w:r>
            <w:r>
              <w:t xml:space="preserve">nosaka </w:t>
            </w:r>
            <w:r w:rsidRPr="007E1C71">
              <w:t xml:space="preserve">higiēnas prasības olu ražošanai un </w:t>
            </w:r>
            <w:r w:rsidRPr="007E1C71">
              <w:rPr>
                <w:i/>
              </w:rPr>
              <w:t xml:space="preserve">Gallus </w:t>
            </w:r>
            <w:proofErr w:type="spellStart"/>
            <w:r w:rsidRPr="007E1C71">
              <w:rPr>
                <w:i/>
              </w:rPr>
              <w:t>Gallus</w:t>
            </w:r>
            <w:proofErr w:type="spellEnd"/>
            <w:r w:rsidRPr="007E1C71">
              <w:t xml:space="preserve"> sugas putnu olu piegādei nelielā apjomā tieši galapatērētājam</w:t>
            </w:r>
            <w:r w:rsidR="00952AB6">
              <w:t>, kā arī</w:t>
            </w:r>
            <w:r w:rsidRPr="007E1C71">
              <w:t xml:space="preserve"> </w:t>
            </w:r>
            <w:r w:rsidR="00427882" w:rsidRPr="007E1C71">
              <w:t xml:space="preserve">olu </w:t>
            </w:r>
            <w:r w:rsidRPr="007E1C71">
              <w:t>piegādei nelielā apjomā galapatērētājam vai mazumtirdzniecības uzņēmumam, kas tieši apgādā galapatērētāju</w:t>
            </w:r>
            <w:r w:rsidR="00952AB6">
              <w:t>, no</w:t>
            </w:r>
            <w:r w:rsidR="00952AB6" w:rsidRPr="007E1C71">
              <w:t xml:space="preserve"> </w:t>
            </w:r>
            <w:r w:rsidR="00952AB6">
              <w:t>putniem</w:t>
            </w:r>
            <w:r w:rsidR="00952AB6" w:rsidRPr="007E1C71">
              <w:t xml:space="preserve">, kas nav </w:t>
            </w:r>
            <w:r w:rsidR="00952AB6" w:rsidRPr="007E1C71">
              <w:rPr>
                <w:i/>
              </w:rPr>
              <w:t xml:space="preserve">Gallus </w:t>
            </w:r>
            <w:proofErr w:type="spellStart"/>
            <w:r w:rsidR="00952AB6" w:rsidRPr="007E1C71">
              <w:rPr>
                <w:i/>
              </w:rPr>
              <w:t>Gallus</w:t>
            </w:r>
            <w:proofErr w:type="spellEnd"/>
            <w:r w:rsidR="00952AB6" w:rsidRPr="007E1C71">
              <w:t xml:space="preserve"> suga</w:t>
            </w:r>
            <w:r w:rsidR="00952AB6">
              <w:t>s putni.</w:t>
            </w:r>
          </w:p>
          <w:p w:rsidR="0097568A" w:rsidRDefault="0097568A" w:rsidP="0097568A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 xml:space="preserve">Pēc noteikumu </w:t>
            </w:r>
            <w:r w:rsidR="00B45E31">
              <w:t xml:space="preserve">Nr. 235 </w:t>
            </w:r>
            <w:r>
              <w:t>stāšanās spēkā konstatēts, ka uzņēmējiem rodas maldinošs iespaids, ka nelielā apjomā saražotās mājas vistu (</w:t>
            </w:r>
            <w:r w:rsidR="007215B4" w:rsidRPr="006D073F">
              <w:rPr>
                <w:i/>
              </w:rPr>
              <w:t xml:space="preserve">Gallus </w:t>
            </w:r>
            <w:proofErr w:type="spellStart"/>
            <w:r w:rsidR="007215B4" w:rsidRPr="006D073F">
              <w:rPr>
                <w:i/>
              </w:rPr>
              <w:t>Gallus</w:t>
            </w:r>
            <w:proofErr w:type="spellEnd"/>
            <w:r w:rsidR="007215B4" w:rsidRPr="00535296">
              <w:t xml:space="preserve"> </w:t>
            </w:r>
            <w:r>
              <w:t xml:space="preserve">sugas) olas ir </w:t>
            </w:r>
            <w:r w:rsidR="00F86CAD">
              <w:t>at</w:t>
            </w:r>
            <w:r>
              <w:t>ļauts realizēt tikai tieš</w:t>
            </w:r>
            <w:r w:rsidR="007215B4">
              <w:t xml:space="preserve">i galapatērētājam. </w:t>
            </w:r>
          </w:p>
          <w:p w:rsidR="006D073F" w:rsidRDefault="00B70B5A" w:rsidP="006D073F">
            <w:pPr>
              <w:pStyle w:val="naisf"/>
              <w:spacing w:before="0" w:beforeAutospacing="0" w:after="0" w:afterAutospacing="0"/>
              <w:ind w:firstLine="720"/>
              <w:jc w:val="both"/>
            </w:pPr>
            <w:r>
              <w:t>Lai</w:t>
            </w:r>
            <w:r w:rsidR="007215B4">
              <w:t xml:space="preserve"> </w:t>
            </w:r>
            <w:r w:rsidR="00601C52">
              <w:t>mājas vistu (</w:t>
            </w:r>
            <w:r w:rsidR="00601C52" w:rsidRPr="00502EAB">
              <w:rPr>
                <w:i/>
              </w:rPr>
              <w:t xml:space="preserve">Gallus </w:t>
            </w:r>
            <w:proofErr w:type="spellStart"/>
            <w:r w:rsidR="00601C52" w:rsidRPr="00502EAB">
              <w:rPr>
                <w:i/>
              </w:rPr>
              <w:t>Gallus</w:t>
            </w:r>
            <w:proofErr w:type="spellEnd"/>
            <w:r w:rsidR="00601C52" w:rsidRPr="00535296">
              <w:t xml:space="preserve"> </w:t>
            </w:r>
            <w:r w:rsidR="00601C52">
              <w:t xml:space="preserve">sugas) </w:t>
            </w:r>
            <w:r w:rsidR="007215B4">
              <w:t>olas var</w:t>
            </w:r>
            <w:r>
              <w:t>ētu</w:t>
            </w:r>
            <w:r w:rsidR="007215B4">
              <w:t xml:space="preserve"> realizēt arī citam </w:t>
            </w:r>
            <w:r w:rsidR="007215B4" w:rsidRPr="007E1C71">
              <w:t>mazumtirdzniecības uzņēmumam, kas tieši apgādā galapatērētāju</w:t>
            </w:r>
            <w:r>
              <w:t>,</w:t>
            </w:r>
            <w:r w:rsidR="007215B4">
              <w:t xml:space="preserve"> </w:t>
            </w:r>
            <w:r w:rsidR="00D2167C">
              <w:rPr>
                <w:lang w:eastAsia="en-US"/>
              </w:rPr>
              <w:t>jānodrošina atbilstība</w:t>
            </w:r>
            <w:r w:rsidR="00D2167C" w:rsidRPr="00B03784">
              <w:t xml:space="preserve"> </w:t>
            </w:r>
            <w:r w:rsidR="007215B4" w:rsidRPr="00B03784">
              <w:t>Eiropas Parlamenta un Padomes 2013. gada 17. decembra Regul</w:t>
            </w:r>
            <w:r w:rsidR="00A456F3">
              <w:t>ā</w:t>
            </w:r>
            <w:r w:rsidR="007215B4" w:rsidRPr="00B03784">
              <w:t xml:space="preserve"> (ES) Nr.1308/2013, </w:t>
            </w:r>
            <w:hyperlink r:id="rId7" w:tooltip="32013R1308" w:history="1">
              <w:r w:rsidR="007215B4" w:rsidRPr="00B03784">
                <w:t xml:space="preserve">ar ko izveido lauksaimniecības produktu tirgu kopīgu organizāciju un atceļ Padomes Regulas </w:t>
              </w:r>
              <w:proofErr w:type="gramStart"/>
              <w:r w:rsidR="007215B4" w:rsidRPr="00B03784">
                <w:t>(</w:t>
              </w:r>
              <w:proofErr w:type="gramEnd"/>
              <w:r w:rsidR="007215B4" w:rsidRPr="00B03784">
                <w:t>EEK) Nr. 922/72, (EEK) Nr. 234/79, (EK) Nr. 1037/2001 un (EK) Nr. 1234/2007</w:t>
              </w:r>
            </w:hyperlink>
            <w:r w:rsidR="00952AB6">
              <w:t>,</w:t>
            </w:r>
            <w:r w:rsidR="007215B4" w:rsidRPr="00B03784">
              <w:t xml:space="preserve"> (turpmāk – Regula Nr.1308/2013) un Komisijas 2008.gada 23. jūnija Regul</w:t>
            </w:r>
            <w:r w:rsidR="00555027">
              <w:t>ā</w:t>
            </w:r>
            <w:r w:rsidR="007215B4" w:rsidRPr="00B03784">
              <w:t xml:space="preserve"> (EK) Nr. 589/2008, ar ko nosaka sīki izstrādātus noteikumus Padomes Regulas (EK) Nr.1234/2007 īstenošanai attiecībā uz olu tirdzniecības standartiem</w:t>
            </w:r>
            <w:r w:rsidR="00952AB6">
              <w:t>,</w:t>
            </w:r>
            <w:r w:rsidR="007215B4" w:rsidRPr="00B03784">
              <w:t xml:space="preserve"> (turpmāk – Regula Nr.589/2008)</w:t>
            </w:r>
            <w:r w:rsidR="0070664E">
              <w:t xml:space="preserve"> noteiktajām prasībām</w:t>
            </w:r>
            <w:r w:rsidR="007215B4" w:rsidRPr="00B03784">
              <w:t>. Regula Nr.1308/2013 un Regula Nr.589/2008 nosaka prasības tikai vistu olu (</w:t>
            </w:r>
            <w:r w:rsidR="007215B4" w:rsidRPr="006D073F">
              <w:rPr>
                <w:i/>
              </w:rPr>
              <w:t xml:space="preserve">Gallus </w:t>
            </w:r>
            <w:proofErr w:type="spellStart"/>
            <w:r w:rsidR="007215B4" w:rsidRPr="006D073F">
              <w:rPr>
                <w:i/>
              </w:rPr>
              <w:t>Gallus</w:t>
            </w:r>
            <w:proofErr w:type="spellEnd"/>
            <w:r w:rsidR="007215B4" w:rsidRPr="00B03784">
              <w:t xml:space="preserve"> suga) apritei.</w:t>
            </w:r>
          </w:p>
          <w:p w:rsidR="008B0177" w:rsidRDefault="00001329" w:rsidP="006D073F">
            <w:pPr>
              <w:pStyle w:val="naisf"/>
              <w:spacing w:before="0" w:beforeAutospacing="0" w:after="0" w:afterAutospacing="0"/>
              <w:ind w:firstLine="720"/>
              <w:jc w:val="both"/>
              <w:rPr>
                <w:lang w:eastAsia="en-US"/>
              </w:rPr>
            </w:pPr>
            <w:r w:rsidRPr="00001329">
              <w:rPr>
                <w:lang w:eastAsia="en-US"/>
              </w:rPr>
              <w:t>Lai novērstu neskaidrības tiesību normu piemērošanā, ir sagatavots</w:t>
            </w:r>
            <w:r w:rsidRPr="00001329">
              <w:t xml:space="preserve"> Ministru kabineta noteikumu </w:t>
            </w:r>
            <w:r>
              <w:t xml:space="preserve">projekts </w:t>
            </w:r>
            <w:r w:rsidRPr="00001329">
              <w:t>“Grozījumi Ministru kabineta 2017. gada 3. maija noteikumos Nr. 235 “Prasības olu apritei nelielā apjomā””</w:t>
            </w:r>
            <w:r w:rsidR="008367EF">
              <w:t xml:space="preserve"> (turpmāk – noteikumu projekts), kas</w:t>
            </w:r>
            <w:r w:rsidRPr="00001329">
              <w:rPr>
                <w:lang w:eastAsia="en-US"/>
              </w:rPr>
              <w:t xml:space="preserve"> </w:t>
            </w:r>
            <w:r w:rsidR="008367EF">
              <w:rPr>
                <w:lang w:eastAsia="en-US"/>
              </w:rPr>
              <w:t>precizē n</w:t>
            </w:r>
            <w:r w:rsidR="00B03784" w:rsidRPr="00001329">
              <w:rPr>
                <w:lang w:eastAsia="en-US"/>
              </w:rPr>
              <w:t>oteikumu</w:t>
            </w:r>
            <w:r w:rsidR="008367EF">
              <w:rPr>
                <w:lang w:eastAsia="en-US"/>
              </w:rPr>
              <w:t>s Nr.235,</w:t>
            </w:r>
            <w:r w:rsidR="00EB5147">
              <w:rPr>
                <w:lang w:eastAsia="en-US"/>
              </w:rPr>
              <w:t xml:space="preserve"> </w:t>
            </w:r>
            <w:r w:rsidR="00B03784">
              <w:rPr>
                <w:lang w:eastAsia="en-US"/>
              </w:rPr>
              <w:t xml:space="preserve">nosakot, ka </w:t>
            </w:r>
            <w:r w:rsidR="006D073F" w:rsidRPr="006D073F">
              <w:rPr>
                <w:i/>
              </w:rPr>
              <w:t xml:space="preserve">Gallus </w:t>
            </w:r>
            <w:proofErr w:type="spellStart"/>
            <w:r w:rsidR="006D073F" w:rsidRPr="006D073F">
              <w:rPr>
                <w:i/>
              </w:rPr>
              <w:t>Gallus</w:t>
            </w:r>
            <w:proofErr w:type="spellEnd"/>
            <w:r w:rsidR="006D073F" w:rsidRPr="00B03784">
              <w:t xml:space="preserve"> </w:t>
            </w:r>
            <w:r w:rsidR="00B03784">
              <w:rPr>
                <w:lang w:eastAsia="en-US"/>
              </w:rPr>
              <w:t xml:space="preserve">sugas putnu olu </w:t>
            </w:r>
            <w:r w:rsidR="00952AB6">
              <w:rPr>
                <w:lang w:eastAsia="en-US"/>
              </w:rPr>
              <w:t xml:space="preserve">atļauts </w:t>
            </w:r>
            <w:r w:rsidR="00B03784">
              <w:rPr>
                <w:lang w:eastAsia="en-US"/>
              </w:rPr>
              <w:t>piegād</w:t>
            </w:r>
            <w:r w:rsidR="00952AB6">
              <w:rPr>
                <w:lang w:eastAsia="en-US"/>
              </w:rPr>
              <w:t>āt</w:t>
            </w:r>
            <w:r w:rsidR="00B03784">
              <w:rPr>
                <w:lang w:eastAsia="en-US"/>
              </w:rPr>
              <w:t xml:space="preserve"> arī </w:t>
            </w:r>
            <w:r w:rsidR="00B03784" w:rsidRPr="00B03784">
              <w:rPr>
                <w:lang w:eastAsia="en-US"/>
              </w:rPr>
              <w:t>mazumtirdzniecības uzņēmumam, kas tieši apgādā galapatērētāju</w:t>
            </w:r>
            <w:r w:rsidR="00B03784">
              <w:rPr>
                <w:lang w:eastAsia="en-US"/>
              </w:rPr>
              <w:t xml:space="preserve">, </w:t>
            </w:r>
            <w:r w:rsidR="008367EF">
              <w:rPr>
                <w:lang w:eastAsia="en-US"/>
              </w:rPr>
              <w:t>j</w:t>
            </w:r>
            <w:r w:rsidR="00B03784">
              <w:rPr>
                <w:lang w:eastAsia="en-US"/>
              </w:rPr>
              <w:t xml:space="preserve">a šāda piegāde notiek saskaņā ar </w:t>
            </w:r>
            <w:r w:rsidR="00B03784" w:rsidRPr="00B03784">
              <w:rPr>
                <w:lang w:eastAsia="en-US"/>
              </w:rPr>
              <w:t>Regulā Nr.1308/2013 un Regulā Nr.589/2008 noteiktajām prasībām olu apritei.</w:t>
            </w:r>
          </w:p>
          <w:p w:rsidR="005461E3" w:rsidRPr="00472F62" w:rsidRDefault="005461E3" w:rsidP="004D32BD">
            <w:pPr>
              <w:pStyle w:val="naisf"/>
              <w:spacing w:before="0" w:beforeAutospacing="0" w:after="0" w:afterAutospacing="0"/>
              <w:ind w:firstLine="720"/>
              <w:jc w:val="both"/>
            </w:pPr>
            <w:r w:rsidRPr="006105D0">
              <w:t>Lai novērstu administratīvo</w:t>
            </w:r>
            <w:r>
              <w:t xml:space="preserve"> slogu</w:t>
            </w:r>
            <w:r w:rsidRPr="006105D0">
              <w:t xml:space="preserve"> </w:t>
            </w:r>
            <w:r>
              <w:t>olu</w:t>
            </w:r>
            <w:r w:rsidRPr="006105D0">
              <w:t xml:space="preserve"> piegādē, ir </w:t>
            </w:r>
            <w:r w:rsidR="007F3222">
              <w:t>nepieciešams grozīt noteikumu Nr. 235 17. punktu</w:t>
            </w:r>
            <w:r w:rsidR="00F4768A">
              <w:t>, kas patlaban nosaka, ka</w:t>
            </w:r>
            <w:r w:rsidR="00952AB6">
              <w:t>,</w:t>
            </w:r>
            <w:r w:rsidR="00F4768A">
              <w:t xml:space="preserve"> piegādājot olas mazumtirdzniecības uzņēmumam, ražotājs aizpilda noteikumu Nr. 235 pielikumā noteikto pavaddokumentu</w:t>
            </w:r>
            <w:r w:rsidRPr="006105D0">
              <w:t xml:space="preserve">. </w:t>
            </w:r>
            <w:r w:rsidR="00C11D5B">
              <w:t xml:space="preserve">Turpmāk, piegādājot olas, ražotājam būs jānodrošina </w:t>
            </w:r>
            <w:r w:rsidR="004D32BD">
              <w:t>mazumtirdzniecība</w:t>
            </w:r>
            <w:r w:rsidR="00952AB6">
              <w:t>s</w:t>
            </w:r>
            <w:r w:rsidR="004D32BD">
              <w:t xml:space="preserve"> uzņē</w:t>
            </w:r>
            <w:r w:rsidR="00952AB6">
              <w:t>m</w:t>
            </w:r>
            <w:r w:rsidR="004D32BD">
              <w:t xml:space="preserve">ums ar </w:t>
            </w:r>
            <w:r w:rsidR="00C11D5B">
              <w:t xml:space="preserve">noteikumu pielikumā </w:t>
            </w:r>
            <w:r w:rsidR="00952AB6">
              <w:t>prasī</w:t>
            </w:r>
            <w:r w:rsidR="00C11D5B">
              <w:t>t</w:t>
            </w:r>
            <w:r w:rsidR="004D32BD">
              <w:t>o</w:t>
            </w:r>
            <w:r w:rsidR="00C11D5B">
              <w:t xml:space="preserve"> informācij</w:t>
            </w:r>
            <w:r w:rsidR="004D32BD">
              <w:t>u</w:t>
            </w:r>
            <w:r w:rsidR="00C11D5B">
              <w:t>.</w:t>
            </w:r>
            <w:r>
              <w:t xml:space="preserve"> 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lastRenderedPageBreak/>
              <w:t>3.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Projekta izstrādē iesaistītās institūcijas</w:t>
            </w:r>
            <w:r w:rsidR="00A035B4" w:rsidRPr="00EB5171">
              <w:t xml:space="preserve"> un publiskas personas kapitālsabiedrības</w:t>
            </w:r>
          </w:p>
        </w:tc>
        <w:tc>
          <w:tcPr>
            <w:tcW w:w="3703" w:type="pct"/>
          </w:tcPr>
          <w:p w:rsidR="00FB65D8" w:rsidRPr="000A242C" w:rsidRDefault="00FB65D8" w:rsidP="00A3400D">
            <w:pPr>
              <w:pStyle w:val="Bezatstarpm"/>
            </w:pPr>
            <w:r>
              <w:t>Pārtikas un veterinārais dienests</w:t>
            </w:r>
            <w:r w:rsidR="00593B8F">
              <w:t xml:space="preserve"> </w:t>
            </w: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4.</w:t>
            </w:r>
          </w:p>
        </w:tc>
        <w:tc>
          <w:tcPr>
            <w:tcW w:w="1042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703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Nav</w:t>
            </w:r>
            <w:r w:rsidR="00593B8F">
              <w:t>.</w:t>
            </w:r>
            <w:r w:rsidRPr="000A242C">
              <w:t xml:space="preserve"> </w:t>
            </w:r>
          </w:p>
        </w:tc>
      </w:tr>
      <w:tr w:rsidR="00FB65D8" w:rsidRPr="000A242C" w:rsidTr="00446B35">
        <w:tc>
          <w:tcPr>
            <w:tcW w:w="5000" w:type="pct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 w:rsidRPr="00891139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FB65D8" w:rsidRPr="00A25835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Sabiedrības mērķgrupas, kuras tiesiskais regulējums ietekmē vai varētu ietekmēt</w:t>
            </w:r>
          </w:p>
        </w:tc>
        <w:tc>
          <w:tcPr>
            <w:tcW w:w="3703" w:type="pct"/>
          </w:tcPr>
          <w:p w:rsidR="00FB65D8" w:rsidRDefault="00486708" w:rsidP="00452395">
            <w:pPr>
              <w:pStyle w:val="Bezatstarpm"/>
              <w:jc w:val="both"/>
            </w:pPr>
            <w:r w:rsidRPr="00486708">
              <w:t xml:space="preserve">Noteikumu projekta tiesiskais regulējums attieksies uz </w:t>
            </w:r>
            <w:r w:rsidR="00500781">
              <w:t xml:space="preserve">Pārtikas un veterināro </w:t>
            </w:r>
            <w:r w:rsidR="00450B9C">
              <w:t>dienest</w:t>
            </w:r>
            <w:r w:rsidR="002F0B22">
              <w:t>u</w:t>
            </w:r>
            <w:r w:rsidR="004D32BD">
              <w:t xml:space="preserve"> un </w:t>
            </w:r>
            <w:r w:rsidR="004D0657">
              <w:t>uzņēmumiem, kas neliel</w:t>
            </w:r>
            <w:r w:rsidR="00593B8F">
              <w:t>ā</w:t>
            </w:r>
            <w:r w:rsidR="004D0657">
              <w:t xml:space="preserve"> apjom</w:t>
            </w:r>
            <w:r w:rsidR="00593B8F">
              <w:t>ā</w:t>
            </w:r>
            <w:r w:rsidR="004D0657">
              <w:t xml:space="preserve"> iegūst un realizē mājputnu </w:t>
            </w:r>
            <w:r w:rsidR="00A3400D">
              <w:t>olas</w:t>
            </w:r>
            <w:r w:rsidR="004D0657">
              <w:t xml:space="preserve"> tieši galapatērētājam</w:t>
            </w:r>
            <w:r w:rsidR="00593B8F">
              <w:t>,</w:t>
            </w:r>
            <w:r w:rsidR="004D0657">
              <w:t xml:space="preserve"> </w:t>
            </w:r>
            <w:r w:rsidR="004D32BD">
              <w:t>kā arī uz</w:t>
            </w:r>
            <w:r w:rsidR="004D0657">
              <w:t xml:space="preserve"> mazumtirdzniecības uzņēmum</w:t>
            </w:r>
            <w:r w:rsidR="004D32BD">
              <w:t>iem</w:t>
            </w:r>
            <w:r w:rsidR="004D0657">
              <w:t xml:space="preserve">, kas </w:t>
            </w:r>
            <w:r w:rsidR="00F13200">
              <w:t>tās</w:t>
            </w:r>
            <w:r w:rsidR="004D0657">
              <w:t xml:space="preserve"> tālāk realizē galapatērētājam</w:t>
            </w:r>
            <w:r w:rsidR="00447461">
              <w:t>.</w:t>
            </w:r>
          </w:p>
          <w:p w:rsidR="008B0177" w:rsidRPr="000A242C" w:rsidRDefault="008B0177" w:rsidP="00452395">
            <w:pPr>
              <w:pStyle w:val="Bezatstarpm"/>
              <w:jc w:val="both"/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Tiesiskā regulējuma ietekme uz tautsaimniecību un administratīvo slogu</w:t>
            </w:r>
          </w:p>
        </w:tc>
        <w:tc>
          <w:tcPr>
            <w:tcW w:w="3703" w:type="pct"/>
          </w:tcPr>
          <w:p w:rsidR="00A04388" w:rsidRDefault="005B19DF" w:rsidP="00385C02">
            <w:pPr>
              <w:pStyle w:val="Bezatstarpm"/>
              <w:jc w:val="both"/>
            </w:pPr>
            <w:r>
              <w:t>Samazināts administratīvais slogs, jo ražotājs var norādīt nepieciešamo informāciju sev pieņemamā veidā.</w:t>
            </w:r>
          </w:p>
          <w:p w:rsidR="008B0177" w:rsidRPr="009C3649" w:rsidRDefault="008B0177" w:rsidP="00385C02">
            <w:pPr>
              <w:pStyle w:val="Bezatstarpm"/>
              <w:jc w:val="both"/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1042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Administratīvo izmaksu monetārs novērtējums</w:t>
            </w:r>
          </w:p>
        </w:tc>
        <w:tc>
          <w:tcPr>
            <w:tcW w:w="3703" w:type="pct"/>
          </w:tcPr>
          <w:p w:rsidR="00FB65D8" w:rsidRDefault="007702E7" w:rsidP="00EC5F95">
            <w:pPr>
              <w:pStyle w:val="Bezatstarpm"/>
              <w:jc w:val="both"/>
              <w:rPr>
                <w:rFonts w:asciiTheme="majorBidi" w:hAnsiTheme="majorBidi" w:cstheme="majorBidi"/>
                <w:bCs/>
                <w:lang w:bidi="he-IL"/>
              </w:rPr>
            </w:pPr>
            <w:r>
              <w:t>Projekts šo jomu neskar.</w:t>
            </w:r>
          </w:p>
          <w:p w:rsidR="008B0177" w:rsidRPr="000A242C" w:rsidRDefault="008B0177" w:rsidP="00EC5F95">
            <w:pPr>
              <w:pStyle w:val="Bezatstarpm"/>
              <w:jc w:val="both"/>
            </w:pPr>
          </w:p>
        </w:tc>
      </w:tr>
      <w:tr w:rsidR="00465772" w:rsidRPr="000A242C" w:rsidTr="00446B35">
        <w:tc>
          <w:tcPr>
            <w:tcW w:w="255" w:type="pct"/>
          </w:tcPr>
          <w:p w:rsidR="00465772" w:rsidRPr="000A242C" w:rsidRDefault="00465772" w:rsidP="00465772">
            <w:pPr>
              <w:pStyle w:val="Bezatstarpm"/>
            </w:pPr>
            <w:r w:rsidRPr="00EB5171">
              <w:t>4.</w:t>
            </w:r>
          </w:p>
        </w:tc>
        <w:tc>
          <w:tcPr>
            <w:tcW w:w="1042" w:type="pct"/>
          </w:tcPr>
          <w:p w:rsidR="00465772" w:rsidRPr="000A242C" w:rsidRDefault="00465772" w:rsidP="00465772">
            <w:pPr>
              <w:pStyle w:val="Bezatstarpm"/>
              <w:jc w:val="both"/>
            </w:pPr>
            <w:r w:rsidRPr="00EB5171">
              <w:t>Atbilstības izmaksu monetārs novērtējums</w:t>
            </w:r>
          </w:p>
        </w:tc>
        <w:tc>
          <w:tcPr>
            <w:tcW w:w="3703" w:type="pct"/>
          </w:tcPr>
          <w:p w:rsidR="00DB7C3A" w:rsidRDefault="00A3400D" w:rsidP="003D7AFF">
            <w:pPr>
              <w:pStyle w:val="Bezatstarpm"/>
              <w:jc w:val="both"/>
            </w:pPr>
            <w:r>
              <w:t>Projekts šo jomu neskar.</w:t>
            </w:r>
          </w:p>
          <w:p w:rsidR="008B0177" w:rsidRPr="00DB7C3A" w:rsidRDefault="008B0177" w:rsidP="003D7AFF">
            <w:pPr>
              <w:pStyle w:val="Bezatstarpm"/>
              <w:jc w:val="both"/>
              <w:rPr>
                <w:sz w:val="16"/>
                <w:szCs w:val="16"/>
              </w:rPr>
            </w:pPr>
          </w:p>
        </w:tc>
      </w:tr>
      <w:tr w:rsidR="00FB65D8" w:rsidRPr="000A242C" w:rsidTr="00446B35">
        <w:tc>
          <w:tcPr>
            <w:tcW w:w="255" w:type="pct"/>
          </w:tcPr>
          <w:p w:rsidR="00FB65D8" w:rsidRPr="000A242C" w:rsidRDefault="00B85AE0" w:rsidP="00B85AE0">
            <w:pPr>
              <w:pStyle w:val="Bezatstarpm"/>
            </w:pPr>
            <w:r>
              <w:t>5</w:t>
            </w:r>
            <w:r w:rsidR="00FB65D8" w:rsidRPr="000A242C">
              <w:t>.</w:t>
            </w:r>
          </w:p>
        </w:tc>
        <w:tc>
          <w:tcPr>
            <w:tcW w:w="1042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703" w:type="pct"/>
          </w:tcPr>
          <w:p w:rsidR="00FB65D8" w:rsidRPr="000A242C" w:rsidRDefault="00FB65D8" w:rsidP="00F62526">
            <w:pPr>
              <w:pStyle w:val="Bezatstarpm"/>
            </w:pPr>
            <w:r>
              <w:t>Nav</w:t>
            </w:r>
            <w:r w:rsidR="00593B8F">
              <w:t>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Default="00723573" w:rsidP="00FB65D8">
      <w:pPr>
        <w:pStyle w:val="Bezatstarpm"/>
      </w:pPr>
    </w:p>
    <w:tbl>
      <w:tblPr>
        <w:tblStyle w:val="Reatabula2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Pr="00723573" w:rsidRDefault="00723573" w:rsidP="00FB65D8">
      <w:pPr>
        <w:pStyle w:val="Bezatstarpm"/>
      </w:pPr>
    </w:p>
    <w:p w:rsidR="00FB65D8" w:rsidRDefault="00FB65D8" w:rsidP="00FB65D8">
      <w:pPr>
        <w:pStyle w:val="Bezatstarpm"/>
        <w:rPr>
          <w:i/>
        </w:rPr>
      </w:pPr>
    </w:p>
    <w:tbl>
      <w:tblPr>
        <w:tblW w:w="516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400"/>
        <w:gridCol w:w="232"/>
        <w:gridCol w:w="1560"/>
        <w:gridCol w:w="1927"/>
        <w:gridCol w:w="2742"/>
      </w:tblGrid>
      <w:tr w:rsidR="00FB65D8" w:rsidRPr="00BF23C3" w:rsidTr="005461E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1.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Saistības pret Eiropas Savienību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73E" w:rsidRDefault="004930F5" w:rsidP="00C0573E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C0573E" w:rsidRPr="00B03784">
              <w:rPr>
                <w:lang w:eastAsia="en-US"/>
              </w:rPr>
              <w:t>Regul</w:t>
            </w:r>
            <w:r w:rsidR="00C0573E">
              <w:rPr>
                <w:lang w:eastAsia="en-US"/>
              </w:rPr>
              <w:t>a</w:t>
            </w:r>
            <w:r w:rsidR="00C0573E" w:rsidRPr="00B03784">
              <w:rPr>
                <w:lang w:eastAsia="en-US"/>
              </w:rPr>
              <w:t xml:space="preserve"> Nr.1308/2013</w:t>
            </w:r>
            <w:r>
              <w:rPr>
                <w:lang w:eastAsia="en-US"/>
              </w:rPr>
              <w:t>;</w:t>
            </w:r>
          </w:p>
          <w:p w:rsidR="00C22118" w:rsidRPr="00D41213" w:rsidRDefault="004930F5" w:rsidP="00C0573E">
            <w:pPr>
              <w:pStyle w:val="Bezatstarpm"/>
              <w:jc w:val="both"/>
            </w:pPr>
            <w:r>
              <w:rPr>
                <w:lang w:eastAsia="en-US"/>
              </w:rPr>
              <w:t>2)</w:t>
            </w:r>
            <w:r w:rsidR="00C0573E">
              <w:rPr>
                <w:lang w:eastAsia="en-US"/>
              </w:rPr>
              <w:t xml:space="preserve"> Regula</w:t>
            </w:r>
            <w:r w:rsidR="00C0573E" w:rsidRPr="00B03784">
              <w:rPr>
                <w:lang w:eastAsia="en-US"/>
              </w:rPr>
              <w:t xml:space="preserve"> Nr.589/2008</w:t>
            </w:r>
            <w:r>
              <w:rPr>
                <w:lang w:eastAsia="en-US"/>
              </w:rPr>
              <w:t>.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2.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177" w:rsidRPr="00D41213" w:rsidRDefault="00FB65D8" w:rsidP="00F62526">
            <w:pPr>
              <w:pStyle w:val="Bezatstarpm"/>
              <w:jc w:val="both"/>
            </w:pPr>
            <w:r w:rsidRPr="00D41213">
              <w:t>Citas starptautiskās saistības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Projekts šo jomu neskar.</w:t>
            </w:r>
          </w:p>
        </w:tc>
      </w:tr>
      <w:tr w:rsidR="00FB65D8" w:rsidRPr="00D41213" w:rsidTr="005461E3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3.</w:t>
            </w:r>
          </w:p>
        </w:tc>
        <w:tc>
          <w:tcPr>
            <w:tcW w:w="14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3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EE65F6">
            <w:pPr>
              <w:pStyle w:val="Bezatstarpm"/>
              <w:jc w:val="both"/>
            </w:pPr>
            <w:r w:rsidRPr="00D41213">
              <w:t>Nav</w:t>
            </w:r>
            <w:r w:rsidR="00593B8F">
              <w:t>.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6"/>
            <w:vAlign w:val="center"/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1.tabula</w:t>
            </w:r>
          </w:p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  <w:i/>
              </w:rPr>
            </w:pPr>
            <w:r w:rsidRPr="00D41213">
              <w:rPr>
                <w:b/>
                <w:bCs/>
              </w:rPr>
              <w:t>Tiesību akta projekta atbilstība ES tiesību aktiem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546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datums, numurs un nosaukums</w:t>
            </w:r>
          </w:p>
        </w:tc>
        <w:tc>
          <w:tcPr>
            <w:tcW w:w="3454" w:type="pct"/>
            <w:gridSpan w:val="4"/>
          </w:tcPr>
          <w:p w:rsidR="006D073F" w:rsidRPr="006D073F" w:rsidRDefault="00832880" w:rsidP="006D073F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6D073F" w:rsidRPr="006D073F">
              <w:rPr>
                <w:lang w:eastAsia="en-US"/>
              </w:rPr>
              <w:t>Regula Nr.1308/2013</w:t>
            </w:r>
            <w:r>
              <w:rPr>
                <w:lang w:eastAsia="en-US"/>
              </w:rPr>
              <w:t>;</w:t>
            </w:r>
          </w:p>
          <w:p w:rsidR="00FB65D8" w:rsidRPr="006D073F" w:rsidRDefault="00832880" w:rsidP="006D073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6D073F" w:rsidRPr="006D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 Nr.589/2008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5D8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lastRenderedPageBreak/>
              <w:t>A</w:t>
            </w:r>
          </w:p>
        </w:tc>
        <w:tc>
          <w:tcPr>
            <w:tcW w:w="958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B</w:t>
            </w:r>
          </w:p>
        </w:tc>
        <w:tc>
          <w:tcPr>
            <w:tcW w:w="1030" w:type="pct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C</w:t>
            </w:r>
          </w:p>
        </w:tc>
        <w:tc>
          <w:tcPr>
            <w:tcW w:w="1466" w:type="pct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D</w:t>
            </w:r>
          </w:p>
        </w:tc>
      </w:tr>
      <w:tr w:rsidR="00FB65D8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panta numurs (uzskaitot katru tiesību akta vienību – pantu, daļu, punktu, apakšpunktu)</w:t>
            </w:r>
          </w:p>
        </w:tc>
        <w:tc>
          <w:tcPr>
            <w:tcW w:w="958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30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Informācija par to, vai šīs tabulas A ailē minētās ES tiesību akta vienības tiek pārņemtas vai ieviestas pilnībā vai daļēji.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Norāda institūciju, kas ir atbildīga par šo saistību izpildi pilnībā</w:t>
            </w:r>
          </w:p>
        </w:tc>
        <w:tc>
          <w:tcPr>
            <w:tcW w:w="1466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Informācija par to, vai šīs tabulas B ailē minētās projekta vienības paredz stingrākas prasības nekā šīs tabulas A ailē minētās ES tiesību akta vienības.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projekts satur stingrākas prasības nekā attiecīgais ES tiesību akts, norāda pamatojumu un samērīgumu.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271CA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6271CA" w:rsidRDefault="00C0573E" w:rsidP="00C0573E">
            <w:pPr>
              <w:pStyle w:val="Bezatstarpm"/>
              <w:jc w:val="both"/>
            </w:pPr>
            <w:r>
              <w:rPr>
                <w:lang w:eastAsia="en-US"/>
              </w:rPr>
              <w:t>Regulas</w:t>
            </w:r>
            <w:r w:rsidRPr="00B03784">
              <w:rPr>
                <w:lang w:eastAsia="en-US"/>
              </w:rPr>
              <w:t xml:space="preserve"> Nr.1308/2013 </w:t>
            </w:r>
            <w:r>
              <w:rPr>
                <w:lang w:eastAsia="en-US"/>
              </w:rPr>
              <w:t>VII pielikuma VI daļa</w:t>
            </w:r>
          </w:p>
        </w:tc>
        <w:tc>
          <w:tcPr>
            <w:tcW w:w="958" w:type="pct"/>
            <w:gridSpan w:val="2"/>
          </w:tcPr>
          <w:p w:rsidR="006271CA" w:rsidRDefault="006D073F" w:rsidP="00D02541">
            <w:pPr>
              <w:pStyle w:val="Bezatstarpm"/>
              <w:jc w:val="both"/>
            </w:pPr>
            <w:r>
              <w:t>Noteikumu projekta 1.</w:t>
            </w:r>
            <w:r w:rsidR="007A6535">
              <w:t xml:space="preserve"> </w:t>
            </w:r>
            <w:r>
              <w:t>un 2.punkts</w:t>
            </w:r>
          </w:p>
        </w:tc>
        <w:tc>
          <w:tcPr>
            <w:tcW w:w="1030" w:type="pct"/>
          </w:tcPr>
          <w:p w:rsidR="006271CA" w:rsidRPr="00D41213" w:rsidRDefault="006271CA" w:rsidP="00F62526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466" w:type="pct"/>
          </w:tcPr>
          <w:p w:rsidR="006271CA" w:rsidRDefault="006271CA" w:rsidP="006271CA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  <w:p w:rsidR="006271CA" w:rsidRPr="00D41213" w:rsidRDefault="006271CA" w:rsidP="00F62526">
            <w:pPr>
              <w:pStyle w:val="Bezatstarpm"/>
              <w:ind w:right="-303"/>
              <w:jc w:val="both"/>
            </w:pPr>
          </w:p>
        </w:tc>
      </w:tr>
      <w:tr w:rsidR="005461E3" w:rsidRPr="00A25835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46" w:type="pct"/>
            <w:gridSpan w:val="2"/>
          </w:tcPr>
          <w:p w:rsidR="005461E3" w:rsidRPr="00B03784" w:rsidRDefault="005461E3" w:rsidP="005461E3">
            <w:pPr>
              <w:pStyle w:val="Bezatstarpm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Regula</w:t>
            </w:r>
            <w:r w:rsidRPr="00B03784">
              <w:rPr>
                <w:lang w:eastAsia="en-US"/>
              </w:rPr>
              <w:t xml:space="preserve"> Nr.589/2008</w:t>
            </w:r>
          </w:p>
        </w:tc>
        <w:tc>
          <w:tcPr>
            <w:tcW w:w="958" w:type="pct"/>
            <w:gridSpan w:val="2"/>
          </w:tcPr>
          <w:p w:rsidR="005461E3" w:rsidRDefault="005461E3" w:rsidP="005461E3">
            <w:pPr>
              <w:pStyle w:val="Bezatstarpm"/>
              <w:jc w:val="both"/>
            </w:pPr>
            <w:r>
              <w:t>Noteikumu projekta 1.</w:t>
            </w:r>
            <w:r w:rsidR="007A6535">
              <w:t xml:space="preserve"> </w:t>
            </w:r>
            <w:r>
              <w:t>un 2.punkts</w:t>
            </w:r>
          </w:p>
        </w:tc>
        <w:tc>
          <w:tcPr>
            <w:tcW w:w="1030" w:type="pct"/>
          </w:tcPr>
          <w:p w:rsidR="005461E3" w:rsidRPr="00D41213" w:rsidRDefault="005461E3" w:rsidP="005461E3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466" w:type="pct"/>
          </w:tcPr>
          <w:p w:rsidR="005461E3" w:rsidRDefault="005461E3" w:rsidP="005461E3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  <w:p w:rsidR="005461E3" w:rsidRPr="00D41213" w:rsidRDefault="005461E3" w:rsidP="005461E3">
            <w:pPr>
              <w:pStyle w:val="Bezatstarpm"/>
              <w:jc w:val="both"/>
            </w:pP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1546" w:type="pct"/>
            <w:gridSpan w:val="2"/>
            <w:vAlign w:val="center"/>
          </w:tcPr>
          <w:p w:rsidR="005461E3" w:rsidRDefault="005461E3" w:rsidP="005461E3">
            <w:pPr>
              <w:pStyle w:val="Bezatstarpm"/>
              <w:jc w:val="both"/>
            </w:pPr>
            <w:proofErr w:type="gramStart"/>
            <w:r w:rsidRPr="00D41213">
              <w:t>Kā</w:t>
            </w:r>
            <w:proofErr w:type="gramEnd"/>
            <w:r w:rsidRPr="00D41213">
              <w:t xml:space="preserve"> ir izmantota ES tiesību aktā paredzētā rīcības brīvība dalībvalstij pārņemt vai ieviest noteiktas ES tiesību akta normas. Kādēļ?</w:t>
            </w:r>
          </w:p>
          <w:p w:rsidR="005461E3" w:rsidRPr="00D41213" w:rsidRDefault="005461E3" w:rsidP="005461E3">
            <w:pPr>
              <w:pStyle w:val="Bezatstarpm"/>
              <w:jc w:val="both"/>
            </w:pP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>
              <w:t>Projekts šo jomu neskar.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1546" w:type="pct"/>
            <w:gridSpan w:val="2"/>
            <w:vAlign w:val="center"/>
          </w:tcPr>
          <w:p w:rsidR="005461E3" w:rsidRDefault="005461E3" w:rsidP="005461E3">
            <w:pPr>
              <w:pStyle w:val="Bezatstarpm"/>
              <w:jc w:val="both"/>
            </w:pPr>
            <w:r w:rsidRPr="00D4121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  <w:p w:rsidR="005461E3" w:rsidRPr="00D41213" w:rsidRDefault="005461E3" w:rsidP="005461E3">
            <w:pPr>
              <w:pStyle w:val="Bezatstarpm"/>
              <w:jc w:val="both"/>
              <w:rPr>
                <w:i/>
              </w:rPr>
            </w:pP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>
              <w:lastRenderedPageBreak/>
              <w:t>P</w:t>
            </w:r>
            <w:r w:rsidRPr="00D41213">
              <w:t>rojekts šo jomu neskar.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1546" w:type="pct"/>
            <w:gridSpan w:val="2"/>
          </w:tcPr>
          <w:p w:rsidR="005461E3" w:rsidRPr="00D41213" w:rsidRDefault="005461E3" w:rsidP="005461E3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454" w:type="pct"/>
            <w:gridSpan w:val="4"/>
          </w:tcPr>
          <w:p w:rsidR="005461E3" w:rsidRPr="00D41213" w:rsidRDefault="005461E3" w:rsidP="005461E3">
            <w:pPr>
              <w:pStyle w:val="Bezatstarpm"/>
              <w:jc w:val="both"/>
            </w:pPr>
            <w:r w:rsidRPr="00D41213">
              <w:t>Nav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6"/>
          </w:tcPr>
          <w:p w:rsidR="005461E3" w:rsidRPr="00D41213" w:rsidRDefault="005461E3" w:rsidP="005461E3">
            <w:pPr>
              <w:pStyle w:val="Bezatstarpm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461E3" w:rsidRPr="00D41213" w:rsidTr="005461E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5000" w:type="pct"/>
            <w:gridSpan w:val="6"/>
          </w:tcPr>
          <w:p w:rsidR="005461E3" w:rsidRPr="00D41213" w:rsidRDefault="005461E3" w:rsidP="005461E3">
            <w:pPr>
              <w:pStyle w:val="Bezatstarpm"/>
              <w:jc w:val="center"/>
            </w:pPr>
            <w:r>
              <w:t>P</w:t>
            </w:r>
            <w:r w:rsidRPr="00D41213">
              <w:t>rojekts šo jomu neskar.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FB65D8" w:rsidRPr="00A25835" w:rsidTr="00F62526">
        <w:tc>
          <w:tcPr>
            <w:tcW w:w="9351" w:type="dxa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891139">
              <w:rPr>
                <w:b/>
              </w:rPr>
              <w:t xml:space="preserve">. </w:t>
            </w:r>
            <w:r>
              <w:rPr>
                <w:b/>
              </w:rPr>
              <w:t>Sabiedrības līdzdalība un komunikācijas aktivitātes</w:t>
            </w:r>
          </w:p>
        </w:tc>
      </w:tr>
      <w:tr w:rsidR="00FB65D8" w:rsidRPr="00352F64" w:rsidTr="00F62526">
        <w:tc>
          <w:tcPr>
            <w:tcW w:w="562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4111" w:type="dxa"/>
          </w:tcPr>
          <w:p w:rsidR="00FB65D8" w:rsidRPr="000A242C" w:rsidRDefault="00FB65D8" w:rsidP="00F62526">
            <w:pPr>
              <w:pStyle w:val="Bezatstarpm"/>
              <w:jc w:val="both"/>
            </w:pPr>
            <w:r>
              <w:t>Plānotās sabiedrības līdzdalības un komunikācijas aktivitātes saistībā ar projektu</w:t>
            </w:r>
          </w:p>
        </w:tc>
        <w:tc>
          <w:tcPr>
            <w:tcW w:w="4678" w:type="dxa"/>
          </w:tcPr>
          <w:p w:rsidR="008B0177" w:rsidRPr="00B22587" w:rsidRDefault="00FB65D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tik</w:t>
            </w:r>
            <w:r w:rsidR="006063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ievietots Zemkopības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ministrijas tīmekļa vietnē</w:t>
            </w:r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hyperlink r:id="rId8" w:history="1">
              <w:r w:rsidR="00956B29" w:rsidRPr="0045727D">
                <w:rPr>
                  <w:rStyle w:val="Hipersaite"/>
                  <w:rFonts w:ascii="TimesNewRomanPSMT" w:eastAsia="Times New Roman" w:hAnsi="TimesNewRomanPSMT" w:cs="TimesNewRomanPSMT"/>
                  <w:sz w:val="24"/>
                  <w:szCs w:val="24"/>
                </w:rPr>
                <w:t>www.zm.gov.lv</w:t>
              </w:r>
            </w:hyperlink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063D1">
              <w:rPr>
                <w:rFonts w:ascii="TimesNewRomanPSMT" w:eastAsia="Times New Roman" w:hAnsi="TimesNewRomanPSMT" w:cs="TimesNewRomanPSMT"/>
                <w:sz w:val="24"/>
                <w:szCs w:val="24"/>
              </w:rPr>
              <w:t>n</w:t>
            </w:r>
            <w:r w:rsidR="00836187">
              <w:rPr>
                <w:rFonts w:ascii="TimesNewRomanPSMT" w:eastAsia="Times New Roman" w:hAnsi="TimesNewRomanPSMT" w:cs="TimesNewRomanPSMT"/>
                <w:sz w:val="24"/>
                <w:szCs w:val="24"/>
              </w:rPr>
              <w:t>o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2018.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 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gada 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30. maija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līdz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8. j</w:t>
            </w:r>
            <w:r w:rsidR="00DF0D57">
              <w:rPr>
                <w:rFonts w:eastAsia="Times New Roman" w:cs="TimesNewRomanPSMT"/>
                <w:sz w:val="24"/>
                <w:szCs w:val="24"/>
              </w:rPr>
              <w:t>ū</w:t>
            </w:r>
            <w:r w:rsidR="00DF0D57">
              <w:rPr>
                <w:rFonts w:ascii="TimesNewRomanPSMT" w:eastAsia="Times New Roman" w:hAnsi="TimesNewRomanPSMT" w:cs="TimesNewRomanPSMT"/>
                <w:sz w:val="24"/>
                <w:szCs w:val="24"/>
              </w:rPr>
              <w:t>nijam.</w:t>
            </w: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2.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 projekta izstrādē</w:t>
            </w:r>
          </w:p>
        </w:tc>
        <w:tc>
          <w:tcPr>
            <w:tcW w:w="4678" w:type="dxa"/>
          </w:tcPr>
          <w:p w:rsidR="008B0177" w:rsidRPr="00C2213E" w:rsidRDefault="00FB65D8" w:rsidP="00466ABB">
            <w:pPr>
              <w:pStyle w:val="Bezatstarpm"/>
              <w:jc w:val="both"/>
            </w:pPr>
            <w:r>
              <w:t xml:space="preserve">Noteikumu projekts </w:t>
            </w:r>
            <w:r w:rsidR="007D21E4">
              <w:t>ir</w:t>
            </w:r>
            <w:r>
              <w:t xml:space="preserve"> saskaņots ar </w:t>
            </w:r>
            <w:r w:rsidRPr="0017300D">
              <w:rPr>
                <w:rFonts w:ascii="TimesNewRomanPSMT" w:hAnsi="TimesNewRomanPSMT" w:cs="TimesNewRomanPSMT"/>
              </w:rPr>
              <w:t>biedrīb</w:t>
            </w:r>
            <w:r>
              <w:rPr>
                <w:rFonts w:ascii="TimesNewRomanPSMT" w:hAnsi="TimesNewRomanPSMT" w:cs="TimesNewRomanPSMT"/>
              </w:rPr>
              <w:t>u</w:t>
            </w:r>
            <w:r w:rsidRPr="0017300D">
              <w:rPr>
                <w:rFonts w:ascii="TimesNewRomanPSMT" w:hAnsi="TimesNewRomanPSMT" w:cs="TimesNewRomanPSMT"/>
              </w:rPr>
              <w:t xml:space="preserve"> </w:t>
            </w:r>
            <w:r w:rsidR="00A32986" w:rsidRPr="00A32986">
              <w:rPr>
                <w:rFonts w:ascii="TimesNewRomanPSMT" w:hAnsi="TimesNewRomanPSMT" w:cs="TimesNewRomanPSMT"/>
              </w:rPr>
              <w:t>„Lauksaimnieku organizāciju sadarbības padome”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5C6FE4">
              <w:rPr>
                <w:rFonts w:ascii="TimesNewRomanPSMT" w:hAnsi="TimesNewRomanPSMT" w:cs="TimesNewRomanPSMT"/>
              </w:rPr>
              <w:t xml:space="preserve"> </w:t>
            </w:r>
            <w:r w:rsidR="00EA27FB">
              <w:rPr>
                <w:rFonts w:ascii="TimesNewRomanPSMT" w:hAnsi="TimesNewRomanPSMT" w:cs="TimesNewRomanPSMT"/>
              </w:rPr>
              <w:t xml:space="preserve">biedrību </w:t>
            </w:r>
            <w:r w:rsidR="005C6FE4">
              <w:rPr>
                <w:rFonts w:ascii="TimesNewRomanPSMT" w:hAnsi="TimesNewRomanPSMT" w:cs="TimesNewRomanPSMT"/>
              </w:rPr>
              <w:t>“Zemnieku Saeima”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EA27FB">
              <w:rPr>
                <w:rFonts w:ascii="TimesNewRomanPSMT" w:hAnsi="TimesNewRomanPSMT" w:cs="TimesNewRomanPSMT"/>
              </w:rPr>
              <w:t xml:space="preserve"> </w:t>
            </w:r>
            <w:r w:rsidR="000203DA">
              <w:rPr>
                <w:rFonts w:ascii="TimesNewRomanPSMT" w:hAnsi="TimesNewRomanPSMT" w:cs="TimesNewRomanPSMT"/>
              </w:rPr>
              <w:t>Latvijas Zemnieku federāciju</w:t>
            </w:r>
            <w:r w:rsidR="00A3400D">
              <w:rPr>
                <w:rFonts w:ascii="TimesNewRomanPSMT" w:hAnsi="TimesNewRomanPSMT" w:cs="TimesNewRomanPSMT"/>
              </w:rPr>
              <w:t>, Latvijas pārtikas uzņēmumu federāciju, Latvijas tirgotāju asociāciju</w:t>
            </w:r>
            <w:r w:rsidR="00952AB6">
              <w:rPr>
                <w:rFonts w:ascii="TimesNewRomanPSMT" w:hAnsi="TimesNewRomanPSMT" w:cs="TimesNewRomanPSMT"/>
              </w:rPr>
              <w:t xml:space="preserve"> un</w:t>
            </w:r>
            <w:r w:rsidR="00A3400D">
              <w:rPr>
                <w:rFonts w:ascii="TimesNewRomanPSMT" w:hAnsi="TimesNewRomanPSMT" w:cs="TimesNewRomanPSMT"/>
              </w:rPr>
              <w:t xml:space="preserve"> Latvijas pārtikas tirgotāju asociāciju</w:t>
            </w:r>
            <w:r w:rsidR="004D32BD">
              <w:rPr>
                <w:rFonts w:ascii="TimesNewRomanPSMT" w:hAnsi="TimesNewRomanPSMT" w:cs="TimesNewRomanPSMT"/>
              </w:rPr>
              <w:t>.</w:t>
            </w: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3.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līdzdalības rezultāti</w:t>
            </w:r>
          </w:p>
        </w:tc>
        <w:tc>
          <w:tcPr>
            <w:tcW w:w="4678" w:type="dxa"/>
          </w:tcPr>
          <w:p w:rsidR="008B0177" w:rsidRPr="00C2213E" w:rsidRDefault="004D32BD" w:rsidP="00A3400D">
            <w:pPr>
              <w:pStyle w:val="Bezatstarpm"/>
              <w:jc w:val="both"/>
            </w:pPr>
            <w:r>
              <w:rPr>
                <w:rFonts w:ascii="TimesNewRomanPSMT" w:hAnsi="TimesNewRomanPSMT" w:cs="TimesNewRomanPSMT"/>
              </w:rPr>
              <w:t>Iebildumi par noteikumu projektu nav saņemti.</w:t>
            </w:r>
          </w:p>
        </w:tc>
      </w:tr>
      <w:tr w:rsidR="00FB65D8" w:rsidRPr="00C2213E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4.</w:t>
            </w:r>
          </w:p>
        </w:tc>
        <w:tc>
          <w:tcPr>
            <w:tcW w:w="4111" w:type="dxa"/>
          </w:tcPr>
          <w:p w:rsidR="00FB65D8" w:rsidRDefault="00FB65D8" w:rsidP="00F62526">
            <w:pPr>
              <w:pStyle w:val="Bezatstarpm"/>
              <w:jc w:val="both"/>
            </w:pPr>
            <w:r>
              <w:t>Cita informācija</w:t>
            </w:r>
          </w:p>
          <w:p w:rsidR="008B0177" w:rsidRPr="00C2213E" w:rsidRDefault="008B0177" w:rsidP="00F62526">
            <w:pPr>
              <w:pStyle w:val="Bezatstarpm"/>
              <w:jc w:val="both"/>
            </w:pPr>
          </w:p>
        </w:tc>
        <w:tc>
          <w:tcPr>
            <w:tcW w:w="4678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Nav</w:t>
            </w:r>
            <w:r w:rsidR="00952AB6">
              <w:t>.</w:t>
            </w:r>
          </w:p>
        </w:tc>
      </w:tr>
    </w:tbl>
    <w:p w:rsidR="00FB65D8" w:rsidRPr="000A242C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00"/>
        <w:gridCol w:w="3844"/>
        <w:gridCol w:w="4707"/>
      </w:tblGrid>
      <w:tr w:rsidR="00FB65D8" w:rsidRPr="00A25835" w:rsidTr="00F62526">
        <w:tc>
          <w:tcPr>
            <w:tcW w:w="9351" w:type="dxa"/>
            <w:gridSpan w:val="3"/>
          </w:tcPr>
          <w:p w:rsidR="00FB65D8" w:rsidRPr="005B18E0" w:rsidRDefault="00FB65D8" w:rsidP="00F62526">
            <w:pPr>
              <w:pStyle w:val="Bezatstarpm"/>
              <w:rPr>
                <w:b/>
              </w:rPr>
            </w:pPr>
            <w:r w:rsidRPr="005B18E0">
              <w:rPr>
                <w:b/>
              </w:rPr>
              <w:t>VII. Tiesību akta projekta izpildes nodrošināšana un tās ietekme uz institūcijām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Projekta izpildē iesaistītās institūcijas</w:t>
            </w:r>
          </w:p>
        </w:tc>
        <w:tc>
          <w:tcPr>
            <w:tcW w:w="4707" w:type="dxa"/>
          </w:tcPr>
          <w:p w:rsidR="00FB65D8" w:rsidRPr="000A242C" w:rsidRDefault="00FB65D8" w:rsidP="006221C5">
            <w:pPr>
              <w:pStyle w:val="Bezatstarpm"/>
              <w:jc w:val="both"/>
            </w:pPr>
            <w:r>
              <w:t>Pārtikas un veterinārais dienests</w:t>
            </w:r>
            <w:r w:rsidR="002F0B22">
              <w:t xml:space="preserve"> 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4707" w:type="dxa"/>
          </w:tcPr>
          <w:p w:rsidR="00FB65D8" w:rsidRPr="000A242C" w:rsidRDefault="000911AF" w:rsidP="006D073F">
            <w:pPr>
              <w:pStyle w:val="Bezatstarpm"/>
              <w:jc w:val="both"/>
            </w:pPr>
            <w:r>
              <w:t>Noteikumu projekta izpildei nav nepieciešams paplašināt Pārtikas un veterinārā dienesta funkcijas un uzdevumus.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Cita informācija</w:t>
            </w:r>
          </w:p>
        </w:tc>
        <w:tc>
          <w:tcPr>
            <w:tcW w:w="4707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Nav</w:t>
            </w:r>
            <w:r w:rsidR="00952AB6">
              <w:t>.</w:t>
            </w:r>
            <w:r w:rsidRPr="000A242C">
              <w:t xml:space="preserve"> </w:t>
            </w:r>
          </w:p>
        </w:tc>
      </w:tr>
    </w:tbl>
    <w:p w:rsidR="00FB65D8" w:rsidRPr="008B0177" w:rsidRDefault="00FB65D8" w:rsidP="00FB65D8">
      <w:pPr>
        <w:pStyle w:val="Bezatstarpm"/>
        <w:rPr>
          <w:color w:val="000000"/>
          <w:sz w:val="28"/>
        </w:rPr>
      </w:pPr>
    </w:p>
    <w:p w:rsidR="008B0177" w:rsidRDefault="008B0177" w:rsidP="00FB65D8">
      <w:pPr>
        <w:pStyle w:val="Bezatstarpm"/>
        <w:rPr>
          <w:color w:val="000000"/>
          <w:sz w:val="28"/>
        </w:rPr>
      </w:pPr>
    </w:p>
    <w:p w:rsidR="008B0177" w:rsidRPr="008B0177" w:rsidRDefault="008B0177" w:rsidP="00FB65D8">
      <w:pPr>
        <w:pStyle w:val="Bezatstarpm"/>
        <w:rPr>
          <w:color w:val="000000"/>
          <w:sz w:val="28"/>
        </w:rPr>
      </w:pPr>
    </w:p>
    <w:p w:rsidR="00FB65D8" w:rsidRDefault="008B0177" w:rsidP="008B0177">
      <w:pPr>
        <w:pStyle w:val="Bezatstarpm"/>
        <w:ind w:firstLine="720"/>
        <w:rPr>
          <w:color w:val="000000"/>
          <w:sz w:val="28"/>
        </w:rPr>
      </w:pPr>
      <w:r>
        <w:rPr>
          <w:color w:val="000000"/>
          <w:sz w:val="28"/>
        </w:rPr>
        <w:t>Zemkopības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B65D8" w:rsidRPr="00003586">
        <w:rPr>
          <w:color w:val="000000"/>
          <w:sz w:val="28"/>
        </w:rPr>
        <w:t>Jānis Dūklavs</w:t>
      </w:r>
    </w:p>
    <w:p w:rsidR="000E0871" w:rsidRDefault="000E0871" w:rsidP="008B0177">
      <w:pPr>
        <w:pStyle w:val="Bezatstarpm"/>
        <w:ind w:firstLine="720"/>
        <w:rPr>
          <w:color w:val="000000"/>
          <w:sz w:val="28"/>
        </w:rPr>
      </w:pPr>
    </w:p>
    <w:p w:rsidR="000E0871" w:rsidRDefault="000E0871" w:rsidP="008B0177">
      <w:pPr>
        <w:pStyle w:val="Bezatstarpm"/>
        <w:ind w:firstLine="720"/>
        <w:rPr>
          <w:color w:val="000000"/>
          <w:sz w:val="28"/>
        </w:rPr>
      </w:pPr>
    </w:p>
    <w:p w:rsidR="000E0871" w:rsidRPr="00003586" w:rsidRDefault="000E0871" w:rsidP="008B0177">
      <w:pPr>
        <w:pStyle w:val="Bezatstarpm"/>
        <w:ind w:firstLine="720"/>
        <w:rPr>
          <w:color w:val="000000"/>
          <w:sz w:val="28"/>
        </w:rPr>
      </w:pPr>
      <w:r>
        <w:rPr>
          <w:color w:val="000000"/>
          <w:sz w:val="28"/>
        </w:rPr>
        <w:t>Zemkopības ministrijas valsts sekretāre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Dace Lucaua</w:t>
      </w:r>
    </w:p>
    <w:p w:rsidR="0062195C" w:rsidRPr="008B0177" w:rsidRDefault="0062195C" w:rsidP="008B0177">
      <w:pPr>
        <w:pStyle w:val="Bezatstarpm"/>
        <w:ind w:firstLine="720"/>
        <w:rPr>
          <w:color w:val="000000"/>
          <w:sz w:val="28"/>
        </w:rPr>
      </w:pPr>
    </w:p>
    <w:p w:rsidR="007C11B3" w:rsidRPr="008B0177" w:rsidRDefault="007C11B3" w:rsidP="008B0177">
      <w:pPr>
        <w:pStyle w:val="Bezatstarpm"/>
        <w:ind w:firstLine="720"/>
        <w:rPr>
          <w:color w:val="000000"/>
          <w:sz w:val="28"/>
        </w:rPr>
      </w:pPr>
    </w:p>
    <w:p w:rsidR="009C3649" w:rsidRPr="008B0177" w:rsidRDefault="009C3649" w:rsidP="00FB65D8">
      <w:pPr>
        <w:pStyle w:val="Bezatstarpm"/>
      </w:pPr>
    </w:p>
    <w:p w:rsidR="008B0177" w:rsidRPr="008B0177" w:rsidRDefault="008B0177" w:rsidP="00FB65D8">
      <w:pPr>
        <w:pStyle w:val="Bezatstarpm"/>
      </w:pPr>
      <w:bookmarkStart w:id="0" w:name="_GoBack"/>
      <w:bookmarkEnd w:id="0"/>
    </w:p>
    <w:p w:rsidR="00FB65D8" w:rsidRPr="008B0177" w:rsidRDefault="00384BCD" w:rsidP="00FB65D8">
      <w:pPr>
        <w:pStyle w:val="Bezatstarpm"/>
      </w:pPr>
      <w:r w:rsidRPr="008B0177">
        <w:t>Lāce</w:t>
      </w:r>
      <w:r w:rsidR="00FB65D8" w:rsidRPr="008B0177">
        <w:t xml:space="preserve"> </w:t>
      </w:r>
      <w:r w:rsidR="00183851" w:rsidRPr="008B0177">
        <w:t>67027200</w:t>
      </w:r>
    </w:p>
    <w:p w:rsidR="00FB65D8" w:rsidRPr="008B0177" w:rsidRDefault="000E0871" w:rsidP="00FB65D8">
      <w:pPr>
        <w:pStyle w:val="Bezatstarpm"/>
      </w:pPr>
      <w:hyperlink r:id="rId9" w:history="1">
        <w:r w:rsidR="00183851" w:rsidRPr="008B0177">
          <w:rPr>
            <w:rStyle w:val="Hipersaite"/>
          </w:rPr>
          <w:t>Irita.Lace@zm.gov.lv</w:t>
        </w:r>
      </w:hyperlink>
      <w:r w:rsidR="00A32986" w:rsidRPr="008B0177">
        <w:t xml:space="preserve"> </w:t>
      </w:r>
    </w:p>
    <w:sectPr w:rsidR="00FB65D8" w:rsidRPr="008B0177" w:rsidSect="000E087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6C" w:rsidRDefault="00102B6C" w:rsidP="00FB65D8">
      <w:pPr>
        <w:spacing w:after="0" w:line="240" w:lineRule="auto"/>
      </w:pPr>
      <w:r>
        <w:separator/>
      </w:r>
    </w:p>
  </w:endnote>
  <w:endnote w:type="continuationSeparator" w:id="0">
    <w:p w:rsidR="00102B6C" w:rsidRDefault="00102B6C" w:rsidP="00F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0E0871" w:rsidRDefault="000E0871" w:rsidP="000E0871">
    <w:pPr>
      <w:pStyle w:val="Kjene"/>
    </w:pPr>
    <w:r w:rsidRPr="000E0871">
      <w:rPr>
        <w:rFonts w:ascii="Times New Roman" w:eastAsia="Times New Roman" w:hAnsi="Times New Roman" w:cs="Times New Roman"/>
        <w:sz w:val="20"/>
        <w:szCs w:val="20"/>
        <w:lang w:eastAsia="lv-LV"/>
      </w:rPr>
      <w:t>ZManot_150618_oluaprite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0E0871" w:rsidRDefault="000E0871" w:rsidP="000E0871">
    <w:pPr>
      <w:pStyle w:val="Kjene"/>
    </w:pPr>
    <w:r w:rsidRPr="000E0871">
      <w:rPr>
        <w:rFonts w:ascii="Times New Roman" w:eastAsia="Times New Roman" w:hAnsi="Times New Roman" w:cs="Times New Roman"/>
        <w:sz w:val="20"/>
        <w:szCs w:val="20"/>
        <w:lang w:eastAsia="lv-LV"/>
      </w:rPr>
      <w:t>ZManot_150618_oluaprite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6C" w:rsidRDefault="00102B6C" w:rsidP="00FB65D8">
      <w:pPr>
        <w:spacing w:after="0" w:line="240" w:lineRule="auto"/>
      </w:pPr>
      <w:r>
        <w:separator/>
      </w:r>
    </w:p>
  </w:footnote>
  <w:footnote w:type="continuationSeparator" w:id="0">
    <w:p w:rsidR="00102B6C" w:rsidRDefault="00102B6C" w:rsidP="00FB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259247"/>
      <w:docPartObj>
        <w:docPartGallery w:val="Page Numbers (Top of Page)"/>
        <w:docPartUnique/>
      </w:docPartObj>
    </w:sdtPr>
    <w:sdtEndPr/>
    <w:sdtContent>
      <w:p w:rsidR="006D68E8" w:rsidRDefault="00290A6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71">
          <w:rPr>
            <w:noProof/>
          </w:rPr>
          <w:t>3</w:t>
        </w:r>
        <w:r>
          <w:fldChar w:fldCharType="end"/>
        </w:r>
      </w:p>
    </w:sdtContent>
  </w:sdt>
  <w:p w:rsidR="006D68E8" w:rsidRDefault="000E087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17A"/>
    <w:multiLevelType w:val="hybridMultilevel"/>
    <w:tmpl w:val="B4C213F4"/>
    <w:lvl w:ilvl="0" w:tplc="E7CE5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F4EC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694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3A7B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FC15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AC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0E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1A91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45C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8"/>
    <w:rsid w:val="00001329"/>
    <w:rsid w:val="00001FB4"/>
    <w:rsid w:val="00003586"/>
    <w:rsid w:val="000147D8"/>
    <w:rsid w:val="00016FA1"/>
    <w:rsid w:val="000203DA"/>
    <w:rsid w:val="000216D3"/>
    <w:rsid w:val="000234D6"/>
    <w:rsid w:val="000371C4"/>
    <w:rsid w:val="000463FC"/>
    <w:rsid w:val="000911AF"/>
    <w:rsid w:val="0009789C"/>
    <w:rsid w:val="000B0E7A"/>
    <w:rsid w:val="000C4AAD"/>
    <w:rsid w:val="000C554F"/>
    <w:rsid w:val="000D085A"/>
    <w:rsid w:val="000D09E6"/>
    <w:rsid w:val="000D0F38"/>
    <w:rsid w:val="000D2C62"/>
    <w:rsid w:val="000D3EF0"/>
    <w:rsid w:val="000D49F8"/>
    <w:rsid w:val="000D7528"/>
    <w:rsid w:val="000D78A0"/>
    <w:rsid w:val="000E0871"/>
    <w:rsid w:val="00102B6C"/>
    <w:rsid w:val="00147B7D"/>
    <w:rsid w:val="001512D8"/>
    <w:rsid w:val="00154A4E"/>
    <w:rsid w:val="001619B1"/>
    <w:rsid w:val="00183851"/>
    <w:rsid w:val="001A5772"/>
    <w:rsid w:val="001C76C0"/>
    <w:rsid w:val="001C7C2B"/>
    <w:rsid w:val="001E1D17"/>
    <w:rsid w:val="001E74CD"/>
    <w:rsid w:val="00203759"/>
    <w:rsid w:val="00204158"/>
    <w:rsid w:val="002213CB"/>
    <w:rsid w:val="0022273A"/>
    <w:rsid w:val="002234CB"/>
    <w:rsid w:val="00243D54"/>
    <w:rsid w:val="00253307"/>
    <w:rsid w:val="002534F5"/>
    <w:rsid w:val="00290A60"/>
    <w:rsid w:val="0029622D"/>
    <w:rsid w:val="002A45F0"/>
    <w:rsid w:val="002E1258"/>
    <w:rsid w:val="002E1EE2"/>
    <w:rsid w:val="002E1FE1"/>
    <w:rsid w:val="002F0A46"/>
    <w:rsid w:val="002F0B22"/>
    <w:rsid w:val="002F7A7A"/>
    <w:rsid w:val="00325851"/>
    <w:rsid w:val="00334344"/>
    <w:rsid w:val="003402FD"/>
    <w:rsid w:val="00357855"/>
    <w:rsid w:val="00371A7A"/>
    <w:rsid w:val="00384BCD"/>
    <w:rsid w:val="00384DD0"/>
    <w:rsid w:val="00385C02"/>
    <w:rsid w:val="003D7AFF"/>
    <w:rsid w:val="003E0D7E"/>
    <w:rsid w:val="003F2305"/>
    <w:rsid w:val="003F6838"/>
    <w:rsid w:val="004037D3"/>
    <w:rsid w:val="004042AE"/>
    <w:rsid w:val="00406ADD"/>
    <w:rsid w:val="00414B65"/>
    <w:rsid w:val="004215A9"/>
    <w:rsid w:val="00427882"/>
    <w:rsid w:val="00432404"/>
    <w:rsid w:val="00437A86"/>
    <w:rsid w:val="00441126"/>
    <w:rsid w:val="00446B35"/>
    <w:rsid w:val="00447461"/>
    <w:rsid w:val="00450B9C"/>
    <w:rsid w:val="00452395"/>
    <w:rsid w:val="00465772"/>
    <w:rsid w:val="00466ABB"/>
    <w:rsid w:val="00471086"/>
    <w:rsid w:val="00472F62"/>
    <w:rsid w:val="00483498"/>
    <w:rsid w:val="00484966"/>
    <w:rsid w:val="00486708"/>
    <w:rsid w:val="00486815"/>
    <w:rsid w:val="004930F5"/>
    <w:rsid w:val="004A54DC"/>
    <w:rsid w:val="004A689B"/>
    <w:rsid w:val="004B5D20"/>
    <w:rsid w:val="004C08A9"/>
    <w:rsid w:val="004D0657"/>
    <w:rsid w:val="004D0EE2"/>
    <w:rsid w:val="004D32BD"/>
    <w:rsid w:val="004E047C"/>
    <w:rsid w:val="004F2AEA"/>
    <w:rsid w:val="00500781"/>
    <w:rsid w:val="00505725"/>
    <w:rsid w:val="0051187D"/>
    <w:rsid w:val="00512E13"/>
    <w:rsid w:val="00516BA8"/>
    <w:rsid w:val="00520801"/>
    <w:rsid w:val="00522CF8"/>
    <w:rsid w:val="005461E3"/>
    <w:rsid w:val="00555027"/>
    <w:rsid w:val="00555575"/>
    <w:rsid w:val="005556AA"/>
    <w:rsid w:val="0056437F"/>
    <w:rsid w:val="00583887"/>
    <w:rsid w:val="00584B29"/>
    <w:rsid w:val="00585604"/>
    <w:rsid w:val="005915F8"/>
    <w:rsid w:val="00593B8F"/>
    <w:rsid w:val="00594850"/>
    <w:rsid w:val="005A028B"/>
    <w:rsid w:val="005A35A1"/>
    <w:rsid w:val="005B19DF"/>
    <w:rsid w:val="005C58E3"/>
    <w:rsid w:val="005C6FE4"/>
    <w:rsid w:val="005D16CB"/>
    <w:rsid w:val="005F0153"/>
    <w:rsid w:val="005F13FF"/>
    <w:rsid w:val="005F4194"/>
    <w:rsid w:val="00601C52"/>
    <w:rsid w:val="006063D1"/>
    <w:rsid w:val="00613604"/>
    <w:rsid w:val="0062195C"/>
    <w:rsid w:val="006221C5"/>
    <w:rsid w:val="006271CA"/>
    <w:rsid w:val="006273BF"/>
    <w:rsid w:val="00634FFB"/>
    <w:rsid w:val="00640D9B"/>
    <w:rsid w:val="00645E70"/>
    <w:rsid w:val="00647813"/>
    <w:rsid w:val="00654B76"/>
    <w:rsid w:val="0065577C"/>
    <w:rsid w:val="00665123"/>
    <w:rsid w:val="0067315F"/>
    <w:rsid w:val="00674246"/>
    <w:rsid w:val="0067727C"/>
    <w:rsid w:val="00682EAA"/>
    <w:rsid w:val="00696D83"/>
    <w:rsid w:val="006A695F"/>
    <w:rsid w:val="006B1247"/>
    <w:rsid w:val="006B3AD5"/>
    <w:rsid w:val="006B74E6"/>
    <w:rsid w:val="006D073F"/>
    <w:rsid w:val="006D0A66"/>
    <w:rsid w:val="006F04DC"/>
    <w:rsid w:val="006F1921"/>
    <w:rsid w:val="006F64C8"/>
    <w:rsid w:val="006F7603"/>
    <w:rsid w:val="0070664E"/>
    <w:rsid w:val="00715C9B"/>
    <w:rsid w:val="007215B4"/>
    <w:rsid w:val="00723573"/>
    <w:rsid w:val="00724FBB"/>
    <w:rsid w:val="00752D68"/>
    <w:rsid w:val="00754E3E"/>
    <w:rsid w:val="00757590"/>
    <w:rsid w:val="007647CB"/>
    <w:rsid w:val="007702E7"/>
    <w:rsid w:val="007726D2"/>
    <w:rsid w:val="0078240C"/>
    <w:rsid w:val="00783C9D"/>
    <w:rsid w:val="00792BEA"/>
    <w:rsid w:val="007976FF"/>
    <w:rsid w:val="007A3C4F"/>
    <w:rsid w:val="007A6535"/>
    <w:rsid w:val="007A66CB"/>
    <w:rsid w:val="007B26BE"/>
    <w:rsid w:val="007C11B3"/>
    <w:rsid w:val="007D06DB"/>
    <w:rsid w:val="007D21E4"/>
    <w:rsid w:val="007D76BD"/>
    <w:rsid w:val="007F3222"/>
    <w:rsid w:val="007F3E36"/>
    <w:rsid w:val="008009EC"/>
    <w:rsid w:val="00801C08"/>
    <w:rsid w:val="008049BE"/>
    <w:rsid w:val="008120D5"/>
    <w:rsid w:val="0081255B"/>
    <w:rsid w:val="00812B21"/>
    <w:rsid w:val="00832880"/>
    <w:rsid w:val="00836187"/>
    <w:rsid w:val="008367EF"/>
    <w:rsid w:val="00844B84"/>
    <w:rsid w:val="0086116F"/>
    <w:rsid w:val="00863164"/>
    <w:rsid w:val="00875F14"/>
    <w:rsid w:val="008772E2"/>
    <w:rsid w:val="008775F7"/>
    <w:rsid w:val="00881D05"/>
    <w:rsid w:val="0088519F"/>
    <w:rsid w:val="00892BA9"/>
    <w:rsid w:val="008A4752"/>
    <w:rsid w:val="008A70AC"/>
    <w:rsid w:val="008B0177"/>
    <w:rsid w:val="008B76C1"/>
    <w:rsid w:val="008C1C00"/>
    <w:rsid w:val="008D7B31"/>
    <w:rsid w:val="00903B20"/>
    <w:rsid w:val="00907092"/>
    <w:rsid w:val="009211DC"/>
    <w:rsid w:val="009420CD"/>
    <w:rsid w:val="00952AB6"/>
    <w:rsid w:val="00954329"/>
    <w:rsid w:val="00956220"/>
    <w:rsid w:val="00956B29"/>
    <w:rsid w:val="0097568A"/>
    <w:rsid w:val="00994E3C"/>
    <w:rsid w:val="009A0DDC"/>
    <w:rsid w:val="009C3649"/>
    <w:rsid w:val="009D23A8"/>
    <w:rsid w:val="009F227E"/>
    <w:rsid w:val="00A035B4"/>
    <w:rsid w:val="00A04388"/>
    <w:rsid w:val="00A12C64"/>
    <w:rsid w:val="00A177B3"/>
    <w:rsid w:val="00A31C3F"/>
    <w:rsid w:val="00A32986"/>
    <w:rsid w:val="00A3400D"/>
    <w:rsid w:val="00A42964"/>
    <w:rsid w:val="00A456F3"/>
    <w:rsid w:val="00A50577"/>
    <w:rsid w:val="00A60A6C"/>
    <w:rsid w:val="00A70470"/>
    <w:rsid w:val="00A72D3D"/>
    <w:rsid w:val="00A830BF"/>
    <w:rsid w:val="00A97640"/>
    <w:rsid w:val="00AA3CBE"/>
    <w:rsid w:val="00AF296C"/>
    <w:rsid w:val="00AF43BC"/>
    <w:rsid w:val="00B03784"/>
    <w:rsid w:val="00B14446"/>
    <w:rsid w:val="00B2555B"/>
    <w:rsid w:val="00B43671"/>
    <w:rsid w:val="00B44378"/>
    <w:rsid w:val="00B45E31"/>
    <w:rsid w:val="00B70B5A"/>
    <w:rsid w:val="00B77C0D"/>
    <w:rsid w:val="00B85AE0"/>
    <w:rsid w:val="00B87F4B"/>
    <w:rsid w:val="00B92CED"/>
    <w:rsid w:val="00BA25F1"/>
    <w:rsid w:val="00BB35AE"/>
    <w:rsid w:val="00BB525C"/>
    <w:rsid w:val="00BB5DFC"/>
    <w:rsid w:val="00BC05AB"/>
    <w:rsid w:val="00BC28BC"/>
    <w:rsid w:val="00BD5536"/>
    <w:rsid w:val="00BD58AA"/>
    <w:rsid w:val="00BD79A9"/>
    <w:rsid w:val="00BF22D2"/>
    <w:rsid w:val="00BF3C65"/>
    <w:rsid w:val="00C00B22"/>
    <w:rsid w:val="00C024DE"/>
    <w:rsid w:val="00C0573E"/>
    <w:rsid w:val="00C108F4"/>
    <w:rsid w:val="00C11D5B"/>
    <w:rsid w:val="00C14CF8"/>
    <w:rsid w:val="00C21D66"/>
    <w:rsid w:val="00C22118"/>
    <w:rsid w:val="00C25C9E"/>
    <w:rsid w:val="00C35ABB"/>
    <w:rsid w:val="00C45888"/>
    <w:rsid w:val="00C4683D"/>
    <w:rsid w:val="00C545FC"/>
    <w:rsid w:val="00C6339D"/>
    <w:rsid w:val="00C839F7"/>
    <w:rsid w:val="00C9384F"/>
    <w:rsid w:val="00CC2F8C"/>
    <w:rsid w:val="00CC637E"/>
    <w:rsid w:val="00CD597F"/>
    <w:rsid w:val="00CE6A38"/>
    <w:rsid w:val="00D02541"/>
    <w:rsid w:val="00D10E26"/>
    <w:rsid w:val="00D14A14"/>
    <w:rsid w:val="00D1565B"/>
    <w:rsid w:val="00D2167C"/>
    <w:rsid w:val="00D218E0"/>
    <w:rsid w:val="00D27469"/>
    <w:rsid w:val="00D301C0"/>
    <w:rsid w:val="00D37045"/>
    <w:rsid w:val="00D45E25"/>
    <w:rsid w:val="00D62586"/>
    <w:rsid w:val="00D627F6"/>
    <w:rsid w:val="00D63350"/>
    <w:rsid w:val="00D660BF"/>
    <w:rsid w:val="00D71407"/>
    <w:rsid w:val="00D814AC"/>
    <w:rsid w:val="00D942C8"/>
    <w:rsid w:val="00D953D3"/>
    <w:rsid w:val="00DA4D98"/>
    <w:rsid w:val="00DA58D6"/>
    <w:rsid w:val="00DB57E1"/>
    <w:rsid w:val="00DB7C3A"/>
    <w:rsid w:val="00DC2F46"/>
    <w:rsid w:val="00DE7DA3"/>
    <w:rsid w:val="00DF0D57"/>
    <w:rsid w:val="00DF4843"/>
    <w:rsid w:val="00DF762A"/>
    <w:rsid w:val="00DF7D6D"/>
    <w:rsid w:val="00E0175D"/>
    <w:rsid w:val="00E21CF3"/>
    <w:rsid w:val="00E34263"/>
    <w:rsid w:val="00E474B3"/>
    <w:rsid w:val="00E47F50"/>
    <w:rsid w:val="00E76668"/>
    <w:rsid w:val="00E82E5C"/>
    <w:rsid w:val="00E83A28"/>
    <w:rsid w:val="00E85990"/>
    <w:rsid w:val="00EA27FB"/>
    <w:rsid w:val="00EA469E"/>
    <w:rsid w:val="00EA6292"/>
    <w:rsid w:val="00EA6A2E"/>
    <w:rsid w:val="00EB5147"/>
    <w:rsid w:val="00EB688D"/>
    <w:rsid w:val="00EB7A94"/>
    <w:rsid w:val="00EC5F95"/>
    <w:rsid w:val="00EC668D"/>
    <w:rsid w:val="00EC691F"/>
    <w:rsid w:val="00EE3C09"/>
    <w:rsid w:val="00EE494B"/>
    <w:rsid w:val="00EE65F6"/>
    <w:rsid w:val="00F13200"/>
    <w:rsid w:val="00F27714"/>
    <w:rsid w:val="00F31AC0"/>
    <w:rsid w:val="00F33C2B"/>
    <w:rsid w:val="00F36FBF"/>
    <w:rsid w:val="00F45750"/>
    <w:rsid w:val="00F4768A"/>
    <w:rsid w:val="00F53F56"/>
    <w:rsid w:val="00F62951"/>
    <w:rsid w:val="00F75651"/>
    <w:rsid w:val="00F7604A"/>
    <w:rsid w:val="00F86CAD"/>
    <w:rsid w:val="00F92653"/>
    <w:rsid w:val="00F9796F"/>
    <w:rsid w:val="00FA0B36"/>
    <w:rsid w:val="00FB65D8"/>
    <w:rsid w:val="00FD0129"/>
    <w:rsid w:val="00FF1028"/>
    <w:rsid w:val="00FF458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9E8C-7C27-487B-BE4E-BC9C6FE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B65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65D8"/>
  </w:style>
  <w:style w:type="paragraph" w:styleId="Balonteksts">
    <w:name w:val="Balloon Text"/>
    <w:basedOn w:val="Parasts"/>
    <w:link w:val="BalontekstsRakstz"/>
    <w:uiPriority w:val="99"/>
    <w:semiHidden/>
    <w:unhideWhenUsed/>
    <w:rsid w:val="00F9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96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6D0A66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D0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D0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6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471086"/>
    <w:rPr>
      <w:color w:val="0563C1" w:themeColor="hyperlink"/>
      <w:u w:val="single"/>
    </w:rPr>
  </w:style>
  <w:style w:type="table" w:customStyle="1" w:styleId="Reatabula1">
    <w:name w:val="Režģa tabula1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1A577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rsid w:val="001A5772"/>
  </w:style>
  <w:style w:type="paragraph" w:styleId="Prskatjums">
    <w:name w:val="Revision"/>
    <w:hidden/>
    <w:uiPriority w:val="99"/>
    <w:semiHidden/>
    <w:rsid w:val="007A66CB"/>
    <w:pPr>
      <w:spacing w:after="0" w:line="240" w:lineRule="auto"/>
    </w:pPr>
  </w:style>
  <w:style w:type="paragraph" w:styleId="Pamatteksts">
    <w:name w:val="Body Text"/>
    <w:basedOn w:val="Parasts"/>
    <w:link w:val="PamattekstsRakstz"/>
    <w:uiPriority w:val="99"/>
    <w:rsid w:val="000234D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234D6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9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first2">
    <w:name w:val="title-doc-first2"/>
    <w:basedOn w:val="Parasts"/>
    <w:rsid w:val="00B03784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2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AUTO/?uri=celex:32013R13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ja.tor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5315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“Grozījumi Ministru kabineta 2009.gada 9.decembra noteikumos Nr.1393 „Veterinārās prasības mājputnu un zaķveidīgo gaļas apritei nelielā daudzumā”</vt:lpstr>
      <vt:lpstr>Ministru kabineta noteikumu “Grozījumi Ministru kabineta 2009.gada 9.decembra noteikumos Nr.1393 „Veterinārās prasības mājputnu un zaķveidīgo gaļas apritei nelielā daudzumā”</vt:lpstr>
    </vt:vector>
  </TitlesOfParts>
  <Manager>Veterinārais un pārtikas departaments</Manager>
  <Company>Zemkopibas Ministrija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2009.gada 9.decembra noteikumos Nr.1393 „Veterinārās prasības mājputnu un zaķveidīgo gaļas apritei nelielā daudzumā”</dc:title>
  <dc:subject>Sākotnējās ietekmes novērtējuma ziņojums (anotācija)</dc:subject>
  <dc:creator>Irita.Lace@zm.gov.lv</dc:creator>
  <dc:description>Irita.Lace@zm.gov.lv, 67027200</dc:description>
  <cp:lastModifiedBy>Sanita Žagare</cp:lastModifiedBy>
  <cp:revision>4</cp:revision>
  <cp:lastPrinted>2018-05-24T04:58:00Z</cp:lastPrinted>
  <dcterms:created xsi:type="dcterms:W3CDTF">2018-06-21T12:10:00Z</dcterms:created>
  <dcterms:modified xsi:type="dcterms:W3CDTF">2018-06-21T13:18:00Z</dcterms:modified>
</cp:coreProperties>
</file>