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53BDB" w:rsidRPr="00F52FFA" w:rsidP="00053BDB" w14:paraId="1AF67305" w14:textId="010ACDDE">
      <w:pPr>
        <w:spacing w:after="120"/>
        <w:jc w:val="center"/>
        <w:rPr>
          <w:b/>
        </w:rPr>
      </w:pPr>
      <w:bookmarkStart w:id="0" w:name="_GoBack"/>
      <w:bookmarkEnd w:id="0"/>
      <w:r w:rsidRPr="00CC2AC3">
        <w:rPr>
          <w:b/>
          <w:sz w:val="25"/>
          <w:szCs w:val="25"/>
        </w:rPr>
        <w:t xml:space="preserve">Ministru kabineta noteikumu projekta </w:t>
      </w:r>
      <w:r w:rsidR="00386099">
        <w:rPr>
          <w:b/>
          <w:sz w:val="25"/>
          <w:szCs w:val="25"/>
        </w:rPr>
        <w:t>"</w:t>
      </w:r>
      <w:r w:rsidRPr="00CC2AC3">
        <w:rPr>
          <w:b/>
          <w:sz w:val="25"/>
          <w:szCs w:val="25"/>
        </w:rPr>
        <w:t xml:space="preserve">Grozījumi Ministru kabineta 2016. gada 9. augusta noteikumos Nr. 534 </w:t>
      </w:r>
      <w:r w:rsidR="00386099">
        <w:rPr>
          <w:b/>
          <w:sz w:val="25"/>
          <w:szCs w:val="25"/>
        </w:rPr>
        <w:t>"</w:t>
      </w:r>
      <w:r w:rsidRPr="00CC2AC3">
        <w:rPr>
          <w:b/>
          <w:sz w:val="25"/>
          <w:szCs w:val="25"/>
        </w:rPr>
        <w:t xml:space="preserve">Darbības programmas </w:t>
      </w:r>
      <w:r w:rsidR="00147FCA">
        <w:rPr>
          <w:b/>
          <w:sz w:val="25"/>
          <w:szCs w:val="25"/>
        </w:rPr>
        <w:t>"</w:t>
      </w:r>
      <w:r w:rsidRPr="00CC2AC3">
        <w:rPr>
          <w:b/>
          <w:sz w:val="25"/>
          <w:szCs w:val="25"/>
        </w:rPr>
        <w:t>Izaugsme un nodarbinātība</w:t>
      </w:r>
      <w:r w:rsidR="00147FCA">
        <w:rPr>
          <w:b/>
          <w:sz w:val="25"/>
          <w:szCs w:val="25"/>
        </w:rPr>
        <w:t>"</w:t>
      </w:r>
      <w:r w:rsidRPr="00CC2AC3">
        <w:rPr>
          <w:b/>
          <w:sz w:val="25"/>
          <w:szCs w:val="25"/>
        </w:rPr>
        <w:t xml:space="preserve"> 4.2.1. specifiskā atbalsta mērķa </w:t>
      </w:r>
      <w:r w:rsidR="00386099">
        <w:rPr>
          <w:b/>
          <w:sz w:val="25"/>
          <w:szCs w:val="25"/>
        </w:rPr>
        <w:t>"</w:t>
      </w:r>
      <w:r w:rsidRPr="00CC2AC3">
        <w:rPr>
          <w:b/>
          <w:sz w:val="25"/>
          <w:szCs w:val="25"/>
        </w:rPr>
        <w:t>Veicināt energoefektivitātes paaugstināšanu valsts un dzīvojamās ēkās</w:t>
      </w:r>
      <w:r w:rsidR="00386099">
        <w:rPr>
          <w:b/>
          <w:sz w:val="25"/>
          <w:szCs w:val="25"/>
        </w:rPr>
        <w:t>"</w:t>
      </w:r>
      <w:r w:rsidRPr="00CC2AC3">
        <w:rPr>
          <w:b/>
          <w:sz w:val="25"/>
          <w:szCs w:val="25"/>
        </w:rPr>
        <w:t xml:space="preserve"> 4.2.1.2. pasākuma </w:t>
      </w:r>
      <w:r w:rsidR="00386099">
        <w:rPr>
          <w:b/>
          <w:sz w:val="25"/>
          <w:szCs w:val="25"/>
        </w:rPr>
        <w:t>"</w:t>
      </w:r>
      <w:r w:rsidRPr="00CC2AC3">
        <w:rPr>
          <w:b/>
          <w:sz w:val="25"/>
          <w:szCs w:val="25"/>
        </w:rPr>
        <w:t>Veicināt energoefektivitātes paaugstināšanu valsts ēkās</w:t>
      </w:r>
      <w:r w:rsidR="00386099">
        <w:rPr>
          <w:b/>
          <w:sz w:val="25"/>
          <w:szCs w:val="25"/>
        </w:rPr>
        <w:t>"</w:t>
      </w:r>
      <w:r w:rsidRPr="00CC2AC3">
        <w:rPr>
          <w:b/>
          <w:sz w:val="25"/>
          <w:szCs w:val="25"/>
        </w:rPr>
        <w:t xml:space="preserve"> pirmās projektu iesniegumu atlases kārtas īstenošanas noteikumi</w:t>
      </w:r>
      <w:r w:rsidR="00386099">
        <w:rPr>
          <w:b/>
          <w:sz w:val="25"/>
          <w:szCs w:val="25"/>
        </w:rPr>
        <w:t>""</w:t>
      </w:r>
      <w:r w:rsidRPr="00CC2AC3">
        <w:rPr>
          <w:b/>
          <w:sz w:val="25"/>
          <w:szCs w:val="25"/>
        </w:rPr>
        <w:t xml:space="preserve"> sākotnējās ietekmes novērtējuma ziņojums (anotācija)</w:t>
      </w:r>
    </w:p>
    <w:tbl>
      <w:tblPr>
        <w:tblStyle w:val="TableGrid"/>
        <w:tblW w:w="9635" w:type="dxa"/>
        <w:tblLook w:val="04A0"/>
      </w:tblPr>
      <w:tblGrid>
        <w:gridCol w:w="421"/>
        <w:gridCol w:w="2126"/>
        <w:gridCol w:w="7088"/>
      </w:tblGrid>
      <w:tr w14:paraId="5D9BB111" w14:textId="77777777" w:rsidTr="00DF3755">
        <w:tblPrEx>
          <w:tblW w:w="9635" w:type="dxa"/>
          <w:tblLook w:val="04A0"/>
        </w:tblPrEx>
        <w:tc>
          <w:tcPr>
            <w:tcW w:w="9635" w:type="dxa"/>
            <w:gridSpan w:val="3"/>
          </w:tcPr>
          <w:p w:rsidR="00053BDB" w:rsidRPr="00F52FFA" w:rsidP="00053BDB" w14:paraId="7BA75603" w14:textId="77777777">
            <w:pPr>
              <w:jc w:val="center"/>
            </w:pPr>
            <w:r w:rsidRPr="00F52FFA">
              <w:rPr>
                <w:b/>
                <w:bCs/>
              </w:rPr>
              <w:t>I. Tiesību akta projekta izstrādes nepieciešamība</w:t>
            </w:r>
          </w:p>
        </w:tc>
      </w:tr>
      <w:tr w14:paraId="73C2B3D2" w14:textId="77777777" w:rsidTr="00DF3755">
        <w:tblPrEx>
          <w:tblW w:w="9635" w:type="dxa"/>
          <w:tblLook w:val="04A0"/>
        </w:tblPrEx>
        <w:tc>
          <w:tcPr>
            <w:tcW w:w="421" w:type="dxa"/>
          </w:tcPr>
          <w:p w:rsidR="00053BDB" w:rsidRPr="00F52FFA" w14:paraId="38E4BC4F" w14:textId="77777777">
            <w:r w:rsidRPr="00F52FFA">
              <w:t>1.</w:t>
            </w:r>
          </w:p>
        </w:tc>
        <w:tc>
          <w:tcPr>
            <w:tcW w:w="2126" w:type="dxa"/>
          </w:tcPr>
          <w:p w:rsidR="00053BDB" w:rsidRPr="00F52FFA" w:rsidP="00053BDB" w14:paraId="3A18E217" w14:textId="77777777">
            <w:r w:rsidRPr="00F52FFA">
              <w:t>Pamatojums</w:t>
            </w:r>
          </w:p>
        </w:tc>
        <w:tc>
          <w:tcPr>
            <w:tcW w:w="7088" w:type="dxa"/>
          </w:tcPr>
          <w:p w:rsidR="00F95DDA" w:rsidRPr="00F52FFA" w:rsidP="005112CE" w14:paraId="67A65974" w14:textId="6564714B">
            <w:pPr>
              <w:jc w:val="both"/>
            </w:pPr>
            <w:r w:rsidRPr="00CC2AC3">
              <w:t>Eiropas Savienības struktūrfondu un Kohēzijas fonda 2014. - 2020. gada plānošanas perioda vadības likuma 20. panta 6. un 13. punkts.</w:t>
            </w:r>
          </w:p>
        </w:tc>
      </w:tr>
      <w:tr w14:paraId="6544EB75" w14:textId="77777777" w:rsidTr="00F95DDA">
        <w:tblPrEx>
          <w:tblW w:w="9635" w:type="dxa"/>
          <w:tblLook w:val="04A0"/>
        </w:tblPrEx>
        <w:trPr>
          <w:trHeight w:val="1402"/>
        </w:trPr>
        <w:tc>
          <w:tcPr>
            <w:tcW w:w="421" w:type="dxa"/>
          </w:tcPr>
          <w:p w:rsidR="00E635F8" w:rsidRPr="00F52FFA" w:rsidP="00E635F8" w14:paraId="0F7962B9" w14:textId="6662F16D">
            <w:r w:rsidRPr="00F52FFA">
              <w:t>2.</w:t>
            </w:r>
          </w:p>
        </w:tc>
        <w:tc>
          <w:tcPr>
            <w:tcW w:w="2126" w:type="dxa"/>
          </w:tcPr>
          <w:p w:rsidR="001C16F9" w:rsidRPr="00F52FFA" w:rsidP="00E635F8" w14:paraId="3ECD082F" w14:textId="19DD4C2B">
            <w:r w:rsidRPr="00F52FFA">
              <w:t>Pašreizējā situācija un problēmas, kuru risināšanai tiesību akta projekts izstrādāts, tiesiskā regulējuma mērķis un būtība</w:t>
            </w:r>
          </w:p>
          <w:p w:rsidR="001C16F9" w:rsidRPr="00F52FFA" w:rsidP="001C16F9" w14:paraId="4065C3C0" w14:textId="77777777"/>
          <w:p w:rsidR="001C16F9" w:rsidRPr="00F52FFA" w:rsidP="001C16F9" w14:paraId="5609A165" w14:textId="77777777"/>
          <w:p w:rsidR="001C16F9" w:rsidRPr="00F52FFA" w:rsidP="001C16F9" w14:paraId="668A2C45" w14:textId="77777777"/>
          <w:p w:rsidR="001C16F9" w:rsidRPr="00F52FFA" w:rsidP="001C16F9" w14:paraId="41D636DA" w14:textId="77777777"/>
          <w:p w:rsidR="001C16F9" w:rsidRPr="00F52FFA" w:rsidP="001C16F9" w14:paraId="5CCB88CB" w14:textId="77777777"/>
          <w:p w:rsidR="001C16F9" w:rsidRPr="00F52FFA" w:rsidP="001C16F9" w14:paraId="59BFBD80" w14:textId="074BC7BD"/>
          <w:p w:rsidR="00BE2270" w:rsidRPr="00F52FFA" w:rsidP="001C16F9" w14:paraId="013A5809" w14:textId="27BECF8B">
            <w:pPr>
              <w:jc w:val="center"/>
            </w:pPr>
          </w:p>
          <w:p w:rsidR="00BE2270" w:rsidRPr="00F52FFA" w:rsidP="00BE2270" w14:paraId="5AC5D242" w14:textId="77777777"/>
          <w:p w:rsidR="00BE2270" w:rsidRPr="00F52FFA" w:rsidP="00BE2270" w14:paraId="511AF722" w14:textId="77777777"/>
          <w:p w:rsidR="00BE2270" w:rsidRPr="00F52FFA" w:rsidP="00BE2270" w14:paraId="7A7EFD4C" w14:textId="77777777"/>
          <w:p w:rsidR="00BE2270" w:rsidRPr="00F52FFA" w:rsidP="00BE2270" w14:paraId="41716DBE" w14:textId="77777777"/>
          <w:p w:rsidR="00BE2270" w:rsidRPr="00F52FFA" w:rsidP="00BE2270" w14:paraId="0EB90564" w14:textId="77777777"/>
          <w:p w:rsidR="00BE2270" w:rsidRPr="00F52FFA" w:rsidP="00BE2270" w14:paraId="7363ADEB" w14:textId="77777777"/>
          <w:p w:rsidR="00BE2270" w:rsidRPr="00F52FFA" w:rsidP="00BE2270" w14:paraId="65E6B37E" w14:textId="77777777"/>
          <w:p w:rsidR="00BE2270" w:rsidRPr="00F52FFA" w:rsidP="00BE2270" w14:paraId="111AC025" w14:textId="77777777"/>
          <w:p w:rsidR="00BE2270" w:rsidRPr="00F52FFA" w:rsidP="00BE2270" w14:paraId="13B12FF4" w14:textId="77777777"/>
          <w:p w:rsidR="00BE2270" w:rsidRPr="00F52FFA" w:rsidP="00BE2270" w14:paraId="21619CC6" w14:textId="77777777"/>
          <w:p w:rsidR="00BE2270" w:rsidRPr="00F52FFA" w:rsidP="00BE2270" w14:paraId="6EFFB437" w14:textId="77777777"/>
          <w:p w:rsidR="00BE2270" w:rsidRPr="00F52FFA" w:rsidP="00BE2270" w14:paraId="52BEE15F" w14:textId="77777777"/>
          <w:p w:rsidR="002815EE" w:rsidRPr="00F52FFA" w:rsidP="00BE2270" w14:paraId="5E2CC3F6" w14:textId="279C76D3">
            <w:pPr>
              <w:jc w:val="center"/>
            </w:pPr>
          </w:p>
          <w:p w:rsidR="002815EE" w:rsidRPr="00F52FFA" w:rsidP="00D92E17" w14:paraId="0E0EB046" w14:textId="77777777"/>
          <w:p w:rsidR="00E635F8" w:rsidRPr="00F52FFA" w:rsidP="00D92E17" w14:paraId="388736A6" w14:textId="36484869"/>
        </w:tc>
        <w:tc>
          <w:tcPr>
            <w:tcW w:w="7088" w:type="dxa"/>
          </w:tcPr>
          <w:p w:rsidR="00CC2AC3" w:rsidP="00CC2AC3" w14:paraId="07035351" w14:textId="77777777">
            <w:pPr>
              <w:ind w:left="132" w:right="202"/>
              <w:jc w:val="both"/>
            </w:pPr>
            <w:r>
              <w:t>Ekonomikas ministrija (turpmāk – EM)</w:t>
            </w:r>
            <w:r w:rsidRPr="001D209B">
              <w:t xml:space="preserve"> ir veikusi</w:t>
            </w:r>
            <w:r>
              <w:t xml:space="preserve"> analīzi par 4.2.1.2.pasākuma “</w:t>
            </w:r>
            <w:r w:rsidRPr="009440D7">
              <w:t>Veicināt energoefektivitātes paaugstināšanu valsts ēkās</w:t>
            </w:r>
            <w:r>
              <w:t>” pirmās projektu iesniegumu atlases kārtas (turpmāk – 4.2.1.2.pasākuma pirmā kārta)</w:t>
            </w:r>
            <w:r w:rsidRPr="001D209B">
              <w:t xml:space="preserve"> un otrās projektu iesniegumu atlases kārtas projektu iesniegumu iesniegšanas termiņiem un plānotajā</w:t>
            </w:r>
            <w:r>
              <w:t>m ikgadējām maksājumu plūsmām.</w:t>
            </w:r>
          </w:p>
          <w:p w:rsidR="00FE0557" w:rsidP="00CC2AC3" w14:paraId="439F4068" w14:textId="53886FFE">
            <w:pPr>
              <w:ind w:left="132" w:right="202"/>
              <w:jc w:val="both"/>
            </w:pPr>
            <w:r w:rsidRPr="00FE0557">
              <w:t xml:space="preserve">Līdz 2018. gada </w:t>
            </w:r>
            <w:r w:rsidR="009B007B">
              <w:t>maijam</w:t>
            </w:r>
            <w:r w:rsidRPr="00FE0557">
              <w:t xml:space="preserve"> Centrālā finanšu un līgumu aģentūrā (CFLA) </w:t>
            </w:r>
            <w:r w:rsidR="009E26E2">
              <w:t>bija</w:t>
            </w:r>
            <w:r w:rsidRPr="00FE0557">
              <w:t xml:space="preserve"> iesniegti </w:t>
            </w:r>
            <w:r w:rsidR="009B007B">
              <w:t>71</w:t>
            </w:r>
            <w:r w:rsidRPr="00FE0557">
              <w:t xml:space="preserve"> projektu iesniegumi, no kuriem projekta statuss "līgums" ir 12 projektiem, bet statuss "pabeigts" –  diviem projektiem. Projektu iesniegumos iekļauto </w:t>
            </w:r>
            <w:r w:rsidR="009E26E2">
              <w:t>kopējais pieprasītais publiskais finansējums ir 5</w:t>
            </w:r>
            <w:r w:rsidR="009B007B">
              <w:t>6 379 667</w:t>
            </w:r>
            <w:r w:rsidR="009E26E2">
              <w:t xml:space="preserve"> EUR, tajā skaitā ERAF finansējums 4</w:t>
            </w:r>
            <w:r w:rsidR="009B007B">
              <w:t>8</w:t>
            </w:r>
            <w:r w:rsidR="009E26E2">
              <w:t xml:space="preserve"> </w:t>
            </w:r>
            <w:r w:rsidR="009B007B">
              <w:t>452 073</w:t>
            </w:r>
            <w:r w:rsidR="009E26E2">
              <w:t xml:space="preserve"> EUR un valsts budžets </w:t>
            </w:r>
            <w:r w:rsidR="009B007B">
              <w:t>7</w:t>
            </w:r>
            <w:r w:rsidR="009E26E2">
              <w:t xml:space="preserve"> </w:t>
            </w:r>
            <w:r w:rsidR="009B007B">
              <w:t>927 594</w:t>
            </w:r>
            <w:r w:rsidR="009E26E2">
              <w:t xml:space="preserve"> EUR</w:t>
            </w:r>
            <w:r w:rsidRPr="00FE0557">
              <w:t>.</w:t>
            </w:r>
          </w:p>
          <w:p w:rsidR="002D7AB6" w:rsidP="00CC2AC3" w14:paraId="7C4DD5D1" w14:textId="217CA247">
            <w:pPr>
              <w:ind w:left="132" w:right="202"/>
              <w:jc w:val="both"/>
            </w:pPr>
            <w:r>
              <w:t xml:space="preserve">Visi resori ir norādījuši, ka, noslēdzot projektu ietvaros izsludinātās būvniecības iepirkumu procedūra, ir secināts, ka būvniecības nozarē </w:t>
            </w:r>
            <w:r w:rsidRPr="002D7AB6">
              <w:t>ir vērojams</w:t>
            </w:r>
            <w:r>
              <w:t xml:space="preserve"> būvniecības izmaksu pieaugums 15</w:t>
            </w:r>
            <w:r w:rsidRPr="002D7AB6">
              <w:t xml:space="preserve"> – 30% apmērā salīdzinājumā ar sākotnēji plānotajām izmaksām 4.2.1.2.pasākuma</w:t>
            </w:r>
            <w:r>
              <w:t xml:space="preserve"> pirmās kārtas</w:t>
            </w:r>
            <w:r w:rsidRPr="002D7AB6">
              <w:t xml:space="preserve"> ietvaros</w:t>
            </w:r>
            <w:r>
              <w:t>.</w:t>
            </w:r>
          </w:p>
          <w:p w:rsidR="002D7AB6" w:rsidP="00CC2AC3" w14:paraId="3CA1CEAD" w14:textId="22814109">
            <w:pPr>
              <w:ind w:left="132" w:right="202"/>
              <w:jc w:val="both"/>
            </w:pPr>
            <w:r>
              <w:t>Lai samazinātu ietekmi uz valsts budžetu</w:t>
            </w:r>
            <w:r w:rsidR="006A540E">
              <w:t xml:space="preserve"> un nodrošinātu kvalitatīvu projektu īstenošanu</w:t>
            </w:r>
            <w:r>
              <w:t xml:space="preserve">, </w:t>
            </w:r>
            <w:r w:rsidR="005452DE">
              <w:t>EM kā racionālu risinājumu iesaka</w:t>
            </w:r>
            <w:r>
              <w:t xml:space="preserve"> </w:t>
            </w:r>
            <w:r w:rsidR="00526216">
              <w:t>ministrijām noteikto kvotu ietvaros īstenot mazāku skaitu energoefektivitātes projektu, nekā sākotnēji plānots, kā arī izvērtēt, kuru projektu īstenošana ir lietderīga un sniegs vislielāko ieguvumu</w:t>
            </w:r>
            <w:r w:rsidR="00FE0557">
              <w:t>. Tiem projektiem, kuriem tiks konstatēts izmaksu sadārdzinājums pēc būvniecības iepirkuma noslēgšan</w:t>
            </w:r>
            <w:r w:rsidR="005452DE">
              <w:t>a</w:t>
            </w:r>
            <w:r w:rsidR="00FE0557">
              <w:t>s, būs iespēja saņemt papildus finansējumu, iekļaujoties noteiktajos kritērijos.</w:t>
            </w:r>
          </w:p>
          <w:p w:rsidR="00007EE1" w:rsidP="00CC2AC3" w14:paraId="5F9021C6" w14:textId="77777777">
            <w:pPr>
              <w:ind w:left="132" w:right="202"/>
              <w:jc w:val="both"/>
            </w:pPr>
          </w:p>
          <w:p w:rsidR="00520C93" w:rsidP="005A3105" w14:paraId="114833FD" w14:textId="5E232A20">
            <w:pPr>
              <w:ind w:left="132" w:right="202"/>
              <w:jc w:val="both"/>
            </w:pPr>
            <w:r>
              <w:t xml:space="preserve">4.2.1.2.pasākuma ietvaros līdz 2018.gada 31.decembrim ir jāsasniedz sertificētie izdevumi </w:t>
            </w:r>
            <w:r w:rsidR="00E6163E">
              <w:t>25 903 583</w:t>
            </w:r>
            <w:r>
              <w:t xml:space="preserve"> EUR (</w:t>
            </w:r>
            <w:r w:rsidR="00E6163E">
              <w:t>kopējais publiskais finansējums</w:t>
            </w:r>
            <w:r>
              <w:t>).</w:t>
            </w:r>
            <w:r w:rsidR="005A3105">
              <w:t xml:space="preserve"> </w:t>
            </w:r>
            <w:r w:rsidRPr="005A3105" w:rsidR="005A3105">
              <w:t xml:space="preserve">Balstoties uz operatīvo sadarbības iestādes prognozi, sertificētie izdevumi līdz 2018.gada 31.decembrim būs minimālā apmērā, indikatīvi 4-5 milj. </w:t>
            </w:r>
            <w:r w:rsidR="005A3105">
              <w:t>EUR</w:t>
            </w:r>
            <w:r w:rsidRPr="005A3105" w:rsidR="005A3105">
              <w:t xml:space="preserve"> (15% no pasākumam noteiktā snieguma ietvara mērķa), ņemot vērā ievērojamos investīciju uzsākšanas kavējumus līdz šim. Tādējādi ir ievērojams risks nesasniegt arī kopējo prioritārā virziena mērķi un zaudēt snieguma ietvara rezervi 17 milj. </w:t>
            </w:r>
            <w:r w:rsidR="005A3105">
              <w:t>EUR</w:t>
            </w:r>
            <w:r w:rsidR="00E6163E">
              <w:t xml:space="preserve">. </w:t>
            </w:r>
          </w:p>
          <w:p w:rsidR="00520C93" w:rsidP="00CC2AC3" w14:paraId="362DACBA" w14:textId="77777777">
            <w:pPr>
              <w:ind w:left="132" w:right="202"/>
              <w:jc w:val="both"/>
            </w:pPr>
          </w:p>
          <w:p w:rsidR="00CC2AC3" w:rsidP="00CC2AC3" w14:paraId="715140BE" w14:textId="461C20F6">
            <w:pPr>
              <w:ind w:left="132" w:right="202"/>
              <w:jc w:val="both"/>
            </w:pPr>
            <w:r>
              <w:t>Vienlaikus, l</w:t>
            </w:r>
            <w:r w:rsidRPr="00744E9C">
              <w:t>ai</w:t>
            </w:r>
            <w:r>
              <w:t xml:space="preserve"> projektus varētu īstenot, novēršot kon</w:t>
            </w:r>
            <w:r w:rsidRPr="00744E9C">
              <w:t xml:space="preserve">statētās </w:t>
            </w:r>
            <w:r>
              <w:t>problēmas</w:t>
            </w:r>
            <w:r>
              <w:t xml:space="preserve"> nosacījumos</w:t>
            </w:r>
            <w:r w:rsidRPr="00744E9C">
              <w:t xml:space="preserve">, EM ierosina šādas izmaiņas </w:t>
            </w:r>
            <w:r w:rsidRPr="00960C53">
              <w:rPr>
                <w:rFonts w:eastAsia="Times New Roman"/>
              </w:rPr>
              <w:t>2016.</w:t>
            </w:r>
            <w:r>
              <w:rPr>
                <w:rFonts w:eastAsia="Times New Roman"/>
              </w:rPr>
              <w:t> </w:t>
            </w:r>
            <w:r w:rsidRPr="00960C53">
              <w:rPr>
                <w:rFonts w:eastAsia="Times New Roman"/>
              </w:rPr>
              <w:t>gada 9.</w:t>
            </w:r>
            <w:r>
              <w:rPr>
                <w:rFonts w:eastAsia="Times New Roman"/>
              </w:rPr>
              <w:t> </w:t>
            </w:r>
            <w:r w:rsidRPr="00960C53">
              <w:rPr>
                <w:rFonts w:eastAsia="Times New Roman"/>
              </w:rPr>
              <w:t xml:space="preserve">augusta noteikumos Nr.534 </w:t>
            </w:r>
            <w:r>
              <w:t>“</w:t>
            </w:r>
            <w:r w:rsidRPr="00960C53">
              <w:rPr>
                <w:rFonts w:eastAsia="Times New Roman"/>
              </w:rPr>
              <w:t xml:space="preserve">Darbības programmas </w:t>
            </w:r>
            <w:r>
              <w:t>“</w:t>
            </w:r>
            <w:r w:rsidRPr="00960C53">
              <w:rPr>
                <w:rFonts w:eastAsia="Times New Roman"/>
              </w:rPr>
              <w:t>Izaugsme un nodarbinātība</w:t>
            </w:r>
            <w:r>
              <w:t>”</w:t>
            </w:r>
            <w:r w:rsidRPr="00960C53">
              <w:rPr>
                <w:rFonts w:eastAsia="Times New Roman"/>
              </w:rPr>
              <w:t xml:space="preserve"> 4.2.1. specifiskā atbalsta mērķa </w:t>
            </w:r>
            <w:r>
              <w:t>“</w:t>
            </w:r>
            <w:r w:rsidRPr="00960C53">
              <w:rPr>
                <w:rFonts w:eastAsia="Times New Roman"/>
              </w:rPr>
              <w:t>Veicināt energoefektivitātes paaugstināšanu valsts un dzīvojamās ēkās</w:t>
            </w:r>
            <w:r>
              <w:t>”</w:t>
            </w:r>
            <w:r w:rsidRPr="00960C53">
              <w:rPr>
                <w:rFonts w:eastAsia="Times New Roman"/>
              </w:rPr>
              <w:t xml:space="preserve"> 4.2.1.2. pasākuma </w:t>
            </w:r>
            <w:r>
              <w:t>“</w:t>
            </w:r>
            <w:r w:rsidRPr="00960C53">
              <w:rPr>
                <w:rFonts w:eastAsia="Times New Roman"/>
              </w:rPr>
              <w:t>Veicināt energoefektivitātes paaugstināšanu</w:t>
            </w:r>
            <w:r>
              <w:t>”</w:t>
            </w:r>
            <w:r w:rsidRPr="00960C53">
              <w:rPr>
                <w:rFonts w:eastAsia="Times New Roman"/>
              </w:rPr>
              <w:t xml:space="preserve"> </w:t>
            </w:r>
            <w:r w:rsidRPr="00960C53">
              <w:rPr>
                <w:rFonts w:eastAsia="Times New Roman"/>
              </w:rPr>
              <w:t>pirmās projektu iesniegumu atlases kārtas īstenošanas noteikumi”</w:t>
            </w:r>
            <w:r>
              <w:rPr>
                <w:rFonts w:eastAsia="Times New Roman"/>
              </w:rPr>
              <w:t xml:space="preserve"> (turpmāk – </w:t>
            </w:r>
            <w:r w:rsidRPr="00744E9C">
              <w:t>MK noteikum</w:t>
            </w:r>
            <w:r>
              <w:t>i</w:t>
            </w:r>
            <w:r w:rsidRPr="00744E9C">
              <w:t xml:space="preserve"> Nr. 534</w:t>
            </w:r>
            <w:r>
              <w:t>)</w:t>
            </w:r>
            <w:r w:rsidRPr="00744E9C">
              <w:t>:</w:t>
            </w:r>
          </w:p>
          <w:p w:rsidR="00CC2AC3" w:rsidRPr="00744E9C" w:rsidP="00CC2AC3" w14:paraId="552DB8ED" w14:textId="77777777">
            <w:pPr>
              <w:ind w:left="132" w:right="202"/>
              <w:jc w:val="both"/>
            </w:pPr>
          </w:p>
          <w:p w:rsidR="00CC2AC3" w:rsidRPr="00164527" w:rsidP="00CC2AC3" w14:paraId="561C3855" w14:textId="27DD296D">
            <w:pPr>
              <w:numPr>
                <w:ilvl w:val="0"/>
                <w:numId w:val="35"/>
              </w:numPr>
              <w:ind w:left="132" w:right="202" w:firstLine="0"/>
              <w:jc w:val="both"/>
              <w:rPr>
                <w:b/>
                <w:i/>
                <w:u w:val="single"/>
              </w:rPr>
            </w:pPr>
            <w:r w:rsidRPr="005630E5">
              <w:rPr>
                <w:b/>
                <w:i/>
                <w:u w:val="single"/>
              </w:rPr>
              <w:t>Mini</w:t>
            </w:r>
            <w:r>
              <w:rPr>
                <w:b/>
                <w:i/>
                <w:u w:val="single"/>
              </w:rPr>
              <w:t>stru kabineta noteikumu projekta</w:t>
            </w:r>
            <w:r w:rsidRPr="005630E5">
              <w:rPr>
                <w:b/>
                <w:i/>
                <w:u w:val="single"/>
              </w:rPr>
              <w:t xml:space="preserve"> "Grozījumi Ministru kabineta 2016. gada 9. augusta noteikumos Nr.534 "Darbības programmas "Izaugsme un nodarbinātība" 4.2.1. specifiskā atbalsta mērķa “Veicināt energoefektivitātes paaugstināšanu valsts un dzīvojamās ēkās" 4.2.1.2. pasākuma "Veicināt energoefektivitātes paaugstināšanu" pirmās projektu iesniegumu atlases kārtas īstenošanas noteikumi” (turpmāk – Noteikumu projekts)</w:t>
            </w:r>
            <w:r>
              <w:rPr>
                <w:b/>
                <w:i/>
                <w:u w:val="single"/>
              </w:rPr>
              <w:t xml:space="preserve"> anotācijai izveidots pielikums ar</w:t>
            </w:r>
            <w:r w:rsidRPr="00A2526D">
              <w:rPr>
                <w:b/>
                <w:i/>
                <w:u w:val="single"/>
              </w:rPr>
              <w:t xml:space="preserve"> katra pr</w:t>
            </w:r>
            <w:r>
              <w:rPr>
                <w:b/>
                <w:i/>
                <w:u w:val="single"/>
              </w:rPr>
              <w:t xml:space="preserve">ojekta iesnieguma iesniegšanas gala termiņu </w:t>
            </w:r>
            <w:r w:rsidRPr="001A6DE0">
              <w:rPr>
                <w:b/>
                <w:i/>
                <w:u w:val="single"/>
              </w:rPr>
              <w:t>Cen</w:t>
            </w:r>
            <w:r>
              <w:rPr>
                <w:b/>
                <w:i/>
                <w:u w:val="single"/>
              </w:rPr>
              <w:t>trālā finanšu un līgumu aģentūrā</w:t>
            </w:r>
            <w:r w:rsidR="00631DAB">
              <w:rPr>
                <w:b/>
                <w:i/>
                <w:u w:val="single"/>
              </w:rPr>
              <w:t xml:space="preserve"> un piešķirto publisko finansējumu</w:t>
            </w:r>
            <w:r w:rsidRPr="00A2526D">
              <w:rPr>
                <w:b/>
                <w:i/>
                <w:u w:val="single"/>
              </w:rPr>
              <w:t>.</w:t>
            </w:r>
          </w:p>
          <w:p w:rsidR="00CC2AC3" w:rsidP="00CC2AC3" w14:paraId="13AA05B9" w14:textId="6C4E38A2">
            <w:pPr>
              <w:ind w:left="132" w:right="202"/>
              <w:jc w:val="both"/>
            </w:pPr>
            <w:r>
              <w:t xml:space="preserve">Lai EM sadarbībā ar </w:t>
            </w:r>
            <w:r w:rsidRPr="006D7ED9">
              <w:t>CFLA nodrošinātu</w:t>
            </w:r>
            <w:r>
              <w:t xml:space="preserve"> projektu iesniegumu iesniegšanas termiņu uzraudzību un sekmētu</w:t>
            </w:r>
            <w:r w:rsidRPr="0015517D">
              <w:t xml:space="preserve"> 2018.gada snieguma ietvara mērķa sasniegšanu</w:t>
            </w:r>
            <w:r w:rsidRPr="006D7ED9">
              <w:t>,</w:t>
            </w:r>
            <w:r>
              <w:t xml:space="preserve"> MK noteikuma projekta anotācijai izveidots pielikums, kurš satur </w:t>
            </w:r>
            <w:r w:rsidRPr="006D7ED9">
              <w:t>IPIA sara</w:t>
            </w:r>
            <w:r>
              <w:t xml:space="preserve">kstu. </w:t>
            </w:r>
            <w:r w:rsidRPr="006D7ED9">
              <w:t>IPIA sarakstā norādīts ēkas īpašnieks, projekta iesniedzējs, ēkas adrese, būves kadastra apzīmējums, projekta iesnieguma iesniegšanas termiņš un</w:t>
            </w:r>
            <w:r w:rsidR="00631DAB">
              <w:t xml:space="preserve"> piešķirtais publiskais finansējums.</w:t>
            </w:r>
          </w:p>
          <w:p w:rsidR="00631DAB" w:rsidRPr="006D7ED9" w:rsidP="00CC2AC3" w14:paraId="5575EE75" w14:textId="684756C8">
            <w:pPr>
              <w:ind w:left="132" w:right="202"/>
              <w:jc w:val="both"/>
            </w:pPr>
            <w:r>
              <w:t>Finansējuma plūsmu prognoze tiks iegūta, balstoties uz līgumiem, kas noslēgti ar CFLA, un līgumu ietvaros iesniegtajiem maksājumu pieprasījumu grafikiem.</w:t>
            </w:r>
          </w:p>
          <w:p w:rsidR="00CC2AC3" w:rsidP="00CC2AC3" w14:paraId="7CAA52CF" w14:textId="398E649D">
            <w:pPr>
              <w:ind w:left="132" w:right="202"/>
              <w:jc w:val="both"/>
            </w:pPr>
            <w:r w:rsidRPr="001D209B">
              <w:t xml:space="preserve">Balstoties uz veikto analīzi un ņemot vērā lēno finansējuma apguvi </w:t>
            </w:r>
            <w:r>
              <w:t xml:space="preserve"> 4.2.1.2.pasākuma pirmā kārtas</w:t>
            </w:r>
            <w:r w:rsidRPr="001D209B">
              <w:t xml:space="preserve"> ietvaros</w:t>
            </w:r>
            <w:r>
              <w:t xml:space="preserve"> </w:t>
            </w:r>
            <w:r w:rsidRPr="001D209B">
              <w:t xml:space="preserve">projektu iesniedzēju norādītie termiņi projektu iesniegumu iesniegšanai CFLA būs jāievēro. </w:t>
            </w:r>
            <w:r w:rsidR="00B9257F">
              <w:t>I</w:t>
            </w:r>
            <w:r w:rsidRPr="001D209B">
              <w:t xml:space="preserve">nformācija par būtiskām neizpildēm vai novirzēm tiks iekļauta </w:t>
            </w:r>
            <w:r>
              <w:t xml:space="preserve">Finanšu ministrijas sagatavotajos </w:t>
            </w:r>
            <w:r w:rsidRPr="001D209B">
              <w:t>informatīvajos ziņojumos par Eiropas Savienības struktūrfondu un Kohēzijas fonda investīciju ieviešanas statusu, kas ik</w:t>
            </w:r>
            <w:r w:rsidR="006F7B77">
              <w:t xml:space="preserve"> </w:t>
            </w:r>
            <w:r w:rsidRPr="001D209B">
              <w:t>mēnesi tiek iesniegti Ministru kabinetā</w:t>
            </w:r>
            <w:r>
              <w:t xml:space="preserve">. </w:t>
            </w:r>
          </w:p>
          <w:p w:rsidR="00631DAB" w:rsidP="00CC2AC3" w14:paraId="14975B26" w14:textId="77A69CF0">
            <w:pPr>
              <w:ind w:left="132" w:right="202"/>
              <w:jc w:val="both"/>
            </w:pPr>
          </w:p>
          <w:p w:rsidR="00631DAB" w:rsidRPr="00B03DF3" w:rsidP="002C6C49" w14:paraId="5DDE2C3F" w14:textId="08636D17">
            <w:pPr>
              <w:numPr>
                <w:ilvl w:val="0"/>
                <w:numId w:val="35"/>
              </w:numPr>
              <w:ind w:left="132" w:right="202" w:firstLine="0"/>
              <w:jc w:val="both"/>
              <w:rPr>
                <w:b/>
                <w:i/>
                <w:u w:val="single"/>
              </w:rPr>
            </w:pPr>
            <w:r w:rsidRPr="00960B30">
              <w:rPr>
                <w:b/>
                <w:i/>
                <w:u w:val="single"/>
              </w:rPr>
              <w:t>Noteikt, ka resors informē CFLA par uzaicināmo projekta iesniedzēju</w:t>
            </w:r>
          </w:p>
          <w:p w:rsidR="00631DAB" w:rsidP="00960B30" w14:paraId="2F544A79" w14:textId="665BA600">
            <w:pPr>
              <w:ind w:left="132" w:right="202"/>
              <w:jc w:val="both"/>
            </w:pPr>
            <w:r>
              <w:t>Līdz šim esošā kārtība, kad attiecīgais resors informē EM par nepieciešamību uzaicināt projektu iesniedzējus, un EM tālāk informē CFLA, ir neefektīva un rada papildu administratīvo slogu. Jaunā kārtība noteiks, ka resoram ir jāinformē CFLA par uzaicinājuma nosūtīšanu attiecīgajam projekta iesniedzējām. Lai CFLA varētu uzraudzīt uzaicinājumu izsūtīšanas procesu un kontrolēt projektu iesniegumu iesniegšanas termiņus, ir izveidots MK noteikumu projekta anotācijas 1.pieliekums (apraksts anotācijas 1.punktā).</w:t>
            </w:r>
          </w:p>
          <w:p w:rsidR="00631DAB" w:rsidP="00960B30" w14:paraId="4FB9D8C6" w14:textId="77777777">
            <w:pPr>
              <w:ind w:left="132" w:right="202"/>
              <w:jc w:val="both"/>
            </w:pPr>
            <w:r>
              <w:t>Jaunā kārtība nodrošinās, ka ministrijas veiks savu projektu stingrāku pārraudzību un sekos līdzi projektu iesniegšanas termiņiem, kā arī EM un CFLA veiktās darbības nepārklāsies.</w:t>
            </w:r>
          </w:p>
          <w:p w:rsidR="00631DAB" w:rsidP="00960B30" w14:paraId="27BE1573" w14:textId="77777777">
            <w:pPr>
              <w:ind w:left="132" w:right="202"/>
              <w:jc w:val="both"/>
            </w:pPr>
            <w:r>
              <w:t xml:space="preserve">MK noteikumu Nr.534 36.punkts nosaka, ka </w:t>
            </w:r>
            <w:r w:rsidRPr="005946BE">
              <w:t>ministrijas sev pieejamā publiskā finansējuma ietvaros var mainīt šo noteikumu 14. punktā izsniegtajā apliecinājumā norādīto finansējum</w:t>
            </w:r>
            <w:r>
              <w:t xml:space="preserve">a sadalījumu starp projektiem, CFLA </w:t>
            </w:r>
            <w:r w:rsidRPr="005946BE">
              <w:t>iesniedz</w:t>
            </w:r>
            <w:r>
              <w:t>ot</w:t>
            </w:r>
            <w:r w:rsidRPr="005946BE">
              <w:t xml:space="preserve"> pamatojošu dokumentāciju par izmaiņu piemērošanu.</w:t>
            </w:r>
          </w:p>
          <w:p w:rsidR="0071686D" w:rsidP="00960B30" w14:paraId="6CC0502D" w14:textId="75B40E76">
            <w:pPr>
              <w:ind w:left="132" w:right="202"/>
              <w:jc w:val="both"/>
            </w:pPr>
            <w:r>
              <w:t>Resoram, mainot ēku sarakstu un/vai projektu publisko finansējumu, ir nepieciešams rakstiski informēt atbildīgo un sadarbības iestādi.</w:t>
            </w:r>
          </w:p>
          <w:p w:rsidR="00CC2AC3" w:rsidP="00CC2AC3" w14:paraId="512AD371" w14:textId="77777777">
            <w:pPr>
              <w:ind w:left="132" w:right="202"/>
              <w:jc w:val="both"/>
              <w:rPr>
                <w:b/>
                <w:i/>
                <w:u w:val="single"/>
              </w:rPr>
            </w:pPr>
          </w:p>
          <w:p w:rsidR="00CC2AC3" w:rsidP="002C6C49" w14:paraId="72FE8132" w14:textId="3D6AF931">
            <w:pPr>
              <w:numPr>
                <w:ilvl w:val="0"/>
                <w:numId w:val="35"/>
              </w:numPr>
              <w:ind w:right="202"/>
              <w:jc w:val="both"/>
              <w:rPr>
                <w:b/>
                <w:i/>
                <w:u w:val="single"/>
              </w:rPr>
            </w:pPr>
            <w:r>
              <w:rPr>
                <w:b/>
                <w:i/>
                <w:u w:val="single"/>
              </w:rPr>
              <w:t>Precizēt MK noteikumu Nr. 534 1. pielikumā noteikto pieejamo publisko finansējumu.</w:t>
            </w:r>
          </w:p>
          <w:p w:rsidR="00CC2AC3" w:rsidP="00CC2AC3" w14:paraId="68DB47B5" w14:textId="49850CCA">
            <w:pPr>
              <w:ind w:left="132" w:right="202"/>
              <w:jc w:val="both"/>
            </w:pPr>
            <w:r>
              <w:t>4.2.1.2.pasākuma</w:t>
            </w:r>
            <w:r w:rsidR="001A0415">
              <w:t xml:space="preserve"> </w:t>
            </w:r>
            <w:r w:rsidRPr="001A0415" w:rsidR="001A0415">
              <w:t>kopējais publiskais</w:t>
            </w:r>
            <w:r w:rsidR="00C75CB8">
              <w:t xml:space="preserve"> finansējums ir 115 127 027 EUR</w:t>
            </w:r>
            <w:r w:rsidRPr="001A0415" w:rsidR="001A0415">
              <w:t>, tajā skaitā</w:t>
            </w:r>
            <w:r>
              <w:t xml:space="preserve"> finanšu rezerve ir </w:t>
            </w:r>
            <w:r w:rsidRPr="00CB2925">
              <w:t>7 022</w:t>
            </w:r>
            <w:r>
              <w:t> </w:t>
            </w:r>
            <w:r w:rsidRPr="00CB2925">
              <w:t xml:space="preserve">201 </w:t>
            </w:r>
            <w:r>
              <w:t xml:space="preserve">EUR apmērā. Tieslietu ministrija ar </w:t>
            </w:r>
            <w:r w:rsidRPr="00FF06FC" w:rsidR="00FF06FC">
              <w:t>2017. gada 4. oktobra vēstuli Nr. 21 – 2.1/3020 un, precizējot projektu finansējuma sadalījumu ar 2018. gada 17. maija atzinumu par EM Noteikumu projektu</w:t>
            </w:r>
            <w:r w:rsidR="00FF06FC">
              <w:t>,</w:t>
            </w:r>
            <w:r w:rsidRPr="00AE3CB3" w:rsidR="00AE3CB3">
              <w:t xml:space="preserve"> </w:t>
            </w:r>
            <w:r>
              <w:t xml:space="preserve">informēja EM, ka tai piešķirtā </w:t>
            </w:r>
            <w:r w:rsidRPr="006D5F4A">
              <w:t>6 048 835 EUR publiskā finansējuma kvota</w:t>
            </w:r>
            <w:r w:rsidR="00F42BBD">
              <w:t xml:space="preserve"> 4.2.1.2.pasākuma pirmās kārtas ietvaros</w:t>
            </w:r>
            <w:r w:rsidRPr="006D5F4A">
              <w:t xml:space="preserve"> ir jāsamazina.  </w:t>
            </w:r>
            <w:r w:rsidR="00EC402A">
              <w:t>Pēc Tieslietu ministrijas kvotas samazināšanas līdz</w:t>
            </w:r>
            <w:r w:rsidR="00AE3CB3">
              <w:t xml:space="preserve"> </w:t>
            </w:r>
            <w:r w:rsidR="00072A2C">
              <w:t>2 293 522</w:t>
            </w:r>
            <w:r w:rsidR="0075358C">
              <w:t xml:space="preserve"> EUR</w:t>
            </w:r>
            <w:r w:rsidR="00EC402A">
              <w:t xml:space="preserve"> </w:t>
            </w:r>
            <w:r w:rsidR="0075358C">
              <w:t>a</w:t>
            </w:r>
            <w:r w:rsidRPr="006D5F4A">
              <w:t>tlikums</w:t>
            </w:r>
            <w:r w:rsidR="00FF06FC">
              <w:br/>
            </w:r>
            <w:r>
              <w:t>3</w:t>
            </w:r>
            <w:r w:rsidR="00F009C9">
              <w:t> 7</w:t>
            </w:r>
            <w:r w:rsidR="00EC402A">
              <w:t>55</w:t>
            </w:r>
            <w:r w:rsidR="00F009C9">
              <w:t xml:space="preserve"> </w:t>
            </w:r>
            <w:r w:rsidR="00EC402A">
              <w:t>313</w:t>
            </w:r>
            <w:r w:rsidRPr="006D5F4A">
              <w:t xml:space="preserve"> EUR apmērā no Tieslietu ministrijas kvotas </w:t>
            </w:r>
            <w:r w:rsidR="0075358C">
              <w:t>ir</w:t>
            </w:r>
            <w:r w:rsidRPr="006D5F4A">
              <w:t xml:space="preserve"> novirzīts uz snieguma rezervi. Atlikusī </w:t>
            </w:r>
            <w:r>
              <w:t xml:space="preserve">snieguma rezerves </w:t>
            </w:r>
            <w:r w:rsidRPr="006D5F4A">
              <w:t>summa 3</w:t>
            </w:r>
            <w:r w:rsidR="004E4561">
              <w:t> </w:t>
            </w:r>
            <w:r w:rsidR="00EC402A">
              <w:t>266 888</w:t>
            </w:r>
            <w:r w:rsidRPr="006D5F4A">
              <w:t xml:space="preserve"> EUR apmērā </w:t>
            </w:r>
            <w:r w:rsidR="0075358C">
              <w:t>ir</w:t>
            </w:r>
            <w:r w:rsidRPr="006D5F4A">
              <w:t xml:space="preserve"> </w:t>
            </w:r>
            <w:r w:rsidRPr="00893365">
              <w:t>iekļaut</w:t>
            </w:r>
            <w:r>
              <w:t>a</w:t>
            </w:r>
            <w:r w:rsidRPr="00893365">
              <w:t xml:space="preserve"> darbības programmas “Izaugsme un nodarbinātība” 4.2.1. specifiskā atbalsta mērķa “Veicināt energoefektivitātes paaugstināšanu valsts un dzīvojamās ēkās” 4.2.1.1. specifiskā atbalsta mērķa pasākumā “Veicināt energoefektivitātes paaugstināšanu dzīvojamās ēkās” (turpmāk – 4.2.1.1.pasākums). Tiklīdz 4.2.1.2.pasākuma ietvaros atbrīvojas publiskais </w:t>
            </w:r>
            <w:r>
              <w:t>finansējums, to primāri novirzīs</w:t>
            </w:r>
            <w:r w:rsidRPr="00893365">
              <w:t xml:space="preserve"> 4.2.1.1.pasākuma snieguma rezerves samazināšanai par 3</w:t>
            </w:r>
            <w:r w:rsidR="004E4561">
              <w:t> 258 418</w:t>
            </w:r>
            <w:r w:rsidRPr="00893365">
              <w:t xml:space="preserve"> EUR.</w:t>
            </w:r>
          </w:p>
          <w:p w:rsidR="00CC2AC3" w:rsidP="00CC2AC3" w14:paraId="3F5AC9C3" w14:textId="77777777">
            <w:pPr>
              <w:ind w:left="132" w:right="202"/>
              <w:jc w:val="both"/>
            </w:pPr>
            <w:r>
              <w:t>Piedāvātais</w:t>
            </w:r>
            <w:r w:rsidRPr="00CB2925">
              <w:t xml:space="preserve"> risinājums </w:t>
            </w:r>
            <w:r>
              <w:t xml:space="preserve">snieguma </w:t>
            </w:r>
            <w:r w:rsidRPr="00CB2925">
              <w:t>rezerves</w:t>
            </w:r>
            <w:r>
              <w:t xml:space="preserve"> vienas daļas</w:t>
            </w:r>
            <w:r w:rsidRPr="00CB2925">
              <w:t xml:space="preserve"> atskaitīšanai no 4.2.1.2.pasākuma pirmās </w:t>
            </w:r>
            <w:r>
              <w:t xml:space="preserve">projektu iesniegumu </w:t>
            </w:r>
            <w:r w:rsidRPr="00CB2925">
              <w:t>atlases kārtas neapdraud Latvijas saistību izpildi, kas noteiktas ar</w:t>
            </w:r>
            <w:r>
              <w:t xml:space="preserve"> </w:t>
            </w:r>
            <w:r w:rsidRPr="00B43025">
              <w:t>Eiropas Parlamenta un Padomes 2012.gada 25.oktobra Direktīvu 2012/27/ES par energoefektivitāti, ar ko groza Direktīvas 2009/125/EK un 2010/30/ES, un atceļ Direktīvas 2004/8/EK un 2006/32/EK</w:t>
            </w:r>
            <w:r w:rsidRPr="00CB2925">
              <w:t xml:space="preserve"> </w:t>
            </w:r>
            <w:r>
              <w:t xml:space="preserve">(turpmāk – </w:t>
            </w:r>
            <w:r w:rsidRPr="00CB2925">
              <w:t>Direktīva 2012/27/ES</w:t>
            </w:r>
            <w:r>
              <w:t>)</w:t>
            </w:r>
            <w:r w:rsidRPr="00CB2925">
              <w:t xml:space="preserve"> 5. panta 1.punktu. Direktīva 2012/27/ES nosaka, ka dalībvalstīm no 2014. – 2020. gadam katru gadu jāatjauno 3% kopējās platības no tās centrālās valdības īpašumā e</w:t>
            </w:r>
            <w:r>
              <w:t xml:space="preserve">sošajām un izmantotajām ēkām. </w:t>
            </w:r>
            <w:r w:rsidRPr="00CB2925">
              <w:t>3% mērķi var</w:t>
            </w:r>
            <w:r>
              <w:t>ēs</w:t>
            </w:r>
            <w:r w:rsidRPr="00CB2925">
              <w:t xml:space="preserve"> pildīt līdz 2021.gadam (ieskaitot), kas pārsniedz 2020.gada slieksni. </w:t>
            </w:r>
            <w:r>
              <w:t xml:space="preserve">Skaidrojam, ka </w:t>
            </w:r>
            <w:r w:rsidRPr="00CB2925">
              <w:t>Direktīvas 2012/27/ES 5.panta 3.punkts nosaka, ka dalībvalsts papildus atjaunoto platību var ieskaitīt jebkurā no trim iepriekšējo vai nākamo gadu ikgadējā atjaunošanas normā.</w:t>
            </w:r>
          </w:p>
          <w:p w:rsidR="002A5AAB" w:rsidP="002A5AAB" w14:paraId="24E5C708" w14:textId="0E936057">
            <w:pPr>
              <w:ind w:left="132" w:right="202"/>
              <w:jc w:val="both"/>
            </w:pPr>
            <w:r>
              <w:t>Savstarpējas vienošanās rezultātā starp VNĪ, FM un EM 4.2.1.2.pasākuma otrās kārtas ietvaros notiks</w:t>
            </w:r>
            <w:r w:rsidR="00E2138A">
              <w:t xml:space="preserve"> </w:t>
            </w:r>
            <w:r w:rsidRPr="00E2138A" w:rsidR="00E2138A">
              <w:t>valsts akciju sabiedrības ar ierobežotu atbildību “Jaunais Rīgas t</w:t>
            </w:r>
            <w:r w:rsidR="00E2138A">
              <w:t>eātris” ēkas atjaunošana par</w:t>
            </w:r>
            <w:r w:rsidRPr="00E2138A" w:rsidR="00E2138A">
              <w:t xml:space="preserve"> kopējo</w:t>
            </w:r>
            <w:r w:rsidR="00E2138A">
              <w:t xml:space="preserve"> publisko finansējumu</w:t>
            </w:r>
            <w:r w:rsidR="00E2138A">
              <w:br/>
            </w:r>
            <w:r w:rsidRPr="00E2138A" w:rsidR="00E2138A">
              <w:t>2 170 416 EUR</w:t>
            </w:r>
            <w:r>
              <w:t>. Finansējuma pārdale notiks no 4.2.1.2.pasākuma pirmās kārtas FM kvotas, jo projekts Smilšu ielā 1 netiks realizēts. Lai nodrošinātu kvotu pārdali, VNĪ ir iesniedzis atjaunojamo ēku sarakstu, kuras tiks ieskaitītas valsts ēku 3% atjaunošanas mērķī. Šo ēku atjaunošana notiek bez ES fondu līdzfinansējuma.</w:t>
            </w:r>
          </w:p>
          <w:p w:rsidR="00B01563" w:rsidP="00B01563" w14:paraId="1EF77BCB" w14:textId="04FBC2F4">
            <w:pPr>
              <w:ind w:left="132" w:right="202"/>
              <w:jc w:val="both"/>
            </w:pPr>
            <w:r>
              <w:t xml:space="preserve">Tā kā netiks realizēts projekts Smilšu ielā </w:t>
            </w:r>
            <w:r>
              <w:t>1,</w:t>
            </w:r>
            <w:r w:rsidR="00A043B7">
              <w:t xml:space="preserve"> papildus</w:t>
            </w:r>
            <w:r>
              <w:t xml:space="preserve"> p</w:t>
            </w:r>
            <w:r>
              <w:t xml:space="preserve">ārdalīt </w:t>
            </w:r>
            <w:r>
              <w:t>no FM kvotas 177 143 EUR uz VNĪ kvotu</w:t>
            </w:r>
            <w:r w:rsidR="004015F9">
              <w:t xml:space="preserve"> projekta Aristīda Briāna ielā 13, Rīgā, īstenošanai</w:t>
            </w:r>
            <w:r>
              <w:t xml:space="preserve"> un 850 000 EUR uz EM kvotu</w:t>
            </w:r>
            <w:r w:rsidR="004015F9">
              <w:t xml:space="preserve"> projekta Pērses ielā 2, Rīgā, īstenošanai</w:t>
            </w:r>
            <w:r>
              <w:t>.</w:t>
            </w:r>
          </w:p>
          <w:p w:rsidR="005900BF" w:rsidP="002A5AAB" w14:paraId="5FCD57F5" w14:textId="5C87AE75">
            <w:pPr>
              <w:ind w:left="132" w:right="202"/>
              <w:jc w:val="both"/>
            </w:pPr>
            <w:r w:rsidRPr="005900BF">
              <w:t xml:space="preserve">Pēc finansējuma </w:t>
            </w:r>
            <w:r>
              <w:t>pārdales un 4.2.1.2.pasākuma</w:t>
            </w:r>
            <w:r w:rsidRPr="005900BF">
              <w:t xml:space="preserve"> otr</w:t>
            </w:r>
            <w:r>
              <w:t>ās kārtas publiskā finansējuma palielināšanas</w:t>
            </w:r>
            <w:r w:rsidRPr="005900BF">
              <w:t xml:space="preserve"> 4.2.1.2.pasākuma kopējais publiskais finansējums </w:t>
            </w:r>
            <w:r>
              <w:t>ir</w:t>
            </w:r>
            <w:r w:rsidRPr="005900BF">
              <w:t xml:space="preserve"> 120 927 029 EUR,</w:t>
            </w:r>
            <w:r w:rsidR="00704579">
              <w:t xml:space="preserve"> tajā skaitā finanšu rezerve ir</w:t>
            </w:r>
            <w:r w:rsidR="00704579">
              <w:br/>
            </w:r>
            <w:r w:rsidRPr="005900BF">
              <w:t>7 022 201 EUR apmērā.</w:t>
            </w:r>
            <w:r>
              <w:t xml:space="preserve"> Savukārt 4.2.1.2.pasākuma pirmās kārtas </w:t>
            </w:r>
            <w:r>
              <w:t>pieejamais kopējais publiskais finansējums ir 76 693 686 EUR</w:t>
            </w:r>
            <w:r w:rsidR="00AB517E">
              <w:t>, bet kopējais publiskais finansējums – 80 448 999 EUR</w:t>
            </w:r>
            <w:r>
              <w:t>.</w:t>
            </w:r>
          </w:p>
          <w:p w:rsidR="00CC2AC3" w:rsidP="00CC2AC3" w14:paraId="18FB23F8" w14:textId="77777777">
            <w:pPr>
              <w:ind w:right="202"/>
              <w:jc w:val="both"/>
            </w:pPr>
          </w:p>
          <w:p w:rsidR="00CC2AC3" w:rsidRPr="00CC2AC3" w:rsidP="002C6C49" w14:paraId="759FAAAC" w14:textId="2855AF2B">
            <w:pPr>
              <w:numPr>
                <w:ilvl w:val="0"/>
                <w:numId w:val="35"/>
              </w:numPr>
              <w:ind w:right="202"/>
              <w:jc w:val="both"/>
              <w:rPr>
                <w:b/>
                <w:i/>
                <w:u w:val="single"/>
              </w:rPr>
            </w:pPr>
            <w:r w:rsidRPr="00BC7A90">
              <w:rPr>
                <w:b/>
                <w:i/>
                <w:u w:val="single"/>
              </w:rPr>
              <w:t xml:space="preserve">Kvotu pārdale starp Izglītības un </w:t>
            </w:r>
            <w:r w:rsidRPr="003F3A97">
              <w:rPr>
                <w:b/>
                <w:i/>
                <w:u w:val="single"/>
              </w:rPr>
              <w:t>zinātnes ministriju un Ekonomikas ministriju</w:t>
            </w:r>
            <w:r w:rsidR="008A41F0">
              <w:rPr>
                <w:b/>
                <w:i/>
                <w:u w:val="single"/>
              </w:rPr>
              <w:t>.</w:t>
            </w:r>
          </w:p>
          <w:p w:rsidR="00556BE5" w:rsidP="00CC2AC3" w14:paraId="1EAB5C8D" w14:textId="0ED982F4">
            <w:pPr>
              <w:ind w:left="132" w:right="202"/>
              <w:jc w:val="both"/>
            </w:pPr>
            <w:r w:rsidRPr="00BC7A90">
              <w:t>Izglītības un zinātnes ministrijas Nekustamā īpašuma un valsts mantas apsaimniekošanas komisijas 2017.gada 4.septembra sēdē (protokols Nr.10, 3.punkts) tika pieņemts lēmums atbalstīt valsts nekustamā īpašuma (nekustamā īpašuma kadastra Nr.0100 115 0309) Krīvu ielā 11, Rīgā, nodošanu EM valdījumā. Ministru kabineta 2017.gada 7.novembra rīkojums Nr.640 “Par valsts nekustamā īpašuma Krīvu ielā 11, Rīgā, nodošanu Ekonomikas ministrijas valdījumā” ir izskatīts un pieņemts Ministru kabineta 2017.gada 7.novembra sēdē. Attiecīgi arī publiskais finansējums 4.2.1.2.pasākuma ietvaros 1 073 000 EUR apmērā, kas ir paredzēts norādītā nekustamā īpašuma energoefektivitātes paaugstināšanai, tiek pārdalīts uz EM kvotu.</w:t>
            </w:r>
            <w:r>
              <w:t xml:space="preserve"> EM</w:t>
            </w:r>
            <w:r w:rsidRPr="00556BE5">
              <w:t xml:space="preserve"> </w:t>
            </w:r>
            <w:r>
              <w:t>pārdalīto kvotu</w:t>
            </w:r>
            <w:r w:rsidRPr="00556BE5">
              <w:t xml:space="preserve"> 1 073 000 </w:t>
            </w:r>
            <w:r>
              <w:t>EUR</w:t>
            </w:r>
            <w:r w:rsidRPr="00556BE5">
              <w:t xml:space="preserve"> apmērā</w:t>
            </w:r>
            <w:r>
              <w:t xml:space="preserve"> var </w:t>
            </w:r>
            <w:r w:rsidRPr="00556BE5">
              <w:t>izmanto</w:t>
            </w:r>
            <w:r>
              <w:t>t</w:t>
            </w:r>
            <w:r w:rsidRPr="00556BE5">
              <w:t xml:space="preserve"> tikai pēc valsts nekustamā īpašuma Krīvu ielā 11, Rīgā, reģistrēšanas zemesgrāmatā uz Latvijas valsts vārda Ekonomikas ministrijas personā.</w:t>
            </w:r>
          </w:p>
          <w:p w:rsidR="00CC2AC3" w:rsidP="00CC2AC3" w14:paraId="09637090" w14:textId="49818768">
            <w:pPr>
              <w:ind w:left="132" w:right="202"/>
              <w:jc w:val="both"/>
            </w:pPr>
            <w:r w:rsidRPr="00BC7A90">
              <w:t>Atbilstoši precizēts MK noteikumu Nr.534 1. pielikums.</w:t>
            </w:r>
          </w:p>
          <w:p w:rsidR="00CC2AC3" w:rsidP="00CC2AC3" w14:paraId="46E20354" w14:textId="77777777">
            <w:pPr>
              <w:ind w:left="132" w:right="202"/>
              <w:jc w:val="both"/>
            </w:pPr>
          </w:p>
          <w:p w:rsidR="00CC2AC3" w:rsidRPr="00CA7A80" w:rsidP="002C6C49" w14:paraId="67A67E23" w14:textId="77777777">
            <w:pPr>
              <w:numPr>
                <w:ilvl w:val="0"/>
                <w:numId w:val="35"/>
              </w:numPr>
              <w:ind w:right="202"/>
              <w:jc w:val="both"/>
            </w:pPr>
            <w:r>
              <w:rPr>
                <w:b/>
                <w:i/>
                <w:u w:val="single"/>
              </w:rPr>
              <w:t>Dzēst nosacījumu katrai ministrijai individuāli līdz 2018.gada 31.decembrim sasniegt noteiktu sertificēto izdevumu apmēru.</w:t>
            </w:r>
          </w:p>
          <w:p w:rsidR="00E635F8" w:rsidP="002C6C49" w14:paraId="7A2DC0B6" w14:textId="0417AD6E">
            <w:pPr>
              <w:autoSpaceDE w:val="0"/>
              <w:autoSpaceDN w:val="0"/>
              <w:jc w:val="both"/>
            </w:pPr>
            <w:r w:rsidRPr="0042491D">
              <w:t>Lai sekmētu finansējuma apguvi, Sadarbības partneru darba grupas par Eiropas Savienības struktūrfondu un Kohēzijas fonda jautājumiem š.g. 24.oktobra sēdes dalībnieki vienojās uzdot visām ministrijām katra resora ietvaros sadarbībā ar finansējuma saņēmējiem un VAS “Valsts nekustamie īpašumi” līdz 2017.gada 31.decembrim iesniegt projektu iesniegumus</w:t>
            </w:r>
            <w:r>
              <w:t xml:space="preserve"> </w:t>
            </w:r>
            <w:r w:rsidRPr="0042491D">
              <w:t>CFLA par vismaz 50% no 4.2.1.2. pasākuma pirmās projektu iesniegumu atlases kārtas pieejamā publiskā finansējuma attiecīgajam resoram.</w:t>
            </w:r>
            <w:r>
              <w:t xml:space="preserve"> </w:t>
            </w:r>
            <w:r w:rsidRPr="0042491D">
              <w:t xml:space="preserve">Šī nosacījuma neizpildes gadījumā </w:t>
            </w:r>
            <w:r>
              <w:t>EM</w:t>
            </w:r>
            <w:r w:rsidRPr="0042491D">
              <w:t xml:space="preserve"> analizēs un nepieciešamības gadījumā ierosinās 4.2.1.2.pasākuma 1.kārtas publiskā finansējuma pārdali starp ministrijām.</w:t>
            </w:r>
            <w:r>
              <w:t xml:space="preserve"> Papildus </w:t>
            </w:r>
            <w:r w:rsidRPr="008D7D49">
              <w:t>Sadarbības partneru darba grupas par Eiropas Savienības struktūrfondu un Kohēzijas fonda jautājumiem</w:t>
            </w:r>
            <w:r w:rsidR="00AA01E3">
              <w:t xml:space="preserve"> 2017.gada</w:t>
            </w:r>
            <w:r>
              <w:t xml:space="preserve"> 24.oktobra sēdē tika nolemts, ka tiek dzēsts nosacījums katrai </w:t>
            </w:r>
            <w:r w:rsidRPr="0056492C">
              <w:t>ministrijai individuāli līdz 2018.gada 31.decembrim nodrošināt sertificētus izdevumus vismaz 32 % apmērā no tām aprēķinātā publiskā finansējuma</w:t>
            </w:r>
            <w:r>
              <w:t xml:space="preserve"> kvotas.</w:t>
            </w:r>
          </w:p>
          <w:p w:rsidR="00E169E3" w:rsidP="002C6C49" w14:paraId="254E6C6C" w14:textId="77777777">
            <w:pPr>
              <w:autoSpaceDE w:val="0"/>
              <w:autoSpaceDN w:val="0"/>
              <w:jc w:val="both"/>
            </w:pPr>
          </w:p>
          <w:p w:rsidR="00FC00F0" w:rsidRPr="00484A88" w:rsidP="002C6C49" w14:paraId="0449C033" w14:textId="77777777">
            <w:pPr>
              <w:numPr>
                <w:ilvl w:val="0"/>
                <w:numId w:val="35"/>
              </w:numPr>
              <w:ind w:right="202"/>
              <w:jc w:val="both"/>
              <w:rPr>
                <w:b/>
                <w:i/>
                <w:u w:val="single"/>
              </w:rPr>
            </w:pPr>
            <w:r w:rsidRPr="00484A88">
              <w:rPr>
                <w:b/>
                <w:i/>
                <w:u w:val="single"/>
              </w:rPr>
              <w:t>Dzēst nosacījumu katrai ministrijai nodrošināt, ka 40% no pieejamā publiskā finansējuma tiek novirzīts ārpus Rīgas administratīvās teritorijas.</w:t>
            </w:r>
          </w:p>
          <w:p w:rsidR="00BA1592" w:rsidP="002C6C49" w14:paraId="06B5B536" w14:textId="405E2E14">
            <w:pPr>
              <w:ind w:right="202"/>
              <w:jc w:val="both"/>
            </w:pPr>
            <w:r>
              <w:t>Lai paātrinātu finansējuma apguvi</w:t>
            </w:r>
            <w:r w:rsidR="00FE2916">
              <w:t xml:space="preserve"> 4.2.1.2.pasākuma pirmās projektu iesniegumu atlases kārtas ietvaros</w:t>
            </w:r>
            <w:r w:rsidR="0039641A">
              <w:t>, ir</w:t>
            </w:r>
            <w:r>
              <w:t xml:space="preserve"> dzēsts nosacījums katrai ministrijai nodrošināt, ka </w:t>
            </w:r>
            <w:r w:rsidRPr="00A74CD2">
              <w:t xml:space="preserve"> 40 % no ministrijai pieejamā publiskā finansējuma, kas norādīts šo noteikumu 1. pielikumā, tiks novirzīts ārpus Rīgas administratīvās teritorijas.</w:t>
            </w:r>
          </w:p>
          <w:p w:rsidR="00E169E3" w:rsidP="002C6C49" w14:paraId="1D461989" w14:textId="77777777">
            <w:pPr>
              <w:ind w:right="202"/>
              <w:jc w:val="both"/>
            </w:pPr>
          </w:p>
          <w:p w:rsidR="00BA1592" w:rsidRPr="00484A88" w:rsidP="002C6C49" w14:paraId="4AF3FBA1" w14:textId="2372A220">
            <w:pPr>
              <w:numPr>
                <w:ilvl w:val="0"/>
                <w:numId w:val="35"/>
              </w:numPr>
              <w:ind w:right="202"/>
              <w:jc w:val="both"/>
              <w:rPr>
                <w:b/>
                <w:i/>
                <w:u w:val="single"/>
              </w:rPr>
            </w:pPr>
            <w:r w:rsidRPr="00484A88">
              <w:rPr>
                <w:b/>
                <w:i/>
                <w:u w:val="single"/>
              </w:rPr>
              <w:t>Noteikt, ka VAS "Latvijas dzelzceļš" var būt projekta iesniedzējs un finansējuma saņēmējs un ka sadarbības partneris var būt atvasinātas publiskas personas aģentūra.</w:t>
            </w:r>
          </w:p>
          <w:p w:rsidR="00063020" w:rsidP="002C6C49" w14:paraId="020C62DF" w14:textId="6510882A">
            <w:pPr>
              <w:ind w:right="202"/>
              <w:jc w:val="both"/>
            </w:pPr>
            <w:r>
              <w:t>Lai paātrinātu finansējuma apguvi un paplašinātu finansējuma saņēmēju un sadarbības partneru loku 4.2.1.2.pasākuma pirmās projektu iesniegumu atlases kārtas</w:t>
            </w:r>
            <w:r w:rsidR="00F64E81">
              <w:t xml:space="preserve"> ietvaros</w:t>
            </w:r>
            <w:r>
              <w:t xml:space="preserve">, nepieciešams noteikt, ka </w:t>
            </w:r>
            <w:r w:rsidRPr="00FE2916">
              <w:t xml:space="preserve">VAS "Latvijas dzelzceļš" var būt projekta iesniedzējs un finansējuma saņēmējs un ka </w:t>
            </w:r>
            <w:r w:rsidRPr="00FE2916" w:rsidR="00A81F63">
              <w:t xml:space="preserve">atvasinātas publiskas personas aģentūra </w:t>
            </w:r>
            <w:r w:rsidR="00A81F63">
              <w:t xml:space="preserve">var būt </w:t>
            </w:r>
            <w:r w:rsidRPr="00FE2916">
              <w:t>sadar</w:t>
            </w:r>
            <w:r w:rsidR="00A81F63">
              <w:t>bības partneris</w:t>
            </w:r>
            <w:r>
              <w:t>.</w:t>
            </w:r>
          </w:p>
          <w:p w:rsidR="003762BD" w:rsidP="002C6C49" w14:paraId="005221D3" w14:textId="77777777">
            <w:pPr>
              <w:ind w:right="202"/>
              <w:jc w:val="both"/>
            </w:pPr>
          </w:p>
          <w:p w:rsidR="003762BD" w:rsidRPr="00484A88" w:rsidP="00960B30" w14:paraId="69E84769" w14:textId="49B72E97">
            <w:pPr>
              <w:numPr>
                <w:ilvl w:val="0"/>
                <w:numId w:val="35"/>
              </w:numPr>
              <w:ind w:right="202"/>
              <w:jc w:val="both"/>
              <w:rPr>
                <w:b/>
                <w:i/>
                <w:u w:val="single"/>
              </w:rPr>
            </w:pPr>
            <w:r w:rsidRPr="00484A88">
              <w:rPr>
                <w:b/>
                <w:i/>
                <w:u w:val="single"/>
              </w:rPr>
              <w:t>Noteikt CO</w:t>
            </w:r>
            <w:r w:rsidRPr="00484A88">
              <w:rPr>
                <w:b/>
                <w:i/>
                <w:u w:val="single"/>
                <w:vertAlign w:val="subscript"/>
              </w:rPr>
              <w:t>2</w:t>
            </w:r>
            <w:r w:rsidRPr="00484A88">
              <w:rPr>
                <w:b/>
                <w:i/>
                <w:u w:val="single"/>
              </w:rPr>
              <w:t xml:space="preserve"> emisiju aprēķinu gadījumā, ja ēkas apkurē izmanto atjaunojamos energoresursus.</w:t>
            </w:r>
          </w:p>
          <w:p w:rsidR="003762BD" w:rsidRPr="0031457F" w:rsidP="003762BD" w14:paraId="4B37FDE8" w14:textId="0CDE7D7B">
            <w:pPr>
              <w:ind w:right="202"/>
              <w:jc w:val="both"/>
            </w:pPr>
            <w:r w:rsidRPr="00960B30">
              <w:t>CO</w:t>
            </w:r>
            <w:r w:rsidRPr="00960B30">
              <w:rPr>
                <w:vertAlign w:val="subscript"/>
              </w:rPr>
              <w:t>2</w:t>
            </w:r>
            <w:r w:rsidRPr="00960B30">
              <w:t xml:space="preserve"> </w:t>
            </w:r>
            <w:r>
              <w:t xml:space="preserve">emisiju </w:t>
            </w:r>
            <w:r w:rsidRPr="00960B30">
              <w:t>samazinājums tiek aprēķināts pēc Ministru kabineta 2013.gada 25.jūnija noteikumu Nr.348 „Ēku energoefektivitātes aprēķina metode” 175. punkta un šo noteikumu 1.pielikuma 3.tabulā norādītājām emisijas faktoru vērtībām, izņemot gadījumus, kur kā kurināmo izmanto atjaunojamos energoresursus. Ja kā kurināmo izmanto atjaunojamos energoresursus, saskaņā ar “Metodoloģiju horizontālā principa “Ilgtspējīga attīstība” īstenošanas uzraudzības rādītāja – siltumnīcefekta gāzu emisijas – aprēķinam” ogļskābās gāzes ekvivalenta aprēķinā tiks piemērots ogļskābās gāzes ekvivalenta faktors 0,264 kg/</w:t>
            </w:r>
            <w:r w:rsidRPr="00960B30">
              <w:t>kWh</w:t>
            </w:r>
            <w:r w:rsidRPr="00960B30">
              <w:t xml:space="preserve"> un primārās enerģijas patēriņa aprēķinā piemēros konversijas koeficientu 1,0 (nosacījums attiecināms tikai uz 4.2.1.2.pasākumu).</w:t>
            </w:r>
          </w:p>
          <w:p w:rsidR="00E169E3" w:rsidP="002C6C49" w14:paraId="08CC3627" w14:textId="77777777">
            <w:pPr>
              <w:ind w:right="202"/>
              <w:jc w:val="both"/>
            </w:pPr>
          </w:p>
          <w:p w:rsidR="00063020" w:rsidRPr="00484A88" w:rsidP="00BD3DC5" w14:paraId="2D88C79C" w14:textId="0660DBC0">
            <w:pPr>
              <w:numPr>
                <w:ilvl w:val="0"/>
                <w:numId w:val="35"/>
              </w:numPr>
              <w:ind w:right="202"/>
              <w:jc w:val="both"/>
              <w:rPr>
                <w:b/>
                <w:i/>
                <w:u w:val="single"/>
              </w:rPr>
            </w:pPr>
            <w:r w:rsidRPr="00484A88">
              <w:rPr>
                <w:b/>
                <w:i/>
                <w:u w:val="single"/>
              </w:rPr>
              <w:t xml:space="preserve">Noteikt, ka finansējuma saņēmējs var palielināt projekta attiecināmās izmaksas </w:t>
            </w:r>
            <w:r w:rsidRPr="00484A88" w:rsidR="00BD3DC5">
              <w:rPr>
                <w:b/>
                <w:i/>
                <w:u w:val="single"/>
              </w:rPr>
              <w:t xml:space="preserve">pēc projekta iesnieguma iesniegšanas sadarbības iestādē līdz projekta apstiprināšanai nosacījumu izpildes laikā, ja projekts apstiprināts ar nosacījumu, vai pēc vienošanās vai līguma </w:t>
            </w:r>
            <w:r w:rsidRPr="00484A88">
              <w:rPr>
                <w:b/>
                <w:i/>
                <w:u w:val="single"/>
              </w:rPr>
              <w:t>noslēgšanas ar CFLA.</w:t>
            </w:r>
          </w:p>
          <w:p w:rsidR="004317B1" w:rsidP="002C6C49" w14:paraId="2425FA6C" w14:textId="7E154831">
            <w:pPr>
              <w:ind w:right="202"/>
              <w:jc w:val="both"/>
            </w:pPr>
            <w:r>
              <w:t>Lai paātrinātu finansējuma apguvi 4.2.1.2.pasākuma pirmās projektu iesniegumu atlases kārtas ietvaros, nepieciešams noteikt, ka finansējuma saņēmējs var paaugstināt projekta attiecināmās izmaksas</w:t>
            </w:r>
            <w:r w:rsidR="00BD3DC5">
              <w:t xml:space="preserve"> </w:t>
            </w:r>
            <w:r w:rsidRPr="00BD3DC5" w:rsidR="00BD3DC5">
              <w:t>pēc projekta iesnieguma iesniegšanas sadarbības iestādē līdz projekta apstiprināšanai nosacījumu izpildes laikā, ja projekts apstiprināts ar nosacījumu, vai</w:t>
            </w:r>
            <w:r>
              <w:t xml:space="preserve"> pēc</w:t>
            </w:r>
            <w:r w:rsidR="00BD3DC5">
              <w:t xml:space="preserve"> vienošanās vai</w:t>
            </w:r>
            <w:r>
              <w:t xml:space="preserve"> līguma noslēgšanas ar CFLA. </w:t>
            </w:r>
            <w:r w:rsidR="003B4012">
              <w:t>Esošā kārtība nosaka, ka attiecīgajam resoram ir jāsagatavo informatīvais ziņojums un tas jāiesniedz Ministru Kabinetā, kas</w:t>
            </w:r>
            <w:r w:rsidR="00A81F63">
              <w:t xml:space="preserve"> ir</w:t>
            </w:r>
            <w:r w:rsidR="003B4012">
              <w:t xml:space="preserve"> laikietilpīga procedūra. Jaunā kārtība noteiks, ka f</w:t>
            </w:r>
            <w:r w:rsidRPr="003B4012" w:rsidR="003B4012">
              <w:t>inansējuma saņēmējam CFLA būs jāiesniedz ministrijas apliecinājums, kurā tā apliecina projekta attiecināmo izmaksu paaugstināšanu ministr</w:t>
            </w:r>
            <w:r w:rsidR="003B4012">
              <w:t>ijai piešķirtās kvotas ietvaros</w:t>
            </w:r>
            <w:r>
              <w:t xml:space="preserve">, aktualizējot informāciju, kas ir noteikta MK noteikumu Nr.534 </w:t>
            </w:r>
            <w:r w:rsidRPr="004317B1">
              <w:t>14.1., 14.2., 14.3. un 14.4.apakšpunktā</w:t>
            </w:r>
            <w:r>
              <w:t>.</w:t>
            </w:r>
          </w:p>
          <w:p w:rsidR="00CD6445" w:rsidP="00056EEE" w14:paraId="58382564" w14:textId="77777777">
            <w:pPr>
              <w:ind w:right="202"/>
              <w:jc w:val="both"/>
            </w:pPr>
            <w:r>
              <w:t>Pēc finansējuma saņēmēja iesnieguma saņemšanas par attiecināmo izmaksu palielināšanu</w:t>
            </w:r>
            <w:r w:rsidR="00DB6387">
              <w:t xml:space="preserve"> sadarbības iestāde v</w:t>
            </w:r>
            <w:r w:rsidRPr="004317B1" w:rsidR="004317B1">
              <w:t>ei</w:t>
            </w:r>
            <w:r w:rsidR="00DB6387">
              <w:t>c</w:t>
            </w:r>
            <w:r w:rsidR="000B5908">
              <w:t xml:space="preserve"> projekta pārvērtēšanu</w:t>
            </w:r>
            <w:r w:rsidRPr="004317B1" w:rsidR="004317B1">
              <w:t xml:space="preserve">, kuras ietvaros </w:t>
            </w:r>
            <w:r>
              <w:t xml:space="preserve">jāpārliecinās par </w:t>
            </w:r>
            <w:r w:rsidRPr="004317B1" w:rsidR="004317B1">
              <w:t>projektu iesniegumu vērtēšanas</w:t>
            </w:r>
            <w:r w:rsidR="000B5908">
              <w:t xml:space="preserve"> kvalitātes</w:t>
            </w:r>
            <w:r>
              <w:t xml:space="preserve"> kritērija</w:t>
            </w:r>
            <w:r w:rsidR="00DB6387">
              <w:t xml:space="preserve"> Nr.</w:t>
            </w:r>
            <w:r>
              <w:t>1</w:t>
            </w:r>
            <w:r w:rsidR="00DB6387">
              <w:t xml:space="preserve"> "</w:t>
            </w:r>
            <w:r w:rsidRPr="00DB6387" w:rsidR="00DB6387">
              <w:t xml:space="preserve">Ēkas energoefektivitātes paaugstināšanas rezultātā plānotais siltumenerģijas ietaupījums (megavatstundas/gadā) attiecībā pret projekta attiecināmām izmaksām (tūkstošos </w:t>
            </w:r>
            <w:r w:rsidRPr="00DB6387" w:rsidR="00DB6387">
              <w:t>euro</w:t>
            </w:r>
            <w:r w:rsidRPr="00DB6387" w:rsidR="00DB6387">
              <w:t>)</w:t>
            </w:r>
            <w:r w:rsidR="00DB6387">
              <w:t>"</w:t>
            </w:r>
            <w:r>
              <w:t xml:space="preserve"> atbilstību</w:t>
            </w:r>
            <w:r w:rsidRPr="004317B1" w:rsidR="004317B1">
              <w:t>. Projekta iesnieguma vērtēšanas laikā ir iespējams veikt</w:t>
            </w:r>
            <w:r w:rsidR="000B5908">
              <w:t xml:space="preserve"> gan</w:t>
            </w:r>
            <w:r w:rsidRPr="004317B1" w:rsidR="004317B1">
              <w:t xml:space="preserve"> projekta datu precizēšanu</w:t>
            </w:r>
            <w:r w:rsidR="000B5908">
              <w:t>, gan attiecināmo izmaksu apjomu</w:t>
            </w:r>
            <w:r w:rsidRPr="004317B1" w:rsidR="004317B1">
              <w:t>.</w:t>
            </w:r>
          </w:p>
          <w:p w:rsidR="005A13B0" w:rsidP="00056EEE" w14:paraId="7CFF52C7" w14:textId="77777777">
            <w:pPr>
              <w:ind w:right="202"/>
              <w:jc w:val="both"/>
            </w:pPr>
          </w:p>
          <w:p w:rsidR="005A13B0" w:rsidRPr="00F52FFA" w:rsidP="00484A88" w14:paraId="4FF0D5BF" w14:textId="2BDCD1D0">
            <w:pPr>
              <w:numPr>
                <w:ilvl w:val="0"/>
                <w:numId w:val="35"/>
              </w:numPr>
              <w:ind w:right="202"/>
              <w:jc w:val="both"/>
            </w:pPr>
            <w:r w:rsidRPr="00484A88">
              <w:rPr>
                <w:b/>
                <w:i/>
                <w:u w:val="single"/>
              </w:rPr>
              <w:t xml:space="preserve">Noteikt, ka, ja projekta īstenošanas laikā rodas neattiecināmie izdevumi vai sadārdzinās projekta plānotās attiecināmās </w:t>
            </w:r>
            <w:r w:rsidRPr="00484A88">
              <w:rPr>
                <w:b/>
                <w:i/>
                <w:u w:val="single"/>
              </w:rPr>
              <w:t xml:space="preserve">izmaksas, kā rezultātā projekta izmaksas neiekļaujas MK noteikumu Nr.534 1. pielikumā  noteiktajā ministrijas </w:t>
            </w:r>
            <w:r w:rsidR="00C8771F">
              <w:rPr>
                <w:b/>
                <w:i/>
                <w:u w:val="single"/>
              </w:rPr>
              <w:t>pieejam</w:t>
            </w:r>
            <w:r w:rsidRPr="00484A88">
              <w:rPr>
                <w:b/>
                <w:i/>
                <w:u w:val="single"/>
              </w:rPr>
              <w:t>ā finansējuma maksimālajā apmērā, finansējuma saņēmējs papildu izmaksas sedz no paša rīcībā</w:t>
            </w:r>
            <w:r w:rsidRPr="005A13B0">
              <w:rPr>
                <w:b/>
                <w:u w:val="single"/>
              </w:rPr>
              <w:t xml:space="preserve"> esošajiem līdzekļiem.</w:t>
            </w:r>
          </w:p>
        </w:tc>
      </w:tr>
      <w:tr w14:paraId="47A8B12E" w14:textId="77777777" w:rsidTr="00DF3755">
        <w:tblPrEx>
          <w:tblW w:w="9635" w:type="dxa"/>
          <w:tblLook w:val="04A0"/>
        </w:tblPrEx>
        <w:tc>
          <w:tcPr>
            <w:tcW w:w="421" w:type="dxa"/>
          </w:tcPr>
          <w:p w:rsidR="00E635F8" w:rsidRPr="00F52FFA" w:rsidP="00E635F8" w14:paraId="2009D700" w14:textId="735CF62F">
            <w:r w:rsidRPr="00F52FFA">
              <w:t>3.</w:t>
            </w:r>
          </w:p>
        </w:tc>
        <w:tc>
          <w:tcPr>
            <w:tcW w:w="2126" w:type="dxa"/>
          </w:tcPr>
          <w:p w:rsidR="00E635F8" w:rsidRPr="00F52FFA" w:rsidP="00E635F8" w14:paraId="3489D944" w14:textId="77777777">
            <w:r w:rsidRPr="00F52FFA">
              <w:t>Projekta izstrādē iesaistītās institūcijas</w:t>
            </w:r>
          </w:p>
        </w:tc>
        <w:tc>
          <w:tcPr>
            <w:tcW w:w="7088" w:type="dxa"/>
          </w:tcPr>
          <w:p w:rsidR="00E635F8" w:rsidRPr="00F52FFA" w:rsidP="00E635F8" w14:paraId="2760DD5F" w14:textId="77777777">
            <w:r w:rsidRPr="00F52FFA">
              <w:rPr>
                <w:rFonts w:eastAsia="Times New Roman"/>
              </w:rPr>
              <w:t>Ekonomikas ministrija</w:t>
            </w:r>
          </w:p>
          <w:p w:rsidR="00E635F8" w:rsidRPr="00F52FFA" w:rsidP="00E635F8" w14:paraId="4A194CEB" w14:textId="77777777">
            <w:pPr>
              <w:ind w:firstLine="720"/>
            </w:pPr>
          </w:p>
        </w:tc>
      </w:tr>
      <w:tr w14:paraId="2FC70858" w14:textId="77777777" w:rsidTr="00DF3755">
        <w:tblPrEx>
          <w:tblW w:w="9635" w:type="dxa"/>
          <w:tblLook w:val="04A0"/>
        </w:tblPrEx>
        <w:tc>
          <w:tcPr>
            <w:tcW w:w="421" w:type="dxa"/>
          </w:tcPr>
          <w:p w:rsidR="00E635F8" w:rsidRPr="00F52FFA" w:rsidP="00E635F8" w14:paraId="2DA21B70" w14:textId="77777777">
            <w:r w:rsidRPr="00F52FFA">
              <w:t>4.</w:t>
            </w:r>
          </w:p>
        </w:tc>
        <w:tc>
          <w:tcPr>
            <w:tcW w:w="2126" w:type="dxa"/>
          </w:tcPr>
          <w:p w:rsidR="00E635F8" w:rsidRPr="00F52FFA" w:rsidP="00E635F8" w14:paraId="3F03567A" w14:textId="77777777">
            <w:r w:rsidRPr="00F52FFA">
              <w:t>Cita informācija</w:t>
            </w:r>
          </w:p>
        </w:tc>
        <w:tc>
          <w:tcPr>
            <w:tcW w:w="7088" w:type="dxa"/>
          </w:tcPr>
          <w:p w:rsidR="00E635F8" w:rsidRPr="00F52FFA" w:rsidP="00E635F8" w14:paraId="7E196866" w14:textId="77777777">
            <w:r w:rsidRPr="00F52FFA">
              <w:t>Nav</w:t>
            </w:r>
          </w:p>
        </w:tc>
      </w:tr>
    </w:tbl>
    <w:p w:rsidR="00B63EAD" w:rsidRPr="00F52FFA" w14:paraId="0197D20B" w14:textId="77777777"/>
    <w:tbl>
      <w:tblPr>
        <w:tblStyle w:val="TableGrid"/>
        <w:tblW w:w="9634" w:type="dxa"/>
        <w:tblLook w:val="04A0"/>
      </w:tblPr>
      <w:tblGrid>
        <w:gridCol w:w="421"/>
        <w:gridCol w:w="2126"/>
        <w:gridCol w:w="7087"/>
      </w:tblGrid>
      <w:tr w14:paraId="1E46E223" w14:textId="77777777" w:rsidTr="00F1588A">
        <w:tblPrEx>
          <w:tblW w:w="9634" w:type="dxa"/>
          <w:tblLook w:val="04A0"/>
        </w:tblPrEx>
        <w:tc>
          <w:tcPr>
            <w:tcW w:w="9634" w:type="dxa"/>
            <w:gridSpan w:val="3"/>
          </w:tcPr>
          <w:p w:rsidR="00120721" w:rsidRPr="00F52FFA" w:rsidP="00120721" w14:paraId="1378D9C4" w14:textId="77777777">
            <w:pPr>
              <w:jc w:val="center"/>
              <w:rPr>
                <w:b/>
              </w:rPr>
            </w:pPr>
            <w:r w:rsidRPr="00F52FFA">
              <w:rPr>
                <w:b/>
              </w:rPr>
              <w:t>II. Tiesību akta projekta ietekme uz sabiedrību, tautsaimniecības attīstību un administratīvo slogu</w:t>
            </w:r>
          </w:p>
        </w:tc>
      </w:tr>
      <w:tr w14:paraId="11B03473" w14:textId="77777777" w:rsidTr="00F1588A">
        <w:tblPrEx>
          <w:tblW w:w="9634" w:type="dxa"/>
          <w:tblLook w:val="04A0"/>
        </w:tblPrEx>
        <w:tc>
          <w:tcPr>
            <w:tcW w:w="421" w:type="dxa"/>
          </w:tcPr>
          <w:p w:rsidR="00CC2AC3" w:rsidRPr="00F52FFA" w:rsidP="00CC2AC3" w14:paraId="205E1975" w14:textId="77777777">
            <w:r w:rsidRPr="00F52FFA">
              <w:t>1.</w:t>
            </w:r>
          </w:p>
        </w:tc>
        <w:tc>
          <w:tcPr>
            <w:tcW w:w="2126" w:type="dxa"/>
          </w:tcPr>
          <w:p w:rsidR="00CC2AC3" w:rsidRPr="00F52FFA" w:rsidP="00CC2AC3" w14:paraId="55034E95" w14:textId="77777777">
            <w:r w:rsidRPr="00F52FFA">
              <w:t xml:space="preserve">Sabiedrības </w:t>
            </w:r>
            <w:r w:rsidRPr="00F52FFA">
              <w:t>mērķgrupas</w:t>
            </w:r>
            <w:r w:rsidRPr="00F52FFA">
              <w:t>, kuras tiesiskais regulējums ietekmē vai varētu ietekmēt</w:t>
            </w:r>
          </w:p>
        </w:tc>
        <w:tc>
          <w:tcPr>
            <w:tcW w:w="7087" w:type="dxa"/>
          </w:tcPr>
          <w:p w:rsidR="00CC2AC3" w:rsidRPr="00F52FFA" w:rsidP="00CC2AC3" w14:paraId="7AEA82FE" w14:textId="2FF1CFFE">
            <w:pPr>
              <w:autoSpaceDE w:val="0"/>
              <w:autoSpaceDN w:val="0"/>
              <w:jc w:val="both"/>
            </w:pPr>
            <w:r w:rsidRPr="009D1300">
              <w:rPr>
                <w:rFonts w:eastAsia="Times New Roman"/>
                <w:iCs/>
              </w:rPr>
              <w:t>Va</w:t>
            </w:r>
            <w:r>
              <w:rPr>
                <w:rFonts w:eastAsia="Times New Roman"/>
                <w:iCs/>
              </w:rPr>
              <w:t>lsts ēku īpašnieki un lietotāji.</w:t>
            </w:r>
          </w:p>
        </w:tc>
      </w:tr>
      <w:tr w14:paraId="2E5E80D4" w14:textId="77777777" w:rsidTr="00F1588A">
        <w:tblPrEx>
          <w:tblW w:w="9634" w:type="dxa"/>
          <w:tblLook w:val="04A0"/>
        </w:tblPrEx>
        <w:tc>
          <w:tcPr>
            <w:tcW w:w="421" w:type="dxa"/>
          </w:tcPr>
          <w:p w:rsidR="00CC2AC3" w:rsidRPr="00F52FFA" w:rsidP="00CC2AC3" w14:paraId="2FD8E217" w14:textId="66E12255">
            <w:r w:rsidRPr="00F52FFA">
              <w:t>2.</w:t>
            </w:r>
          </w:p>
        </w:tc>
        <w:tc>
          <w:tcPr>
            <w:tcW w:w="2126" w:type="dxa"/>
          </w:tcPr>
          <w:p w:rsidR="00CC2AC3" w:rsidRPr="00F52FFA" w:rsidP="00CC2AC3" w14:paraId="2E665CAE" w14:textId="77777777">
            <w:r w:rsidRPr="00F52FFA">
              <w:t>Tiesiskā regulējuma ietekme uz tautsaimniecību un administratīvo slogu</w:t>
            </w:r>
          </w:p>
        </w:tc>
        <w:tc>
          <w:tcPr>
            <w:tcW w:w="7087" w:type="dxa"/>
          </w:tcPr>
          <w:p w:rsidR="00CC2AC3" w:rsidRPr="00F52FFA" w:rsidP="008F58CE" w14:paraId="620D2C04" w14:textId="458C4541">
            <w:pPr>
              <w:jc w:val="both"/>
            </w:pPr>
            <w:r>
              <w:t>Sadarbības iestāde veiks vienošanās/līguma par ES fonda projekta īstenošanu</w:t>
            </w:r>
            <w:r w:rsidR="00DC3BF8">
              <w:t xml:space="preserve"> grozījumus</w:t>
            </w:r>
            <w:r>
              <w:t>, lai iestrādātu nosacījumus par attiecināmo izmaksu palielināšanu</w:t>
            </w:r>
            <w:r w:rsidR="00DC3BF8">
              <w:t xml:space="preserve"> periodā</w:t>
            </w:r>
            <w:r>
              <w:t xml:space="preserve"> pēc vienošanās</w:t>
            </w:r>
            <w:r w:rsidR="00541413">
              <w:t xml:space="preserve"> vai līguma</w:t>
            </w:r>
            <w:r>
              <w:t xml:space="preserve"> noslēgšanas</w:t>
            </w:r>
            <w:r w:rsidR="00541413">
              <w:t xml:space="preserve"> ar sadarbības iestādi</w:t>
            </w:r>
            <w:r>
              <w:t>.</w:t>
            </w:r>
          </w:p>
        </w:tc>
      </w:tr>
      <w:tr w14:paraId="201C1425" w14:textId="77777777" w:rsidTr="00F1588A">
        <w:tblPrEx>
          <w:tblW w:w="9634" w:type="dxa"/>
          <w:tblLook w:val="04A0"/>
        </w:tblPrEx>
        <w:tc>
          <w:tcPr>
            <w:tcW w:w="421" w:type="dxa"/>
          </w:tcPr>
          <w:p w:rsidR="00CC2AC3" w:rsidRPr="00F52FFA" w:rsidP="00CC2AC3" w14:paraId="7A8103A7" w14:textId="77777777">
            <w:r w:rsidRPr="00F52FFA">
              <w:t>3.</w:t>
            </w:r>
          </w:p>
        </w:tc>
        <w:tc>
          <w:tcPr>
            <w:tcW w:w="2126" w:type="dxa"/>
          </w:tcPr>
          <w:p w:rsidR="00CC2AC3" w:rsidRPr="00F52FFA" w:rsidP="00CC2AC3" w14:paraId="4276182D" w14:textId="77777777">
            <w:r w:rsidRPr="00F52FFA">
              <w:t>Administratīvo izmaksu monetārs novērtējums</w:t>
            </w:r>
          </w:p>
        </w:tc>
        <w:tc>
          <w:tcPr>
            <w:tcW w:w="7087" w:type="dxa"/>
          </w:tcPr>
          <w:p w:rsidR="00CC2AC3" w:rsidRPr="00F52FFA" w:rsidP="00CC2AC3" w14:paraId="478A4F96" w14:textId="0625A691">
            <w:pPr>
              <w:jc w:val="both"/>
            </w:pPr>
            <w:r>
              <w:rPr>
                <w:rFonts w:eastAsia="Times New Roman"/>
                <w:color w:val="000000"/>
              </w:rPr>
              <w:t>P</w:t>
            </w:r>
            <w:r w:rsidRPr="008B78B2">
              <w:rPr>
                <w:rFonts w:eastAsia="Times New Roman"/>
                <w:color w:val="000000"/>
              </w:rPr>
              <w:t>rojekts š</w:t>
            </w:r>
            <w:r>
              <w:rPr>
                <w:rFonts w:eastAsia="Times New Roman"/>
                <w:color w:val="000000"/>
              </w:rPr>
              <w:t>o jomu neskar.</w:t>
            </w:r>
          </w:p>
        </w:tc>
      </w:tr>
      <w:tr w14:paraId="18B95A31" w14:textId="77777777" w:rsidTr="00F1588A">
        <w:tblPrEx>
          <w:tblW w:w="9634" w:type="dxa"/>
          <w:tblLook w:val="04A0"/>
        </w:tblPrEx>
        <w:tc>
          <w:tcPr>
            <w:tcW w:w="421" w:type="dxa"/>
          </w:tcPr>
          <w:p w:rsidR="00CC2AC3" w:rsidRPr="00F52FFA" w:rsidP="00CC2AC3" w14:paraId="703DA36F" w14:textId="77777777">
            <w:r w:rsidRPr="00F52FFA">
              <w:t>4.</w:t>
            </w:r>
          </w:p>
        </w:tc>
        <w:tc>
          <w:tcPr>
            <w:tcW w:w="2126" w:type="dxa"/>
          </w:tcPr>
          <w:p w:rsidR="00CC2AC3" w:rsidRPr="00F52FFA" w:rsidP="00CC2AC3" w14:paraId="07B3CAEB" w14:textId="77777777">
            <w:r w:rsidRPr="00F52FFA">
              <w:t>Cita informācija</w:t>
            </w:r>
          </w:p>
        </w:tc>
        <w:tc>
          <w:tcPr>
            <w:tcW w:w="7087" w:type="dxa"/>
          </w:tcPr>
          <w:p w:rsidR="00CC2AC3" w:rsidRPr="00F52FFA" w:rsidP="00CC2AC3" w14:paraId="177C5AF0" w14:textId="488985DE">
            <w:r w:rsidRPr="008B78B2">
              <w:rPr>
                <w:rFonts w:eastAsia="Times New Roman"/>
                <w:color w:val="000000"/>
              </w:rPr>
              <w:t>Nav</w:t>
            </w:r>
          </w:p>
        </w:tc>
      </w:tr>
    </w:tbl>
    <w:p w:rsidR="003C76AF" w:rsidRPr="00F52FFA" w14:paraId="19C5DBB3" w14:textId="77777777"/>
    <w:tbl>
      <w:tblPr>
        <w:tblStyle w:val="TableGrid"/>
        <w:tblW w:w="11205" w:type="dxa"/>
        <w:tblInd w:w="-1433" w:type="dxa"/>
        <w:tblLayout w:type="fixed"/>
        <w:tblLook w:val="04A0"/>
      </w:tblPr>
      <w:tblGrid>
        <w:gridCol w:w="2054"/>
        <w:gridCol w:w="1349"/>
        <w:gridCol w:w="1276"/>
        <w:gridCol w:w="6"/>
        <w:gridCol w:w="1270"/>
        <w:gridCol w:w="1275"/>
        <w:gridCol w:w="6"/>
        <w:gridCol w:w="1270"/>
        <w:gridCol w:w="1276"/>
        <w:gridCol w:w="6"/>
        <w:gridCol w:w="1411"/>
        <w:gridCol w:w="6"/>
      </w:tblGrid>
      <w:tr w14:paraId="2D1B8E5B" w14:textId="77777777" w:rsidTr="00382AD9">
        <w:tblPrEx>
          <w:tblW w:w="11205" w:type="dxa"/>
          <w:tblInd w:w="-1433" w:type="dxa"/>
          <w:tblLayout w:type="fixed"/>
          <w:tblLook w:val="04A0"/>
        </w:tblPrEx>
        <w:tc>
          <w:tcPr>
            <w:tcW w:w="11205" w:type="dxa"/>
            <w:gridSpan w:val="12"/>
          </w:tcPr>
          <w:p w:rsidR="00382AD9" w:rsidRPr="00B81DE4" w:rsidP="001733FC" w14:paraId="08AE9876" w14:textId="77777777">
            <w:pPr>
              <w:spacing w:before="120" w:after="120"/>
              <w:jc w:val="center"/>
            </w:pPr>
            <w:r w:rsidRPr="00B81DE4">
              <w:rPr>
                <w:rFonts w:eastAsia="Times New Roman"/>
                <w:b/>
              </w:rPr>
              <w:t>III. Tiesību akta projekta ietekme uz valsts budžetu un pašvaldību budžetiem</w:t>
            </w:r>
          </w:p>
        </w:tc>
      </w:tr>
      <w:tr w14:paraId="21701D81" w14:textId="77777777" w:rsidTr="00382AD9">
        <w:tblPrEx>
          <w:tblW w:w="11205" w:type="dxa"/>
          <w:tblInd w:w="-1433" w:type="dxa"/>
          <w:tblLayout w:type="fixed"/>
          <w:tblLook w:val="04A0"/>
        </w:tblPrEx>
        <w:tc>
          <w:tcPr>
            <w:tcW w:w="2054" w:type="dxa"/>
            <w:vMerge w:val="restart"/>
            <w:vAlign w:val="center"/>
          </w:tcPr>
          <w:p w:rsidR="00382AD9" w:rsidRPr="00B81DE4" w:rsidP="001733FC" w14:paraId="15310856" w14:textId="77777777">
            <w:pPr>
              <w:jc w:val="center"/>
              <w:rPr>
                <w:rFonts w:eastAsia="Times New Roman"/>
                <w:b/>
              </w:rPr>
            </w:pPr>
            <w:r w:rsidRPr="00B81DE4">
              <w:rPr>
                <w:rFonts w:eastAsia="Times New Roman"/>
                <w:b/>
              </w:rPr>
              <w:t>Rādītāji</w:t>
            </w:r>
          </w:p>
        </w:tc>
        <w:tc>
          <w:tcPr>
            <w:tcW w:w="2631" w:type="dxa"/>
            <w:gridSpan w:val="3"/>
            <w:vMerge w:val="restart"/>
            <w:vAlign w:val="center"/>
          </w:tcPr>
          <w:p w:rsidR="00382AD9" w:rsidRPr="00B81DE4" w:rsidP="001733FC" w14:paraId="15198577" w14:textId="77777777">
            <w:pPr>
              <w:spacing w:before="120" w:after="120"/>
              <w:jc w:val="center"/>
              <w:rPr>
                <w:b/>
              </w:rPr>
            </w:pPr>
            <w:r w:rsidRPr="00B81DE4">
              <w:rPr>
                <w:rFonts w:eastAsia="Times New Roman"/>
                <w:b/>
              </w:rPr>
              <w:t>2018.gads</w:t>
            </w:r>
          </w:p>
        </w:tc>
        <w:tc>
          <w:tcPr>
            <w:tcW w:w="6520" w:type="dxa"/>
            <w:gridSpan w:val="8"/>
            <w:vAlign w:val="center"/>
          </w:tcPr>
          <w:p w:rsidR="00382AD9" w:rsidRPr="00B81DE4" w:rsidP="001733FC" w14:paraId="0F21DEE1" w14:textId="77777777">
            <w:pPr>
              <w:tabs>
                <w:tab w:val="left" w:pos="1792"/>
              </w:tabs>
              <w:spacing w:before="120" w:after="120"/>
            </w:pPr>
            <w:r w:rsidRPr="00B81DE4">
              <w:tab/>
            </w:r>
            <w:r w:rsidRPr="00B81DE4">
              <w:rPr>
                <w:rFonts w:eastAsia="Times New Roman"/>
                <w:b/>
              </w:rPr>
              <w:t>Turpmākie trīs gadi (</w:t>
            </w:r>
            <w:r w:rsidRPr="00B81DE4">
              <w:rPr>
                <w:rFonts w:eastAsia="Times New Roman"/>
                <w:b/>
                <w:i/>
              </w:rPr>
              <w:t>euro</w:t>
            </w:r>
            <w:r w:rsidRPr="00B81DE4">
              <w:rPr>
                <w:rFonts w:eastAsia="Times New Roman"/>
                <w:b/>
              </w:rPr>
              <w:t>)</w:t>
            </w:r>
          </w:p>
        </w:tc>
      </w:tr>
      <w:tr w14:paraId="1CA25FD2" w14:textId="77777777" w:rsidTr="00382AD9">
        <w:tblPrEx>
          <w:tblW w:w="11205" w:type="dxa"/>
          <w:tblInd w:w="-1433" w:type="dxa"/>
          <w:tblLayout w:type="fixed"/>
          <w:tblLook w:val="04A0"/>
        </w:tblPrEx>
        <w:tc>
          <w:tcPr>
            <w:tcW w:w="2054" w:type="dxa"/>
            <w:vMerge/>
            <w:vAlign w:val="center"/>
          </w:tcPr>
          <w:p w:rsidR="00382AD9" w:rsidRPr="00B81DE4" w:rsidP="001733FC" w14:paraId="6528A771" w14:textId="77777777"/>
        </w:tc>
        <w:tc>
          <w:tcPr>
            <w:tcW w:w="2631" w:type="dxa"/>
            <w:gridSpan w:val="3"/>
            <w:vMerge/>
            <w:vAlign w:val="center"/>
          </w:tcPr>
          <w:p w:rsidR="00382AD9" w:rsidRPr="00B81DE4" w:rsidP="001733FC" w14:paraId="63AC8220" w14:textId="77777777">
            <w:pPr>
              <w:spacing w:before="120" w:after="120"/>
            </w:pPr>
          </w:p>
        </w:tc>
        <w:tc>
          <w:tcPr>
            <w:tcW w:w="2551" w:type="dxa"/>
            <w:gridSpan w:val="3"/>
            <w:vAlign w:val="center"/>
          </w:tcPr>
          <w:p w:rsidR="00382AD9" w:rsidRPr="00B81DE4" w:rsidP="001733FC" w14:paraId="6C08EAED" w14:textId="77777777">
            <w:pPr>
              <w:spacing w:before="120" w:after="120"/>
              <w:jc w:val="center"/>
              <w:rPr>
                <w:b/>
              </w:rPr>
            </w:pPr>
            <w:r w:rsidRPr="00B81DE4">
              <w:rPr>
                <w:b/>
              </w:rPr>
              <w:t>2019.gads</w:t>
            </w:r>
          </w:p>
        </w:tc>
        <w:tc>
          <w:tcPr>
            <w:tcW w:w="2552" w:type="dxa"/>
            <w:gridSpan w:val="3"/>
            <w:vAlign w:val="center"/>
          </w:tcPr>
          <w:p w:rsidR="00382AD9" w:rsidRPr="00B81DE4" w:rsidP="001733FC" w14:paraId="2D29761E" w14:textId="77777777">
            <w:pPr>
              <w:spacing w:before="120" w:after="120"/>
              <w:jc w:val="center"/>
              <w:rPr>
                <w:b/>
              </w:rPr>
            </w:pPr>
            <w:r w:rsidRPr="00B81DE4">
              <w:rPr>
                <w:b/>
              </w:rPr>
              <w:t>2020.gads</w:t>
            </w:r>
          </w:p>
        </w:tc>
        <w:tc>
          <w:tcPr>
            <w:tcW w:w="1417" w:type="dxa"/>
            <w:gridSpan w:val="2"/>
            <w:vAlign w:val="center"/>
          </w:tcPr>
          <w:p w:rsidR="00382AD9" w:rsidRPr="00B81DE4" w:rsidP="001733FC" w14:paraId="2AA525A8" w14:textId="77777777">
            <w:pPr>
              <w:spacing w:before="120" w:after="120"/>
              <w:jc w:val="center"/>
              <w:rPr>
                <w:b/>
              </w:rPr>
            </w:pPr>
            <w:r w:rsidRPr="00B81DE4">
              <w:rPr>
                <w:b/>
              </w:rPr>
              <w:t>2021.gads</w:t>
            </w:r>
          </w:p>
        </w:tc>
      </w:tr>
      <w:tr w14:paraId="6E4275DC" w14:textId="77777777" w:rsidTr="00382AD9">
        <w:tblPrEx>
          <w:tblW w:w="11205" w:type="dxa"/>
          <w:tblInd w:w="-1433" w:type="dxa"/>
          <w:tblLayout w:type="fixed"/>
          <w:tblLook w:val="04A0"/>
        </w:tblPrEx>
        <w:trPr>
          <w:gridAfter w:val="1"/>
          <w:wAfter w:w="6" w:type="dxa"/>
        </w:trPr>
        <w:tc>
          <w:tcPr>
            <w:tcW w:w="2054" w:type="dxa"/>
            <w:vMerge/>
            <w:vAlign w:val="center"/>
          </w:tcPr>
          <w:p w:rsidR="00382AD9" w:rsidRPr="00B81DE4" w:rsidP="001733FC" w14:paraId="1C42C133" w14:textId="77777777"/>
        </w:tc>
        <w:tc>
          <w:tcPr>
            <w:tcW w:w="1349" w:type="dxa"/>
            <w:vAlign w:val="center"/>
          </w:tcPr>
          <w:p w:rsidR="00382AD9" w:rsidRPr="00B81DE4" w:rsidP="001733FC" w14:paraId="47FA8710" w14:textId="77777777">
            <w:pPr>
              <w:jc w:val="center"/>
            </w:pPr>
            <w:r w:rsidRPr="00B81DE4">
              <w:rPr>
                <w:rFonts w:eastAsia="Times New Roman"/>
              </w:rPr>
              <w:t>saskaņā ar valsts budžetu kārtējam gadam</w:t>
            </w:r>
          </w:p>
        </w:tc>
        <w:tc>
          <w:tcPr>
            <w:tcW w:w="1276" w:type="dxa"/>
            <w:vAlign w:val="center"/>
          </w:tcPr>
          <w:p w:rsidR="00382AD9" w:rsidRPr="00B81DE4" w:rsidP="001733FC" w14:paraId="711C39DD" w14:textId="77777777">
            <w:pPr>
              <w:jc w:val="center"/>
            </w:pPr>
            <w:r w:rsidRPr="00B81DE4">
              <w:rPr>
                <w:rFonts w:eastAsia="Times New Roman"/>
              </w:rPr>
              <w:t>izmaiņas kārtējā gadā, salīdzinot ar valsts budžetu kārtējam gadam</w:t>
            </w:r>
          </w:p>
        </w:tc>
        <w:tc>
          <w:tcPr>
            <w:tcW w:w="1276" w:type="dxa"/>
            <w:gridSpan w:val="2"/>
            <w:vAlign w:val="center"/>
          </w:tcPr>
          <w:p w:rsidR="00382AD9" w:rsidRPr="00B81DE4" w:rsidP="001733FC" w14:paraId="62E4D74F" w14:textId="77777777">
            <w:pPr>
              <w:jc w:val="center"/>
            </w:pPr>
            <w:r w:rsidRPr="00B81DE4">
              <w:rPr>
                <w:rFonts w:eastAsia="Times New Roman"/>
              </w:rPr>
              <w:t>saskaņā ar vidēja termiņa budžeta ietvaru</w:t>
            </w:r>
          </w:p>
        </w:tc>
        <w:tc>
          <w:tcPr>
            <w:tcW w:w="1275" w:type="dxa"/>
            <w:vAlign w:val="center"/>
          </w:tcPr>
          <w:p w:rsidR="00382AD9" w:rsidRPr="00B81DE4" w:rsidP="001733FC" w14:paraId="0024CDA4" w14:textId="77777777">
            <w:pPr>
              <w:jc w:val="center"/>
            </w:pPr>
            <w:r w:rsidRPr="00B81DE4">
              <w:t>izmaiņas, salīdzinot ar vidēja termiņa budžeta ietvaru 2019. gadam</w:t>
            </w:r>
          </w:p>
        </w:tc>
        <w:tc>
          <w:tcPr>
            <w:tcW w:w="1276" w:type="dxa"/>
            <w:gridSpan w:val="2"/>
            <w:vAlign w:val="center"/>
          </w:tcPr>
          <w:p w:rsidR="00382AD9" w:rsidRPr="00B81DE4" w:rsidP="001733FC" w14:paraId="1EF1BB30" w14:textId="77777777">
            <w:pPr>
              <w:jc w:val="center"/>
            </w:pPr>
            <w:r w:rsidRPr="00B81DE4">
              <w:rPr>
                <w:rFonts w:eastAsia="Times New Roman"/>
              </w:rPr>
              <w:t>saskaņā ar vidēja termiņa budžeta ietvaru</w:t>
            </w:r>
          </w:p>
        </w:tc>
        <w:tc>
          <w:tcPr>
            <w:tcW w:w="1276" w:type="dxa"/>
            <w:vAlign w:val="center"/>
          </w:tcPr>
          <w:p w:rsidR="00382AD9" w:rsidRPr="00B81DE4" w:rsidP="001733FC" w14:paraId="3AA6D32B" w14:textId="77777777">
            <w:pPr>
              <w:jc w:val="center"/>
            </w:pPr>
            <w:r w:rsidRPr="00B81DE4">
              <w:t>izmaiņas, salīdzinot ar vidēja termiņa budžeta ietvaru 2020. gadam</w:t>
            </w:r>
          </w:p>
        </w:tc>
        <w:tc>
          <w:tcPr>
            <w:tcW w:w="1417" w:type="dxa"/>
            <w:gridSpan w:val="2"/>
            <w:vAlign w:val="center"/>
          </w:tcPr>
          <w:p w:rsidR="00382AD9" w:rsidRPr="00B81DE4" w:rsidP="001733FC" w14:paraId="2CFFD95C" w14:textId="77777777">
            <w:pPr>
              <w:jc w:val="center"/>
            </w:pPr>
            <w:r w:rsidRPr="00B81DE4">
              <w:rPr>
                <w:rFonts w:eastAsia="Times New Roman"/>
              </w:rPr>
              <w:t>izmaiņas, salīdzinot ar vidēja termiņa budžeta ietvaru 2021. gadam</w:t>
            </w:r>
          </w:p>
        </w:tc>
      </w:tr>
      <w:tr w14:paraId="4D0AE9DC" w14:textId="77777777" w:rsidTr="00382AD9">
        <w:tblPrEx>
          <w:tblW w:w="11205" w:type="dxa"/>
          <w:tblInd w:w="-1433" w:type="dxa"/>
          <w:tblLayout w:type="fixed"/>
          <w:tblLook w:val="04A0"/>
        </w:tblPrEx>
        <w:trPr>
          <w:gridAfter w:val="1"/>
          <w:wAfter w:w="6" w:type="dxa"/>
        </w:trPr>
        <w:tc>
          <w:tcPr>
            <w:tcW w:w="2054" w:type="dxa"/>
            <w:vAlign w:val="center"/>
          </w:tcPr>
          <w:p w:rsidR="00382AD9" w:rsidRPr="00B81DE4" w:rsidP="001733FC" w14:paraId="06B07827" w14:textId="77777777">
            <w:pPr>
              <w:jc w:val="center"/>
            </w:pPr>
            <w:r w:rsidRPr="00B81DE4">
              <w:t>1</w:t>
            </w:r>
          </w:p>
        </w:tc>
        <w:tc>
          <w:tcPr>
            <w:tcW w:w="1349" w:type="dxa"/>
            <w:vAlign w:val="center"/>
          </w:tcPr>
          <w:p w:rsidR="00382AD9" w:rsidRPr="00B81DE4" w:rsidP="001733FC" w14:paraId="3AFE3421" w14:textId="77777777">
            <w:pPr>
              <w:jc w:val="center"/>
            </w:pPr>
            <w:r w:rsidRPr="00B81DE4">
              <w:t>2</w:t>
            </w:r>
          </w:p>
        </w:tc>
        <w:tc>
          <w:tcPr>
            <w:tcW w:w="1276" w:type="dxa"/>
            <w:vAlign w:val="center"/>
          </w:tcPr>
          <w:p w:rsidR="00382AD9" w:rsidRPr="00B81DE4" w:rsidP="001733FC" w14:paraId="4522A629" w14:textId="77777777">
            <w:pPr>
              <w:jc w:val="center"/>
            </w:pPr>
            <w:r w:rsidRPr="00B81DE4">
              <w:t>3</w:t>
            </w:r>
          </w:p>
        </w:tc>
        <w:tc>
          <w:tcPr>
            <w:tcW w:w="1276" w:type="dxa"/>
            <w:gridSpan w:val="2"/>
            <w:vAlign w:val="center"/>
          </w:tcPr>
          <w:p w:rsidR="00382AD9" w:rsidRPr="00B81DE4" w:rsidP="001733FC" w14:paraId="5D4D5A5E" w14:textId="77777777">
            <w:pPr>
              <w:jc w:val="center"/>
            </w:pPr>
            <w:r w:rsidRPr="00B81DE4">
              <w:t>4</w:t>
            </w:r>
          </w:p>
        </w:tc>
        <w:tc>
          <w:tcPr>
            <w:tcW w:w="1275" w:type="dxa"/>
            <w:vAlign w:val="center"/>
          </w:tcPr>
          <w:p w:rsidR="00382AD9" w:rsidRPr="00B81DE4" w:rsidP="001733FC" w14:paraId="7B90C26E" w14:textId="77777777">
            <w:pPr>
              <w:jc w:val="center"/>
            </w:pPr>
            <w:r w:rsidRPr="00B81DE4">
              <w:t>5</w:t>
            </w:r>
          </w:p>
        </w:tc>
        <w:tc>
          <w:tcPr>
            <w:tcW w:w="1276" w:type="dxa"/>
            <w:gridSpan w:val="2"/>
            <w:vAlign w:val="center"/>
          </w:tcPr>
          <w:p w:rsidR="00382AD9" w:rsidRPr="00B81DE4" w:rsidP="001733FC" w14:paraId="7B7FE095" w14:textId="77777777">
            <w:pPr>
              <w:jc w:val="center"/>
            </w:pPr>
            <w:r w:rsidRPr="00B81DE4">
              <w:t>6</w:t>
            </w:r>
          </w:p>
        </w:tc>
        <w:tc>
          <w:tcPr>
            <w:tcW w:w="1276" w:type="dxa"/>
            <w:vAlign w:val="center"/>
          </w:tcPr>
          <w:p w:rsidR="00382AD9" w:rsidRPr="00B81DE4" w:rsidP="001733FC" w14:paraId="73D7A03F" w14:textId="77777777">
            <w:pPr>
              <w:jc w:val="center"/>
            </w:pPr>
            <w:r w:rsidRPr="00B81DE4">
              <w:t>7</w:t>
            </w:r>
          </w:p>
        </w:tc>
        <w:tc>
          <w:tcPr>
            <w:tcW w:w="1417" w:type="dxa"/>
            <w:gridSpan w:val="2"/>
            <w:vAlign w:val="center"/>
          </w:tcPr>
          <w:p w:rsidR="00382AD9" w:rsidRPr="00B81DE4" w:rsidP="001733FC" w14:paraId="322B9549" w14:textId="77777777">
            <w:pPr>
              <w:jc w:val="center"/>
            </w:pPr>
            <w:r w:rsidRPr="00B81DE4">
              <w:t>8</w:t>
            </w:r>
          </w:p>
        </w:tc>
      </w:tr>
      <w:tr w14:paraId="18F9E718" w14:textId="77777777" w:rsidTr="002B16F8">
        <w:tblPrEx>
          <w:tblW w:w="11205" w:type="dxa"/>
          <w:tblInd w:w="-1433" w:type="dxa"/>
          <w:tblLayout w:type="fixed"/>
          <w:tblLook w:val="04A0"/>
        </w:tblPrEx>
        <w:trPr>
          <w:gridAfter w:val="1"/>
          <w:wAfter w:w="6" w:type="dxa"/>
        </w:trPr>
        <w:tc>
          <w:tcPr>
            <w:tcW w:w="2054" w:type="dxa"/>
          </w:tcPr>
          <w:p w:rsidR="00945DB4" w:rsidRPr="00B81DE4" w:rsidP="00945DB4" w14:paraId="36BA7CAE" w14:textId="77777777">
            <w:r w:rsidRPr="00B81DE4">
              <w:rPr>
                <w:rFonts w:eastAsia="Times New Roman"/>
              </w:rPr>
              <w:t>1. Budžeta ieņēmumi:</w:t>
            </w:r>
          </w:p>
        </w:tc>
        <w:tc>
          <w:tcPr>
            <w:tcW w:w="1349" w:type="dxa"/>
            <w:vAlign w:val="center"/>
          </w:tcPr>
          <w:p w:rsidR="00945DB4" w:rsidRPr="006A5D1A" w:rsidP="00945DB4" w14:paraId="2B4DFE4C" w14:textId="7BE2F848">
            <w:pPr>
              <w:contextualSpacing/>
              <w:jc w:val="center"/>
              <w:rPr>
                <w:rFonts w:eastAsia="Times New Roman"/>
                <w:sz w:val="22"/>
                <w:szCs w:val="22"/>
              </w:rPr>
            </w:pPr>
            <w:r w:rsidRPr="006A5D1A">
              <w:rPr>
                <w:rFonts w:eastAsia="Times New Roman"/>
                <w:sz w:val="22"/>
                <w:szCs w:val="22"/>
              </w:rPr>
              <w:t>12 750 000</w:t>
            </w:r>
          </w:p>
        </w:tc>
        <w:tc>
          <w:tcPr>
            <w:tcW w:w="1276" w:type="dxa"/>
            <w:vAlign w:val="center"/>
          </w:tcPr>
          <w:p w:rsidR="00945DB4" w:rsidRPr="006A5D1A" w:rsidP="00945DB4" w14:paraId="6A217057" w14:textId="58CE37C1">
            <w:pPr>
              <w:contextualSpacing/>
              <w:jc w:val="center"/>
              <w:rPr>
                <w:rFonts w:eastAsia="Times New Roman"/>
                <w:sz w:val="22"/>
                <w:szCs w:val="22"/>
              </w:rPr>
            </w:pPr>
            <w:r w:rsidRPr="006A5D1A">
              <w:rPr>
                <w:rFonts w:eastAsia="Times New Roman"/>
                <w:sz w:val="22"/>
                <w:szCs w:val="22"/>
              </w:rPr>
              <w:t>0</w:t>
            </w:r>
          </w:p>
        </w:tc>
        <w:tc>
          <w:tcPr>
            <w:tcW w:w="1276" w:type="dxa"/>
            <w:gridSpan w:val="2"/>
            <w:vAlign w:val="center"/>
          </w:tcPr>
          <w:p w:rsidR="00945DB4" w:rsidRPr="006A5D1A" w:rsidP="00945DB4" w14:paraId="1FDFA56E" w14:textId="0DE107EF">
            <w:pPr>
              <w:contextualSpacing/>
              <w:jc w:val="center"/>
              <w:rPr>
                <w:rFonts w:eastAsia="Times New Roman"/>
                <w:sz w:val="22"/>
                <w:szCs w:val="22"/>
              </w:rPr>
            </w:pPr>
            <w:r w:rsidRPr="006A5D1A">
              <w:rPr>
                <w:rFonts w:eastAsia="Times New Roman"/>
                <w:sz w:val="22"/>
                <w:szCs w:val="22"/>
              </w:rPr>
              <w:t>12 750 000</w:t>
            </w:r>
          </w:p>
        </w:tc>
        <w:tc>
          <w:tcPr>
            <w:tcW w:w="1275" w:type="dxa"/>
            <w:vAlign w:val="center"/>
          </w:tcPr>
          <w:p w:rsidR="00945DB4" w:rsidRPr="006A5D1A" w:rsidP="00945DB4" w14:paraId="61DA2F0C" w14:textId="314DC833">
            <w:pPr>
              <w:contextualSpacing/>
              <w:jc w:val="center"/>
              <w:rPr>
                <w:rFonts w:eastAsia="Times New Roman"/>
                <w:sz w:val="22"/>
                <w:szCs w:val="22"/>
              </w:rPr>
            </w:pPr>
            <w:r>
              <w:rPr>
                <w:rFonts w:eastAsia="Times New Roman"/>
                <w:sz w:val="22"/>
                <w:szCs w:val="22"/>
              </w:rPr>
              <w:t>0</w:t>
            </w:r>
          </w:p>
        </w:tc>
        <w:tc>
          <w:tcPr>
            <w:tcW w:w="1276" w:type="dxa"/>
            <w:gridSpan w:val="2"/>
            <w:vAlign w:val="center"/>
          </w:tcPr>
          <w:p w:rsidR="00945DB4" w:rsidRPr="006A5D1A" w:rsidP="00945DB4" w14:paraId="0A4BC125" w14:textId="3520FA14">
            <w:pPr>
              <w:contextualSpacing/>
              <w:jc w:val="center"/>
              <w:rPr>
                <w:rFonts w:eastAsia="Times New Roman"/>
                <w:sz w:val="22"/>
                <w:szCs w:val="22"/>
              </w:rPr>
            </w:pPr>
            <w:r w:rsidRPr="006A5D1A">
              <w:rPr>
                <w:rFonts w:eastAsia="Times New Roman"/>
                <w:sz w:val="22"/>
                <w:szCs w:val="22"/>
              </w:rPr>
              <w:t>12 750 000</w:t>
            </w:r>
          </w:p>
        </w:tc>
        <w:tc>
          <w:tcPr>
            <w:tcW w:w="1276" w:type="dxa"/>
            <w:vAlign w:val="center"/>
          </w:tcPr>
          <w:p w:rsidR="00945DB4" w:rsidRPr="006A5D1A" w:rsidP="00855167" w14:paraId="173D5D7E" w14:textId="10061F7B">
            <w:pPr>
              <w:contextualSpacing/>
              <w:jc w:val="center"/>
              <w:rPr>
                <w:rFonts w:eastAsia="Times New Roman"/>
                <w:sz w:val="22"/>
                <w:szCs w:val="22"/>
              </w:rPr>
            </w:pPr>
            <w:r>
              <w:rPr>
                <w:rFonts w:eastAsia="Times New Roman"/>
                <w:sz w:val="22"/>
                <w:szCs w:val="22"/>
              </w:rPr>
              <w:t>-</w:t>
            </w:r>
            <w:r w:rsidR="00855167">
              <w:rPr>
                <w:rFonts w:eastAsia="Times New Roman"/>
                <w:sz w:val="22"/>
                <w:szCs w:val="22"/>
              </w:rPr>
              <w:t>1 844 854</w:t>
            </w:r>
          </w:p>
        </w:tc>
        <w:tc>
          <w:tcPr>
            <w:tcW w:w="1417" w:type="dxa"/>
            <w:gridSpan w:val="2"/>
            <w:vAlign w:val="center"/>
          </w:tcPr>
          <w:p w:rsidR="00945DB4" w:rsidRPr="006A5D1A" w:rsidP="00945DB4" w14:paraId="28387554" w14:textId="55F258B8">
            <w:pPr>
              <w:contextualSpacing/>
              <w:jc w:val="center"/>
              <w:rPr>
                <w:rFonts w:eastAsia="Times New Roman"/>
                <w:sz w:val="22"/>
                <w:szCs w:val="22"/>
              </w:rPr>
            </w:pPr>
            <w:r>
              <w:rPr>
                <w:rFonts w:eastAsia="Times New Roman"/>
                <w:sz w:val="22"/>
                <w:szCs w:val="22"/>
              </w:rPr>
              <w:t>0</w:t>
            </w:r>
          </w:p>
        </w:tc>
      </w:tr>
      <w:tr w14:paraId="3CFFC8FB" w14:textId="77777777" w:rsidTr="002B16F8">
        <w:tblPrEx>
          <w:tblW w:w="11205" w:type="dxa"/>
          <w:tblInd w:w="-1433" w:type="dxa"/>
          <w:tblLayout w:type="fixed"/>
          <w:tblLook w:val="04A0"/>
        </w:tblPrEx>
        <w:trPr>
          <w:gridAfter w:val="1"/>
          <w:wAfter w:w="6" w:type="dxa"/>
        </w:trPr>
        <w:tc>
          <w:tcPr>
            <w:tcW w:w="2054" w:type="dxa"/>
          </w:tcPr>
          <w:p w:rsidR="00855167" w:rsidRPr="00B81DE4" w:rsidP="00855167" w14:paraId="46233373" w14:textId="77777777">
            <w:r w:rsidRPr="00B81DE4">
              <w:t>1.1. valsts pamatbudžets, tai skaitā ieņēmumi no maksas pakalpojumiem un citi pašu ieņēmumi</w:t>
            </w:r>
          </w:p>
        </w:tc>
        <w:tc>
          <w:tcPr>
            <w:tcW w:w="1349" w:type="dxa"/>
            <w:vAlign w:val="center"/>
          </w:tcPr>
          <w:p w:rsidR="00855167" w:rsidRPr="006A5D1A" w:rsidP="00855167" w14:paraId="4F79914D" w14:textId="187BB0DA">
            <w:pPr>
              <w:contextualSpacing/>
              <w:jc w:val="center"/>
              <w:rPr>
                <w:rFonts w:eastAsia="Times New Roman"/>
                <w:sz w:val="22"/>
                <w:szCs w:val="22"/>
              </w:rPr>
            </w:pPr>
            <w:r w:rsidRPr="006A5D1A">
              <w:rPr>
                <w:rFonts w:eastAsia="Times New Roman"/>
                <w:sz w:val="22"/>
                <w:szCs w:val="22"/>
              </w:rPr>
              <w:t>12 750 000</w:t>
            </w:r>
          </w:p>
        </w:tc>
        <w:tc>
          <w:tcPr>
            <w:tcW w:w="1276" w:type="dxa"/>
            <w:vAlign w:val="center"/>
          </w:tcPr>
          <w:p w:rsidR="00855167" w:rsidRPr="006A5D1A" w:rsidP="00855167" w14:paraId="05C81E9A" w14:textId="017EC5F9">
            <w:pPr>
              <w:contextualSpacing/>
              <w:jc w:val="center"/>
              <w:rPr>
                <w:rFonts w:eastAsia="Times New Roman"/>
                <w:sz w:val="22"/>
                <w:szCs w:val="22"/>
              </w:rPr>
            </w:pPr>
            <w:r>
              <w:rPr>
                <w:rFonts w:eastAsia="Times New Roman"/>
                <w:sz w:val="22"/>
                <w:szCs w:val="22"/>
              </w:rPr>
              <w:t>0</w:t>
            </w:r>
          </w:p>
        </w:tc>
        <w:tc>
          <w:tcPr>
            <w:tcW w:w="1276" w:type="dxa"/>
            <w:gridSpan w:val="2"/>
            <w:vAlign w:val="center"/>
          </w:tcPr>
          <w:p w:rsidR="00855167" w:rsidRPr="006A5D1A" w:rsidP="00855167" w14:paraId="694AB570" w14:textId="7040CD9B">
            <w:pPr>
              <w:contextualSpacing/>
              <w:jc w:val="center"/>
              <w:rPr>
                <w:rFonts w:eastAsia="Times New Roman"/>
                <w:sz w:val="22"/>
                <w:szCs w:val="22"/>
              </w:rPr>
            </w:pPr>
            <w:r w:rsidRPr="006A5D1A">
              <w:rPr>
                <w:rFonts w:eastAsia="Times New Roman"/>
                <w:sz w:val="22"/>
                <w:szCs w:val="22"/>
              </w:rPr>
              <w:t>12 750 000</w:t>
            </w:r>
          </w:p>
        </w:tc>
        <w:tc>
          <w:tcPr>
            <w:tcW w:w="1275" w:type="dxa"/>
            <w:vAlign w:val="center"/>
          </w:tcPr>
          <w:p w:rsidR="00855167" w:rsidRPr="006A5D1A" w:rsidP="00855167" w14:paraId="721F6C11" w14:textId="4D427D09">
            <w:pPr>
              <w:contextualSpacing/>
              <w:jc w:val="center"/>
              <w:rPr>
                <w:rFonts w:eastAsia="Times New Roman"/>
                <w:sz w:val="22"/>
                <w:szCs w:val="22"/>
              </w:rPr>
            </w:pPr>
            <w:r>
              <w:rPr>
                <w:rFonts w:eastAsia="Times New Roman"/>
                <w:sz w:val="22"/>
                <w:szCs w:val="22"/>
              </w:rPr>
              <w:t>0</w:t>
            </w:r>
          </w:p>
        </w:tc>
        <w:tc>
          <w:tcPr>
            <w:tcW w:w="1276" w:type="dxa"/>
            <w:gridSpan w:val="2"/>
            <w:vAlign w:val="center"/>
          </w:tcPr>
          <w:p w:rsidR="00855167" w:rsidRPr="006A5D1A" w:rsidP="00855167" w14:paraId="3A81B4F9" w14:textId="5DA1D1F2">
            <w:pPr>
              <w:contextualSpacing/>
              <w:jc w:val="center"/>
              <w:rPr>
                <w:rFonts w:eastAsia="Times New Roman"/>
                <w:sz w:val="22"/>
                <w:szCs w:val="22"/>
              </w:rPr>
            </w:pPr>
            <w:r w:rsidRPr="006A5D1A">
              <w:rPr>
                <w:rFonts w:eastAsia="Times New Roman"/>
                <w:sz w:val="22"/>
                <w:szCs w:val="22"/>
              </w:rPr>
              <w:t>12 750 000</w:t>
            </w:r>
          </w:p>
        </w:tc>
        <w:tc>
          <w:tcPr>
            <w:tcW w:w="1276" w:type="dxa"/>
            <w:vAlign w:val="center"/>
          </w:tcPr>
          <w:p w:rsidR="00855167" w:rsidRPr="006A5D1A" w:rsidP="00855167" w14:paraId="1D088468" w14:textId="0AC39538">
            <w:pPr>
              <w:contextualSpacing/>
              <w:jc w:val="center"/>
              <w:rPr>
                <w:rFonts w:eastAsia="Times New Roman"/>
                <w:sz w:val="22"/>
                <w:szCs w:val="22"/>
              </w:rPr>
            </w:pPr>
            <w:r>
              <w:rPr>
                <w:rFonts w:eastAsia="Times New Roman"/>
                <w:sz w:val="22"/>
                <w:szCs w:val="22"/>
              </w:rPr>
              <w:t>-1 844 854</w:t>
            </w:r>
          </w:p>
        </w:tc>
        <w:tc>
          <w:tcPr>
            <w:tcW w:w="1417" w:type="dxa"/>
            <w:gridSpan w:val="2"/>
            <w:vAlign w:val="center"/>
          </w:tcPr>
          <w:p w:rsidR="00855167" w:rsidRPr="006A5D1A" w:rsidP="00855167" w14:paraId="6ACC5C5A" w14:textId="0C403BBF">
            <w:pPr>
              <w:contextualSpacing/>
              <w:jc w:val="center"/>
              <w:rPr>
                <w:rFonts w:eastAsia="Times New Roman"/>
                <w:sz w:val="22"/>
                <w:szCs w:val="22"/>
              </w:rPr>
            </w:pPr>
            <w:r>
              <w:rPr>
                <w:rFonts w:eastAsia="Times New Roman"/>
                <w:sz w:val="22"/>
                <w:szCs w:val="22"/>
              </w:rPr>
              <w:t>0</w:t>
            </w:r>
          </w:p>
        </w:tc>
      </w:tr>
      <w:tr w14:paraId="3DA49075" w14:textId="77777777" w:rsidTr="002B16F8">
        <w:tblPrEx>
          <w:tblW w:w="11205" w:type="dxa"/>
          <w:tblInd w:w="-1433" w:type="dxa"/>
          <w:tblLayout w:type="fixed"/>
          <w:tblLook w:val="04A0"/>
        </w:tblPrEx>
        <w:trPr>
          <w:gridAfter w:val="1"/>
          <w:wAfter w:w="6" w:type="dxa"/>
        </w:trPr>
        <w:tc>
          <w:tcPr>
            <w:tcW w:w="2054" w:type="dxa"/>
          </w:tcPr>
          <w:p w:rsidR="00382AD9" w:rsidRPr="00B81DE4" w:rsidP="001733FC" w14:paraId="3BCE0865" w14:textId="77777777">
            <w:r w:rsidRPr="00B81DE4">
              <w:t>1.2. valsts speciālais budžets</w:t>
            </w:r>
          </w:p>
        </w:tc>
        <w:tc>
          <w:tcPr>
            <w:tcW w:w="1349" w:type="dxa"/>
            <w:vAlign w:val="center"/>
          </w:tcPr>
          <w:p w:rsidR="00382AD9" w:rsidRPr="006A5D1A" w:rsidP="001733FC" w14:paraId="6A24E1E8" w14:textId="77777777">
            <w:pPr>
              <w:contextualSpacing/>
              <w:jc w:val="center"/>
              <w:rPr>
                <w:sz w:val="22"/>
                <w:szCs w:val="22"/>
              </w:rPr>
            </w:pPr>
            <w:r w:rsidRPr="006A5D1A">
              <w:rPr>
                <w:sz w:val="22"/>
                <w:szCs w:val="22"/>
              </w:rPr>
              <w:t>0</w:t>
            </w:r>
          </w:p>
        </w:tc>
        <w:tc>
          <w:tcPr>
            <w:tcW w:w="1276" w:type="dxa"/>
            <w:vAlign w:val="center"/>
          </w:tcPr>
          <w:p w:rsidR="00382AD9" w:rsidRPr="006A5D1A" w:rsidP="001733FC" w14:paraId="23FB6B9B" w14:textId="77777777">
            <w:pPr>
              <w:contextualSpacing/>
              <w:jc w:val="center"/>
              <w:rPr>
                <w:sz w:val="22"/>
                <w:szCs w:val="22"/>
              </w:rPr>
            </w:pPr>
            <w:r w:rsidRPr="006A5D1A">
              <w:rPr>
                <w:sz w:val="22"/>
                <w:szCs w:val="22"/>
              </w:rPr>
              <w:t>0</w:t>
            </w:r>
          </w:p>
        </w:tc>
        <w:tc>
          <w:tcPr>
            <w:tcW w:w="1276" w:type="dxa"/>
            <w:gridSpan w:val="2"/>
            <w:vAlign w:val="center"/>
          </w:tcPr>
          <w:p w:rsidR="00382AD9" w:rsidRPr="006A5D1A" w:rsidP="001733FC" w14:paraId="7F5BE97A" w14:textId="77777777">
            <w:pPr>
              <w:contextualSpacing/>
              <w:jc w:val="center"/>
              <w:rPr>
                <w:sz w:val="22"/>
                <w:szCs w:val="22"/>
              </w:rPr>
            </w:pPr>
            <w:r w:rsidRPr="006A5D1A">
              <w:rPr>
                <w:sz w:val="22"/>
                <w:szCs w:val="22"/>
              </w:rPr>
              <w:t>0</w:t>
            </w:r>
          </w:p>
        </w:tc>
        <w:tc>
          <w:tcPr>
            <w:tcW w:w="1275" w:type="dxa"/>
            <w:vAlign w:val="center"/>
          </w:tcPr>
          <w:p w:rsidR="00382AD9" w:rsidRPr="006A5D1A" w:rsidP="001733FC" w14:paraId="0418FB2A" w14:textId="77777777">
            <w:pPr>
              <w:contextualSpacing/>
              <w:jc w:val="center"/>
              <w:rPr>
                <w:sz w:val="22"/>
                <w:szCs w:val="22"/>
              </w:rPr>
            </w:pPr>
            <w:r w:rsidRPr="006A5D1A">
              <w:rPr>
                <w:sz w:val="22"/>
                <w:szCs w:val="22"/>
              </w:rPr>
              <w:t>0</w:t>
            </w:r>
          </w:p>
        </w:tc>
        <w:tc>
          <w:tcPr>
            <w:tcW w:w="1276" w:type="dxa"/>
            <w:gridSpan w:val="2"/>
            <w:vAlign w:val="center"/>
          </w:tcPr>
          <w:p w:rsidR="00382AD9" w:rsidRPr="006A5D1A" w:rsidP="001733FC" w14:paraId="4D6827E3" w14:textId="77777777">
            <w:pPr>
              <w:contextualSpacing/>
              <w:jc w:val="center"/>
              <w:rPr>
                <w:sz w:val="22"/>
                <w:szCs w:val="22"/>
              </w:rPr>
            </w:pPr>
            <w:r w:rsidRPr="006A5D1A">
              <w:rPr>
                <w:sz w:val="22"/>
                <w:szCs w:val="22"/>
              </w:rPr>
              <w:t>0</w:t>
            </w:r>
          </w:p>
        </w:tc>
        <w:tc>
          <w:tcPr>
            <w:tcW w:w="1276" w:type="dxa"/>
            <w:vAlign w:val="center"/>
          </w:tcPr>
          <w:p w:rsidR="00382AD9" w:rsidRPr="006A5D1A" w:rsidP="001733FC" w14:paraId="2FCF210F" w14:textId="77777777">
            <w:pPr>
              <w:contextualSpacing/>
              <w:jc w:val="center"/>
              <w:rPr>
                <w:sz w:val="22"/>
                <w:szCs w:val="22"/>
              </w:rPr>
            </w:pPr>
            <w:r w:rsidRPr="006A5D1A">
              <w:rPr>
                <w:sz w:val="22"/>
                <w:szCs w:val="22"/>
              </w:rPr>
              <w:t>0</w:t>
            </w:r>
          </w:p>
        </w:tc>
        <w:tc>
          <w:tcPr>
            <w:tcW w:w="1417" w:type="dxa"/>
            <w:gridSpan w:val="2"/>
            <w:vAlign w:val="center"/>
          </w:tcPr>
          <w:p w:rsidR="00382AD9" w:rsidRPr="006A5D1A" w:rsidP="001733FC" w14:paraId="3833FE03" w14:textId="77777777">
            <w:pPr>
              <w:contextualSpacing/>
              <w:jc w:val="center"/>
              <w:rPr>
                <w:sz w:val="22"/>
                <w:szCs w:val="22"/>
              </w:rPr>
            </w:pPr>
            <w:r w:rsidRPr="006A5D1A">
              <w:rPr>
                <w:sz w:val="22"/>
                <w:szCs w:val="22"/>
              </w:rPr>
              <w:t>0</w:t>
            </w:r>
          </w:p>
        </w:tc>
      </w:tr>
      <w:tr w14:paraId="70AA0636" w14:textId="77777777" w:rsidTr="002B16F8">
        <w:tblPrEx>
          <w:tblW w:w="11205" w:type="dxa"/>
          <w:tblInd w:w="-1433" w:type="dxa"/>
          <w:tblLayout w:type="fixed"/>
          <w:tblLook w:val="04A0"/>
        </w:tblPrEx>
        <w:trPr>
          <w:gridAfter w:val="1"/>
          <w:wAfter w:w="6" w:type="dxa"/>
        </w:trPr>
        <w:tc>
          <w:tcPr>
            <w:tcW w:w="2054" w:type="dxa"/>
          </w:tcPr>
          <w:p w:rsidR="00382AD9" w:rsidRPr="00B81DE4" w:rsidP="001733FC" w14:paraId="6D46AA66" w14:textId="77777777">
            <w:r w:rsidRPr="00B81DE4">
              <w:t>1.3. pašvaldību budžets</w:t>
            </w:r>
          </w:p>
        </w:tc>
        <w:tc>
          <w:tcPr>
            <w:tcW w:w="1349" w:type="dxa"/>
            <w:vAlign w:val="center"/>
          </w:tcPr>
          <w:p w:rsidR="00382AD9" w:rsidRPr="006A5D1A" w:rsidP="001733FC" w14:paraId="4B03F959" w14:textId="77777777">
            <w:pPr>
              <w:contextualSpacing/>
              <w:jc w:val="center"/>
              <w:rPr>
                <w:sz w:val="22"/>
                <w:szCs w:val="22"/>
              </w:rPr>
            </w:pPr>
            <w:r w:rsidRPr="006A5D1A">
              <w:rPr>
                <w:sz w:val="22"/>
                <w:szCs w:val="22"/>
              </w:rPr>
              <w:t>0</w:t>
            </w:r>
          </w:p>
        </w:tc>
        <w:tc>
          <w:tcPr>
            <w:tcW w:w="1276" w:type="dxa"/>
            <w:vAlign w:val="center"/>
          </w:tcPr>
          <w:p w:rsidR="00382AD9" w:rsidRPr="006A5D1A" w:rsidP="001733FC" w14:paraId="7281B38E" w14:textId="77777777">
            <w:pPr>
              <w:contextualSpacing/>
              <w:jc w:val="center"/>
              <w:rPr>
                <w:sz w:val="22"/>
                <w:szCs w:val="22"/>
              </w:rPr>
            </w:pPr>
            <w:r w:rsidRPr="006A5D1A">
              <w:rPr>
                <w:sz w:val="22"/>
                <w:szCs w:val="22"/>
              </w:rPr>
              <w:t>0</w:t>
            </w:r>
          </w:p>
        </w:tc>
        <w:tc>
          <w:tcPr>
            <w:tcW w:w="1276" w:type="dxa"/>
            <w:gridSpan w:val="2"/>
            <w:vAlign w:val="center"/>
          </w:tcPr>
          <w:p w:rsidR="00382AD9" w:rsidRPr="006A5D1A" w:rsidP="001733FC" w14:paraId="74D241D3" w14:textId="77777777">
            <w:pPr>
              <w:contextualSpacing/>
              <w:jc w:val="center"/>
              <w:rPr>
                <w:sz w:val="22"/>
                <w:szCs w:val="22"/>
              </w:rPr>
            </w:pPr>
            <w:r w:rsidRPr="006A5D1A">
              <w:rPr>
                <w:sz w:val="22"/>
                <w:szCs w:val="22"/>
              </w:rPr>
              <w:t>0</w:t>
            </w:r>
          </w:p>
        </w:tc>
        <w:tc>
          <w:tcPr>
            <w:tcW w:w="1275" w:type="dxa"/>
            <w:vAlign w:val="center"/>
          </w:tcPr>
          <w:p w:rsidR="00382AD9" w:rsidRPr="006A5D1A" w:rsidP="001733FC" w14:paraId="41342394" w14:textId="77777777">
            <w:pPr>
              <w:contextualSpacing/>
              <w:jc w:val="center"/>
              <w:rPr>
                <w:sz w:val="22"/>
                <w:szCs w:val="22"/>
              </w:rPr>
            </w:pPr>
            <w:r w:rsidRPr="006A5D1A">
              <w:rPr>
                <w:sz w:val="22"/>
                <w:szCs w:val="22"/>
              </w:rPr>
              <w:t>0</w:t>
            </w:r>
          </w:p>
        </w:tc>
        <w:tc>
          <w:tcPr>
            <w:tcW w:w="1276" w:type="dxa"/>
            <w:gridSpan w:val="2"/>
            <w:vAlign w:val="center"/>
          </w:tcPr>
          <w:p w:rsidR="00382AD9" w:rsidRPr="006A5D1A" w:rsidP="001733FC" w14:paraId="0845BC36" w14:textId="77777777">
            <w:pPr>
              <w:contextualSpacing/>
              <w:jc w:val="center"/>
              <w:rPr>
                <w:sz w:val="22"/>
                <w:szCs w:val="22"/>
              </w:rPr>
            </w:pPr>
            <w:r w:rsidRPr="006A5D1A">
              <w:rPr>
                <w:sz w:val="22"/>
                <w:szCs w:val="22"/>
              </w:rPr>
              <w:t>0</w:t>
            </w:r>
          </w:p>
        </w:tc>
        <w:tc>
          <w:tcPr>
            <w:tcW w:w="1276" w:type="dxa"/>
            <w:vAlign w:val="center"/>
          </w:tcPr>
          <w:p w:rsidR="00382AD9" w:rsidRPr="006A5D1A" w:rsidP="001733FC" w14:paraId="7652161E" w14:textId="77777777">
            <w:pPr>
              <w:contextualSpacing/>
              <w:jc w:val="center"/>
              <w:rPr>
                <w:sz w:val="22"/>
                <w:szCs w:val="22"/>
              </w:rPr>
            </w:pPr>
            <w:r w:rsidRPr="006A5D1A">
              <w:rPr>
                <w:sz w:val="22"/>
                <w:szCs w:val="22"/>
              </w:rPr>
              <w:t>0</w:t>
            </w:r>
          </w:p>
        </w:tc>
        <w:tc>
          <w:tcPr>
            <w:tcW w:w="1417" w:type="dxa"/>
            <w:gridSpan w:val="2"/>
            <w:vAlign w:val="center"/>
          </w:tcPr>
          <w:p w:rsidR="00382AD9" w:rsidRPr="006A5D1A" w:rsidP="001733FC" w14:paraId="46276712" w14:textId="77777777">
            <w:pPr>
              <w:contextualSpacing/>
              <w:jc w:val="center"/>
              <w:rPr>
                <w:sz w:val="22"/>
                <w:szCs w:val="22"/>
              </w:rPr>
            </w:pPr>
            <w:r w:rsidRPr="006A5D1A">
              <w:rPr>
                <w:sz w:val="22"/>
                <w:szCs w:val="22"/>
              </w:rPr>
              <w:t>0</w:t>
            </w:r>
          </w:p>
        </w:tc>
      </w:tr>
      <w:tr w14:paraId="1AE8DD2C" w14:textId="77777777" w:rsidTr="00382AD9">
        <w:tblPrEx>
          <w:tblW w:w="11205" w:type="dxa"/>
          <w:tblInd w:w="-1433" w:type="dxa"/>
          <w:tblLayout w:type="fixed"/>
          <w:tblLook w:val="04A0"/>
        </w:tblPrEx>
        <w:trPr>
          <w:gridAfter w:val="1"/>
          <w:wAfter w:w="6" w:type="dxa"/>
        </w:trPr>
        <w:tc>
          <w:tcPr>
            <w:tcW w:w="2054" w:type="dxa"/>
          </w:tcPr>
          <w:p w:rsidR="00945DB4" w:rsidRPr="00B81DE4" w:rsidP="00945DB4" w14:paraId="45BD3C4E" w14:textId="77777777">
            <w:r w:rsidRPr="00B81DE4">
              <w:t>2. Budžeta izdevumi:</w:t>
            </w:r>
          </w:p>
        </w:tc>
        <w:tc>
          <w:tcPr>
            <w:tcW w:w="1349" w:type="dxa"/>
            <w:vAlign w:val="center"/>
          </w:tcPr>
          <w:p w:rsidR="00945DB4" w:rsidRPr="006A5D1A" w:rsidP="00945DB4" w14:paraId="07BF4B64" w14:textId="5DCFE044">
            <w:pPr>
              <w:contextualSpacing/>
              <w:jc w:val="center"/>
              <w:rPr>
                <w:sz w:val="22"/>
                <w:szCs w:val="22"/>
              </w:rPr>
            </w:pPr>
            <w:r w:rsidRPr="006A5D1A">
              <w:rPr>
                <w:sz w:val="22"/>
                <w:szCs w:val="22"/>
              </w:rPr>
              <w:t>15 000 000</w:t>
            </w:r>
          </w:p>
        </w:tc>
        <w:tc>
          <w:tcPr>
            <w:tcW w:w="1276" w:type="dxa"/>
            <w:vAlign w:val="center"/>
          </w:tcPr>
          <w:p w:rsidR="00945DB4" w:rsidRPr="006A5D1A" w:rsidP="00945DB4" w14:paraId="50BBE0A4" w14:textId="777D9142">
            <w:pPr>
              <w:contextualSpacing/>
              <w:jc w:val="center"/>
              <w:rPr>
                <w:sz w:val="22"/>
                <w:szCs w:val="22"/>
              </w:rPr>
            </w:pPr>
            <w:r>
              <w:rPr>
                <w:sz w:val="22"/>
                <w:szCs w:val="22"/>
              </w:rPr>
              <w:t>0</w:t>
            </w:r>
          </w:p>
        </w:tc>
        <w:tc>
          <w:tcPr>
            <w:tcW w:w="1276" w:type="dxa"/>
            <w:gridSpan w:val="2"/>
            <w:vAlign w:val="center"/>
          </w:tcPr>
          <w:p w:rsidR="00945DB4" w:rsidRPr="006A5D1A" w:rsidP="00945DB4" w14:paraId="52A5DEF3" w14:textId="067CD066">
            <w:pPr>
              <w:contextualSpacing/>
              <w:jc w:val="center"/>
              <w:rPr>
                <w:sz w:val="22"/>
                <w:szCs w:val="22"/>
              </w:rPr>
            </w:pPr>
            <w:r w:rsidRPr="006A5D1A">
              <w:rPr>
                <w:sz w:val="22"/>
                <w:szCs w:val="22"/>
              </w:rPr>
              <w:t>15 000 000</w:t>
            </w:r>
          </w:p>
        </w:tc>
        <w:tc>
          <w:tcPr>
            <w:tcW w:w="1275" w:type="dxa"/>
            <w:vAlign w:val="center"/>
          </w:tcPr>
          <w:p w:rsidR="00945DB4" w:rsidRPr="006A5D1A" w:rsidP="00855167" w14:paraId="4066F548" w14:textId="1740BCEC">
            <w:pPr>
              <w:contextualSpacing/>
              <w:jc w:val="center"/>
              <w:rPr>
                <w:sz w:val="22"/>
                <w:szCs w:val="22"/>
              </w:rPr>
            </w:pPr>
            <w:r>
              <w:rPr>
                <w:sz w:val="22"/>
                <w:szCs w:val="22"/>
              </w:rPr>
              <w:t>0</w:t>
            </w:r>
          </w:p>
        </w:tc>
        <w:tc>
          <w:tcPr>
            <w:tcW w:w="1276" w:type="dxa"/>
            <w:gridSpan w:val="2"/>
            <w:vAlign w:val="center"/>
          </w:tcPr>
          <w:p w:rsidR="00945DB4" w:rsidRPr="006A5D1A" w:rsidP="00945DB4" w14:paraId="48DC9F4D" w14:textId="3501E79D">
            <w:pPr>
              <w:contextualSpacing/>
              <w:jc w:val="center"/>
              <w:rPr>
                <w:sz w:val="22"/>
                <w:szCs w:val="22"/>
              </w:rPr>
            </w:pPr>
            <w:r w:rsidRPr="006A5D1A">
              <w:rPr>
                <w:sz w:val="22"/>
                <w:szCs w:val="22"/>
              </w:rPr>
              <w:t>15 000 000</w:t>
            </w:r>
          </w:p>
        </w:tc>
        <w:tc>
          <w:tcPr>
            <w:tcW w:w="1276" w:type="dxa"/>
            <w:vAlign w:val="center"/>
          </w:tcPr>
          <w:p w:rsidR="00945DB4" w:rsidRPr="006A5D1A" w:rsidP="00855167" w14:paraId="52D82623" w14:textId="299C557F">
            <w:pPr>
              <w:contextualSpacing/>
              <w:jc w:val="center"/>
              <w:rPr>
                <w:sz w:val="22"/>
                <w:szCs w:val="22"/>
              </w:rPr>
            </w:pPr>
            <w:r>
              <w:rPr>
                <w:sz w:val="22"/>
                <w:szCs w:val="22"/>
              </w:rPr>
              <w:t>-</w:t>
            </w:r>
            <w:r w:rsidR="00855167">
              <w:rPr>
                <w:sz w:val="22"/>
                <w:szCs w:val="22"/>
              </w:rPr>
              <w:t>2 170 416</w:t>
            </w:r>
          </w:p>
        </w:tc>
        <w:tc>
          <w:tcPr>
            <w:tcW w:w="1417" w:type="dxa"/>
            <w:gridSpan w:val="2"/>
            <w:vAlign w:val="center"/>
          </w:tcPr>
          <w:p w:rsidR="00945DB4" w:rsidRPr="006A5D1A" w:rsidP="00945DB4" w14:paraId="493BEC66" w14:textId="56DAF8EB">
            <w:pPr>
              <w:contextualSpacing/>
              <w:rPr>
                <w:sz w:val="22"/>
                <w:szCs w:val="22"/>
              </w:rPr>
            </w:pPr>
            <w:r>
              <w:rPr>
                <w:sz w:val="22"/>
                <w:szCs w:val="22"/>
              </w:rPr>
              <w:t>0</w:t>
            </w:r>
          </w:p>
        </w:tc>
      </w:tr>
      <w:tr w14:paraId="20BA42CF" w14:textId="77777777" w:rsidTr="00382AD9">
        <w:tblPrEx>
          <w:tblW w:w="11205" w:type="dxa"/>
          <w:tblInd w:w="-1433" w:type="dxa"/>
          <w:tblLayout w:type="fixed"/>
          <w:tblLook w:val="04A0"/>
        </w:tblPrEx>
        <w:trPr>
          <w:gridAfter w:val="1"/>
          <w:wAfter w:w="6" w:type="dxa"/>
        </w:trPr>
        <w:tc>
          <w:tcPr>
            <w:tcW w:w="2054" w:type="dxa"/>
          </w:tcPr>
          <w:p w:rsidR="00855167" w:rsidRPr="00B81DE4" w:rsidP="00855167" w14:paraId="7279ABD6" w14:textId="33C863A4">
            <w:r w:rsidRPr="00B81DE4">
              <w:t>2.1. valsts pamatbudžets</w:t>
            </w:r>
          </w:p>
        </w:tc>
        <w:tc>
          <w:tcPr>
            <w:tcW w:w="1349" w:type="dxa"/>
            <w:vAlign w:val="center"/>
          </w:tcPr>
          <w:p w:rsidR="00855167" w:rsidRPr="006A5D1A" w:rsidP="00855167" w14:paraId="40C21C31" w14:textId="1ED54532">
            <w:pPr>
              <w:contextualSpacing/>
              <w:jc w:val="center"/>
              <w:rPr>
                <w:sz w:val="22"/>
                <w:szCs w:val="22"/>
              </w:rPr>
            </w:pPr>
            <w:r w:rsidRPr="006A5D1A">
              <w:rPr>
                <w:sz w:val="22"/>
                <w:szCs w:val="22"/>
              </w:rPr>
              <w:t>15 000 000</w:t>
            </w:r>
          </w:p>
        </w:tc>
        <w:tc>
          <w:tcPr>
            <w:tcW w:w="1276" w:type="dxa"/>
            <w:vAlign w:val="center"/>
          </w:tcPr>
          <w:p w:rsidR="00855167" w:rsidRPr="006A5D1A" w:rsidP="00855167" w14:paraId="71C0498E" w14:textId="273A8CD6">
            <w:pPr>
              <w:contextualSpacing/>
              <w:jc w:val="center"/>
              <w:rPr>
                <w:sz w:val="22"/>
                <w:szCs w:val="22"/>
              </w:rPr>
            </w:pPr>
            <w:r>
              <w:rPr>
                <w:sz w:val="22"/>
                <w:szCs w:val="22"/>
              </w:rPr>
              <w:t>0</w:t>
            </w:r>
          </w:p>
        </w:tc>
        <w:tc>
          <w:tcPr>
            <w:tcW w:w="1276" w:type="dxa"/>
            <w:gridSpan w:val="2"/>
            <w:vAlign w:val="center"/>
          </w:tcPr>
          <w:p w:rsidR="00855167" w:rsidRPr="006A5D1A" w:rsidP="00855167" w14:paraId="78D2D0E8" w14:textId="094BAEB2">
            <w:pPr>
              <w:contextualSpacing/>
              <w:jc w:val="center"/>
              <w:rPr>
                <w:sz w:val="22"/>
                <w:szCs w:val="22"/>
              </w:rPr>
            </w:pPr>
            <w:r w:rsidRPr="006A5D1A">
              <w:rPr>
                <w:sz w:val="22"/>
                <w:szCs w:val="22"/>
              </w:rPr>
              <w:t>15 000 000</w:t>
            </w:r>
          </w:p>
        </w:tc>
        <w:tc>
          <w:tcPr>
            <w:tcW w:w="1275" w:type="dxa"/>
            <w:vAlign w:val="center"/>
          </w:tcPr>
          <w:p w:rsidR="00855167" w:rsidRPr="006A5D1A" w:rsidP="00855167" w14:paraId="4AA54C17" w14:textId="298C3A85">
            <w:pPr>
              <w:contextualSpacing/>
              <w:jc w:val="center"/>
              <w:rPr>
                <w:sz w:val="22"/>
                <w:szCs w:val="22"/>
              </w:rPr>
            </w:pPr>
            <w:r>
              <w:rPr>
                <w:sz w:val="22"/>
                <w:szCs w:val="22"/>
              </w:rPr>
              <w:t>0</w:t>
            </w:r>
          </w:p>
        </w:tc>
        <w:tc>
          <w:tcPr>
            <w:tcW w:w="1276" w:type="dxa"/>
            <w:gridSpan w:val="2"/>
            <w:vAlign w:val="center"/>
          </w:tcPr>
          <w:p w:rsidR="00855167" w:rsidRPr="006A5D1A" w:rsidP="00855167" w14:paraId="4264F947" w14:textId="3C1C08A5">
            <w:pPr>
              <w:contextualSpacing/>
              <w:jc w:val="center"/>
              <w:rPr>
                <w:sz w:val="22"/>
                <w:szCs w:val="22"/>
              </w:rPr>
            </w:pPr>
            <w:r w:rsidRPr="006A5D1A">
              <w:rPr>
                <w:sz w:val="22"/>
                <w:szCs w:val="22"/>
              </w:rPr>
              <w:t>15 000 000</w:t>
            </w:r>
          </w:p>
        </w:tc>
        <w:tc>
          <w:tcPr>
            <w:tcW w:w="1276" w:type="dxa"/>
            <w:vAlign w:val="center"/>
          </w:tcPr>
          <w:p w:rsidR="00855167" w:rsidRPr="006A5D1A" w:rsidP="00855167" w14:paraId="36BBFA5A" w14:textId="03ADD06B">
            <w:pPr>
              <w:contextualSpacing/>
              <w:jc w:val="center"/>
              <w:rPr>
                <w:sz w:val="22"/>
                <w:szCs w:val="22"/>
              </w:rPr>
            </w:pPr>
            <w:r>
              <w:rPr>
                <w:sz w:val="22"/>
                <w:szCs w:val="22"/>
              </w:rPr>
              <w:t>-2 170 416</w:t>
            </w:r>
          </w:p>
        </w:tc>
        <w:tc>
          <w:tcPr>
            <w:tcW w:w="1417" w:type="dxa"/>
            <w:gridSpan w:val="2"/>
            <w:vAlign w:val="center"/>
          </w:tcPr>
          <w:p w:rsidR="00855167" w:rsidRPr="006A5D1A" w:rsidP="00855167" w14:paraId="64801533" w14:textId="3E215304">
            <w:pPr>
              <w:contextualSpacing/>
              <w:jc w:val="center"/>
              <w:rPr>
                <w:sz w:val="22"/>
                <w:szCs w:val="22"/>
              </w:rPr>
            </w:pPr>
            <w:r>
              <w:rPr>
                <w:sz w:val="22"/>
                <w:szCs w:val="22"/>
              </w:rPr>
              <w:t>0</w:t>
            </w:r>
          </w:p>
        </w:tc>
      </w:tr>
      <w:tr w14:paraId="02AC855B" w14:textId="77777777" w:rsidTr="00382AD9">
        <w:tblPrEx>
          <w:tblW w:w="11205" w:type="dxa"/>
          <w:tblInd w:w="-1433" w:type="dxa"/>
          <w:tblLayout w:type="fixed"/>
          <w:tblLook w:val="04A0"/>
        </w:tblPrEx>
        <w:trPr>
          <w:gridAfter w:val="1"/>
          <w:wAfter w:w="6" w:type="dxa"/>
        </w:trPr>
        <w:tc>
          <w:tcPr>
            <w:tcW w:w="2054" w:type="dxa"/>
          </w:tcPr>
          <w:p w:rsidR="00945DB4" w:rsidRPr="00B81DE4" w:rsidP="00945DB4" w14:paraId="24A1CDA7" w14:textId="77777777">
            <w:r w:rsidRPr="00B81DE4">
              <w:t>2.2. valsts speciālais budžets</w:t>
            </w:r>
          </w:p>
        </w:tc>
        <w:tc>
          <w:tcPr>
            <w:tcW w:w="1349" w:type="dxa"/>
            <w:vAlign w:val="center"/>
          </w:tcPr>
          <w:p w:rsidR="00945DB4" w:rsidRPr="006A5D1A" w:rsidP="00945DB4" w14:paraId="6E5B39F6" w14:textId="77777777">
            <w:pPr>
              <w:contextualSpacing/>
              <w:jc w:val="center"/>
              <w:rPr>
                <w:sz w:val="22"/>
                <w:szCs w:val="22"/>
              </w:rPr>
            </w:pPr>
            <w:r w:rsidRPr="006A5D1A">
              <w:rPr>
                <w:sz w:val="22"/>
                <w:szCs w:val="22"/>
              </w:rPr>
              <w:t>0</w:t>
            </w:r>
          </w:p>
        </w:tc>
        <w:tc>
          <w:tcPr>
            <w:tcW w:w="1276" w:type="dxa"/>
            <w:vAlign w:val="center"/>
          </w:tcPr>
          <w:p w:rsidR="00945DB4" w:rsidRPr="006A5D1A" w:rsidP="00945DB4" w14:paraId="3CCB7858" w14:textId="77777777">
            <w:pPr>
              <w:contextualSpacing/>
              <w:jc w:val="center"/>
              <w:rPr>
                <w:sz w:val="22"/>
                <w:szCs w:val="22"/>
              </w:rPr>
            </w:pPr>
            <w:r w:rsidRPr="006A5D1A">
              <w:rPr>
                <w:sz w:val="22"/>
                <w:szCs w:val="22"/>
              </w:rPr>
              <w:t>0</w:t>
            </w:r>
          </w:p>
        </w:tc>
        <w:tc>
          <w:tcPr>
            <w:tcW w:w="1276" w:type="dxa"/>
            <w:gridSpan w:val="2"/>
            <w:vAlign w:val="center"/>
          </w:tcPr>
          <w:p w:rsidR="00945DB4" w:rsidRPr="006A5D1A" w:rsidP="00945DB4" w14:paraId="64D4AA0C" w14:textId="77777777">
            <w:pPr>
              <w:contextualSpacing/>
              <w:jc w:val="center"/>
              <w:rPr>
                <w:sz w:val="22"/>
                <w:szCs w:val="22"/>
              </w:rPr>
            </w:pPr>
            <w:r w:rsidRPr="006A5D1A">
              <w:rPr>
                <w:sz w:val="22"/>
                <w:szCs w:val="22"/>
              </w:rPr>
              <w:t>0</w:t>
            </w:r>
          </w:p>
        </w:tc>
        <w:tc>
          <w:tcPr>
            <w:tcW w:w="1275" w:type="dxa"/>
            <w:vAlign w:val="center"/>
          </w:tcPr>
          <w:p w:rsidR="00945DB4" w:rsidRPr="006A5D1A" w:rsidP="00945DB4" w14:paraId="4D8C85A5" w14:textId="77777777">
            <w:pPr>
              <w:contextualSpacing/>
              <w:jc w:val="center"/>
              <w:rPr>
                <w:sz w:val="22"/>
                <w:szCs w:val="22"/>
              </w:rPr>
            </w:pPr>
            <w:r w:rsidRPr="006A5D1A">
              <w:rPr>
                <w:sz w:val="22"/>
                <w:szCs w:val="22"/>
              </w:rPr>
              <w:t>0</w:t>
            </w:r>
          </w:p>
        </w:tc>
        <w:tc>
          <w:tcPr>
            <w:tcW w:w="1276" w:type="dxa"/>
            <w:gridSpan w:val="2"/>
            <w:vAlign w:val="center"/>
          </w:tcPr>
          <w:p w:rsidR="00945DB4" w:rsidRPr="006A5D1A" w:rsidP="00945DB4" w14:paraId="22EFEB60" w14:textId="77777777">
            <w:pPr>
              <w:contextualSpacing/>
              <w:jc w:val="center"/>
              <w:rPr>
                <w:sz w:val="22"/>
                <w:szCs w:val="22"/>
              </w:rPr>
            </w:pPr>
            <w:r w:rsidRPr="006A5D1A">
              <w:rPr>
                <w:sz w:val="22"/>
                <w:szCs w:val="22"/>
              </w:rPr>
              <w:t>0</w:t>
            </w:r>
          </w:p>
        </w:tc>
        <w:tc>
          <w:tcPr>
            <w:tcW w:w="1276" w:type="dxa"/>
            <w:vAlign w:val="center"/>
          </w:tcPr>
          <w:p w:rsidR="00945DB4" w:rsidRPr="006A5D1A" w:rsidP="00945DB4" w14:paraId="692592F2" w14:textId="77777777">
            <w:pPr>
              <w:contextualSpacing/>
              <w:jc w:val="center"/>
              <w:rPr>
                <w:sz w:val="22"/>
                <w:szCs w:val="22"/>
              </w:rPr>
            </w:pPr>
            <w:r w:rsidRPr="006A5D1A">
              <w:rPr>
                <w:sz w:val="22"/>
                <w:szCs w:val="22"/>
              </w:rPr>
              <w:t>0</w:t>
            </w:r>
          </w:p>
        </w:tc>
        <w:tc>
          <w:tcPr>
            <w:tcW w:w="1417" w:type="dxa"/>
            <w:gridSpan w:val="2"/>
            <w:vAlign w:val="center"/>
          </w:tcPr>
          <w:p w:rsidR="00945DB4" w:rsidRPr="006A5D1A" w:rsidP="00945DB4" w14:paraId="61833C48" w14:textId="77777777">
            <w:pPr>
              <w:contextualSpacing/>
              <w:jc w:val="center"/>
              <w:rPr>
                <w:sz w:val="22"/>
                <w:szCs w:val="22"/>
              </w:rPr>
            </w:pPr>
            <w:r w:rsidRPr="006A5D1A">
              <w:rPr>
                <w:sz w:val="22"/>
                <w:szCs w:val="22"/>
              </w:rPr>
              <w:t>0</w:t>
            </w:r>
          </w:p>
        </w:tc>
      </w:tr>
      <w:tr w14:paraId="01331F82" w14:textId="77777777" w:rsidTr="00382AD9">
        <w:tblPrEx>
          <w:tblW w:w="11205" w:type="dxa"/>
          <w:tblInd w:w="-1433" w:type="dxa"/>
          <w:tblLayout w:type="fixed"/>
          <w:tblLook w:val="04A0"/>
        </w:tblPrEx>
        <w:trPr>
          <w:gridAfter w:val="1"/>
          <w:wAfter w:w="6" w:type="dxa"/>
        </w:trPr>
        <w:tc>
          <w:tcPr>
            <w:tcW w:w="2054" w:type="dxa"/>
          </w:tcPr>
          <w:p w:rsidR="00945DB4" w:rsidRPr="00B81DE4" w:rsidP="00945DB4" w14:paraId="2F849674" w14:textId="77777777">
            <w:r w:rsidRPr="00B81DE4">
              <w:t>2.3. pašvaldību budžets</w:t>
            </w:r>
          </w:p>
        </w:tc>
        <w:tc>
          <w:tcPr>
            <w:tcW w:w="1349" w:type="dxa"/>
            <w:vAlign w:val="center"/>
          </w:tcPr>
          <w:p w:rsidR="00945DB4" w:rsidRPr="006A5D1A" w:rsidP="00945DB4" w14:paraId="0C8CA1EF" w14:textId="77777777">
            <w:pPr>
              <w:contextualSpacing/>
              <w:jc w:val="center"/>
              <w:rPr>
                <w:sz w:val="22"/>
                <w:szCs w:val="22"/>
              </w:rPr>
            </w:pPr>
            <w:r w:rsidRPr="006A5D1A">
              <w:rPr>
                <w:sz w:val="22"/>
                <w:szCs w:val="22"/>
              </w:rPr>
              <w:t>0</w:t>
            </w:r>
          </w:p>
        </w:tc>
        <w:tc>
          <w:tcPr>
            <w:tcW w:w="1276" w:type="dxa"/>
            <w:vAlign w:val="center"/>
          </w:tcPr>
          <w:p w:rsidR="00945DB4" w:rsidRPr="006A5D1A" w:rsidP="00945DB4" w14:paraId="0A2D0460" w14:textId="77777777">
            <w:pPr>
              <w:contextualSpacing/>
              <w:jc w:val="center"/>
              <w:rPr>
                <w:sz w:val="22"/>
                <w:szCs w:val="22"/>
              </w:rPr>
            </w:pPr>
            <w:r w:rsidRPr="006A5D1A">
              <w:rPr>
                <w:sz w:val="22"/>
                <w:szCs w:val="22"/>
              </w:rPr>
              <w:t>0</w:t>
            </w:r>
          </w:p>
        </w:tc>
        <w:tc>
          <w:tcPr>
            <w:tcW w:w="1276" w:type="dxa"/>
            <w:gridSpan w:val="2"/>
            <w:vAlign w:val="center"/>
          </w:tcPr>
          <w:p w:rsidR="00945DB4" w:rsidRPr="006A5D1A" w:rsidP="00945DB4" w14:paraId="7C0D9357" w14:textId="77777777">
            <w:pPr>
              <w:contextualSpacing/>
              <w:jc w:val="center"/>
              <w:rPr>
                <w:sz w:val="22"/>
                <w:szCs w:val="22"/>
              </w:rPr>
            </w:pPr>
            <w:r w:rsidRPr="006A5D1A">
              <w:rPr>
                <w:sz w:val="22"/>
                <w:szCs w:val="22"/>
              </w:rPr>
              <w:t>0</w:t>
            </w:r>
          </w:p>
        </w:tc>
        <w:tc>
          <w:tcPr>
            <w:tcW w:w="1275" w:type="dxa"/>
            <w:vAlign w:val="center"/>
          </w:tcPr>
          <w:p w:rsidR="00945DB4" w:rsidRPr="006A5D1A" w:rsidP="00945DB4" w14:paraId="2FDA60D9" w14:textId="77777777">
            <w:pPr>
              <w:contextualSpacing/>
              <w:jc w:val="center"/>
              <w:rPr>
                <w:sz w:val="22"/>
                <w:szCs w:val="22"/>
              </w:rPr>
            </w:pPr>
            <w:r w:rsidRPr="006A5D1A">
              <w:rPr>
                <w:sz w:val="22"/>
                <w:szCs w:val="22"/>
              </w:rPr>
              <w:t>0</w:t>
            </w:r>
          </w:p>
        </w:tc>
        <w:tc>
          <w:tcPr>
            <w:tcW w:w="1276" w:type="dxa"/>
            <w:gridSpan w:val="2"/>
            <w:vAlign w:val="center"/>
          </w:tcPr>
          <w:p w:rsidR="00945DB4" w:rsidRPr="006A5D1A" w:rsidP="00945DB4" w14:paraId="67C24291" w14:textId="77777777">
            <w:pPr>
              <w:contextualSpacing/>
              <w:jc w:val="center"/>
              <w:rPr>
                <w:sz w:val="22"/>
                <w:szCs w:val="22"/>
              </w:rPr>
            </w:pPr>
            <w:r w:rsidRPr="006A5D1A">
              <w:rPr>
                <w:sz w:val="22"/>
                <w:szCs w:val="22"/>
              </w:rPr>
              <w:t>0</w:t>
            </w:r>
          </w:p>
        </w:tc>
        <w:tc>
          <w:tcPr>
            <w:tcW w:w="1276" w:type="dxa"/>
            <w:vAlign w:val="center"/>
          </w:tcPr>
          <w:p w:rsidR="00945DB4" w:rsidRPr="006A5D1A" w:rsidP="00945DB4" w14:paraId="2280976F" w14:textId="77777777">
            <w:pPr>
              <w:contextualSpacing/>
              <w:jc w:val="center"/>
              <w:rPr>
                <w:sz w:val="22"/>
                <w:szCs w:val="22"/>
              </w:rPr>
            </w:pPr>
            <w:r w:rsidRPr="006A5D1A">
              <w:rPr>
                <w:sz w:val="22"/>
                <w:szCs w:val="22"/>
              </w:rPr>
              <w:t>0</w:t>
            </w:r>
          </w:p>
        </w:tc>
        <w:tc>
          <w:tcPr>
            <w:tcW w:w="1417" w:type="dxa"/>
            <w:gridSpan w:val="2"/>
            <w:vAlign w:val="center"/>
          </w:tcPr>
          <w:p w:rsidR="00945DB4" w:rsidRPr="006A5D1A" w:rsidP="00945DB4" w14:paraId="3A3E403C" w14:textId="77777777">
            <w:pPr>
              <w:contextualSpacing/>
              <w:jc w:val="center"/>
              <w:rPr>
                <w:sz w:val="22"/>
                <w:szCs w:val="22"/>
              </w:rPr>
            </w:pPr>
            <w:r w:rsidRPr="006A5D1A">
              <w:rPr>
                <w:sz w:val="22"/>
                <w:szCs w:val="22"/>
              </w:rPr>
              <w:t>0</w:t>
            </w:r>
          </w:p>
        </w:tc>
      </w:tr>
      <w:tr w14:paraId="22225136" w14:textId="77777777" w:rsidTr="00382AD9">
        <w:tblPrEx>
          <w:tblW w:w="11205" w:type="dxa"/>
          <w:tblInd w:w="-1433" w:type="dxa"/>
          <w:tblLayout w:type="fixed"/>
          <w:tblLook w:val="04A0"/>
        </w:tblPrEx>
        <w:trPr>
          <w:gridAfter w:val="1"/>
          <w:wAfter w:w="6" w:type="dxa"/>
        </w:trPr>
        <w:tc>
          <w:tcPr>
            <w:tcW w:w="2054" w:type="dxa"/>
          </w:tcPr>
          <w:p w:rsidR="00945DB4" w:rsidRPr="00B81DE4" w:rsidP="00945DB4" w14:paraId="214C6C4F" w14:textId="77777777">
            <w:r w:rsidRPr="00B81DE4">
              <w:t>3. Finansiālā ietekme:</w:t>
            </w:r>
          </w:p>
        </w:tc>
        <w:tc>
          <w:tcPr>
            <w:tcW w:w="1349" w:type="dxa"/>
            <w:vAlign w:val="center"/>
          </w:tcPr>
          <w:p w:rsidR="00945DB4" w:rsidRPr="00945DB4" w:rsidP="00945DB4" w14:paraId="0BE3E161" w14:textId="793ADB8C">
            <w:pPr>
              <w:contextualSpacing/>
              <w:jc w:val="center"/>
              <w:rPr>
                <w:sz w:val="22"/>
                <w:szCs w:val="22"/>
              </w:rPr>
            </w:pPr>
            <w:r w:rsidRPr="00945DB4">
              <w:rPr>
                <w:sz w:val="22"/>
                <w:szCs w:val="22"/>
              </w:rPr>
              <w:t>-2 250 000</w:t>
            </w:r>
          </w:p>
        </w:tc>
        <w:tc>
          <w:tcPr>
            <w:tcW w:w="1276" w:type="dxa"/>
            <w:vAlign w:val="center"/>
          </w:tcPr>
          <w:p w:rsidR="00945DB4" w:rsidRPr="00945DB4" w:rsidP="00945DB4" w14:paraId="4049FA93" w14:textId="156C53A3">
            <w:pPr>
              <w:contextualSpacing/>
              <w:jc w:val="center"/>
              <w:rPr>
                <w:sz w:val="22"/>
                <w:szCs w:val="22"/>
              </w:rPr>
            </w:pPr>
            <w:r w:rsidRPr="006A5D1A">
              <w:rPr>
                <w:sz w:val="22"/>
                <w:szCs w:val="22"/>
              </w:rPr>
              <w:t>0</w:t>
            </w:r>
          </w:p>
        </w:tc>
        <w:tc>
          <w:tcPr>
            <w:tcW w:w="1276" w:type="dxa"/>
            <w:gridSpan w:val="2"/>
            <w:vAlign w:val="center"/>
          </w:tcPr>
          <w:p w:rsidR="00945DB4" w:rsidRPr="00945DB4" w:rsidP="00945DB4" w14:paraId="711EC1AA" w14:textId="6D2BB7EC">
            <w:pPr>
              <w:contextualSpacing/>
              <w:jc w:val="center"/>
              <w:rPr>
                <w:sz w:val="22"/>
                <w:szCs w:val="22"/>
              </w:rPr>
            </w:pPr>
            <w:r w:rsidRPr="00945DB4">
              <w:rPr>
                <w:sz w:val="22"/>
                <w:szCs w:val="22"/>
              </w:rPr>
              <w:t>-2 250 000</w:t>
            </w:r>
          </w:p>
        </w:tc>
        <w:tc>
          <w:tcPr>
            <w:tcW w:w="1275" w:type="dxa"/>
            <w:vAlign w:val="center"/>
          </w:tcPr>
          <w:p w:rsidR="00945DB4" w:rsidRPr="00945DB4" w:rsidP="00945DB4" w14:paraId="43F87A43" w14:textId="1F7A987F">
            <w:pPr>
              <w:contextualSpacing/>
              <w:jc w:val="center"/>
              <w:rPr>
                <w:sz w:val="22"/>
                <w:szCs w:val="22"/>
              </w:rPr>
            </w:pPr>
            <w:r>
              <w:rPr>
                <w:sz w:val="22"/>
                <w:szCs w:val="22"/>
              </w:rPr>
              <w:t>0</w:t>
            </w:r>
          </w:p>
        </w:tc>
        <w:tc>
          <w:tcPr>
            <w:tcW w:w="1276" w:type="dxa"/>
            <w:gridSpan w:val="2"/>
            <w:vAlign w:val="center"/>
          </w:tcPr>
          <w:p w:rsidR="00945DB4" w:rsidRPr="00945DB4" w:rsidP="00945DB4" w14:paraId="2E773E92" w14:textId="2AADCA36">
            <w:pPr>
              <w:contextualSpacing/>
              <w:jc w:val="center"/>
              <w:rPr>
                <w:sz w:val="22"/>
                <w:szCs w:val="22"/>
              </w:rPr>
            </w:pPr>
            <w:r w:rsidRPr="00945DB4">
              <w:rPr>
                <w:sz w:val="22"/>
                <w:szCs w:val="22"/>
              </w:rPr>
              <w:t>-2 250 000</w:t>
            </w:r>
          </w:p>
        </w:tc>
        <w:tc>
          <w:tcPr>
            <w:tcW w:w="1276" w:type="dxa"/>
            <w:vAlign w:val="center"/>
          </w:tcPr>
          <w:p w:rsidR="00945DB4" w:rsidRPr="00945DB4" w:rsidP="00945DB4" w14:paraId="2FA845E6" w14:textId="3D390406">
            <w:pPr>
              <w:contextualSpacing/>
              <w:jc w:val="center"/>
              <w:rPr>
                <w:sz w:val="22"/>
                <w:szCs w:val="22"/>
              </w:rPr>
            </w:pPr>
            <w:r>
              <w:rPr>
                <w:sz w:val="22"/>
                <w:szCs w:val="22"/>
              </w:rPr>
              <w:t>325 562</w:t>
            </w:r>
          </w:p>
        </w:tc>
        <w:tc>
          <w:tcPr>
            <w:tcW w:w="1417" w:type="dxa"/>
            <w:gridSpan w:val="2"/>
            <w:vAlign w:val="center"/>
          </w:tcPr>
          <w:p w:rsidR="00945DB4" w:rsidRPr="00945DB4" w:rsidP="00945DB4" w14:paraId="658E60BE" w14:textId="4F5C2362">
            <w:pPr>
              <w:contextualSpacing/>
              <w:jc w:val="center"/>
              <w:rPr>
                <w:sz w:val="22"/>
                <w:szCs w:val="22"/>
              </w:rPr>
            </w:pPr>
            <w:r>
              <w:rPr>
                <w:sz w:val="22"/>
                <w:szCs w:val="22"/>
              </w:rPr>
              <w:t>0</w:t>
            </w:r>
          </w:p>
        </w:tc>
      </w:tr>
      <w:tr w14:paraId="6BFDDF20" w14:textId="77777777" w:rsidTr="00382AD9">
        <w:tblPrEx>
          <w:tblW w:w="11205" w:type="dxa"/>
          <w:tblInd w:w="-1433" w:type="dxa"/>
          <w:tblLayout w:type="fixed"/>
          <w:tblLook w:val="04A0"/>
        </w:tblPrEx>
        <w:trPr>
          <w:gridAfter w:val="1"/>
          <w:wAfter w:w="6" w:type="dxa"/>
        </w:trPr>
        <w:tc>
          <w:tcPr>
            <w:tcW w:w="2054" w:type="dxa"/>
          </w:tcPr>
          <w:p w:rsidR="00855167" w:rsidRPr="00B81DE4" w:rsidP="00855167" w14:paraId="19924595" w14:textId="77777777">
            <w:r w:rsidRPr="00B81DE4">
              <w:t>3.1. valsts pamatbudžets</w:t>
            </w:r>
          </w:p>
        </w:tc>
        <w:tc>
          <w:tcPr>
            <w:tcW w:w="1349" w:type="dxa"/>
            <w:vAlign w:val="center"/>
          </w:tcPr>
          <w:p w:rsidR="00855167" w:rsidRPr="00945DB4" w:rsidP="00855167" w14:paraId="1B842B1D" w14:textId="05B859AE">
            <w:pPr>
              <w:contextualSpacing/>
              <w:jc w:val="center"/>
              <w:rPr>
                <w:sz w:val="22"/>
                <w:szCs w:val="22"/>
              </w:rPr>
            </w:pPr>
            <w:r w:rsidRPr="00945DB4">
              <w:rPr>
                <w:sz w:val="22"/>
                <w:szCs w:val="22"/>
              </w:rPr>
              <w:t>-2 250 000</w:t>
            </w:r>
          </w:p>
        </w:tc>
        <w:tc>
          <w:tcPr>
            <w:tcW w:w="1276" w:type="dxa"/>
            <w:vAlign w:val="center"/>
          </w:tcPr>
          <w:p w:rsidR="00855167" w:rsidRPr="00945DB4" w:rsidP="00855167" w14:paraId="3876C40A" w14:textId="35336665">
            <w:pPr>
              <w:contextualSpacing/>
              <w:jc w:val="center"/>
              <w:rPr>
                <w:sz w:val="22"/>
                <w:szCs w:val="22"/>
              </w:rPr>
            </w:pPr>
            <w:r w:rsidRPr="006A5D1A">
              <w:rPr>
                <w:sz w:val="22"/>
                <w:szCs w:val="22"/>
              </w:rPr>
              <w:t>0</w:t>
            </w:r>
          </w:p>
        </w:tc>
        <w:tc>
          <w:tcPr>
            <w:tcW w:w="1276" w:type="dxa"/>
            <w:gridSpan w:val="2"/>
            <w:vAlign w:val="center"/>
          </w:tcPr>
          <w:p w:rsidR="00855167" w:rsidRPr="00945DB4" w:rsidP="00855167" w14:paraId="3F4B7891" w14:textId="2BAB92CD">
            <w:pPr>
              <w:contextualSpacing/>
              <w:jc w:val="center"/>
              <w:rPr>
                <w:sz w:val="22"/>
                <w:szCs w:val="22"/>
              </w:rPr>
            </w:pPr>
            <w:r w:rsidRPr="00945DB4">
              <w:rPr>
                <w:sz w:val="22"/>
                <w:szCs w:val="22"/>
              </w:rPr>
              <w:t>-2 250 000</w:t>
            </w:r>
          </w:p>
        </w:tc>
        <w:tc>
          <w:tcPr>
            <w:tcW w:w="1275" w:type="dxa"/>
            <w:vAlign w:val="center"/>
          </w:tcPr>
          <w:p w:rsidR="00855167" w:rsidRPr="00945DB4" w:rsidP="00855167" w14:paraId="4D5D30B6" w14:textId="1CC65233">
            <w:pPr>
              <w:contextualSpacing/>
              <w:jc w:val="center"/>
              <w:rPr>
                <w:sz w:val="22"/>
                <w:szCs w:val="22"/>
              </w:rPr>
            </w:pPr>
            <w:r>
              <w:rPr>
                <w:sz w:val="22"/>
                <w:szCs w:val="22"/>
              </w:rPr>
              <w:t>0</w:t>
            </w:r>
          </w:p>
        </w:tc>
        <w:tc>
          <w:tcPr>
            <w:tcW w:w="1276" w:type="dxa"/>
            <w:gridSpan w:val="2"/>
            <w:vAlign w:val="center"/>
          </w:tcPr>
          <w:p w:rsidR="00855167" w:rsidRPr="00945DB4" w:rsidP="00855167" w14:paraId="0B228E63" w14:textId="13074D56">
            <w:pPr>
              <w:contextualSpacing/>
              <w:jc w:val="center"/>
              <w:rPr>
                <w:sz w:val="22"/>
                <w:szCs w:val="22"/>
              </w:rPr>
            </w:pPr>
            <w:r w:rsidRPr="00945DB4">
              <w:rPr>
                <w:sz w:val="22"/>
                <w:szCs w:val="22"/>
              </w:rPr>
              <w:t>-2 250 000</w:t>
            </w:r>
          </w:p>
        </w:tc>
        <w:tc>
          <w:tcPr>
            <w:tcW w:w="1276" w:type="dxa"/>
            <w:vAlign w:val="center"/>
          </w:tcPr>
          <w:p w:rsidR="00855167" w:rsidRPr="00945DB4" w:rsidP="00855167" w14:paraId="47BD1E64" w14:textId="7F4C4212">
            <w:pPr>
              <w:contextualSpacing/>
              <w:jc w:val="center"/>
              <w:rPr>
                <w:sz w:val="22"/>
                <w:szCs w:val="22"/>
              </w:rPr>
            </w:pPr>
            <w:r>
              <w:rPr>
                <w:sz w:val="22"/>
                <w:szCs w:val="22"/>
              </w:rPr>
              <w:t>325 562</w:t>
            </w:r>
          </w:p>
        </w:tc>
        <w:tc>
          <w:tcPr>
            <w:tcW w:w="1417" w:type="dxa"/>
            <w:gridSpan w:val="2"/>
            <w:vAlign w:val="center"/>
          </w:tcPr>
          <w:p w:rsidR="00855167" w:rsidRPr="00945DB4" w:rsidP="00855167" w14:paraId="3D43C589" w14:textId="2B8F9AAF">
            <w:pPr>
              <w:contextualSpacing/>
              <w:jc w:val="center"/>
              <w:rPr>
                <w:sz w:val="22"/>
                <w:szCs w:val="22"/>
              </w:rPr>
            </w:pPr>
            <w:r>
              <w:rPr>
                <w:sz w:val="22"/>
                <w:szCs w:val="22"/>
              </w:rPr>
              <w:t>0</w:t>
            </w:r>
          </w:p>
        </w:tc>
      </w:tr>
      <w:tr w14:paraId="79C7D8D3" w14:textId="77777777" w:rsidTr="00382AD9">
        <w:tblPrEx>
          <w:tblW w:w="11205" w:type="dxa"/>
          <w:tblInd w:w="-1433" w:type="dxa"/>
          <w:tblLayout w:type="fixed"/>
          <w:tblLook w:val="04A0"/>
        </w:tblPrEx>
        <w:trPr>
          <w:gridAfter w:val="1"/>
          <w:wAfter w:w="6" w:type="dxa"/>
        </w:trPr>
        <w:tc>
          <w:tcPr>
            <w:tcW w:w="2054" w:type="dxa"/>
          </w:tcPr>
          <w:p w:rsidR="00945DB4" w:rsidRPr="00B81DE4" w:rsidP="00945DB4" w14:paraId="0565BDF9" w14:textId="77777777">
            <w:r w:rsidRPr="00B81DE4">
              <w:t>3.2. speciālais budžets</w:t>
            </w:r>
          </w:p>
        </w:tc>
        <w:tc>
          <w:tcPr>
            <w:tcW w:w="1349" w:type="dxa"/>
            <w:vAlign w:val="center"/>
          </w:tcPr>
          <w:p w:rsidR="00945DB4" w:rsidRPr="002B16F8" w:rsidP="00945DB4" w14:paraId="2B35A9F0" w14:textId="77777777">
            <w:pPr>
              <w:contextualSpacing/>
              <w:jc w:val="center"/>
              <w:rPr>
                <w:sz w:val="22"/>
                <w:szCs w:val="22"/>
              </w:rPr>
            </w:pPr>
            <w:r w:rsidRPr="002B16F8">
              <w:rPr>
                <w:sz w:val="22"/>
                <w:szCs w:val="22"/>
              </w:rPr>
              <w:t>0</w:t>
            </w:r>
          </w:p>
        </w:tc>
        <w:tc>
          <w:tcPr>
            <w:tcW w:w="1276" w:type="dxa"/>
            <w:vAlign w:val="center"/>
          </w:tcPr>
          <w:p w:rsidR="00945DB4" w:rsidRPr="002B16F8" w:rsidP="00945DB4" w14:paraId="44C523AB" w14:textId="77777777">
            <w:pPr>
              <w:contextualSpacing/>
              <w:jc w:val="center"/>
              <w:rPr>
                <w:sz w:val="22"/>
                <w:szCs w:val="22"/>
              </w:rPr>
            </w:pPr>
            <w:r w:rsidRPr="002B16F8">
              <w:rPr>
                <w:sz w:val="22"/>
                <w:szCs w:val="22"/>
              </w:rPr>
              <w:t>0</w:t>
            </w:r>
          </w:p>
        </w:tc>
        <w:tc>
          <w:tcPr>
            <w:tcW w:w="1276" w:type="dxa"/>
            <w:gridSpan w:val="2"/>
            <w:vAlign w:val="center"/>
          </w:tcPr>
          <w:p w:rsidR="00945DB4" w:rsidRPr="002B16F8" w:rsidP="00945DB4" w14:paraId="59F63BE6" w14:textId="77777777">
            <w:pPr>
              <w:contextualSpacing/>
              <w:jc w:val="center"/>
              <w:rPr>
                <w:sz w:val="22"/>
                <w:szCs w:val="22"/>
              </w:rPr>
            </w:pPr>
            <w:r w:rsidRPr="002B16F8">
              <w:rPr>
                <w:sz w:val="22"/>
                <w:szCs w:val="22"/>
              </w:rPr>
              <w:t>0</w:t>
            </w:r>
          </w:p>
        </w:tc>
        <w:tc>
          <w:tcPr>
            <w:tcW w:w="1275" w:type="dxa"/>
            <w:vAlign w:val="center"/>
          </w:tcPr>
          <w:p w:rsidR="00945DB4" w:rsidRPr="002B16F8" w:rsidP="00945DB4" w14:paraId="5664CC28" w14:textId="77777777">
            <w:pPr>
              <w:contextualSpacing/>
              <w:jc w:val="center"/>
              <w:rPr>
                <w:sz w:val="22"/>
                <w:szCs w:val="22"/>
              </w:rPr>
            </w:pPr>
            <w:r w:rsidRPr="002B16F8">
              <w:rPr>
                <w:sz w:val="22"/>
                <w:szCs w:val="22"/>
              </w:rPr>
              <w:t>0</w:t>
            </w:r>
          </w:p>
        </w:tc>
        <w:tc>
          <w:tcPr>
            <w:tcW w:w="1276" w:type="dxa"/>
            <w:gridSpan w:val="2"/>
            <w:vAlign w:val="center"/>
          </w:tcPr>
          <w:p w:rsidR="00945DB4" w:rsidRPr="002B16F8" w:rsidP="00945DB4" w14:paraId="73F9000E" w14:textId="77777777">
            <w:pPr>
              <w:contextualSpacing/>
              <w:jc w:val="center"/>
              <w:rPr>
                <w:sz w:val="22"/>
                <w:szCs w:val="22"/>
              </w:rPr>
            </w:pPr>
            <w:r w:rsidRPr="002B16F8">
              <w:rPr>
                <w:sz w:val="22"/>
                <w:szCs w:val="22"/>
              </w:rPr>
              <w:t>0</w:t>
            </w:r>
          </w:p>
        </w:tc>
        <w:tc>
          <w:tcPr>
            <w:tcW w:w="1276" w:type="dxa"/>
            <w:vAlign w:val="center"/>
          </w:tcPr>
          <w:p w:rsidR="00945DB4" w:rsidRPr="002B16F8" w:rsidP="00945DB4" w14:paraId="32841E03" w14:textId="77777777">
            <w:pPr>
              <w:contextualSpacing/>
              <w:jc w:val="center"/>
              <w:rPr>
                <w:sz w:val="22"/>
                <w:szCs w:val="22"/>
              </w:rPr>
            </w:pPr>
            <w:r w:rsidRPr="002B16F8">
              <w:rPr>
                <w:sz w:val="22"/>
                <w:szCs w:val="22"/>
              </w:rPr>
              <w:t>0</w:t>
            </w:r>
          </w:p>
        </w:tc>
        <w:tc>
          <w:tcPr>
            <w:tcW w:w="1417" w:type="dxa"/>
            <w:gridSpan w:val="2"/>
            <w:vAlign w:val="center"/>
          </w:tcPr>
          <w:p w:rsidR="00945DB4" w:rsidRPr="002B16F8" w:rsidP="00945DB4" w14:paraId="1180158F" w14:textId="77777777">
            <w:pPr>
              <w:contextualSpacing/>
              <w:jc w:val="center"/>
              <w:rPr>
                <w:sz w:val="22"/>
                <w:szCs w:val="22"/>
              </w:rPr>
            </w:pPr>
            <w:r w:rsidRPr="002B16F8">
              <w:rPr>
                <w:sz w:val="22"/>
                <w:szCs w:val="22"/>
              </w:rPr>
              <w:t>0</w:t>
            </w:r>
          </w:p>
        </w:tc>
      </w:tr>
      <w:tr w14:paraId="7FF8D185" w14:textId="77777777" w:rsidTr="00382AD9">
        <w:tblPrEx>
          <w:tblW w:w="11205" w:type="dxa"/>
          <w:tblInd w:w="-1433" w:type="dxa"/>
          <w:tblLayout w:type="fixed"/>
          <w:tblLook w:val="04A0"/>
        </w:tblPrEx>
        <w:trPr>
          <w:gridAfter w:val="1"/>
          <w:wAfter w:w="6" w:type="dxa"/>
        </w:trPr>
        <w:tc>
          <w:tcPr>
            <w:tcW w:w="2054" w:type="dxa"/>
          </w:tcPr>
          <w:p w:rsidR="00945DB4" w:rsidRPr="00B81DE4" w:rsidP="00945DB4" w14:paraId="02D61A9B" w14:textId="77777777">
            <w:r w:rsidRPr="00B81DE4">
              <w:t>3.3. pašvaldību budžets</w:t>
            </w:r>
          </w:p>
        </w:tc>
        <w:tc>
          <w:tcPr>
            <w:tcW w:w="1349" w:type="dxa"/>
            <w:vAlign w:val="center"/>
          </w:tcPr>
          <w:p w:rsidR="00945DB4" w:rsidRPr="002B16F8" w:rsidP="00945DB4" w14:paraId="6AC75AD6" w14:textId="77777777">
            <w:pPr>
              <w:contextualSpacing/>
              <w:jc w:val="center"/>
              <w:rPr>
                <w:sz w:val="22"/>
                <w:szCs w:val="22"/>
              </w:rPr>
            </w:pPr>
            <w:r w:rsidRPr="002B16F8">
              <w:rPr>
                <w:sz w:val="22"/>
                <w:szCs w:val="22"/>
              </w:rPr>
              <w:t>0</w:t>
            </w:r>
          </w:p>
        </w:tc>
        <w:tc>
          <w:tcPr>
            <w:tcW w:w="1276" w:type="dxa"/>
            <w:vAlign w:val="center"/>
          </w:tcPr>
          <w:p w:rsidR="00945DB4" w:rsidRPr="002B16F8" w:rsidP="00945DB4" w14:paraId="7CF4BC3A" w14:textId="77777777">
            <w:pPr>
              <w:contextualSpacing/>
              <w:jc w:val="center"/>
              <w:rPr>
                <w:sz w:val="22"/>
                <w:szCs w:val="22"/>
              </w:rPr>
            </w:pPr>
            <w:r w:rsidRPr="002B16F8">
              <w:rPr>
                <w:sz w:val="22"/>
                <w:szCs w:val="22"/>
              </w:rPr>
              <w:t>0</w:t>
            </w:r>
          </w:p>
        </w:tc>
        <w:tc>
          <w:tcPr>
            <w:tcW w:w="1276" w:type="dxa"/>
            <w:gridSpan w:val="2"/>
            <w:vAlign w:val="center"/>
          </w:tcPr>
          <w:p w:rsidR="00945DB4" w:rsidRPr="002B16F8" w:rsidP="00945DB4" w14:paraId="53E5F0FC" w14:textId="77777777">
            <w:pPr>
              <w:contextualSpacing/>
              <w:jc w:val="center"/>
              <w:rPr>
                <w:sz w:val="22"/>
                <w:szCs w:val="22"/>
              </w:rPr>
            </w:pPr>
            <w:r w:rsidRPr="002B16F8">
              <w:rPr>
                <w:sz w:val="22"/>
                <w:szCs w:val="22"/>
              </w:rPr>
              <w:t>0</w:t>
            </w:r>
          </w:p>
        </w:tc>
        <w:tc>
          <w:tcPr>
            <w:tcW w:w="1275" w:type="dxa"/>
            <w:vAlign w:val="center"/>
          </w:tcPr>
          <w:p w:rsidR="00945DB4" w:rsidRPr="002B16F8" w:rsidP="00945DB4" w14:paraId="375ACD63" w14:textId="77777777">
            <w:pPr>
              <w:contextualSpacing/>
              <w:jc w:val="center"/>
              <w:rPr>
                <w:sz w:val="22"/>
                <w:szCs w:val="22"/>
              </w:rPr>
            </w:pPr>
            <w:r w:rsidRPr="002B16F8">
              <w:rPr>
                <w:sz w:val="22"/>
                <w:szCs w:val="22"/>
              </w:rPr>
              <w:t>0</w:t>
            </w:r>
          </w:p>
        </w:tc>
        <w:tc>
          <w:tcPr>
            <w:tcW w:w="1276" w:type="dxa"/>
            <w:gridSpan w:val="2"/>
            <w:vAlign w:val="center"/>
          </w:tcPr>
          <w:p w:rsidR="00945DB4" w:rsidRPr="002B16F8" w:rsidP="00945DB4" w14:paraId="318620A3" w14:textId="77777777">
            <w:pPr>
              <w:contextualSpacing/>
              <w:jc w:val="center"/>
              <w:rPr>
                <w:sz w:val="22"/>
                <w:szCs w:val="22"/>
              </w:rPr>
            </w:pPr>
            <w:r w:rsidRPr="002B16F8">
              <w:rPr>
                <w:sz w:val="22"/>
                <w:szCs w:val="22"/>
              </w:rPr>
              <w:t>0</w:t>
            </w:r>
          </w:p>
        </w:tc>
        <w:tc>
          <w:tcPr>
            <w:tcW w:w="1276" w:type="dxa"/>
            <w:vAlign w:val="center"/>
          </w:tcPr>
          <w:p w:rsidR="00945DB4" w:rsidRPr="002B16F8" w:rsidP="00945DB4" w14:paraId="019EE69C" w14:textId="77777777">
            <w:pPr>
              <w:contextualSpacing/>
              <w:jc w:val="center"/>
              <w:rPr>
                <w:sz w:val="22"/>
                <w:szCs w:val="22"/>
              </w:rPr>
            </w:pPr>
            <w:r w:rsidRPr="002B16F8">
              <w:rPr>
                <w:sz w:val="22"/>
                <w:szCs w:val="22"/>
              </w:rPr>
              <w:t>0</w:t>
            </w:r>
          </w:p>
        </w:tc>
        <w:tc>
          <w:tcPr>
            <w:tcW w:w="1417" w:type="dxa"/>
            <w:gridSpan w:val="2"/>
            <w:vAlign w:val="center"/>
          </w:tcPr>
          <w:p w:rsidR="00945DB4" w:rsidRPr="002B16F8" w:rsidP="00945DB4" w14:paraId="48019689" w14:textId="77777777">
            <w:pPr>
              <w:contextualSpacing/>
              <w:jc w:val="center"/>
              <w:rPr>
                <w:sz w:val="22"/>
                <w:szCs w:val="22"/>
              </w:rPr>
            </w:pPr>
            <w:r w:rsidRPr="002B16F8">
              <w:rPr>
                <w:sz w:val="22"/>
                <w:szCs w:val="22"/>
              </w:rPr>
              <w:t>0</w:t>
            </w:r>
          </w:p>
        </w:tc>
      </w:tr>
      <w:tr w14:paraId="13CCC06D" w14:textId="77777777" w:rsidTr="00382AD9">
        <w:tblPrEx>
          <w:tblW w:w="11205" w:type="dxa"/>
          <w:tblInd w:w="-1433" w:type="dxa"/>
          <w:tblLayout w:type="fixed"/>
          <w:tblLook w:val="04A0"/>
        </w:tblPrEx>
        <w:trPr>
          <w:gridAfter w:val="1"/>
          <w:wAfter w:w="6" w:type="dxa"/>
        </w:trPr>
        <w:tc>
          <w:tcPr>
            <w:tcW w:w="2054" w:type="dxa"/>
          </w:tcPr>
          <w:p w:rsidR="00945DB4" w:rsidRPr="00B81DE4" w:rsidP="00945DB4" w14:paraId="078AD920" w14:textId="77777777">
            <w:r w:rsidRPr="00B81DE4">
              <w:t>4. Finanšu līdzekļi papildu izdevumu finansēšanai (kompensējošu izdevumu samazinājumu norāda ar "+" zīmi)</w:t>
            </w:r>
          </w:p>
        </w:tc>
        <w:tc>
          <w:tcPr>
            <w:tcW w:w="1349" w:type="dxa"/>
            <w:vAlign w:val="center"/>
          </w:tcPr>
          <w:p w:rsidR="00945DB4" w:rsidRPr="002B16F8" w:rsidP="00945DB4" w14:paraId="74B85333" w14:textId="77777777">
            <w:pPr>
              <w:contextualSpacing/>
              <w:jc w:val="center"/>
              <w:rPr>
                <w:sz w:val="22"/>
                <w:szCs w:val="22"/>
              </w:rPr>
            </w:pPr>
            <w:r w:rsidRPr="002B16F8">
              <w:rPr>
                <w:sz w:val="22"/>
                <w:szCs w:val="22"/>
              </w:rPr>
              <w:t>0</w:t>
            </w:r>
          </w:p>
        </w:tc>
        <w:tc>
          <w:tcPr>
            <w:tcW w:w="1276" w:type="dxa"/>
            <w:vAlign w:val="center"/>
          </w:tcPr>
          <w:p w:rsidR="00945DB4" w:rsidRPr="002B16F8" w:rsidP="00945DB4" w14:paraId="5E5CBCAB" w14:textId="77777777">
            <w:pPr>
              <w:contextualSpacing/>
              <w:jc w:val="center"/>
              <w:rPr>
                <w:sz w:val="22"/>
                <w:szCs w:val="22"/>
              </w:rPr>
            </w:pPr>
            <w:r w:rsidRPr="002B16F8">
              <w:rPr>
                <w:sz w:val="22"/>
                <w:szCs w:val="22"/>
              </w:rPr>
              <w:t>0</w:t>
            </w:r>
          </w:p>
        </w:tc>
        <w:tc>
          <w:tcPr>
            <w:tcW w:w="1276" w:type="dxa"/>
            <w:gridSpan w:val="2"/>
            <w:vAlign w:val="center"/>
          </w:tcPr>
          <w:p w:rsidR="00945DB4" w:rsidRPr="002B16F8" w:rsidP="00945DB4" w14:paraId="26BED0C0" w14:textId="77777777">
            <w:pPr>
              <w:contextualSpacing/>
              <w:jc w:val="center"/>
              <w:rPr>
                <w:sz w:val="22"/>
                <w:szCs w:val="22"/>
              </w:rPr>
            </w:pPr>
            <w:r w:rsidRPr="002B16F8">
              <w:rPr>
                <w:sz w:val="22"/>
                <w:szCs w:val="22"/>
              </w:rPr>
              <w:t>0</w:t>
            </w:r>
          </w:p>
        </w:tc>
        <w:tc>
          <w:tcPr>
            <w:tcW w:w="1275" w:type="dxa"/>
            <w:vAlign w:val="center"/>
          </w:tcPr>
          <w:p w:rsidR="00945DB4" w:rsidRPr="002B16F8" w:rsidP="00945DB4" w14:paraId="015B2D6C" w14:textId="77777777">
            <w:pPr>
              <w:contextualSpacing/>
              <w:jc w:val="center"/>
              <w:rPr>
                <w:sz w:val="22"/>
                <w:szCs w:val="22"/>
              </w:rPr>
            </w:pPr>
            <w:r w:rsidRPr="002B16F8">
              <w:rPr>
                <w:sz w:val="22"/>
                <w:szCs w:val="22"/>
              </w:rPr>
              <w:t>0</w:t>
            </w:r>
          </w:p>
        </w:tc>
        <w:tc>
          <w:tcPr>
            <w:tcW w:w="1276" w:type="dxa"/>
            <w:gridSpan w:val="2"/>
            <w:vAlign w:val="center"/>
          </w:tcPr>
          <w:p w:rsidR="00945DB4" w:rsidRPr="002B16F8" w:rsidP="00945DB4" w14:paraId="21EA2948" w14:textId="77777777">
            <w:pPr>
              <w:contextualSpacing/>
              <w:jc w:val="center"/>
              <w:rPr>
                <w:sz w:val="22"/>
                <w:szCs w:val="22"/>
              </w:rPr>
            </w:pPr>
            <w:r w:rsidRPr="002B16F8">
              <w:rPr>
                <w:sz w:val="22"/>
                <w:szCs w:val="22"/>
              </w:rPr>
              <w:t>0</w:t>
            </w:r>
          </w:p>
        </w:tc>
        <w:tc>
          <w:tcPr>
            <w:tcW w:w="1276" w:type="dxa"/>
            <w:vAlign w:val="center"/>
          </w:tcPr>
          <w:p w:rsidR="00945DB4" w:rsidRPr="002B16F8" w:rsidP="00945DB4" w14:paraId="2F3E669B" w14:textId="77777777">
            <w:pPr>
              <w:contextualSpacing/>
              <w:jc w:val="center"/>
              <w:rPr>
                <w:sz w:val="22"/>
                <w:szCs w:val="22"/>
              </w:rPr>
            </w:pPr>
            <w:r w:rsidRPr="002B16F8">
              <w:rPr>
                <w:sz w:val="22"/>
                <w:szCs w:val="22"/>
              </w:rPr>
              <w:t>0</w:t>
            </w:r>
          </w:p>
        </w:tc>
        <w:tc>
          <w:tcPr>
            <w:tcW w:w="1417" w:type="dxa"/>
            <w:gridSpan w:val="2"/>
            <w:vAlign w:val="center"/>
          </w:tcPr>
          <w:p w:rsidR="00945DB4" w:rsidRPr="002B16F8" w:rsidP="00945DB4" w14:paraId="07F3172D" w14:textId="77777777">
            <w:pPr>
              <w:contextualSpacing/>
              <w:jc w:val="center"/>
              <w:rPr>
                <w:sz w:val="22"/>
                <w:szCs w:val="22"/>
              </w:rPr>
            </w:pPr>
            <w:r w:rsidRPr="002B16F8">
              <w:rPr>
                <w:sz w:val="22"/>
                <w:szCs w:val="22"/>
              </w:rPr>
              <w:t>0</w:t>
            </w:r>
          </w:p>
        </w:tc>
      </w:tr>
      <w:tr w14:paraId="0EA7107B" w14:textId="77777777" w:rsidTr="00382AD9">
        <w:tblPrEx>
          <w:tblW w:w="11205" w:type="dxa"/>
          <w:tblInd w:w="-1433" w:type="dxa"/>
          <w:tblLayout w:type="fixed"/>
          <w:tblLook w:val="04A0"/>
        </w:tblPrEx>
        <w:trPr>
          <w:gridAfter w:val="1"/>
          <w:wAfter w:w="6" w:type="dxa"/>
        </w:trPr>
        <w:tc>
          <w:tcPr>
            <w:tcW w:w="2054" w:type="dxa"/>
          </w:tcPr>
          <w:p w:rsidR="00855167" w:rsidRPr="00B81DE4" w:rsidP="00855167" w14:paraId="30FED1BB" w14:textId="77777777">
            <w:r w:rsidRPr="00B81DE4">
              <w:t>5. Precizēta finansiālā ietekme:</w:t>
            </w:r>
          </w:p>
        </w:tc>
        <w:tc>
          <w:tcPr>
            <w:tcW w:w="1349" w:type="dxa"/>
            <w:vAlign w:val="center"/>
          </w:tcPr>
          <w:p w:rsidR="00855167" w:rsidRPr="002B16F8" w:rsidP="00855167" w14:paraId="3AC0B0A3" w14:textId="365D3845">
            <w:pPr>
              <w:contextualSpacing/>
              <w:jc w:val="center"/>
              <w:rPr>
                <w:sz w:val="22"/>
                <w:szCs w:val="22"/>
              </w:rPr>
            </w:pPr>
            <w:r w:rsidRPr="00945DB4">
              <w:rPr>
                <w:sz w:val="22"/>
                <w:szCs w:val="22"/>
              </w:rPr>
              <w:t>-2 250 000</w:t>
            </w:r>
          </w:p>
        </w:tc>
        <w:tc>
          <w:tcPr>
            <w:tcW w:w="1276" w:type="dxa"/>
            <w:vAlign w:val="center"/>
          </w:tcPr>
          <w:p w:rsidR="00855167" w:rsidRPr="002B16F8" w:rsidP="00855167" w14:paraId="0D453A2B" w14:textId="756ECAD0">
            <w:pPr>
              <w:contextualSpacing/>
              <w:jc w:val="center"/>
              <w:rPr>
                <w:sz w:val="22"/>
                <w:szCs w:val="22"/>
              </w:rPr>
            </w:pPr>
            <w:r w:rsidRPr="002B16F8">
              <w:rPr>
                <w:sz w:val="22"/>
                <w:szCs w:val="22"/>
              </w:rPr>
              <w:t>0</w:t>
            </w:r>
          </w:p>
        </w:tc>
        <w:tc>
          <w:tcPr>
            <w:tcW w:w="1276" w:type="dxa"/>
            <w:gridSpan w:val="2"/>
            <w:vAlign w:val="center"/>
          </w:tcPr>
          <w:p w:rsidR="00855167" w:rsidRPr="002B16F8" w:rsidP="00855167" w14:paraId="33D5306E" w14:textId="0A730FC9">
            <w:pPr>
              <w:contextualSpacing/>
              <w:jc w:val="center"/>
              <w:rPr>
                <w:sz w:val="22"/>
                <w:szCs w:val="22"/>
              </w:rPr>
            </w:pPr>
            <w:r w:rsidRPr="00945DB4">
              <w:rPr>
                <w:sz w:val="22"/>
                <w:szCs w:val="22"/>
              </w:rPr>
              <w:t>-2 250 000</w:t>
            </w:r>
          </w:p>
        </w:tc>
        <w:tc>
          <w:tcPr>
            <w:tcW w:w="1275" w:type="dxa"/>
            <w:vAlign w:val="center"/>
          </w:tcPr>
          <w:p w:rsidR="00855167" w:rsidRPr="002B16F8" w:rsidP="00855167" w14:paraId="14AFB744" w14:textId="3F2E0603">
            <w:pPr>
              <w:contextualSpacing/>
              <w:jc w:val="center"/>
              <w:rPr>
                <w:sz w:val="22"/>
                <w:szCs w:val="22"/>
              </w:rPr>
            </w:pPr>
            <w:r>
              <w:rPr>
                <w:sz w:val="22"/>
                <w:szCs w:val="22"/>
              </w:rPr>
              <w:t>0</w:t>
            </w:r>
          </w:p>
        </w:tc>
        <w:tc>
          <w:tcPr>
            <w:tcW w:w="1276" w:type="dxa"/>
            <w:gridSpan w:val="2"/>
            <w:vAlign w:val="center"/>
          </w:tcPr>
          <w:p w:rsidR="00855167" w:rsidRPr="002B16F8" w:rsidP="00855167" w14:paraId="3416743C" w14:textId="362B4AC4">
            <w:pPr>
              <w:contextualSpacing/>
              <w:jc w:val="center"/>
              <w:rPr>
                <w:sz w:val="22"/>
                <w:szCs w:val="22"/>
              </w:rPr>
            </w:pPr>
            <w:r w:rsidRPr="00945DB4">
              <w:rPr>
                <w:sz w:val="22"/>
                <w:szCs w:val="22"/>
              </w:rPr>
              <w:t>-2 250 000</w:t>
            </w:r>
          </w:p>
        </w:tc>
        <w:tc>
          <w:tcPr>
            <w:tcW w:w="1276" w:type="dxa"/>
            <w:vAlign w:val="center"/>
          </w:tcPr>
          <w:p w:rsidR="00855167" w:rsidRPr="002B16F8" w:rsidP="00855167" w14:paraId="5C75F50A" w14:textId="63A98425">
            <w:pPr>
              <w:contextualSpacing/>
              <w:jc w:val="center"/>
              <w:rPr>
                <w:sz w:val="22"/>
                <w:szCs w:val="22"/>
              </w:rPr>
            </w:pPr>
            <w:r>
              <w:rPr>
                <w:sz w:val="22"/>
                <w:szCs w:val="22"/>
              </w:rPr>
              <w:t>325 562</w:t>
            </w:r>
          </w:p>
        </w:tc>
        <w:tc>
          <w:tcPr>
            <w:tcW w:w="1417" w:type="dxa"/>
            <w:gridSpan w:val="2"/>
            <w:vAlign w:val="center"/>
          </w:tcPr>
          <w:p w:rsidR="00855167" w:rsidRPr="002B16F8" w:rsidP="00855167" w14:paraId="34467945" w14:textId="793F5E39">
            <w:pPr>
              <w:contextualSpacing/>
              <w:jc w:val="center"/>
              <w:rPr>
                <w:sz w:val="22"/>
                <w:szCs w:val="22"/>
              </w:rPr>
            </w:pPr>
            <w:r>
              <w:rPr>
                <w:sz w:val="22"/>
                <w:szCs w:val="22"/>
              </w:rPr>
              <w:t>0</w:t>
            </w:r>
          </w:p>
        </w:tc>
      </w:tr>
      <w:tr w14:paraId="29F070C1" w14:textId="77777777" w:rsidTr="00382AD9">
        <w:tblPrEx>
          <w:tblW w:w="11205" w:type="dxa"/>
          <w:tblInd w:w="-1433" w:type="dxa"/>
          <w:tblLayout w:type="fixed"/>
          <w:tblLook w:val="04A0"/>
        </w:tblPrEx>
        <w:trPr>
          <w:gridAfter w:val="1"/>
          <w:wAfter w:w="6" w:type="dxa"/>
        </w:trPr>
        <w:tc>
          <w:tcPr>
            <w:tcW w:w="2054" w:type="dxa"/>
          </w:tcPr>
          <w:p w:rsidR="00855167" w:rsidRPr="00B81DE4" w:rsidP="00855167" w14:paraId="3A2FEBF1" w14:textId="77777777">
            <w:r w:rsidRPr="00B81DE4">
              <w:t>5.1. valsts pamatbudžets</w:t>
            </w:r>
          </w:p>
        </w:tc>
        <w:tc>
          <w:tcPr>
            <w:tcW w:w="1349" w:type="dxa"/>
            <w:vMerge w:val="restart"/>
            <w:vAlign w:val="center"/>
          </w:tcPr>
          <w:p w:rsidR="00855167" w:rsidRPr="002B16F8" w:rsidP="00855167" w14:paraId="5B7B4B4D" w14:textId="77777777">
            <w:pPr>
              <w:contextualSpacing/>
              <w:jc w:val="center"/>
              <w:rPr>
                <w:sz w:val="22"/>
                <w:szCs w:val="22"/>
              </w:rPr>
            </w:pPr>
            <w:r w:rsidRPr="002B16F8">
              <w:rPr>
                <w:sz w:val="22"/>
                <w:szCs w:val="22"/>
              </w:rPr>
              <w:t>X</w:t>
            </w:r>
          </w:p>
        </w:tc>
        <w:tc>
          <w:tcPr>
            <w:tcW w:w="1276" w:type="dxa"/>
            <w:vAlign w:val="center"/>
          </w:tcPr>
          <w:p w:rsidR="00855167" w:rsidRPr="002B16F8" w:rsidP="00855167" w14:paraId="24049F24" w14:textId="3D0431F8">
            <w:pPr>
              <w:contextualSpacing/>
              <w:jc w:val="center"/>
              <w:rPr>
                <w:sz w:val="22"/>
                <w:szCs w:val="22"/>
              </w:rPr>
            </w:pPr>
            <w:r w:rsidRPr="002B16F8">
              <w:rPr>
                <w:sz w:val="22"/>
                <w:szCs w:val="22"/>
              </w:rPr>
              <w:t>0</w:t>
            </w:r>
          </w:p>
        </w:tc>
        <w:tc>
          <w:tcPr>
            <w:tcW w:w="1276" w:type="dxa"/>
            <w:gridSpan w:val="2"/>
            <w:vMerge w:val="restart"/>
            <w:vAlign w:val="center"/>
          </w:tcPr>
          <w:p w:rsidR="00855167" w:rsidRPr="002B16F8" w:rsidP="00855167" w14:paraId="6059FD92" w14:textId="77777777">
            <w:pPr>
              <w:contextualSpacing/>
              <w:jc w:val="center"/>
              <w:rPr>
                <w:sz w:val="22"/>
                <w:szCs w:val="22"/>
              </w:rPr>
            </w:pPr>
            <w:r w:rsidRPr="002B16F8">
              <w:rPr>
                <w:sz w:val="22"/>
                <w:szCs w:val="22"/>
              </w:rPr>
              <w:t>X</w:t>
            </w:r>
          </w:p>
        </w:tc>
        <w:tc>
          <w:tcPr>
            <w:tcW w:w="1275" w:type="dxa"/>
            <w:vAlign w:val="center"/>
          </w:tcPr>
          <w:p w:rsidR="00855167" w:rsidRPr="002B16F8" w:rsidP="00855167" w14:paraId="7761AD8A" w14:textId="0F0EA84C">
            <w:pPr>
              <w:contextualSpacing/>
              <w:jc w:val="center"/>
              <w:rPr>
                <w:sz w:val="22"/>
                <w:szCs w:val="22"/>
              </w:rPr>
            </w:pPr>
            <w:r>
              <w:rPr>
                <w:sz w:val="22"/>
                <w:szCs w:val="22"/>
              </w:rPr>
              <w:t>0</w:t>
            </w:r>
          </w:p>
        </w:tc>
        <w:tc>
          <w:tcPr>
            <w:tcW w:w="1276" w:type="dxa"/>
            <w:gridSpan w:val="2"/>
            <w:vMerge w:val="restart"/>
            <w:vAlign w:val="center"/>
          </w:tcPr>
          <w:p w:rsidR="00855167" w:rsidRPr="002B16F8" w:rsidP="00855167" w14:paraId="794B8FB9" w14:textId="77777777">
            <w:pPr>
              <w:contextualSpacing/>
              <w:jc w:val="center"/>
              <w:rPr>
                <w:sz w:val="22"/>
                <w:szCs w:val="22"/>
              </w:rPr>
            </w:pPr>
            <w:r w:rsidRPr="002B16F8">
              <w:rPr>
                <w:sz w:val="22"/>
                <w:szCs w:val="22"/>
              </w:rPr>
              <w:t>X</w:t>
            </w:r>
          </w:p>
        </w:tc>
        <w:tc>
          <w:tcPr>
            <w:tcW w:w="1276" w:type="dxa"/>
            <w:vAlign w:val="center"/>
          </w:tcPr>
          <w:p w:rsidR="00855167" w:rsidRPr="002B16F8" w:rsidP="00855167" w14:paraId="62D5B181" w14:textId="405B1B30">
            <w:pPr>
              <w:contextualSpacing/>
              <w:jc w:val="center"/>
              <w:rPr>
                <w:sz w:val="22"/>
                <w:szCs w:val="22"/>
              </w:rPr>
            </w:pPr>
            <w:r>
              <w:rPr>
                <w:sz w:val="22"/>
                <w:szCs w:val="22"/>
              </w:rPr>
              <w:t>325 562</w:t>
            </w:r>
          </w:p>
        </w:tc>
        <w:tc>
          <w:tcPr>
            <w:tcW w:w="1417" w:type="dxa"/>
            <w:gridSpan w:val="2"/>
            <w:vAlign w:val="center"/>
          </w:tcPr>
          <w:p w:rsidR="00855167" w:rsidRPr="002B16F8" w:rsidP="00855167" w14:paraId="3B078119" w14:textId="022EE765">
            <w:pPr>
              <w:contextualSpacing/>
              <w:jc w:val="center"/>
              <w:rPr>
                <w:sz w:val="22"/>
                <w:szCs w:val="22"/>
              </w:rPr>
            </w:pPr>
            <w:r>
              <w:rPr>
                <w:sz w:val="22"/>
                <w:szCs w:val="22"/>
              </w:rPr>
              <w:t>0</w:t>
            </w:r>
          </w:p>
        </w:tc>
      </w:tr>
      <w:tr w14:paraId="5271EC1B" w14:textId="77777777" w:rsidTr="00382AD9">
        <w:tblPrEx>
          <w:tblW w:w="11205" w:type="dxa"/>
          <w:tblInd w:w="-1433" w:type="dxa"/>
          <w:tblLayout w:type="fixed"/>
          <w:tblLook w:val="04A0"/>
        </w:tblPrEx>
        <w:trPr>
          <w:gridAfter w:val="1"/>
          <w:wAfter w:w="6" w:type="dxa"/>
        </w:trPr>
        <w:tc>
          <w:tcPr>
            <w:tcW w:w="2054" w:type="dxa"/>
          </w:tcPr>
          <w:p w:rsidR="00945DB4" w:rsidRPr="00B81DE4" w:rsidP="00945DB4" w14:paraId="08225955" w14:textId="77777777">
            <w:r w:rsidRPr="00B81DE4">
              <w:t>5.2. speciālais budžets</w:t>
            </w:r>
          </w:p>
        </w:tc>
        <w:tc>
          <w:tcPr>
            <w:tcW w:w="1349" w:type="dxa"/>
            <w:vMerge/>
            <w:vAlign w:val="center"/>
          </w:tcPr>
          <w:p w:rsidR="00945DB4" w:rsidRPr="002B16F8" w:rsidP="00945DB4" w14:paraId="28C9D4B7" w14:textId="77777777">
            <w:pPr>
              <w:contextualSpacing/>
              <w:jc w:val="center"/>
              <w:rPr>
                <w:sz w:val="22"/>
                <w:szCs w:val="22"/>
              </w:rPr>
            </w:pPr>
          </w:p>
        </w:tc>
        <w:tc>
          <w:tcPr>
            <w:tcW w:w="1276" w:type="dxa"/>
            <w:vAlign w:val="center"/>
          </w:tcPr>
          <w:p w:rsidR="00945DB4" w:rsidRPr="002B16F8" w:rsidP="00945DB4" w14:paraId="61F24B38" w14:textId="77777777">
            <w:pPr>
              <w:contextualSpacing/>
              <w:jc w:val="center"/>
              <w:rPr>
                <w:sz w:val="22"/>
                <w:szCs w:val="22"/>
              </w:rPr>
            </w:pPr>
            <w:r w:rsidRPr="002B16F8">
              <w:rPr>
                <w:sz w:val="22"/>
                <w:szCs w:val="22"/>
              </w:rPr>
              <w:t>0</w:t>
            </w:r>
          </w:p>
        </w:tc>
        <w:tc>
          <w:tcPr>
            <w:tcW w:w="1276" w:type="dxa"/>
            <w:gridSpan w:val="2"/>
            <w:vMerge/>
            <w:vAlign w:val="center"/>
          </w:tcPr>
          <w:p w:rsidR="00945DB4" w:rsidRPr="002B16F8" w:rsidP="00945DB4" w14:paraId="273C7BE9" w14:textId="77777777">
            <w:pPr>
              <w:contextualSpacing/>
              <w:jc w:val="center"/>
              <w:rPr>
                <w:sz w:val="22"/>
                <w:szCs w:val="22"/>
              </w:rPr>
            </w:pPr>
          </w:p>
        </w:tc>
        <w:tc>
          <w:tcPr>
            <w:tcW w:w="1275" w:type="dxa"/>
            <w:vAlign w:val="center"/>
          </w:tcPr>
          <w:p w:rsidR="00945DB4" w:rsidRPr="002B16F8" w:rsidP="00945DB4" w14:paraId="566A67F2" w14:textId="77777777">
            <w:pPr>
              <w:contextualSpacing/>
              <w:jc w:val="center"/>
              <w:rPr>
                <w:sz w:val="22"/>
                <w:szCs w:val="22"/>
              </w:rPr>
            </w:pPr>
            <w:r w:rsidRPr="002B16F8">
              <w:rPr>
                <w:sz w:val="22"/>
                <w:szCs w:val="22"/>
              </w:rPr>
              <w:t>0</w:t>
            </w:r>
          </w:p>
        </w:tc>
        <w:tc>
          <w:tcPr>
            <w:tcW w:w="1276" w:type="dxa"/>
            <w:gridSpan w:val="2"/>
            <w:vMerge/>
            <w:vAlign w:val="center"/>
          </w:tcPr>
          <w:p w:rsidR="00945DB4" w:rsidRPr="002B16F8" w:rsidP="00945DB4" w14:paraId="4B2281A2" w14:textId="77777777">
            <w:pPr>
              <w:contextualSpacing/>
              <w:jc w:val="center"/>
              <w:rPr>
                <w:sz w:val="22"/>
                <w:szCs w:val="22"/>
              </w:rPr>
            </w:pPr>
          </w:p>
        </w:tc>
        <w:tc>
          <w:tcPr>
            <w:tcW w:w="1276" w:type="dxa"/>
            <w:vAlign w:val="center"/>
          </w:tcPr>
          <w:p w:rsidR="00945DB4" w:rsidRPr="002B16F8" w:rsidP="00945DB4" w14:paraId="05D41213" w14:textId="77777777">
            <w:pPr>
              <w:contextualSpacing/>
              <w:jc w:val="center"/>
              <w:rPr>
                <w:sz w:val="22"/>
                <w:szCs w:val="22"/>
              </w:rPr>
            </w:pPr>
            <w:r w:rsidRPr="002B16F8">
              <w:rPr>
                <w:sz w:val="22"/>
                <w:szCs w:val="22"/>
              </w:rPr>
              <w:t>0</w:t>
            </w:r>
          </w:p>
        </w:tc>
        <w:tc>
          <w:tcPr>
            <w:tcW w:w="1417" w:type="dxa"/>
            <w:gridSpan w:val="2"/>
            <w:vAlign w:val="center"/>
          </w:tcPr>
          <w:p w:rsidR="00945DB4" w:rsidRPr="002B16F8" w:rsidP="00945DB4" w14:paraId="33C61DCC" w14:textId="77777777">
            <w:pPr>
              <w:contextualSpacing/>
              <w:jc w:val="center"/>
              <w:rPr>
                <w:sz w:val="22"/>
                <w:szCs w:val="22"/>
              </w:rPr>
            </w:pPr>
            <w:r w:rsidRPr="002B16F8">
              <w:rPr>
                <w:sz w:val="22"/>
                <w:szCs w:val="22"/>
              </w:rPr>
              <w:t>0</w:t>
            </w:r>
          </w:p>
        </w:tc>
      </w:tr>
      <w:tr w14:paraId="64AB9741" w14:textId="77777777" w:rsidTr="00382AD9">
        <w:tblPrEx>
          <w:tblW w:w="11205" w:type="dxa"/>
          <w:tblInd w:w="-1433" w:type="dxa"/>
          <w:tblLayout w:type="fixed"/>
          <w:tblLook w:val="04A0"/>
        </w:tblPrEx>
        <w:trPr>
          <w:gridAfter w:val="1"/>
          <w:wAfter w:w="6" w:type="dxa"/>
        </w:trPr>
        <w:tc>
          <w:tcPr>
            <w:tcW w:w="2054" w:type="dxa"/>
          </w:tcPr>
          <w:p w:rsidR="00945DB4" w:rsidRPr="00B81DE4" w:rsidP="00945DB4" w14:paraId="777BAF35" w14:textId="77777777">
            <w:r w:rsidRPr="00B81DE4">
              <w:t>5.3. pašvaldību budžets</w:t>
            </w:r>
          </w:p>
        </w:tc>
        <w:tc>
          <w:tcPr>
            <w:tcW w:w="1349" w:type="dxa"/>
            <w:vMerge/>
            <w:vAlign w:val="center"/>
          </w:tcPr>
          <w:p w:rsidR="00945DB4" w:rsidRPr="002B16F8" w:rsidP="00945DB4" w14:paraId="5EFD7791" w14:textId="77777777">
            <w:pPr>
              <w:contextualSpacing/>
              <w:jc w:val="center"/>
              <w:rPr>
                <w:sz w:val="22"/>
                <w:szCs w:val="22"/>
              </w:rPr>
            </w:pPr>
          </w:p>
        </w:tc>
        <w:tc>
          <w:tcPr>
            <w:tcW w:w="1276" w:type="dxa"/>
            <w:vAlign w:val="center"/>
          </w:tcPr>
          <w:p w:rsidR="00945DB4" w:rsidRPr="002B16F8" w:rsidP="00945DB4" w14:paraId="3CE0E47F" w14:textId="77777777">
            <w:pPr>
              <w:contextualSpacing/>
              <w:jc w:val="center"/>
              <w:rPr>
                <w:sz w:val="22"/>
                <w:szCs w:val="22"/>
              </w:rPr>
            </w:pPr>
            <w:r w:rsidRPr="002B16F8">
              <w:rPr>
                <w:sz w:val="22"/>
                <w:szCs w:val="22"/>
              </w:rPr>
              <w:t>0</w:t>
            </w:r>
          </w:p>
        </w:tc>
        <w:tc>
          <w:tcPr>
            <w:tcW w:w="1276" w:type="dxa"/>
            <w:gridSpan w:val="2"/>
            <w:vMerge/>
            <w:vAlign w:val="center"/>
          </w:tcPr>
          <w:p w:rsidR="00945DB4" w:rsidRPr="002B16F8" w:rsidP="00945DB4" w14:paraId="1AAAA86B" w14:textId="77777777">
            <w:pPr>
              <w:contextualSpacing/>
              <w:jc w:val="center"/>
              <w:rPr>
                <w:sz w:val="22"/>
                <w:szCs w:val="22"/>
              </w:rPr>
            </w:pPr>
          </w:p>
        </w:tc>
        <w:tc>
          <w:tcPr>
            <w:tcW w:w="1275" w:type="dxa"/>
            <w:vAlign w:val="center"/>
          </w:tcPr>
          <w:p w:rsidR="00945DB4" w:rsidRPr="002B16F8" w:rsidP="00945DB4" w14:paraId="200BC0E7" w14:textId="77777777">
            <w:pPr>
              <w:contextualSpacing/>
              <w:jc w:val="center"/>
              <w:rPr>
                <w:sz w:val="22"/>
                <w:szCs w:val="22"/>
              </w:rPr>
            </w:pPr>
            <w:r w:rsidRPr="002B16F8">
              <w:rPr>
                <w:sz w:val="22"/>
                <w:szCs w:val="22"/>
              </w:rPr>
              <w:t>0</w:t>
            </w:r>
          </w:p>
        </w:tc>
        <w:tc>
          <w:tcPr>
            <w:tcW w:w="1276" w:type="dxa"/>
            <w:gridSpan w:val="2"/>
            <w:vMerge/>
            <w:vAlign w:val="center"/>
          </w:tcPr>
          <w:p w:rsidR="00945DB4" w:rsidRPr="002B16F8" w:rsidP="00945DB4" w14:paraId="7DF421F3" w14:textId="77777777">
            <w:pPr>
              <w:contextualSpacing/>
              <w:jc w:val="center"/>
              <w:rPr>
                <w:sz w:val="22"/>
                <w:szCs w:val="22"/>
              </w:rPr>
            </w:pPr>
          </w:p>
        </w:tc>
        <w:tc>
          <w:tcPr>
            <w:tcW w:w="1276" w:type="dxa"/>
            <w:vAlign w:val="center"/>
          </w:tcPr>
          <w:p w:rsidR="00945DB4" w:rsidRPr="002B16F8" w:rsidP="00945DB4" w14:paraId="19C764C9" w14:textId="77777777">
            <w:pPr>
              <w:contextualSpacing/>
              <w:jc w:val="center"/>
              <w:rPr>
                <w:sz w:val="22"/>
                <w:szCs w:val="22"/>
              </w:rPr>
            </w:pPr>
            <w:r w:rsidRPr="002B16F8">
              <w:rPr>
                <w:sz w:val="22"/>
                <w:szCs w:val="22"/>
              </w:rPr>
              <w:t>0</w:t>
            </w:r>
          </w:p>
        </w:tc>
        <w:tc>
          <w:tcPr>
            <w:tcW w:w="1417" w:type="dxa"/>
            <w:gridSpan w:val="2"/>
            <w:vAlign w:val="center"/>
          </w:tcPr>
          <w:p w:rsidR="00945DB4" w:rsidRPr="002B16F8" w:rsidP="00945DB4" w14:paraId="11723017" w14:textId="77777777">
            <w:pPr>
              <w:contextualSpacing/>
              <w:jc w:val="center"/>
              <w:rPr>
                <w:sz w:val="22"/>
                <w:szCs w:val="22"/>
              </w:rPr>
            </w:pPr>
            <w:r w:rsidRPr="002B16F8">
              <w:rPr>
                <w:sz w:val="22"/>
                <w:szCs w:val="22"/>
              </w:rPr>
              <w:t>0</w:t>
            </w:r>
          </w:p>
        </w:tc>
      </w:tr>
      <w:tr w14:paraId="28ECE84A" w14:textId="77777777" w:rsidTr="00382AD9">
        <w:tblPrEx>
          <w:tblW w:w="11205" w:type="dxa"/>
          <w:tblInd w:w="-1433" w:type="dxa"/>
          <w:tblLayout w:type="fixed"/>
          <w:tblLook w:val="04A0"/>
        </w:tblPrEx>
        <w:tc>
          <w:tcPr>
            <w:tcW w:w="2054" w:type="dxa"/>
          </w:tcPr>
          <w:p w:rsidR="00945DB4" w:rsidRPr="00B81DE4" w:rsidP="00945DB4" w14:paraId="25D67B98" w14:textId="77777777">
            <w:r w:rsidRPr="00B81DE4">
              <w:t>6. Detalizēts ieņēmumu un izdevumu aprēķins (ja nepie</w:t>
            </w:r>
            <w:r w:rsidRPr="00B81DE4">
              <w:softHyphen/>
              <w:t>ciešams, detalizētu ieņēmumu un izdevumu aprēķinu var pie</w:t>
            </w:r>
            <w:r w:rsidRPr="00B81DE4">
              <w:softHyphen/>
              <w:t>vienot anotācijas pielikumā):</w:t>
            </w:r>
          </w:p>
        </w:tc>
        <w:tc>
          <w:tcPr>
            <w:tcW w:w="9151" w:type="dxa"/>
            <w:gridSpan w:val="11"/>
            <w:vMerge w:val="restart"/>
          </w:tcPr>
          <w:p w:rsidR="00945DB4" w:rsidRPr="00B81DE4" w:rsidP="00855167" w14:paraId="2084FD0F" w14:textId="3EADA2EE">
            <w:r>
              <w:t>Publiskais finansējums 2 170 416 EUR pilnā apmērā ir paredzēts 2020.gadā projekta Lāčplēša ielā 25, Rīgā, īstenošanai.</w:t>
            </w:r>
          </w:p>
        </w:tc>
      </w:tr>
      <w:tr w14:paraId="2F2560B0" w14:textId="77777777" w:rsidTr="00382AD9">
        <w:tblPrEx>
          <w:tblW w:w="11205" w:type="dxa"/>
          <w:tblInd w:w="-1433" w:type="dxa"/>
          <w:tblLayout w:type="fixed"/>
          <w:tblLook w:val="04A0"/>
        </w:tblPrEx>
        <w:tc>
          <w:tcPr>
            <w:tcW w:w="2054" w:type="dxa"/>
          </w:tcPr>
          <w:p w:rsidR="00945DB4" w:rsidRPr="00B81DE4" w:rsidP="00945DB4" w14:paraId="23982F6F" w14:textId="77777777">
            <w:r w:rsidRPr="008F1B50">
              <w:t>6.1. detalizēts ieņēmumu aprēķins</w:t>
            </w:r>
          </w:p>
        </w:tc>
        <w:tc>
          <w:tcPr>
            <w:tcW w:w="9151" w:type="dxa"/>
            <w:gridSpan w:val="11"/>
            <w:vMerge/>
          </w:tcPr>
          <w:p w:rsidR="00945DB4" w:rsidRPr="00B81DE4" w:rsidP="00945DB4" w14:paraId="206072EB" w14:textId="77777777"/>
        </w:tc>
      </w:tr>
      <w:tr w14:paraId="1025EBE1" w14:textId="77777777" w:rsidTr="00382AD9">
        <w:tblPrEx>
          <w:tblW w:w="11205" w:type="dxa"/>
          <w:tblInd w:w="-1433" w:type="dxa"/>
          <w:tblLayout w:type="fixed"/>
          <w:tblLook w:val="04A0"/>
        </w:tblPrEx>
        <w:tc>
          <w:tcPr>
            <w:tcW w:w="2054" w:type="dxa"/>
          </w:tcPr>
          <w:p w:rsidR="00945DB4" w:rsidRPr="00B81DE4" w:rsidP="00945DB4" w14:paraId="47FB0612" w14:textId="77777777">
            <w:r w:rsidRPr="008F1B50">
              <w:t>6.2. detalizēts izdevumu aprēķins</w:t>
            </w:r>
          </w:p>
        </w:tc>
        <w:tc>
          <w:tcPr>
            <w:tcW w:w="9151" w:type="dxa"/>
            <w:gridSpan w:val="11"/>
            <w:vMerge/>
          </w:tcPr>
          <w:p w:rsidR="00945DB4" w:rsidRPr="00B81DE4" w:rsidP="00945DB4" w14:paraId="0424BAFB" w14:textId="77777777"/>
        </w:tc>
      </w:tr>
      <w:tr w14:paraId="12F439D8" w14:textId="77777777" w:rsidTr="00382AD9">
        <w:tblPrEx>
          <w:tblW w:w="11205" w:type="dxa"/>
          <w:tblInd w:w="-1433" w:type="dxa"/>
          <w:tblLayout w:type="fixed"/>
          <w:tblLook w:val="04A0"/>
        </w:tblPrEx>
        <w:tc>
          <w:tcPr>
            <w:tcW w:w="2054" w:type="dxa"/>
          </w:tcPr>
          <w:p w:rsidR="00945DB4" w:rsidRPr="00B81DE4" w:rsidP="00945DB4" w14:paraId="19D6CF29" w14:textId="77777777">
            <w:r w:rsidRPr="008F1B50">
              <w:t>7. Amata vietu skaita izmaiņas</w:t>
            </w:r>
          </w:p>
        </w:tc>
        <w:tc>
          <w:tcPr>
            <w:tcW w:w="9151" w:type="dxa"/>
            <w:gridSpan w:val="11"/>
          </w:tcPr>
          <w:p w:rsidR="00945DB4" w:rsidRPr="00B81DE4" w:rsidP="00945DB4" w14:paraId="60D6291D" w14:textId="77777777">
            <w:r>
              <w:t>Nav plānotas amata vietu skaita izmaiņas.</w:t>
            </w:r>
          </w:p>
        </w:tc>
      </w:tr>
      <w:tr w14:paraId="1874CDC0" w14:textId="77777777" w:rsidTr="00382AD9">
        <w:tblPrEx>
          <w:tblW w:w="11205" w:type="dxa"/>
          <w:tblInd w:w="-1433" w:type="dxa"/>
          <w:tblLayout w:type="fixed"/>
          <w:tblLook w:val="04A0"/>
        </w:tblPrEx>
        <w:tc>
          <w:tcPr>
            <w:tcW w:w="2054" w:type="dxa"/>
          </w:tcPr>
          <w:p w:rsidR="00945DB4" w:rsidRPr="00B81DE4" w:rsidP="00945DB4" w14:paraId="3E5BD40F" w14:textId="77777777">
            <w:r w:rsidRPr="008F1B50">
              <w:t>8. Cita informācija</w:t>
            </w:r>
          </w:p>
        </w:tc>
        <w:tc>
          <w:tcPr>
            <w:tcW w:w="9151" w:type="dxa"/>
            <w:gridSpan w:val="11"/>
          </w:tcPr>
          <w:p w:rsidR="00945DB4" w:rsidRPr="00B81DE4" w:rsidP="001D0BB5" w14:paraId="63E30CF4" w14:textId="794EE179">
            <w:r>
              <w:t xml:space="preserve">Publiskais finansējums 2 170 416 EUR tiek pārdalīts </w:t>
            </w:r>
            <w:r w:rsidR="001D0BB5">
              <w:t xml:space="preserve">no 4.2.1.2.pasākumā pirmās kārtas </w:t>
            </w:r>
            <w:r>
              <w:t>uz</w:t>
            </w:r>
            <w:r w:rsidR="001D0BB5">
              <w:t xml:space="preserve"> 4.2.1.2.pasākuma otro kārtu p</w:t>
            </w:r>
            <w:r>
              <w:t>rojekta</w:t>
            </w:r>
            <w:r w:rsidR="001D0BB5">
              <w:t xml:space="preserve"> Lāčplēša ielā 25, Rīgā,</w:t>
            </w:r>
            <w:r>
              <w:t xml:space="preserve"> īstenošanai</w:t>
            </w:r>
            <w:r w:rsidR="001D0BB5">
              <w:t xml:space="preserve"> </w:t>
            </w:r>
            <w:r>
              <w:t>2020.gad</w:t>
            </w:r>
            <w:r w:rsidR="001D0BB5">
              <w:t>ā.</w:t>
            </w:r>
          </w:p>
        </w:tc>
      </w:tr>
    </w:tbl>
    <w:p w:rsidR="00D318C4" w14:paraId="6F9EC16E" w14:textId="77777777"/>
    <w:p w:rsidR="00382AD9" w14:paraId="779D414D" w14:textId="77777777"/>
    <w:p w:rsidR="00CC2AC3" w14:paraId="5DA1DA29" w14:textId="77777777"/>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2127"/>
        <w:gridCol w:w="6819"/>
      </w:tblGrid>
      <w:tr w14:paraId="69DAB6BA" w14:textId="77777777" w:rsidTr="00382AD9">
        <w:tblPrEx>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c>
          <w:tcPr>
            <w:tcW w:w="9371" w:type="dxa"/>
            <w:gridSpan w:val="3"/>
            <w:hideMark/>
          </w:tcPr>
          <w:p w:rsidR="00382AD9" w:rsidRPr="00E5753A" w:rsidP="001733FC" w14:paraId="3E7D5961" w14:textId="77777777">
            <w:pPr>
              <w:spacing w:before="120" w:after="120"/>
              <w:jc w:val="center"/>
              <w:rPr>
                <w:b/>
                <w:bCs/>
              </w:rPr>
            </w:pPr>
            <w:r>
              <w:rPr>
                <w:b/>
                <w:bCs/>
              </w:rPr>
              <w:t>I</w:t>
            </w:r>
            <w:r w:rsidRPr="008B78B2">
              <w:rPr>
                <w:b/>
                <w:bCs/>
              </w:rPr>
              <w:t xml:space="preserve">V. </w:t>
            </w:r>
            <w:r w:rsidRPr="00E5753A">
              <w:rPr>
                <w:b/>
                <w:bCs/>
              </w:rPr>
              <w:t>Tiesību akta projekta ietekme uz spēkā esošo tiesību normu sistēmu</w:t>
            </w:r>
          </w:p>
        </w:tc>
      </w:tr>
      <w:tr w14:paraId="01257E63" w14:textId="77777777" w:rsidTr="00382AD9">
        <w:tblPrEx>
          <w:tblW w:w="9371" w:type="dxa"/>
          <w:tblInd w:w="-5" w:type="dxa"/>
          <w:tblLayout w:type="fixed"/>
          <w:tblCellMar>
            <w:left w:w="0" w:type="dxa"/>
            <w:right w:w="0" w:type="dxa"/>
          </w:tblCellMar>
          <w:tblLook w:val="04A0"/>
        </w:tblPrEx>
        <w:tc>
          <w:tcPr>
            <w:tcW w:w="425" w:type="dxa"/>
          </w:tcPr>
          <w:p w:rsidR="00382AD9" w:rsidRPr="005C307E" w:rsidP="001733FC" w14:paraId="06A0EB45" w14:textId="77777777">
            <w:r w:rsidRPr="005C307E">
              <w:t>1.</w:t>
            </w:r>
          </w:p>
        </w:tc>
        <w:tc>
          <w:tcPr>
            <w:tcW w:w="2127" w:type="dxa"/>
          </w:tcPr>
          <w:p w:rsidR="00382AD9" w:rsidRPr="005C307E" w:rsidP="001733FC" w14:paraId="666E668B" w14:textId="77777777">
            <w:r w:rsidRPr="005C307E">
              <w:t>Saistītie tiesību aktu projekti</w:t>
            </w:r>
          </w:p>
        </w:tc>
        <w:tc>
          <w:tcPr>
            <w:tcW w:w="6819" w:type="dxa"/>
          </w:tcPr>
          <w:p w:rsidR="00382AD9" w:rsidRPr="005C307E" w:rsidP="00382AD9" w14:paraId="3460D058" w14:textId="60257DEA">
            <w:r w:rsidRPr="005C307E">
              <w:t>Noteikumu projektam ir ietekme uz plānotajiem grozījumiem Ministru kabineta 201</w:t>
            </w:r>
            <w:r>
              <w:t>7</w:t>
            </w:r>
            <w:r w:rsidRPr="005C307E">
              <w:t xml:space="preserve">. gada </w:t>
            </w:r>
            <w:r>
              <w:t>4.janvāra noteikumiem Nr.13 "</w:t>
            </w:r>
            <w:r w:rsidRPr="005C307E">
              <w:t xml:space="preserve">Darbības programmas "Izaugsme un nodarbinātība" 4.2.1. specifiskā atbalsta mērķa "Veicināt energoefektivitātes paaugstināšanu valsts un dzīvojamās ēkās" 4.2.1.2. pasākuma "Veicināt energoefektivitātes paaugstināšanu valsts ēkās" </w:t>
            </w:r>
            <w:r>
              <w:t>otrās</w:t>
            </w:r>
            <w:r w:rsidRPr="005C307E">
              <w:t xml:space="preserve"> projektu iesniegumu atlases kārtas īstenošanas noteikumi"".</w:t>
            </w:r>
          </w:p>
        </w:tc>
      </w:tr>
      <w:tr w14:paraId="420E7CCA" w14:textId="77777777" w:rsidTr="00382AD9">
        <w:tblPrEx>
          <w:tblW w:w="9371" w:type="dxa"/>
          <w:tblInd w:w="-5" w:type="dxa"/>
          <w:tblLayout w:type="fixed"/>
          <w:tblCellMar>
            <w:left w:w="0" w:type="dxa"/>
            <w:right w:w="0" w:type="dxa"/>
          </w:tblCellMar>
          <w:tblLook w:val="04A0"/>
        </w:tblPrEx>
        <w:tc>
          <w:tcPr>
            <w:tcW w:w="425" w:type="dxa"/>
          </w:tcPr>
          <w:p w:rsidR="00382AD9" w:rsidRPr="005C307E" w:rsidP="001733FC" w14:paraId="166E5B35" w14:textId="77777777">
            <w:r w:rsidRPr="005C307E">
              <w:t>2.</w:t>
            </w:r>
          </w:p>
        </w:tc>
        <w:tc>
          <w:tcPr>
            <w:tcW w:w="2127" w:type="dxa"/>
          </w:tcPr>
          <w:p w:rsidR="00382AD9" w:rsidRPr="005C307E" w:rsidP="001733FC" w14:paraId="22ADBF6C" w14:textId="77777777">
            <w:r w:rsidRPr="005C307E">
              <w:t>Atbildīgā institūcija</w:t>
            </w:r>
          </w:p>
        </w:tc>
        <w:tc>
          <w:tcPr>
            <w:tcW w:w="6819" w:type="dxa"/>
          </w:tcPr>
          <w:p w:rsidR="00382AD9" w:rsidRPr="005C307E" w:rsidP="001733FC" w14:paraId="7E9555EE" w14:textId="77777777">
            <w:r>
              <w:t>Ekonomikas</w:t>
            </w:r>
            <w:r w:rsidRPr="005C307E">
              <w:t xml:space="preserve"> ministrija</w:t>
            </w:r>
          </w:p>
        </w:tc>
      </w:tr>
      <w:tr w14:paraId="43E1341F" w14:textId="77777777" w:rsidTr="00382AD9">
        <w:tblPrEx>
          <w:tblW w:w="9371" w:type="dxa"/>
          <w:tblInd w:w="-5" w:type="dxa"/>
          <w:tblLayout w:type="fixed"/>
          <w:tblCellMar>
            <w:left w:w="0" w:type="dxa"/>
            <w:right w:w="0" w:type="dxa"/>
          </w:tblCellMar>
          <w:tblLook w:val="04A0"/>
        </w:tblPrEx>
        <w:tc>
          <w:tcPr>
            <w:tcW w:w="425" w:type="dxa"/>
          </w:tcPr>
          <w:p w:rsidR="00382AD9" w:rsidRPr="005C307E" w:rsidP="001733FC" w14:paraId="40D63437" w14:textId="77777777">
            <w:r w:rsidRPr="005C307E">
              <w:t>3.</w:t>
            </w:r>
          </w:p>
        </w:tc>
        <w:tc>
          <w:tcPr>
            <w:tcW w:w="2127" w:type="dxa"/>
          </w:tcPr>
          <w:p w:rsidR="00382AD9" w:rsidRPr="005C307E" w:rsidP="001733FC" w14:paraId="749DEBDB" w14:textId="77777777">
            <w:r w:rsidRPr="005C307E">
              <w:t>Cita informācija</w:t>
            </w:r>
            <w:r w:rsidRPr="005C307E">
              <w:tab/>
            </w:r>
          </w:p>
        </w:tc>
        <w:tc>
          <w:tcPr>
            <w:tcW w:w="6819" w:type="dxa"/>
          </w:tcPr>
          <w:p w:rsidR="00382AD9" w:rsidRPr="005C307E" w:rsidP="001733FC" w14:paraId="696E3481" w14:textId="77777777">
            <w:r w:rsidRPr="005C307E">
              <w:t>Nav</w:t>
            </w:r>
          </w:p>
        </w:tc>
      </w:tr>
    </w:tbl>
    <w:p w:rsidR="00382AD9" w14:paraId="2DB04940" w14:textId="77777777"/>
    <w:p w:rsidR="00382AD9" w:rsidRPr="00F52FFA" w14:paraId="5EF6D605" w14:textId="77777777"/>
    <w:tbl>
      <w:tblPr>
        <w:tblStyle w:val="TableGrid"/>
        <w:tblW w:w="9634" w:type="dxa"/>
        <w:tblBorders>
          <w:bottom w:val="none" w:sz="0" w:space="0" w:color="auto"/>
        </w:tblBorders>
        <w:tblLayout w:type="fixed"/>
        <w:tblLook w:val="04A0"/>
      </w:tblPr>
      <w:tblGrid>
        <w:gridCol w:w="9634"/>
      </w:tblGrid>
      <w:tr w14:paraId="5DBAFC66" w14:textId="77777777" w:rsidTr="00657868">
        <w:tblPrEx>
          <w:tblW w:w="9634" w:type="dxa"/>
          <w:tblBorders>
            <w:bottom w:val="none" w:sz="0" w:space="0" w:color="auto"/>
          </w:tblBorders>
          <w:tblLayout w:type="fixed"/>
          <w:tblLook w:val="04A0"/>
        </w:tblPrEx>
        <w:tc>
          <w:tcPr>
            <w:tcW w:w="9634" w:type="dxa"/>
          </w:tcPr>
          <w:p w:rsidR="00F1588A" w:rsidRPr="00F52FFA" w:rsidP="00F1588A" w14:paraId="16809403" w14:textId="77777777">
            <w:pPr>
              <w:jc w:val="center"/>
            </w:pPr>
            <w:r w:rsidRPr="00F52FFA">
              <w:rPr>
                <w:b/>
              </w:rPr>
              <w:t xml:space="preserve">V. </w:t>
            </w:r>
            <w:r w:rsidRPr="00F52FFA">
              <w:rPr>
                <w:b/>
                <w:color w:val="000000"/>
              </w:rPr>
              <w:t>Tiesību akta projekta atbilstība Latvijas Republikas starptautiskajām saistībām</w:t>
            </w:r>
          </w:p>
        </w:tc>
      </w:tr>
      <w:tr w14:paraId="40CE2F10" w14:textId="77777777" w:rsidTr="00657868">
        <w:tblPrEx>
          <w:tblW w:w="9634" w:type="dxa"/>
          <w:tblLayout w:type="fixed"/>
          <w:tblLook w:val="04A0"/>
        </w:tblPrEx>
        <w:tc>
          <w:tcPr>
            <w:tcW w:w="9634" w:type="dxa"/>
          </w:tcPr>
          <w:p w:rsidR="006F4714" w:rsidRPr="00657868" w:rsidP="006F4714" w14:paraId="09B35B9C" w14:textId="07404367">
            <w:pPr>
              <w:jc w:val="center"/>
            </w:pPr>
            <w:r>
              <w:rPr>
                <w:rFonts w:eastAsia="Times New Roman"/>
                <w:color w:val="000000"/>
              </w:rPr>
              <w:t>P</w:t>
            </w:r>
            <w:r w:rsidRPr="008B78B2">
              <w:rPr>
                <w:rFonts w:eastAsia="Times New Roman"/>
                <w:color w:val="000000"/>
              </w:rPr>
              <w:t>rojekts š</w:t>
            </w:r>
            <w:r>
              <w:rPr>
                <w:rFonts w:eastAsia="Times New Roman"/>
                <w:color w:val="000000"/>
              </w:rPr>
              <w:t>o jomu neskar</w:t>
            </w:r>
          </w:p>
        </w:tc>
      </w:tr>
    </w:tbl>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7"/>
        <w:gridCol w:w="2808"/>
        <w:gridCol w:w="6514"/>
      </w:tblGrid>
      <w:tr w14:paraId="580826D2" w14:textId="77777777" w:rsidTr="00CC2AC3">
        <w:tblPrEx>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89"/>
        </w:trPr>
        <w:tc>
          <w:tcPr>
            <w:tcW w:w="9649" w:type="dxa"/>
            <w:gridSpan w:val="3"/>
            <w:tcBorders>
              <w:left w:val="nil"/>
              <w:bottom w:val="single" w:sz="4" w:space="0" w:color="auto"/>
              <w:right w:val="nil"/>
            </w:tcBorders>
            <w:vAlign w:val="center"/>
          </w:tcPr>
          <w:p w:rsidR="00424E00" w:rsidRPr="00F52FFA" w:rsidP="00777064" w14:paraId="6124B387" w14:textId="50B35B63">
            <w:pPr>
              <w:pStyle w:val="naisnod"/>
              <w:spacing w:before="0" w:beforeAutospacing="0" w:after="0" w:afterAutospacing="0"/>
              <w:ind w:right="57"/>
            </w:pPr>
          </w:p>
        </w:tc>
      </w:tr>
      <w:tr w14:paraId="462090C6" w14:textId="77777777" w:rsidTr="00CC2AC3">
        <w:tblPrEx>
          <w:tblW w:w="9649" w:type="dxa"/>
          <w:tblInd w:w="-10" w:type="dxa"/>
          <w:tblCellMar>
            <w:left w:w="0" w:type="dxa"/>
            <w:right w:w="0" w:type="dxa"/>
          </w:tblCellMar>
          <w:tblLook w:val="0000"/>
        </w:tblPrEx>
        <w:trPr>
          <w:trHeight w:val="340"/>
        </w:trPr>
        <w:tc>
          <w:tcPr>
            <w:tcW w:w="9649" w:type="dxa"/>
            <w:gridSpan w:val="3"/>
            <w:tcBorders>
              <w:left w:val="single" w:sz="4" w:space="0" w:color="auto"/>
              <w:right w:val="single" w:sz="4" w:space="0" w:color="auto"/>
            </w:tcBorders>
            <w:vAlign w:val="center"/>
          </w:tcPr>
          <w:p w:rsidR="00912232" w:rsidRPr="00F52FFA" w:rsidP="00C86522" w14:paraId="07D30983" w14:textId="0BC5B824">
            <w:pPr>
              <w:pStyle w:val="naisnod"/>
              <w:ind w:left="57" w:right="57"/>
              <w:jc w:val="center"/>
              <w:rPr>
                <w:b/>
              </w:rPr>
            </w:pPr>
            <w:r w:rsidRPr="00F52FFA">
              <w:rPr>
                <w:b/>
              </w:rPr>
              <w:t>VI. Sabiedrības līdzdalība un komunikācijas aktivitātes</w:t>
            </w:r>
          </w:p>
        </w:tc>
      </w:tr>
      <w:tr w14:paraId="7145E592" w14:textId="77777777" w:rsidTr="00C86522">
        <w:tblPrEx>
          <w:tblW w:w="9649" w:type="dxa"/>
          <w:tblInd w:w="-10" w:type="dxa"/>
          <w:tblCellMar>
            <w:left w:w="0" w:type="dxa"/>
            <w:right w:w="0" w:type="dxa"/>
          </w:tblCellMar>
          <w:tblLook w:val="0000"/>
        </w:tblPrEx>
        <w:trPr>
          <w:trHeight w:val="1326"/>
        </w:trPr>
        <w:tc>
          <w:tcPr>
            <w:tcW w:w="327" w:type="dxa"/>
          </w:tcPr>
          <w:p w:rsidR="00CC2AC3" w:rsidRPr="00F52FFA" w:rsidP="00CC2AC3" w14:paraId="4BC62BE4" w14:textId="77777777">
            <w:pPr>
              <w:ind w:left="57" w:right="57"/>
              <w:jc w:val="both"/>
              <w:rPr>
                <w:bCs/>
              </w:rPr>
            </w:pPr>
            <w:r w:rsidRPr="00F52FFA">
              <w:rPr>
                <w:bCs/>
              </w:rPr>
              <w:t>1.</w:t>
            </w:r>
          </w:p>
        </w:tc>
        <w:tc>
          <w:tcPr>
            <w:tcW w:w="2808" w:type="dxa"/>
            <w:shd w:val="clear" w:color="auto" w:fill="auto"/>
          </w:tcPr>
          <w:p w:rsidR="00CC2AC3" w:rsidRPr="00F96F2B" w:rsidP="00CC2AC3" w14:paraId="0C8EAF5C" w14:textId="77777777">
            <w:pPr>
              <w:tabs>
                <w:tab w:val="left" w:pos="170"/>
              </w:tabs>
              <w:ind w:left="57" w:right="57"/>
            </w:pPr>
            <w:r w:rsidRPr="00F96F2B">
              <w:t>Plānotās sabiedrības līdzdalības un komunikācijas aktivitātes saistībā ar projektu</w:t>
            </w:r>
          </w:p>
        </w:tc>
        <w:tc>
          <w:tcPr>
            <w:tcW w:w="6514" w:type="dxa"/>
            <w:shd w:val="clear" w:color="auto" w:fill="auto"/>
          </w:tcPr>
          <w:p w:rsidR="00CC2AC3" w:rsidRPr="00F96F2B" w:rsidP="00091C6E" w14:paraId="2725D415" w14:textId="230D85A9">
            <w:pPr>
              <w:shd w:val="clear" w:color="auto" w:fill="FFFFFF"/>
              <w:spacing w:after="120"/>
              <w:ind w:left="57" w:right="113"/>
              <w:jc w:val="both"/>
            </w:pPr>
            <w:bookmarkStart w:id="1" w:name="p61"/>
            <w:bookmarkEnd w:id="1"/>
            <w:r w:rsidRPr="00F96F2B">
              <w:rPr>
                <w:rFonts w:eastAsia="Times New Roman"/>
                <w:iCs/>
              </w:rPr>
              <w:t>Noteikumu projekt</w:t>
            </w:r>
            <w:r w:rsidR="00ED7C32">
              <w:rPr>
                <w:rFonts w:eastAsia="Times New Roman"/>
                <w:iCs/>
              </w:rPr>
              <w:t>a</w:t>
            </w:r>
            <w:r w:rsidRPr="00F96F2B" w:rsidR="00C13470">
              <w:rPr>
                <w:rFonts w:eastAsia="Times New Roman"/>
                <w:iCs/>
              </w:rPr>
              <w:t xml:space="preserve"> un tā anotācija</w:t>
            </w:r>
            <w:r w:rsidR="00ED7C32">
              <w:rPr>
                <w:rFonts w:eastAsia="Times New Roman"/>
                <w:iCs/>
              </w:rPr>
              <w:t>s redakcijas</w:t>
            </w:r>
            <w:r w:rsidR="00091C6E">
              <w:rPr>
                <w:rFonts w:eastAsia="Times New Roman"/>
                <w:iCs/>
              </w:rPr>
              <w:t xml:space="preserve"> ievietotas </w:t>
            </w:r>
            <w:r w:rsidRPr="00F96F2B">
              <w:rPr>
                <w:rFonts w:eastAsia="Times New Roman"/>
                <w:iCs/>
              </w:rPr>
              <w:t>EM tīmekļa vietnē</w:t>
            </w:r>
            <w:r w:rsidR="00091C6E">
              <w:rPr>
                <w:rFonts w:eastAsia="Times New Roman"/>
                <w:iCs/>
              </w:rPr>
              <w:t xml:space="preserve"> 23.11.2017., 23.01.2018</w:t>
            </w:r>
            <w:r w:rsidRPr="00F96F2B">
              <w:rPr>
                <w:rFonts w:eastAsia="Times New Roman"/>
                <w:iCs/>
              </w:rPr>
              <w:t>.</w:t>
            </w:r>
            <w:r w:rsidR="00D53B97">
              <w:rPr>
                <w:rFonts w:eastAsia="Times New Roman"/>
                <w:iCs/>
              </w:rPr>
              <w:t>, 08.05.2018.</w:t>
            </w:r>
          </w:p>
        </w:tc>
      </w:tr>
      <w:tr w14:paraId="4A792954" w14:textId="77777777" w:rsidTr="00C86522">
        <w:tblPrEx>
          <w:tblW w:w="9649" w:type="dxa"/>
          <w:tblInd w:w="-10" w:type="dxa"/>
          <w:tblCellMar>
            <w:left w:w="0" w:type="dxa"/>
            <w:right w:w="0" w:type="dxa"/>
          </w:tblCellMar>
          <w:tblLook w:val="0000"/>
        </w:tblPrEx>
        <w:trPr>
          <w:trHeight w:val="416"/>
        </w:trPr>
        <w:tc>
          <w:tcPr>
            <w:tcW w:w="327" w:type="dxa"/>
          </w:tcPr>
          <w:p w:rsidR="00CC2AC3" w:rsidRPr="00F52FFA" w:rsidP="00CC2AC3" w14:paraId="2184F7DE" w14:textId="77777777">
            <w:pPr>
              <w:ind w:left="57" w:right="57"/>
              <w:jc w:val="both"/>
              <w:rPr>
                <w:bCs/>
              </w:rPr>
            </w:pPr>
            <w:r w:rsidRPr="00F52FFA">
              <w:rPr>
                <w:bCs/>
              </w:rPr>
              <w:t>2.</w:t>
            </w:r>
          </w:p>
        </w:tc>
        <w:tc>
          <w:tcPr>
            <w:tcW w:w="2808" w:type="dxa"/>
            <w:shd w:val="clear" w:color="auto" w:fill="auto"/>
          </w:tcPr>
          <w:p w:rsidR="00CC2AC3" w:rsidRPr="00F96F2B" w:rsidP="00CC2AC3" w14:paraId="0525D3CC" w14:textId="77777777">
            <w:pPr>
              <w:ind w:left="57" w:right="57"/>
            </w:pPr>
            <w:r w:rsidRPr="00F96F2B">
              <w:t>Sabiedrības līdzdalība projekta izstrādē</w:t>
            </w:r>
          </w:p>
        </w:tc>
        <w:tc>
          <w:tcPr>
            <w:tcW w:w="6514" w:type="dxa"/>
            <w:shd w:val="clear" w:color="auto" w:fill="auto"/>
          </w:tcPr>
          <w:p w:rsidR="00CC2AC3" w:rsidRPr="00F96F2B" w:rsidP="00CC2AC3" w14:paraId="173AEBEA" w14:textId="7FBE48E3">
            <w:pPr>
              <w:shd w:val="clear" w:color="auto" w:fill="FFFFFF"/>
              <w:ind w:left="57" w:right="113"/>
              <w:jc w:val="both"/>
            </w:pPr>
            <w:bookmarkStart w:id="2" w:name="p62"/>
            <w:bookmarkEnd w:id="2"/>
            <w:r w:rsidRPr="00F96F2B">
              <w:t>Nav</w:t>
            </w:r>
          </w:p>
        </w:tc>
      </w:tr>
      <w:tr w14:paraId="7D02C9B6" w14:textId="77777777" w:rsidTr="00C86522">
        <w:tblPrEx>
          <w:tblW w:w="9649" w:type="dxa"/>
          <w:tblInd w:w="-10" w:type="dxa"/>
          <w:tblCellMar>
            <w:left w:w="0" w:type="dxa"/>
            <w:right w:w="0" w:type="dxa"/>
          </w:tblCellMar>
          <w:tblLook w:val="0000"/>
        </w:tblPrEx>
        <w:trPr>
          <w:trHeight w:val="571"/>
        </w:trPr>
        <w:tc>
          <w:tcPr>
            <w:tcW w:w="327" w:type="dxa"/>
          </w:tcPr>
          <w:p w:rsidR="00CC2AC3" w:rsidRPr="00F52FFA" w:rsidP="00CC2AC3" w14:paraId="253353A2" w14:textId="77777777">
            <w:pPr>
              <w:ind w:left="57" w:right="57"/>
              <w:jc w:val="both"/>
              <w:rPr>
                <w:bCs/>
              </w:rPr>
            </w:pPr>
            <w:r w:rsidRPr="00F52FFA">
              <w:rPr>
                <w:bCs/>
              </w:rPr>
              <w:t>3.</w:t>
            </w:r>
          </w:p>
        </w:tc>
        <w:tc>
          <w:tcPr>
            <w:tcW w:w="2808" w:type="dxa"/>
            <w:shd w:val="clear" w:color="auto" w:fill="auto"/>
          </w:tcPr>
          <w:p w:rsidR="00CC2AC3" w:rsidRPr="00F96F2B" w:rsidP="00CC2AC3" w14:paraId="3D1C38B5" w14:textId="77777777">
            <w:pPr>
              <w:ind w:left="57" w:right="57"/>
            </w:pPr>
            <w:r w:rsidRPr="00F96F2B">
              <w:t>Sabiedrības līdzdalības rezultāti</w:t>
            </w:r>
          </w:p>
        </w:tc>
        <w:tc>
          <w:tcPr>
            <w:tcW w:w="6514" w:type="dxa"/>
            <w:shd w:val="clear" w:color="auto" w:fill="auto"/>
          </w:tcPr>
          <w:p w:rsidR="00CC2AC3" w:rsidRPr="00F96F2B" w:rsidP="00CC2AC3" w14:paraId="7EB83CD6" w14:textId="73536575">
            <w:pPr>
              <w:ind w:left="57" w:right="57"/>
              <w:jc w:val="both"/>
            </w:pPr>
            <w:r w:rsidRPr="00F96F2B">
              <w:t>Nav</w:t>
            </w:r>
          </w:p>
        </w:tc>
      </w:tr>
      <w:tr w14:paraId="322A539B" w14:textId="77777777" w:rsidTr="00C86522">
        <w:tblPrEx>
          <w:tblW w:w="9649" w:type="dxa"/>
          <w:tblInd w:w="-10" w:type="dxa"/>
          <w:tblCellMar>
            <w:left w:w="0" w:type="dxa"/>
            <w:right w:w="0" w:type="dxa"/>
          </w:tblCellMar>
          <w:tblLook w:val="0000"/>
        </w:tblPrEx>
        <w:trPr>
          <w:trHeight w:val="205"/>
        </w:trPr>
        <w:tc>
          <w:tcPr>
            <w:tcW w:w="327" w:type="dxa"/>
          </w:tcPr>
          <w:p w:rsidR="00C7318A" w:rsidRPr="00F52FFA" w:rsidP="003A14EF" w14:paraId="6F014194" w14:textId="77777777">
            <w:pPr>
              <w:ind w:left="57" w:right="57"/>
              <w:jc w:val="both"/>
              <w:rPr>
                <w:bCs/>
              </w:rPr>
            </w:pPr>
            <w:r w:rsidRPr="00F52FFA">
              <w:rPr>
                <w:bCs/>
              </w:rPr>
              <w:t>4.</w:t>
            </w:r>
          </w:p>
        </w:tc>
        <w:tc>
          <w:tcPr>
            <w:tcW w:w="2808" w:type="dxa"/>
            <w:shd w:val="clear" w:color="auto" w:fill="auto"/>
          </w:tcPr>
          <w:p w:rsidR="00C7318A" w:rsidRPr="00F96F2B" w:rsidP="003A14EF" w14:paraId="1E3DAB5A" w14:textId="77777777">
            <w:pPr>
              <w:ind w:left="57" w:right="57"/>
            </w:pPr>
            <w:r w:rsidRPr="00F96F2B">
              <w:t>Cita informācija</w:t>
            </w:r>
          </w:p>
        </w:tc>
        <w:tc>
          <w:tcPr>
            <w:tcW w:w="6514" w:type="dxa"/>
            <w:shd w:val="clear" w:color="auto" w:fill="auto"/>
          </w:tcPr>
          <w:p w:rsidR="00C7318A" w:rsidRPr="00F96F2B" w:rsidP="003A14EF" w14:paraId="3EE3546B" w14:textId="0D12CAC7">
            <w:pPr>
              <w:ind w:left="57" w:right="113"/>
              <w:jc w:val="both"/>
            </w:pPr>
            <w:r w:rsidRPr="00F96F2B">
              <w:t>Nav</w:t>
            </w:r>
          </w:p>
        </w:tc>
      </w:tr>
    </w:tbl>
    <w:p w:rsidR="00C7318A" w:rsidRPr="00F52FFA" w14:paraId="1CF4267C" w14:textId="77777777"/>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7"/>
        <w:gridCol w:w="2816"/>
        <w:gridCol w:w="6496"/>
      </w:tblGrid>
      <w:tr w14:paraId="650E7301" w14:textId="77777777" w:rsidTr="00A15CD1">
        <w:tblPrEx>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639" w:type="dxa"/>
            <w:gridSpan w:val="3"/>
            <w:vAlign w:val="center"/>
          </w:tcPr>
          <w:p w:rsidR="00C7318A" w:rsidRPr="00F52FFA" w:rsidP="003A14EF" w14:paraId="11EDA638" w14:textId="77777777">
            <w:pPr>
              <w:pStyle w:val="naisnod"/>
              <w:spacing w:before="0" w:beforeAutospacing="0" w:after="0" w:afterAutospacing="0"/>
              <w:ind w:left="57" w:right="57"/>
              <w:jc w:val="center"/>
            </w:pPr>
            <w:r w:rsidRPr="00F52FFA">
              <w:rPr>
                <w:b/>
              </w:rPr>
              <w:t>VII. Tiesību akta projekta izpildes nodrošināšana un tās ietekme uz institūcijām</w:t>
            </w:r>
          </w:p>
        </w:tc>
      </w:tr>
      <w:tr w14:paraId="4DE3DDF5" w14:textId="77777777" w:rsidTr="00A15CD1">
        <w:tblPrEx>
          <w:tblW w:w="9639" w:type="dxa"/>
          <w:tblInd w:w="-5" w:type="dxa"/>
          <w:tblCellMar>
            <w:left w:w="0" w:type="dxa"/>
            <w:right w:w="0" w:type="dxa"/>
          </w:tblCellMar>
          <w:tblLook w:val="0000"/>
        </w:tblPrEx>
        <w:trPr>
          <w:trHeight w:val="553"/>
        </w:trPr>
        <w:tc>
          <w:tcPr>
            <w:tcW w:w="327" w:type="dxa"/>
          </w:tcPr>
          <w:p w:rsidR="00CC2AC3" w:rsidRPr="00F52FFA" w:rsidP="00CC2AC3" w14:paraId="765EE432" w14:textId="77777777">
            <w:pPr>
              <w:ind w:left="57" w:right="57"/>
              <w:jc w:val="both"/>
              <w:rPr>
                <w:bCs/>
              </w:rPr>
            </w:pPr>
            <w:r w:rsidRPr="00F52FFA">
              <w:rPr>
                <w:bCs/>
              </w:rPr>
              <w:t>1.</w:t>
            </w:r>
          </w:p>
        </w:tc>
        <w:tc>
          <w:tcPr>
            <w:tcW w:w="2816" w:type="dxa"/>
          </w:tcPr>
          <w:p w:rsidR="00CC2AC3" w:rsidRPr="00F52FFA" w:rsidP="00CC2AC3" w14:paraId="31655584" w14:textId="77777777">
            <w:pPr>
              <w:ind w:left="57" w:right="57"/>
            </w:pPr>
            <w:r w:rsidRPr="00F52FFA">
              <w:t>Projekta izpildē iesaistītās institūcijas</w:t>
            </w:r>
          </w:p>
        </w:tc>
        <w:tc>
          <w:tcPr>
            <w:tcW w:w="6496" w:type="dxa"/>
          </w:tcPr>
          <w:p w:rsidR="00CC2AC3" w:rsidRPr="00F52FFA" w:rsidP="00CC2AC3" w14:paraId="178E6C77" w14:textId="3DF79F1D">
            <w:pPr>
              <w:shd w:val="clear" w:color="auto" w:fill="FFFFFF"/>
              <w:ind w:left="57" w:right="113"/>
              <w:jc w:val="both"/>
            </w:pPr>
            <w:r>
              <w:t>EM</w:t>
            </w:r>
            <w:r w:rsidRPr="008C53EF">
              <w:t xml:space="preserve"> kā atbildīgā iestāde, Ce</w:t>
            </w:r>
            <w:r>
              <w:t>ntrālā</w:t>
            </w:r>
            <w:r w:rsidRPr="008C53EF">
              <w:t xml:space="preserve"> finanšu un līgumu aģentūr</w:t>
            </w:r>
            <w:r>
              <w:t>a</w:t>
            </w:r>
            <w:r w:rsidRPr="008C53EF">
              <w:t xml:space="preserve"> kā sadarbības iestāde</w:t>
            </w:r>
            <w:r>
              <w:t>.</w:t>
            </w:r>
          </w:p>
        </w:tc>
      </w:tr>
      <w:tr w14:paraId="3452100B" w14:textId="77777777" w:rsidTr="00A15CD1">
        <w:tblPrEx>
          <w:tblW w:w="9639" w:type="dxa"/>
          <w:tblInd w:w="-5" w:type="dxa"/>
          <w:tblCellMar>
            <w:left w:w="0" w:type="dxa"/>
            <w:right w:w="0" w:type="dxa"/>
          </w:tblCellMar>
          <w:tblLook w:val="0000"/>
        </w:tblPrEx>
        <w:trPr>
          <w:trHeight w:val="339"/>
        </w:trPr>
        <w:tc>
          <w:tcPr>
            <w:tcW w:w="327" w:type="dxa"/>
          </w:tcPr>
          <w:p w:rsidR="00CC2AC3" w:rsidRPr="00F52FFA" w:rsidP="00CC2AC3" w14:paraId="39C6D9D8" w14:textId="77777777">
            <w:pPr>
              <w:ind w:left="57" w:right="57"/>
              <w:jc w:val="both"/>
              <w:rPr>
                <w:bCs/>
              </w:rPr>
            </w:pPr>
            <w:r w:rsidRPr="00F52FFA">
              <w:rPr>
                <w:bCs/>
              </w:rPr>
              <w:t>2.</w:t>
            </w:r>
          </w:p>
        </w:tc>
        <w:tc>
          <w:tcPr>
            <w:tcW w:w="2816" w:type="dxa"/>
          </w:tcPr>
          <w:p w:rsidR="00CC2AC3" w:rsidRPr="00F52FFA" w:rsidP="00CC2AC3" w14:paraId="1CA00525" w14:textId="77777777">
            <w:pPr>
              <w:ind w:left="57" w:right="57"/>
            </w:pPr>
            <w:r w:rsidRPr="00F52FFA">
              <w:t xml:space="preserve">Projekta izpildes ietekme uz pārvaldes funkcijām un institucionālo struktūru. </w:t>
            </w:r>
          </w:p>
          <w:p w:rsidR="00CC2AC3" w:rsidRPr="00F52FFA" w:rsidP="00CC2AC3" w14:paraId="41F20F78" w14:textId="77777777">
            <w:pPr>
              <w:ind w:left="57" w:right="57"/>
            </w:pPr>
            <w:r w:rsidRPr="00F52FFA">
              <w:t>Jaunu institūciju izveide, esošu institūciju likvidācija vai reorganizācija, to ietekme uz institūcijas cilvēkresursiem</w:t>
            </w:r>
          </w:p>
        </w:tc>
        <w:tc>
          <w:tcPr>
            <w:tcW w:w="6496" w:type="dxa"/>
          </w:tcPr>
          <w:p w:rsidR="00B0734E" w:rsidP="00CC2AC3" w14:paraId="1DAACBE7" w14:textId="5E43D5E5">
            <w:pPr>
              <w:shd w:val="clear" w:color="auto" w:fill="FFFFFF"/>
              <w:ind w:left="57" w:right="113"/>
              <w:jc w:val="both"/>
              <w:rPr>
                <w:kern w:val="24"/>
              </w:rPr>
            </w:pPr>
            <w:r w:rsidRPr="00B0734E">
              <w:rPr>
                <w:kern w:val="24"/>
              </w:rPr>
              <w:t>Nav plānota jaunu institūciju izveide, esošu ins</w:t>
            </w:r>
            <w:r>
              <w:rPr>
                <w:kern w:val="24"/>
              </w:rPr>
              <w:t>titūciju likvidācija vai reorga</w:t>
            </w:r>
            <w:r w:rsidRPr="00B0734E">
              <w:rPr>
                <w:kern w:val="24"/>
              </w:rPr>
              <w:t>nizācija.</w:t>
            </w:r>
          </w:p>
          <w:p w:rsidR="00135CBB" w:rsidRPr="00135CBB" w:rsidP="00135CBB" w14:paraId="66CC09F8" w14:textId="77777777">
            <w:pPr>
              <w:shd w:val="clear" w:color="auto" w:fill="FFFFFF"/>
              <w:ind w:left="57" w:right="113"/>
              <w:jc w:val="both"/>
              <w:rPr>
                <w:kern w:val="24"/>
              </w:rPr>
            </w:pPr>
            <w:r w:rsidRPr="00135CBB">
              <w:rPr>
                <w:kern w:val="24"/>
              </w:rPr>
              <w:t>Vērtējot projektu īstenošanas ietekmi uz administratīvajām procedūrām un to izmaksām, nav identificēts administratīvā sloga palielinājums ne potenciālajiem finansējuma saņēmējiem, ne fondu vadībā iesaistītajām institūcijām.</w:t>
            </w:r>
          </w:p>
          <w:p w:rsidR="00B0734E" w:rsidRPr="00F52FFA" w:rsidP="00135CBB" w14:paraId="7E483CD1" w14:textId="7E1BA051">
            <w:pPr>
              <w:shd w:val="clear" w:color="auto" w:fill="FFFFFF"/>
              <w:ind w:left="57" w:right="113"/>
              <w:jc w:val="both"/>
              <w:rPr>
                <w:kern w:val="24"/>
              </w:rPr>
            </w:pPr>
            <w:r w:rsidRPr="00135CBB">
              <w:rPr>
                <w:kern w:val="24"/>
              </w:rPr>
              <w:t>Iesniegto projektu iesniegumu pieņemšanu un vērtēšanu</w:t>
            </w:r>
            <w:r w:rsidRPr="00657868">
              <w:rPr>
                <w:kern w:val="24"/>
              </w:rPr>
              <w:t xml:space="preserve"> nodrošinās Centrālā finanšu un līgumu aģentūra </w:t>
            </w:r>
            <w:r w:rsidRPr="00135CBB">
              <w:rPr>
                <w:kern w:val="24"/>
              </w:rPr>
              <w:t>kā sadarbības iestāde</w:t>
            </w:r>
            <w:r w:rsidRPr="00657868">
              <w:rPr>
                <w:kern w:val="24"/>
              </w:rPr>
              <w:t>.</w:t>
            </w:r>
          </w:p>
        </w:tc>
      </w:tr>
      <w:tr w14:paraId="734C5578" w14:textId="77777777" w:rsidTr="00A15CD1">
        <w:tblPrEx>
          <w:tblW w:w="9639" w:type="dxa"/>
          <w:tblInd w:w="-5" w:type="dxa"/>
          <w:tblCellMar>
            <w:left w:w="0" w:type="dxa"/>
            <w:right w:w="0" w:type="dxa"/>
          </w:tblCellMar>
          <w:tblLook w:val="0000"/>
        </w:tblPrEx>
        <w:trPr>
          <w:trHeight w:val="319"/>
        </w:trPr>
        <w:tc>
          <w:tcPr>
            <w:tcW w:w="327" w:type="dxa"/>
          </w:tcPr>
          <w:p w:rsidR="00C7318A" w:rsidRPr="00F52FFA" w:rsidP="003A14EF" w14:paraId="4B3E420C" w14:textId="77777777">
            <w:pPr>
              <w:ind w:left="57" w:right="57"/>
              <w:jc w:val="both"/>
              <w:rPr>
                <w:bCs/>
              </w:rPr>
            </w:pPr>
            <w:r w:rsidRPr="00F52FFA">
              <w:rPr>
                <w:bCs/>
              </w:rPr>
              <w:t>3.</w:t>
            </w:r>
          </w:p>
        </w:tc>
        <w:tc>
          <w:tcPr>
            <w:tcW w:w="2816" w:type="dxa"/>
          </w:tcPr>
          <w:p w:rsidR="00C7318A" w:rsidRPr="00F52FFA" w:rsidP="00C70049" w14:paraId="2E78AE36" w14:textId="77777777">
            <w:pPr>
              <w:ind w:left="57" w:right="57"/>
            </w:pPr>
            <w:r w:rsidRPr="00F52FFA">
              <w:t>Cita informācija</w:t>
            </w:r>
          </w:p>
        </w:tc>
        <w:tc>
          <w:tcPr>
            <w:tcW w:w="6496" w:type="dxa"/>
          </w:tcPr>
          <w:p w:rsidR="00C7318A" w:rsidRPr="00F52FFA" w:rsidP="00C70049" w14:paraId="66C01E03" w14:textId="4CBDF5D2">
            <w:pPr>
              <w:shd w:val="clear" w:color="auto" w:fill="FFFFFF"/>
              <w:ind w:left="57" w:right="113"/>
              <w:jc w:val="both"/>
            </w:pPr>
            <w:r w:rsidRPr="00F52FFA">
              <w:t>Nav</w:t>
            </w:r>
          </w:p>
        </w:tc>
      </w:tr>
    </w:tbl>
    <w:p w:rsidR="00C7318A" w:rsidRPr="00F52FFA" w:rsidP="00C7318A" w14:paraId="58A0EF69" w14:textId="77777777"/>
    <w:p w:rsidR="00C86522" w:rsidRPr="005630E5" w:rsidP="00C86522" w14:paraId="5A332623" w14:textId="77777777">
      <w:pPr>
        <w:tabs>
          <w:tab w:val="right" w:pos="9071"/>
        </w:tabs>
        <w:jc w:val="both"/>
        <w:rPr>
          <w:b/>
          <w:color w:val="000000"/>
        </w:rPr>
      </w:pPr>
      <w:r w:rsidRPr="005630E5">
        <w:rPr>
          <w:b/>
          <w:color w:val="000000"/>
        </w:rPr>
        <w:t xml:space="preserve">Ministru prezidenta biedrs, </w:t>
      </w:r>
    </w:p>
    <w:p w:rsidR="00C86522" w:rsidRPr="005630E5" w:rsidP="00C86522" w14:paraId="774AE99F" w14:textId="77777777">
      <w:pPr>
        <w:tabs>
          <w:tab w:val="right" w:pos="9071"/>
        </w:tabs>
        <w:jc w:val="both"/>
        <w:rPr>
          <w:b/>
          <w:color w:val="000000"/>
        </w:rPr>
      </w:pPr>
      <w:r w:rsidRPr="005630E5">
        <w:rPr>
          <w:b/>
          <w:color w:val="000000"/>
        </w:rPr>
        <w:t>ekonomikas ministrs</w:t>
      </w:r>
      <w:r w:rsidRPr="005630E5">
        <w:rPr>
          <w:b/>
        </w:rPr>
        <w:t xml:space="preserve"> </w:t>
      </w:r>
      <w:r w:rsidRPr="005630E5">
        <w:rPr>
          <w:b/>
        </w:rPr>
        <w:tab/>
      </w:r>
      <w:r w:rsidRPr="005630E5">
        <w:rPr>
          <w:b/>
          <w:color w:val="000000"/>
        </w:rPr>
        <w:t>A. Ašeradens</w:t>
      </w:r>
    </w:p>
    <w:p w:rsidR="00C86522" w:rsidRPr="005630E5" w:rsidP="00C86522" w14:paraId="0FF181F5" w14:textId="77777777">
      <w:pPr>
        <w:tabs>
          <w:tab w:val="right" w:pos="9071"/>
        </w:tabs>
        <w:jc w:val="both"/>
        <w:rPr>
          <w:b/>
          <w:color w:val="000000"/>
          <w:sz w:val="16"/>
          <w:szCs w:val="16"/>
        </w:rPr>
      </w:pPr>
    </w:p>
    <w:p w:rsidR="00C86522" w:rsidRPr="005630E5" w:rsidP="00C86522" w14:paraId="3F135DF5" w14:textId="04E23AF1">
      <w:pPr>
        <w:tabs>
          <w:tab w:val="right" w:pos="9071"/>
        </w:tabs>
        <w:jc w:val="both"/>
        <w:rPr>
          <w:b/>
          <w:color w:val="000000"/>
        </w:rPr>
      </w:pPr>
      <w:r w:rsidRPr="005630E5">
        <w:rPr>
          <w:b/>
          <w:color w:val="000000"/>
        </w:rPr>
        <w:t>Vīza: Valsts sekretārs</w:t>
      </w:r>
      <w:r w:rsidRPr="005630E5">
        <w:rPr>
          <w:b/>
          <w:color w:val="000000"/>
        </w:rPr>
        <w:tab/>
      </w:r>
      <w:r w:rsidR="00C93F7E">
        <w:rPr>
          <w:rFonts w:eastAsia="Times New Roman"/>
          <w:b/>
        </w:rPr>
        <w:t>Ē. Eglītis</w:t>
      </w:r>
    </w:p>
    <w:p w:rsidR="00C86522" w:rsidP="00C86522" w14:paraId="6508648E" w14:textId="5E82C477">
      <w:pPr>
        <w:tabs>
          <w:tab w:val="right" w:pos="9071"/>
        </w:tabs>
        <w:jc w:val="both"/>
        <w:rPr>
          <w:color w:val="000000"/>
        </w:rPr>
      </w:pPr>
    </w:p>
    <w:p w:rsidR="00D3138D" w:rsidP="00C86522" w14:paraId="59B7ECBC" w14:textId="77777777">
      <w:pPr>
        <w:tabs>
          <w:tab w:val="right" w:pos="9071"/>
        </w:tabs>
        <w:jc w:val="both"/>
        <w:rPr>
          <w:color w:val="000000"/>
        </w:rPr>
      </w:pPr>
    </w:p>
    <w:p w:rsidR="00C86522" w:rsidP="00C86522" w14:paraId="0E0692A6" w14:textId="77777777">
      <w:pPr>
        <w:widowControl w:val="0"/>
        <w:jc w:val="both"/>
        <w:rPr>
          <w:rFonts w:eastAsia="Times New Roman"/>
          <w:sz w:val="20"/>
          <w:szCs w:val="20"/>
        </w:rPr>
      </w:pPr>
      <w:r>
        <w:rPr>
          <w:rFonts w:eastAsia="Times New Roman"/>
          <w:sz w:val="20"/>
          <w:szCs w:val="20"/>
        </w:rPr>
        <w:t>Zvaigznītis</w:t>
      </w:r>
    </w:p>
    <w:p w:rsidR="00C86522" w:rsidRPr="0057709B" w:rsidP="00C86522" w14:paraId="2D34B5D5" w14:textId="77777777">
      <w:pPr>
        <w:widowControl w:val="0"/>
        <w:jc w:val="both"/>
        <w:rPr>
          <w:rFonts w:eastAsia="Times New Roman"/>
          <w:sz w:val="20"/>
          <w:szCs w:val="20"/>
        </w:rPr>
      </w:pPr>
      <w:r>
        <w:rPr>
          <w:rFonts w:eastAsia="Times New Roman"/>
          <w:sz w:val="20"/>
          <w:szCs w:val="20"/>
        </w:rPr>
        <w:t>6701317</w:t>
      </w:r>
      <w:r w:rsidRPr="0057709B">
        <w:rPr>
          <w:rFonts w:eastAsia="Times New Roman"/>
          <w:sz w:val="20"/>
          <w:szCs w:val="20"/>
        </w:rPr>
        <w:t>1</w:t>
      </w:r>
    </w:p>
    <w:p w:rsidR="00484A88" w:rsidP="002A5AAB" w14:paraId="7B1D3DA4" w14:textId="4ECC962D">
      <w:pPr>
        <w:widowControl w:val="0"/>
        <w:jc w:val="both"/>
        <w:rPr>
          <w:sz w:val="20"/>
          <w:szCs w:val="20"/>
        </w:rPr>
      </w:pPr>
      <w:r>
        <w:rPr>
          <w:rFonts w:eastAsia="Times New Roman"/>
          <w:sz w:val="20"/>
          <w:szCs w:val="20"/>
        </w:rPr>
        <w:t>Kristaps.Zvaigznitis</w:t>
      </w:r>
      <w:r w:rsidRPr="0057709B">
        <w:rPr>
          <w:rFonts w:eastAsia="Times New Roman"/>
          <w:sz w:val="20"/>
          <w:szCs w:val="20"/>
        </w:rPr>
        <w:t>@em.gov.lv</w:t>
      </w:r>
    </w:p>
    <w:p w:rsidR="00484A88" w:rsidRPr="00484A88" w:rsidP="00484A88" w14:paraId="1A1FDF3A" w14:textId="77777777">
      <w:pPr>
        <w:rPr>
          <w:sz w:val="20"/>
          <w:szCs w:val="20"/>
        </w:rPr>
      </w:pPr>
    </w:p>
    <w:p w:rsidR="00484A88" w:rsidRPr="00484A88" w:rsidP="00484A88" w14:paraId="09C45EE8" w14:textId="77777777">
      <w:pPr>
        <w:rPr>
          <w:sz w:val="20"/>
          <w:szCs w:val="20"/>
        </w:rPr>
      </w:pPr>
    </w:p>
    <w:p w:rsidR="00484A88" w:rsidRPr="00484A88" w:rsidP="00484A88" w14:paraId="4E49C5C7" w14:textId="77777777">
      <w:pPr>
        <w:rPr>
          <w:sz w:val="20"/>
          <w:szCs w:val="20"/>
        </w:rPr>
      </w:pPr>
    </w:p>
    <w:p w:rsidR="00484A88" w:rsidRPr="00484A88" w:rsidP="00484A88" w14:paraId="37B0BBF3" w14:textId="77777777">
      <w:pPr>
        <w:rPr>
          <w:sz w:val="20"/>
          <w:szCs w:val="20"/>
        </w:rPr>
      </w:pPr>
    </w:p>
    <w:p w:rsidR="00484A88" w:rsidRPr="00484A88" w:rsidP="00484A88" w14:paraId="01713F26" w14:textId="77777777">
      <w:pPr>
        <w:rPr>
          <w:sz w:val="20"/>
          <w:szCs w:val="20"/>
        </w:rPr>
      </w:pPr>
    </w:p>
    <w:p w:rsidR="00484A88" w:rsidRPr="00484A88" w:rsidP="00484A88" w14:paraId="6962CD23" w14:textId="77777777">
      <w:pPr>
        <w:rPr>
          <w:sz w:val="20"/>
          <w:szCs w:val="20"/>
        </w:rPr>
      </w:pPr>
    </w:p>
    <w:p w:rsidR="00484A88" w:rsidRPr="00484A88" w:rsidP="00484A88" w14:paraId="4913027E" w14:textId="77777777">
      <w:pPr>
        <w:rPr>
          <w:sz w:val="20"/>
          <w:szCs w:val="20"/>
        </w:rPr>
      </w:pPr>
    </w:p>
    <w:p w:rsidR="00484A88" w:rsidRPr="00484A88" w:rsidP="00484A88" w14:paraId="10192DA0" w14:textId="77777777">
      <w:pPr>
        <w:rPr>
          <w:sz w:val="20"/>
          <w:szCs w:val="20"/>
        </w:rPr>
      </w:pPr>
    </w:p>
    <w:p w:rsidR="00484A88" w:rsidRPr="00484A88" w:rsidP="00484A88" w14:paraId="392FF071" w14:textId="77777777">
      <w:pPr>
        <w:rPr>
          <w:sz w:val="20"/>
          <w:szCs w:val="20"/>
        </w:rPr>
      </w:pPr>
    </w:p>
    <w:p w:rsidR="00484A88" w:rsidRPr="00484A88" w:rsidP="00484A88" w14:paraId="3A30E3C3" w14:textId="77777777">
      <w:pPr>
        <w:rPr>
          <w:sz w:val="20"/>
          <w:szCs w:val="20"/>
        </w:rPr>
      </w:pPr>
    </w:p>
    <w:p w:rsidR="00484A88" w:rsidRPr="00484A88" w:rsidP="00484A88" w14:paraId="5B264020" w14:textId="77777777">
      <w:pPr>
        <w:rPr>
          <w:sz w:val="20"/>
          <w:szCs w:val="20"/>
        </w:rPr>
      </w:pPr>
    </w:p>
    <w:p w:rsidR="00484A88" w:rsidRPr="00484A88" w:rsidP="00484A88" w14:paraId="1FFA0497" w14:textId="77777777">
      <w:pPr>
        <w:rPr>
          <w:sz w:val="20"/>
          <w:szCs w:val="20"/>
        </w:rPr>
      </w:pPr>
    </w:p>
    <w:p w:rsidR="00484A88" w:rsidRPr="00484A88" w:rsidP="00484A88" w14:paraId="62E18874" w14:textId="77777777">
      <w:pPr>
        <w:rPr>
          <w:sz w:val="20"/>
          <w:szCs w:val="20"/>
        </w:rPr>
      </w:pPr>
    </w:p>
    <w:p w:rsidR="00484A88" w:rsidRPr="00484A88" w:rsidP="00484A88" w14:paraId="1006B35D" w14:textId="77777777">
      <w:pPr>
        <w:rPr>
          <w:sz w:val="20"/>
          <w:szCs w:val="20"/>
        </w:rPr>
      </w:pPr>
    </w:p>
    <w:p w:rsidR="00484A88" w:rsidRPr="00484A88" w:rsidP="00484A88" w14:paraId="7FFA5FFF" w14:textId="77777777">
      <w:pPr>
        <w:rPr>
          <w:sz w:val="20"/>
          <w:szCs w:val="20"/>
        </w:rPr>
      </w:pPr>
    </w:p>
    <w:p w:rsidR="00484A88" w:rsidRPr="00484A88" w:rsidP="00484A88" w14:paraId="4AE24618" w14:textId="77777777">
      <w:pPr>
        <w:rPr>
          <w:sz w:val="20"/>
          <w:szCs w:val="20"/>
        </w:rPr>
      </w:pPr>
    </w:p>
    <w:p w:rsidR="00484A88" w:rsidRPr="00484A88" w:rsidP="00484A88" w14:paraId="756FB355" w14:textId="77777777">
      <w:pPr>
        <w:rPr>
          <w:sz w:val="20"/>
          <w:szCs w:val="20"/>
        </w:rPr>
      </w:pPr>
    </w:p>
    <w:p w:rsidR="00484A88" w:rsidRPr="00484A88" w:rsidP="00484A88" w14:paraId="7D1319A7" w14:textId="77777777">
      <w:pPr>
        <w:rPr>
          <w:sz w:val="20"/>
          <w:szCs w:val="20"/>
        </w:rPr>
      </w:pPr>
    </w:p>
    <w:p w:rsidR="00484A88" w:rsidRPr="00484A88" w:rsidP="00484A88" w14:paraId="10D4B1A8" w14:textId="77777777">
      <w:pPr>
        <w:rPr>
          <w:sz w:val="20"/>
          <w:szCs w:val="20"/>
        </w:rPr>
      </w:pPr>
    </w:p>
    <w:p w:rsidR="00484A88" w:rsidRPr="00484A88" w:rsidP="00484A88" w14:paraId="64DFB99C" w14:textId="77777777">
      <w:pPr>
        <w:rPr>
          <w:sz w:val="20"/>
          <w:szCs w:val="20"/>
        </w:rPr>
      </w:pPr>
    </w:p>
    <w:p w:rsidR="00484A88" w:rsidRPr="00484A88" w:rsidP="00484A88" w14:paraId="42A37267" w14:textId="77777777">
      <w:pPr>
        <w:rPr>
          <w:sz w:val="20"/>
          <w:szCs w:val="20"/>
        </w:rPr>
      </w:pPr>
    </w:p>
    <w:p w:rsidR="00484A88" w:rsidRPr="00484A88" w:rsidP="00484A88" w14:paraId="32334257" w14:textId="77777777">
      <w:pPr>
        <w:rPr>
          <w:sz w:val="20"/>
          <w:szCs w:val="20"/>
        </w:rPr>
      </w:pPr>
    </w:p>
    <w:p w:rsidR="00484A88" w:rsidRPr="00484A88" w:rsidP="00484A88" w14:paraId="498C82F8" w14:textId="77777777">
      <w:pPr>
        <w:rPr>
          <w:sz w:val="20"/>
          <w:szCs w:val="20"/>
        </w:rPr>
      </w:pPr>
    </w:p>
    <w:p w:rsidR="00484A88" w:rsidRPr="00484A88" w:rsidP="00484A88" w14:paraId="6036E139" w14:textId="77777777">
      <w:pPr>
        <w:rPr>
          <w:sz w:val="20"/>
          <w:szCs w:val="20"/>
        </w:rPr>
      </w:pPr>
    </w:p>
    <w:p w:rsidR="00484A88" w:rsidRPr="00484A88" w:rsidP="00484A88" w14:paraId="0D268735" w14:textId="77777777">
      <w:pPr>
        <w:rPr>
          <w:sz w:val="20"/>
          <w:szCs w:val="20"/>
        </w:rPr>
      </w:pPr>
    </w:p>
    <w:p w:rsidR="00484A88" w:rsidRPr="00484A88" w:rsidP="00484A88" w14:paraId="003BE6FD" w14:textId="77777777">
      <w:pPr>
        <w:rPr>
          <w:sz w:val="20"/>
          <w:szCs w:val="20"/>
        </w:rPr>
      </w:pPr>
    </w:p>
    <w:p w:rsidR="00484A88" w:rsidRPr="00484A88" w:rsidP="00484A88" w14:paraId="018587EF" w14:textId="77777777">
      <w:pPr>
        <w:rPr>
          <w:sz w:val="20"/>
          <w:szCs w:val="20"/>
        </w:rPr>
      </w:pPr>
    </w:p>
    <w:p w:rsidR="00484A88" w:rsidRPr="00484A88" w:rsidP="00484A88" w14:paraId="315579B6" w14:textId="77777777">
      <w:pPr>
        <w:rPr>
          <w:sz w:val="20"/>
          <w:szCs w:val="20"/>
        </w:rPr>
      </w:pPr>
    </w:p>
    <w:p w:rsidR="00484A88" w:rsidRPr="00484A88" w:rsidP="00484A88" w14:paraId="07F5AD87" w14:textId="77777777">
      <w:pPr>
        <w:rPr>
          <w:sz w:val="20"/>
          <w:szCs w:val="20"/>
        </w:rPr>
      </w:pPr>
    </w:p>
    <w:p w:rsidR="00484A88" w:rsidRPr="00484A88" w:rsidP="00484A88" w14:paraId="0E9B78E3" w14:textId="77777777">
      <w:pPr>
        <w:rPr>
          <w:sz w:val="20"/>
          <w:szCs w:val="20"/>
        </w:rPr>
      </w:pPr>
    </w:p>
    <w:p w:rsidR="00484A88" w:rsidRPr="00484A88" w:rsidP="00484A88" w14:paraId="31B7A554" w14:textId="77777777">
      <w:pPr>
        <w:rPr>
          <w:sz w:val="20"/>
          <w:szCs w:val="20"/>
        </w:rPr>
      </w:pPr>
    </w:p>
    <w:p w:rsidR="00484A88" w:rsidRPr="00484A88" w:rsidP="00484A88" w14:paraId="70814E2E" w14:textId="77777777">
      <w:pPr>
        <w:rPr>
          <w:sz w:val="20"/>
          <w:szCs w:val="20"/>
        </w:rPr>
      </w:pPr>
    </w:p>
    <w:p w:rsidR="00484A88" w:rsidRPr="00484A88" w:rsidP="00484A88" w14:paraId="61360D95" w14:textId="77777777">
      <w:pPr>
        <w:rPr>
          <w:sz w:val="20"/>
          <w:szCs w:val="20"/>
        </w:rPr>
      </w:pPr>
    </w:p>
    <w:p w:rsidR="00484A88" w:rsidRPr="00484A88" w:rsidP="00484A88" w14:paraId="22427522" w14:textId="77777777">
      <w:pPr>
        <w:rPr>
          <w:sz w:val="20"/>
          <w:szCs w:val="20"/>
        </w:rPr>
      </w:pPr>
    </w:p>
    <w:p w:rsidR="00484A88" w:rsidRPr="00484A88" w:rsidP="00484A88" w14:paraId="57E0E0D7" w14:textId="77777777">
      <w:pPr>
        <w:rPr>
          <w:sz w:val="20"/>
          <w:szCs w:val="20"/>
        </w:rPr>
      </w:pPr>
    </w:p>
    <w:p w:rsidR="00484A88" w:rsidRPr="00484A88" w:rsidP="00484A88" w14:paraId="50F797B9" w14:textId="77777777">
      <w:pPr>
        <w:rPr>
          <w:sz w:val="20"/>
          <w:szCs w:val="20"/>
        </w:rPr>
      </w:pPr>
    </w:p>
    <w:p w:rsidR="00484A88" w:rsidRPr="00484A88" w:rsidP="00484A88" w14:paraId="044AD65D" w14:textId="77777777">
      <w:pPr>
        <w:rPr>
          <w:sz w:val="20"/>
          <w:szCs w:val="20"/>
        </w:rPr>
      </w:pPr>
    </w:p>
    <w:p w:rsidR="00484A88" w:rsidRPr="00484A88" w:rsidP="00484A88" w14:paraId="30431E30" w14:textId="77777777">
      <w:pPr>
        <w:rPr>
          <w:sz w:val="20"/>
          <w:szCs w:val="20"/>
        </w:rPr>
      </w:pPr>
    </w:p>
    <w:p w:rsidR="00484A88" w:rsidRPr="00484A88" w:rsidP="00484A88" w14:paraId="3ABDF1CC" w14:textId="77777777">
      <w:pPr>
        <w:rPr>
          <w:sz w:val="20"/>
          <w:szCs w:val="20"/>
        </w:rPr>
      </w:pPr>
    </w:p>
    <w:p w:rsidR="00484A88" w:rsidRPr="00484A88" w:rsidP="00484A88" w14:paraId="16A8BFC7" w14:textId="77777777">
      <w:pPr>
        <w:rPr>
          <w:sz w:val="20"/>
          <w:szCs w:val="20"/>
        </w:rPr>
      </w:pPr>
    </w:p>
    <w:p w:rsidR="00484A88" w:rsidRPr="00484A88" w:rsidP="00484A88" w14:paraId="2B2ECFFB" w14:textId="77777777">
      <w:pPr>
        <w:rPr>
          <w:sz w:val="20"/>
          <w:szCs w:val="20"/>
        </w:rPr>
      </w:pPr>
    </w:p>
    <w:p w:rsidR="00484A88" w:rsidRPr="00484A88" w:rsidP="00484A88" w14:paraId="5DACA75F" w14:textId="77777777">
      <w:pPr>
        <w:rPr>
          <w:sz w:val="20"/>
          <w:szCs w:val="20"/>
        </w:rPr>
      </w:pPr>
    </w:p>
    <w:p w:rsidR="00484A88" w:rsidRPr="00484A88" w:rsidP="00484A88" w14:paraId="1AA9F659" w14:textId="77777777">
      <w:pPr>
        <w:rPr>
          <w:sz w:val="20"/>
          <w:szCs w:val="20"/>
        </w:rPr>
      </w:pPr>
    </w:p>
    <w:p w:rsidR="00484A88" w:rsidRPr="00484A88" w:rsidP="00484A88" w14:paraId="44B6C57E" w14:textId="77777777">
      <w:pPr>
        <w:rPr>
          <w:sz w:val="20"/>
          <w:szCs w:val="20"/>
        </w:rPr>
      </w:pPr>
    </w:p>
    <w:p w:rsidR="00484A88" w:rsidRPr="00484A88" w:rsidP="00484A88" w14:paraId="095934F8" w14:textId="77777777">
      <w:pPr>
        <w:rPr>
          <w:sz w:val="20"/>
          <w:szCs w:val="20"/>
        </w:rPr>
      </w:pPr>
    </w:p>
    <w:p w:rsidR="00D318C4" w:rsidRPr="00484A88" w:rsidP="00484A88" w14:paraId="19AA1F55" w14:textId="32C34C77">
      <w:pPr>
        <w:rPr>
          <w:sz w:val="20"/>
          <w:szCs w:val="20"/>
        </w:rPr>
      </w:pPr>
    </w:p>
    <w:sectPr w:rsidSect="00D318C4">
      <w:headerReference w:type="default" r:id="rId5"/>
      <w:footerReference w:type="even" r:id="rId6"/>
      <w:footerReference w:type="default" r:id="rId7"/>
      <w:pgSz w:w="11906" w:h="16838" w:code="9"/>
      <w:pgMar w:top="993"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FDC" w:rsidRPr="00053BDB" w:rsidP="00053BDB" w14:paraId="5B752271" w14:textId="77777777">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FDC" w:rsidRPr="00053BDB" w:rsidP="00F13C26" w14:paraId="09ED1D8B" w14:textId="2303A94D">
    <w:pPr>
      <w:ind w:right="-427"/>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5036745"/>
      <w:docPartObj>
        <w:docPartGallery w:val="Page Numbers (Top of Page)"/>
        <w:docPartUnique/>
      </w:docPartObj>
    </w:sdtPr>
    <w:sdtEndPr>
      <w:rPr>
        <w:noProof/>
      </w:rPr>
    </w:sdtEndPr>
    <w:sdtContent>
      <w:p w:rsidR="00F32FDC" w14:paraId="294E0DFF" w14:textId="2B8C9E42">
        <w:pPr>
          <w:pStyle w:val="Header"/>
          <w:jc w:val="center"/>
        </w:pPr>
        <w:r>
          <w:fldChar w:fldCharType="begin"/>
        </w:r>
        <w:r>
          <w:instrText xml:space="preserve"> PAGE   \* MERGEFORMAT </w:instrText>
        </w:r>
        <w:r>
          <w:fldChar w:fldCharType="separate"/>
        </w:r>
        <w:r w:rsidR="00336FDD">
          <w:rPr>
            <w:noProof/>
          </w:rPr>
          <w:t>9</w:t>
        </w:r>
        <w:r>
          <w:rPr>
            <w:noProof/>
          </w:rPr>
          <w:fldChar w:fldCharType="end"/>
        </w:r>
      </w:p>
    </w:sdtContent>
  </w:sdt>
  <w:p w:rsidR="00F32FDC" w:rsidRPr="00053BDB" w:rsidP="00053BDB" w14:paraId="0274057A" w14:textId="77777777">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2B0548"/>
    <w:multiLevelType w:val="hybridMultilevel"/>
    <w:tmpl w:val="65B2BC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5EB3743"/>
    <w:multiLevelType w:val="hybridMultilevel"/>
    <w:tmpl w:val="990AA4A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06383F10"/>
    <w:multiLevelType w:val="hybridMultilevel"/>
    <w:tmpl w:val="29200C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8F262CB"/>
    <w:multiLevelType w:val="hybridMultilevel"/>
    <w:tmpl w:val="9164453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0DBD2C86"/>
    <w:multiLevelType w:val="hybridMultilevel"/>
    <w:tmpl w:val="D342239A"/>
    <w:lvl w:ilvl="0">
      <w:start w:val="1"/>
      <w:numFmt w:val="decimal"/>
      <w:lvlText w:val="%1."/>
      <w:lvlJc w:val="left"/>
      <w:pPr>
        <w:ind w:left="502" w:hanging="360"/>
      </w:pPr>
      <w:rPr>
        <w:rFonts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15:restartNumberingAfterBreak="1">
    <w:nsid w:val="0F3E7EE9"/>
    <w:multiLevelType w:val="multilevel"/>
    <w:tmpl w:val="227657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10C171CB"/>
    <w:multiLevelType w:val="hybridMultilevel"/>
    <w:tmpl w:val="5F026C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2310507"/>
    <w:multiLevelType w:val="hybridMultilevel"/>
    <w:tmpl w:val="E258D7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2FE537E"/>
    <w:multiLevelType w:val="hybridMultilevel"/>
    <w:tmpl w:val="AB8EF3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166D77AE"/>
    <w:multiLevelType w:val="hybridMultilevel"/>
    <w:tmpl w:val="86DC4730"/>
    <w:lvl w:ilvl="0">
      <w:start w:val="1"/>
      <w:numFmt w:val="decimal"/>
      <w:lvlText w:val="%1."/>
      <w:lvlJc w:val="left"/>
      <w:pPr>
        <w:ind w:left="720" w:hanging="360"/>
      </w:pPr>
      <w:rPr>
        <w:rFonts w:eastAsia="Times New Roman" w:hint="default"/>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6E5714F"/>
    <w:multiLevelType w:val="hybridMultilevel"/>
    <w:tmpl w:val="7C4004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197C5375"/>
    <w:multiLevelType w:val="hybridMultilevel"/>
    <w:tmpl w:val="F48EAE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19A80772"/>
    <w:multiLevelType w:val="hybridMultilevel"/>
    <w:tmpl w:val="B44079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19B56ECC"/>
    <w:multiLevelType w:val="hybridMultilevel"/>
    <w:tmpl w:val="CD3E68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1E0722B0"/>
    <w:multiLevelType w:val="hybridMultilevel"/>
    <w:tmpl w:val="937C91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1CE0970"/>
    <w:multiLevelType w:val="hybridMultilevel"/>
    <w:tmpl w:val="D342239A"/>
    <w:lvl w:ilvl="0">
      <w:start w:val="1"/>
      <w:numFmt w:val="decimal"/>
      <w:lvlText w:val="%1."/>
      <w:lvlJc w:val="left"/>
      <w:pPr>
        <w:ind w:left="502" w:hanging="360"/>
      </w:pPr>
      <w:rPr>
        <w:rFonts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15:restartNumberingAfterBreak="1">
    <w:nsid w:val="21E511C5"/>
    <w:multiLevelType w:val="multilevel"/>
    <w:tmpl w:val="5A909E1E"/>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26512F8B"/>
    <w:multiLevelType w:val="hybridMultilevel"/>
    <w:tmpl w:val="3BAE14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A787051"/>
    <w:multiLevelType w:val="hybridMultilevel"/>
    <w:tmpl w:val="3BAE14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2ABD48F7"/>
    <w:multiLevelType w:val="hybridMultilevel"/>
    <w:tmpl w:val="0150BC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2B5644B5"/>
    <w:multiLevelType w:val="hybridMultilevel"/>
    <w:tmpl w:val="2448391A"/>
    <w:lvl w:ilvl="0">
      <w:start w:val="1"/>
      <w:numFmt w:val="decimal"/>
      <w:lvlText w:val="%1."/>
      <w:lvlJc w:val="left"/>
      <w:pPr>
        <w:ind w:left="852" w:hanging="360"/>
      </w:p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1" w15:restartNumberingAfterBreak="1">
    <w:nsid w:val="2D892EAD"/>
    <w:multiLevelType w:val="hybridMultilevel"/>
    <w:tmpl w:val="C24690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2DD57341"/>
    <w:multiLevelType w:val="hybridMultilevel"/>
    <w:tmpl w:val="BADC31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2E0B058C"/>
    <w:multiLevelType w:val="hybridMultilevel"/>
    <w:tmpl w:val="F3DAB7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301C5493"/>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30C710EF"/>
    <w:multiLevelType w:val="hybridMultilevel"/>
    <w:tmpl w:val="8B5837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1">
    <w:nsid w:val="3BC533AF"/>
    <w:multiLevelType w:val="hybridMultilevel"/>
    <w:tmpl w:val="1F8209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3F487A12"/>
    <w:multiLevelType w:val="hybridMultilevel"/>
    <w:tmpl w:val="A02E6E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40717A0D"/>
    <w:multiLevelType w:val="hybridMultilevel"/>
    <w:tmpl w:val="7C764A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48924AD6"/>
    <w:multiLevelType w:val="hybridMultilevel"/>
    <w:tmpl w:val="746CB0E6"/>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1">
    <w:nsid w:val="49C83030"/>
    <w:multiLevelType w:val="hybridMultilevel"/>
    <w:tmpl w:val="F48EAE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4ED21A44"/>
    <w:multiLevelType w:val="hybridMultilevel"/>
    <w:tmpl w:val="C31477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5AEC59A7"/>
    <w:multiLevelType w:val="hybridMultilevel"/>
    <w:tmpl w:val="33EA27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5CC944A9"/>
    <w:multiLevelType w:val="hybridMultilevel"/>
    <w:tmpl w:val="3BA46B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66C860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6C195073"/>
    <w:multiLevelType w:val="hybridMultilevel"/>
    <w:tmpl w:val="2222FB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1">
    <w:nsid w:val="739575DE"/>
    <w:multiLevelType w:val="hybridMultilevel"/>
    <w:tmpl w:val="7E061E3C"/>
    <w:lvl w:ilvl="0">
      <w:start w:val="1"/>
      <w:numFmt w:val="decimal"/>
      <w:lvlText w:val="%1."/>
      <w:lvlJc w:val="left"/>
      <w:pPr>
        <w:ind w:left="502" w:hanging="360"/>
      </w:pPr>
      <w:rPr>
        <w:rFonts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7" w15:restartNumberingAfterBreak="1">
    <w:nsid w:val="7748476F"/>
    <w:multiLevelType w:val="hybridMultilevel"/>
    <w:tmpl w:val="448872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7926067B"/>
    <w:multiLevelType w:val="hybridMultilevel"/>
    <w:tmpl w:val="18783150"/>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28"/>
  </w:num>
  <w:num w:numId="3">
    <w:abstractNumId w:val="27"/>
  </w:num>
  <w:num w:numId="4">
    <w:abstractNumId w:val="11"/>
  </w:num>
  <w:num w:numId="5">
    <w:abstractNumId w:val="10"/>
  </w:num>
  <w:num w:numId="6">
    <w:abstractNumId w:val="12"/>
  </w:num>
  <w:num w:numId="7">
    <w:abstractNumId w:val="33"/>
  </w:num>
  <w:num w:numId="8">
    <w:abstractNumId w:val="2"/>
  </w:num>
  <w:num w:numId="9">
    <w:abstractNumId w:val="21"/>
  </w:num>
  <w:num w:numId="10">
    <w:abstractNumId w:val="25"/>
  </w:num>
  <w:num w:numId="11">
    <w:abstractNumId w:val="18"/>
  </w:num>
  <w:num w:numId="12">
    <w:abstractNumId w:val="37"/>
  </w:num>
  <w:num w:numId="13">
    <w:abstractNumId w:val="22"/>
  </w:num>
  <w:num w:numId="14">
    <w:abstractNumId w:val="1"/>
  </w:num>
  <w:num w:numId="15">
    <w:abstractNumId w:val="31"/>
  </w:num>
  <w:num w:numId="16">
    <w:abstractNumId w:val="16"/>
  </w:num>
  <w:num w:numId="17">
    <w:abstractNumId w:val="32"/>
  </w:num>
  <w:num w:numId="18">
    <w:abstractNumId w:val="7"/>
  </w:num>
  <w:num w:numId="19">
    <w:abstractNumId w:val="17"/>
  </w:num>
  <w:num w:numId="20">
    <w:abstractNumId w:val="23"/>
  </w:num>
  <w:num w:numId="21">
    <w:abstractNumId w:val="30"/>
  </w:num>
  <w:num w:numId="22">
    <w:abstractNumId w:val="26"/>
  </w:num>
  <w:num w:numId="23">
    <w:abstractNumId w:val="24"/>
  </w:num>
  <w:num w:numId="24">
    <w:abstractNumId w:val="19"/>
  </w:num>
  <w:num w:numId="25">
    <w:abstractNumId w:val="8"/>
  </w:num>
  <w:num w:numId="26">
    <w:abstractNumId w:val="38"/>
  </w:num>
  <w:num w:numId="27">
    <w:abstractNumId w:val="6"/>
  </w:num>
  <w:num w:numId="28">
    <w:abstractNumId w:val="34"/>
  </w:num>
  <w:num w:numId="29">
    <w:abstractNumId w:val="3"/>
  </w:num>
  <w:num w:numId="30">
    <w:abstractNumId w:val="5"/>
  </w:num>
  <w:num w:numId="31">
    <w:abstractNumId w:val="14"/>
  </w:num>
  <w:num w:numId="32">
    <w:abstractNumId w:val="0"/>
  </w:num>
  <w:num w:numId="33">
    <w:abstractNumId w:val="29"/>
  </w:num>
  <w:num w:numId="34">
    <w:abstractNumId w:val="35"/>
  </w:num>
  <w:num w:numId="35">
    <w:abstractNumId w:val="36"/>
  </w:num>
  <w:num w:numId="36">
    <w:abstractNumId w:val="9"/>
  </w:num>
  <w:num w:numId="37">
    <w:abstractNumId w:val="15"/>
  </w:num>
  <w:num w:numId="38">
    <w:abstractNumId w:val="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DB"/>
    <w:rsid w:val="0000007A"/>
    <w:rsid w:val="00001FD8"/>
    <w:rsid w:val="00007EE1"/>
    <w:rsid w:val="00011F89"/>
    <w:rsid w:val="00012D7F"/>
    <w:rsid w:val="00014FF5"/>
    <w:rsid w:val="00021A35"/>
    <w:rsid w:val="00022516"/>
    <w:rsid w:val="0002402C"/>
    <w:rsid w:val="0003024A"/>
    <w:rsid w:val="0003118A"/>
    <w:rsid w:val="0003352A"/>
    <w:rsid w:val="000339FD"/>
    <w:rsid w:val="00040501"/>
    <w:rsid w:val="00043F1E"/>
    <w:rsid w:val="00046798"/>
    <w:rsid w:val="00047DFA"/>
    <w:rsid w:val="00050325"/>
    <w:rsid w:val="000511C1"/>
    <w:rsid w:val="00051794"/>
    <w:rsid w:val="00053BDB"/>
    <w:rsid w:val="0005565C"/>
    <w:rsid w:val="000559CC"/>
    <w:rsid w:val="00056475"/>
    <w:rsid w:val="00056EEE"/>
    <w:rsid w:val="00061AC5"/>
    <w:rsid w:val="00063020"/>
    <w:rsid w:val="00064469"/>
    <w:rsid w:val="000647D2"/>
    <w:rsid w:val="0007026E"/>
    <w:rsid w:val="00071966"/>
    <w:rsid w:val="00071CD1"/>
    <w:rsid w:val="00071D34"/>
    <w:rsid w:val="00071D7B"/>
    <w:rsid w:val="00072A2C"/>
    <w:rsid w:val="00077CCD"/>
    <w:rsid w:val="000821BD"/>
    <w:rsid w:val="00083485"/>
    <w:rsid w:val="0008370C"/>
    <w:rsid w:val="0008474F"/>
    <w:rsid w:val="00086BC3"/>
    <w:rsid w:val="00091C6E"/>
    <w:rsid w:val="00091F8B"/>
    <w:rsid w:val="00097FE2"/>
    <w:rsid w:val="000A15F5"/>
    <w:rsid w:val="000A2B5F"/>
    <w:rsid w:val="000A2FDB"/>
    <w:rsid w:val="000A6381"/>
    <w:rsid w:val="000B153F"/>
    <w:rsid w:val="000B5908"/>
    <w:rsid w:val="000B7315"/>
    <w:rsid w:val="000B74F1"/>
    <w:rsid w:val="000B77C0"/>
    <w:rsid w:val="000C1E3F"/>
    <w:rsid w:val="000C78FF"/>
    <w:rsid w:val="000D072A"/>
    <w:rsid w:val="000D580B"/>
    <w:rsid w:val="000E21D9"/>
    <w:rsid w:val="000E3D54"/>
    <w:rsid w:val="000E5717"/>
    <w:rsid w:val="000F61CC"/>
    <w:rsid w:val="00105078"/>
    <w:rsid w:val="00111117"/>
    <w:rsid w:val="00113B5A"/>
    <w:rsid w:val="00113E5E"/>
    <w:rsid w:val="00113F79"/>
    <w:rsid w:val="00120721"/>
    <w:rsid w:val="00123A2A"/>
    <w:rsid w:val="00125649"/>
    <w:rsid w:val="00125DC1"/>
    <w:rsid w:val="00132C1F"/>
    <w:rsid w:val="00134A55"/>
    <w:rsid w:val="00135CBB"/>
    <w:rsid w:val="00136130"/>
    <w:rsid w:val="00136745"/>
    <w:rsid w:val="00136F50"/>
    <w:rsid w:val="00143549"/>
    <w:rsid w:val="00144BF4"/>
    <w:rsid w:val="00146AE6"/>
    <w:rsid w:val="00146C72"/>
    <w:rsid w:val="0014764D"/>
    <w:rsid w:val="00147FCA"/>
    <w:rsid w:val="00152765"/>
    <w:rsid w:val="00152BC2"/>
    <w:rsid w:val="001550A1"/>
    <w:rsid w:val="0015517D"/>
    <w:rsid w:val="00157125"/>
    <w:rsid w:val="00157A7B"/>
    <w:rsid w:val="00161B38"/>
    <w:rsid w:val="00164527"/>
    <w:rsid w:val="001655F9"/>
    <w:rsid w:val="0016598F"/>
    <w:rsid w:val="00170FBF"/>
    <w:rsid w:val="001712FB"/>
    <w:rsid w:val="00172B20"/>
    <w:rsid w:val="001733FC"/>
    <w:rsid w:val="001779A5"/>
    <w:rsid w:val="0018254F"/>
    <w:rsid w:val="00185308"/>
    <w:rsid w:val="00191939"/>
    <w:rsid w:val="00191D5D"/>
    <w:rsid w:val="001941E8"/>
    <w:rsid w:val="001944E5"/>
    <w:rsid w:val="001963EF"/>
    <w:rsid w:val="001A0415"/>
    <w:rsid w:val="001A0D31"/>
    <w:rsid w:val="001A6DE0"/>
    <w:rsid w:val="001B1061"/>
    <w:rsid w:val="001B3399"/>
    <w:rsid w:val="001B6447"/>
    <w:rsid w:val="001C0A46"/>
    <w:rsid w:val="001C16F9"/>
    <w:rsid w:val="001C3203"/>
    <w:rsid w:val="001C3CA6"/>
    <w:rsid w:val="001C4D09"/>
    <w:rsid w:val="001C63E8"/>
    <w:rsid w:val="001D0A4C"/>
    <w:rsid w:val="001D0BB5"/>
    <w:rsid w:val="001D177C"/>
    <w:rsid w:val="001D209B"/>
    <w:rsid w:val="001D31C4"/>
    <w:rsid w:val="001D3650"/>
    <w:rsid w:val="001E6904"/>
    <w:rsid w:val="001F1271"/>
    <w:rsid w:val="001F17CF"/>
    <w:rsid w:val="00204846"/>
    <w:rsid w:val="00205F77"/>
    <w:rsid w:val="00206BC8"/>
    <w:rsid w:val="00207561"/>
    <w:rsid w:val="00211E6B"/>
    <w:rsid w:val="00216F6A"/>
    <w:rsid w:val="00217076"/>
    <w:rsid w:val="00221D9A"/>
    <w:rsid w:val="00226A5D"/>
    <w:rsid w:val="00233521"/>
    <w:rsid w:val="00242621"/>
    <w:rsid w:val="0025031B"/>
    <w:rsid w:val="002528A9"/>
    <w:rsid w:val="00252C19"/>
    <w:rsid w:val="00260200"/>
    <w:rsid w:val="0026140E"/>
    <w:rsid w:val="002635E1"/>
    <w:rsid w:val="00263CC1"/>
    <w:rsid w:val="00271B0F"/>
    <w:rsid w:val="00276225"/>
    <w:rsid w:val="002815EE"/>
    <w:rsid w:val="00283681"/>
    <w:rsid w:val="00283EF8"/>
    <w:rsid w:val="00286863"/>
    <w:rsid w:val="00286A74"/>
    <w:rsid w:val="0029691D"/>
    <w:rsid w:val="002A1F79"/>
    <w:rsid w:val="002A2E73"/>
    <w:rsid w:val="002A5AAB"/>
    <w:rsid w:val="002A6AFB"/>
    <w:rsid w:val="002A7A53"/>
    <w:rsid w:val="002B16F8"/>
    <w:rsid w:val="002B2B44"/>
    <w:rsid w:val="002B4B74"/>
    <w:rsid w:val="002B5BF3"/>
    <w:rsid w:val="002C2DB6"/>
    <w:rsid w:val="002C5C03"/>
    <w:rsid w:val="002C656F"/>
    <w:rsid w:val="002C6C49"/>
    <w:rsid w:val="002D5264"/>
    <w:rsid w:val="002D6AEA"/>
    <w:rsid w:val="002D7AB6"/>
    <w:rsid w:val="002E38C9"/>
    <w:rsid w:val="002F043A"/>
    <w:rsid w:val="002F4499"/>
    <w:rsid w:val="002F4EBC"/>
    <w:rsid w:val="002F6B78"/>
    <w:rsid w:val="003020DF"/>
    <w:rsid w:val="003038B9"/>
    <w:rsid w:val="0030599B"/>
    <w:rsid w:val="00307950"/>
    <w:rsid w:val="00312732"/>
    <w:rsid w:val="0031457F"/>
    <w:rsid w:val="00315A16"/>
    <w:rsid w:val="00315C62"/>
    <w:rsid w:val="003177F7"/>
    <w:rsid w:val="00321D42"/>
    <w:rsid w:val="00334B40"/>
    <w:rsid w:val="00334FDF"/>
    <w:rsid w:val="00336FDD"/>
    <w:rsid w:val="00342201"/>
    <w:rsid w:val="00344524"/>
    <w:rsid w:val="00347844"/>
    <w:rsid w:val="00351E95"/>
    <w:rsid w:val="0035360E"/>
    <w:rsid w:val="00356C26"/>
    <w:rsid w:val="00364D86"/>
    <w:rsid w:val="00366D58"/>
    <w:rsid w:val="00373EDD"/>
    <w:rsid w:val="003762BD"/>
    <w:rsid w:val="003819CC"/>
    <w:rsid w:val="003826AF"/>
    <w:rsid w:val="003827A9"/>
    <w:rsid w:val="00382AD9"/>
    <w:rsid w:val="00384551"/>
    <w:rsid w:val="00384B20"/>
    <w:rsid w:val="0038579C"/>
    <w:rsid w:val="00386099"/>
    <w:rsid w:val="00387207"/>
    <w:rsid w:val="00391D32"/>
    <w:rsid w:val="0039641A"/>
    <w:rsid w:val="00397AED"/>
    <w:rsid w:val="003A14EF"/>
    <w:rsid w:val="003A7079"/>
    <w:rsid w:val="003A7BEB"/>
    <w:rsid w:val="003B10E9"/>
    <w:rsid w:val="003B4012"/>
    <w:rsid w:val="003B40FD"/>
    <w:rsid w:val="003B512C"/>
    <w:rsid w:val="003B630F"/>
    <w:rsid w:val="003B63FA"/>
    <w:rsid w:val="003C14EB"/>
    <w:rsid w:val="003C1A5A"/>
    <w:rsid w:val="003C320B"/>
    <w:rsid w:val="003C494A"/>
    <w:rsid w:val="003C59AD"/>
    <w:rsid w:val="003C6518"/>
    <w:rsid w:val="003C76AF"/>
    <w:rsid w:val="003D02C7"/>
    <w:rsid w:val="003D1126"/>
    <w:rsid w:val="003D4C30"/>
    <w:rsid w:val="003E5753"/>
    <w:rsid w:val="003E6707"/>
    <w:rsid w:val="003F2DEE"/>
    <w:rsid w:val="003F3A97"/>
    <w:rsid w:val="003F7C4A"/>
    <w:rsid w:val="0040113C"/>
    <w:rsid w:val="004015F9"/>
    <w:rsid w:val="0040225A"/>
    <w:rsid w:val="004052D9"/>
    <w:rsid w:val="00410FD5"/>
    <w:rsid w:val="004148B6"/>
    <w:rsid w:val="00416455"/>
    <w:rsid w:val="0042491D"/>
    <w:rsid w:val="00424E00"/>
    <w:rsid w:val="004251D7"/>
    <w:rsid w:val="00425E4D"/>
    <w:rsid w:val="00430AE1"/>
    <w:rsid w:val="00431745"/>
    <w:rsid w:val="004317B1"/>
    <w:rsid w:val="00431B39"/>
    <w:rsid w:val="00442BC6"/>
    <w:rsid w:val="00444E11"/>
    <w:rsid w:val="00446686"/>
    <w:rsid w:val="004514C7"/>
    <w:rsid w:val="00451844"/>
    <w:rsid w:val="0045380C"/>
    <w:rsid w:val="0047738A"/>
    <w:rsid w:val="0047764A"/>
    <w:rsid w:val="00477EA8"/>
    <w:rsid w:val="0048153D"/>
    <w:rsid w:val="00484190"/>
    <w:rsid w:val="00484A88"/>
    <w:rsid w:val="00485286"/>
    <w:rsid w:val="00485476"/>
    <w:rsid w:val="004954C5"/>
    <w:rsid w:val="0049585D"/>
    <w:rsid w:val="004967BB"/>
    <w:rsid w:val="004968A3"/>
    <w:rsid w:val="00496B48"/>
    <w:rsid w:val="00497ADB"/>
    <w:rsid w:val="004A484B"/>
    <w:rsid w:val="004A7ECF"/>
    <w:rsid w:val="004B0B10"/>
    <w:rsid w:val="004B2B79"/>
    <w:rsid w:val="004C0442"/>
    <w:rsid w:val="004C3AED"/>
    <w:rsid w:val="004C5DF1"/>
    <w:rsid w:val="004D3FAE"/>
    <w:rsid w:val="004D57B1"/>
    <w:rsid w:val="004D732F"/>
    <w:rsid w:val="004E0246"/>
    <w:rsid w:val="004E4561"/>
    <w:rsid w:val="004E6630"/>
    <w:rsid w:val="004E71FE"/>
    <w:rsid w:val="004E757E"/>
    <w:rsid w:val="004F149F"/>
    <w:rsid w:val="004F5169"/>
    <w:rsid w:val="004F5443"/>
    <w:rsid w:val="004F5B76"/>
    <w:rsid w:val="004F6F07"/>
    <w:rsid w:val="00500FF9"/>
    <w:rsid w:val="00501624"/>
    <w:rsid w:val="00504890"/>
    <w:rsid w:val="005065F9"/>
    <w:rsid w:val="0050729E"/>
    <w:rsid w:val="00507380"/>
    <w:rsid w:val="005112CE"/>
    <w:rsid w:val="00513222"/>
    <w:rsid w:val="00514C61"/>
    <w:rsid w:val="00515189"/>
    <w:rsid w:val="00515586"/>
    <w:rsid w:val="00516580"/>
    <w:rsid w:val="00517412"/>
    <w:rsid w:val="00517E1D"/>
    <w:rsid w:val="00520C93"/>
    <w:rsid w:val="0052152D"/>
    <w:rsid w:val="00526216"/>
    <w:rsid w:val="0053008F"/>
    <w:rsid w:val="00531D46"/>
    <w:rsid w:val="005343F6"/>
    <w:rsid w:val="00536274"/>
    <w:rsid w:val="00541413"/>
    <w:rsid w:val="00543FFF"/>
    <w:rsid w:val="005452DE"/>
    <w:rsid w:val="00554FEF"/>
    <w:rsid w:val="00556BE5"/>
    <w:rsid w:val="0055763C"/>
    <w:rsid w:val="005602F9"/>
    <w:rsid w:val="005605E8"/>
    <w:rsid w:val="00561AAE"/>
    <w:rsid w:val="005630E5"/>
    <w:rsid w:val="005636F3"/>
    <w:rsid w:val="0056492C"/>
    <w:rsid w:val="005668E0"/>
    <w:rsid w:val="0056778E"/>
    <w:rsid w:val="0057050D"/>
    <w:rsid w:val="00570E33"/>
    <w:rsid w:val="005769C0"/>
    <w:rsid w:val="0057709B"/>
    <w:rsid w:val="00577868"/>
    <w:rsid w:val="00580771"/>
    <w:rsid w:val="00582798"/>
    <w:rsid w:val="00583AC6"/>
    <w:rsid w:val="00585BBE"/>
    <w:rsid w:val="00586F84"/>
    <w:rsid w:val="005900BF"/>
    <w:rsid w:val="00592769"/>
    <w:rsid w:val="005931D5"/>
    <w:rsid w:val="00593696"/>
    <w:rsid w:val="00593EAD"/>
    <w:rsid w:val="005946BE"/>
    <w:rsid w:val="00594840"/>
    <w:rsid w:val="00595C3D"/>
    <w:rsid w:val="00596AB8"/>
    <w:rsid w:val="005A0C47"/>
    <w:rsid w:val="005A13B0"/>
    <w:rsid w:val="005A2CA9"/>
    <w:rsid w:val="005A3105"/>
    <w:rsid w:val="005A34BB"/>
    <w:rsid w:val="005A4F8E"/>
    <w:rsid w:val="005A5170"/>
    <w:rsid w:val="005B1613"/>
    <w:rsid w:val="005B28DA"/>
    <w:rsid w:val="005B6BDE"/>
    <w:rsid w:val="005B7F77"/>
    <w:rsid w:val="005C307E"/>
    <w:rsid w:val="005C4913"/>
    <w:rsid w:val="005D49EE"/>
    <w:rsid w:val="005D6C57"/>
    <w:rsid w:val="005E3250"/>
    <w:rsid w:val="005F004A"/>
    <w:rsid w:val="005F0AD5"/>
    <w:rsid w:val="005F51C0"/>
    <w:rsid w:val="005F573B"/>
    <w:rsid w:val="005F5820"/>
    <w:rsid w:val="005F786E"/>
    <w:rsid w:val="00602F9E"/>
    <w:rsid w:val="0060492C"/>
    <w:rsid w:val="006060B0"/>
    <w:rsid w:val="006128B5"/>
    <w:rsid w:val="00613635"/>
    <w:rsid w:val="00616070"/>
    <w:rsid w:val="00616BDB"/>
    <w:rsid w:val="0062219A"/>
    <w:rsid w:val="00622B26"/>
    <w:rsid w:val="006276AE"/>
    <w:rsid w:val="0063032F"/>
    <w:rsid w:val="00631910"/>
    <w:rsid w:val="00631DAB"/>
    <w:rsid w:val="00635EC4"/>
    <w:rsid w:val="00637F82"/>
    <w:rsid w:val="00643A60"/>
    <w:rsid w:val="006444C8"/>
    <w:rsid w:val="0065188B"/>
    <w:rsid w:val="0065320C"/>
    <w:rsid w:val="0065410F"/>
    <w:rsid w:val="00655851"/>
    <w:rsid w:val="00657868"/>
    <w:rsid w:val="006613D0"/>
    <w:rsid w:val="00675AAF"/>
    <w:rsid w:val="006767FE"/>
    <w:rsid w:val="00676A6D"/>
    <w:rsid w:val="00694945"/>
    <w:rsid w:val="00695465"/>
    <w:rsid w:val="006A0DB3"/>
    <w:rsid w:val="006A51EE"/>
    <w:rsid w:val="006A540E"/>
    <w:rsid w:val="006A5C6A"/>
    <w:rsid w:val="006A5D1A"/>
    <w:rsid w:val="006A602A"/>
    <w:rsid w:val="006B0E03"/>
    <w:rsid w:val="006B10B9"/>
    <w:rsid w:val="006B1EF6"/>
    <w:rsid w:val="006C12CE"/>
    <w:rsid w:val="006D0FC7"/>
    <w:rsid w:val="006D2976"/>
    <w:rsid w:val="006D2ED2"/>
    <w:rsid w:val="006D37A9"/>
    <w:rsid w:val="006D402C"/>
    <w:rsid w:val="006D5F4A"/>
    <w:rsid w:val="006D7519"/>
    <w:rsid w:val="006D7ED9"/>
    <w:rsid w:val="006E404F"/>
    <w:rsid w:val="006F0403"/>
    <w:rsid w:val="006F0941"/>
    <w:rsid w:val="006F2C0E"/>
    <w:rsid w:val="006F311C"/>
    <w:rsid w:val="006F34C5"/>
    <w:rsid w:val="006F45F5"/>
    <w:rsid w:val="006F4714"/>
    <w:rsid w:val="006F4AFA"/>
    <w:rsid w:val="006F6E12"/>
    <w:rsid w:val="006F7B77"/>
    <w:rsid w:val="006F7CC4"/>
    <w:rsid w:val="0070145F"/>
    <w:rsid w:val="0070216E"/>
    <w:rsid w:val="00703777"/>
    <w:rsid w:val="00704579"/>
    <w:rsid w:val="00704BB4"/>
    <w:rsid w:val="007053A0"/>
    <w:rsid w:val="007061A1"/>
    <w:rsid w:val="00711862"/>
    <w:rsid w:val="007120E8"/>
    <w:rsid w:val="00713335"/>
    <w:rsid w:val="007137E1"/>
    <w:rsid w:val="0071686D"/>
    <w:rsid w:val="00717FEA"/>
    <w:rsid w:val="00720D5C"/>
    <w:rsid w:val="00721B82"/>
    <w:rsid w:val="007240E1"/>
    <w:rsid w:val="00731E9A"/>
    <w:rsid w:val="00732649"/>
    <w:rsid w:val="0073280C"/>
    <w:rsid w:val="007329FF"/>
    <w:rsid w:val="00736589"/>
    <w:rsid w:val="00737AE1"/>
    <w:rsid w:val="00737CBC"/>
    <w:rsid w:val="00737E48"/>
    <w:rsid w:val="00744E9C"/>
    <w:rsid w:val="00752BA0"/>
    <w:rsid w:val="0075358C"/>
    <w:rsid w:val="00755A80"/>
    <w:rsid w:val="007572F9"/>
    <w:rsid w:val="00757D6E"/>
    <w:rsid w:val="007600DE"/>
    <w:rsid w:val="0076035E"/>
    <w:rsid w:val="00760601"/>
    <w:rsid w:val="00762974"/>
    <w:rsid w:val="00762FF0"/>
    <w:rsid w:val="00770B8B"/>
    <w:rsid w:val="00770BD7"/>
    <w:rsid w:val="00773813"/>
    <w:rsid w:val="00775ED5"/>
    <w:rsid w:val="00777064"/>
    <w:rsid w:val="00777162"/>
    <w:rsid w:val="00782549"/>
    <w:rsid w:val="007904B1"/>
    <w:rsid w:val="00790925"/>
    <w:rsid w:val="007A0DFE"/>
    <w:rsid w:val="007A5A47"/>
    <w:rsid w:val="007A6933"/>
    <w:rsid w:val="007B2404"/>
    <w:rsid w:val="007B6E76"/>
    <w:rsid w:val="007C0FBD"/>
    <w:rsid w:val="007C2DEB"/>
    <w:rsid w:val="007C3A7E"/>
    <w:rsid w:val="007C7BB2"/>
    <w:rsid w:val="007C7EB5"/>
    <w:rsid w:val="007D1A16"/>
    <w:rsid w:val="007D2C85"/>
    <w:rsid w:val="007D2F2B"/>
    <w:rsid w:val="007D342A"/>
    <w:rsid w:val="007D4195"/>
    <w:rsid w:val="007E0332"/>
    <w:rsid w:val="007E091B"/>
    <w:rsid w:val="007E12D3"/>
    <w:rsid w:val="007E18B1"/>
    <w:rsid w:val="007E2608"/>
    <w:rsid w:val="007E431D"/>
    <w:rsid w:val="007E4EDE"/>
    <w:rsid w:val="007E511F"/>
    <w:rsid w:val="007F1965"/>
    <w:rsid w:val="008014C2"/>
    <w:rsid w:val="00803F84"/>
    <w:rsid w:val="00804C92"/>
    <w:rsid w:val="0080551C"/>
    <w:rsid w:val="008074A2"/>
    <w:rsid w:val="00810C15"/>
    <w:rsid w:val="00811C98"/>
    <w:rsid w:val="00812553"/>
    <w:rsid w:val="00814CCD"/>
    <w:rsid w:val="00817702"/>
    <w:rsid w:val="00820863"/>
    <w:rsid w:val="0082204B"/>
    <w:rsid w:val="0083078C"/>
    <w:rsid w:val="00832252"/>
    <w:rsid w:val="008379AF"/>
    <w:rsid w:val="00840D43"/>
    <w:rsid w:val="00841BE1"/>
    <w:rsid w:val="00841F65"/>
    <w:rsid w:val="008437A1"/>
    <w:rsid w:val="00844172"/>
    <w:rsid w:val="0084437F"/>
    <w:rsid w:val="00845709"/>
    <w:rsid w:val="008465D0"/>
    <w:rsid w:val="00847538"/>
    <w:rsid w:val="00855167"/>
    <w:rsid w:val="008616C0"/>
    <w:rsid w:val="00863385"/>
    <w:rsid w:val="008761F8"/>
    <w:rsid w:val="008762E0"/>
    <w:rsid w:val="00877BBF"/>
    <w:rsid w:val="008806BF"/>
    <w:rsid w:val="008807F8"/>
    <w:rsid w:val="00880833"/>
    <w:rsid w:val="00880D3F"/>
    <w:rsid w:val="00881E16"/>
    <w:rsid w:val="00882A85"/>
    <w:rsid w:val="00882DB0"/>
    <w:rsid w:val="00886FF8"/>
    <w:rsid w:val="00890277"/>
    <w:rsid w:val="00893365"/>
    <w:rsid w:val="008961CF"/>
    <w:rsid w:val="00897013"/>
    <w:rsid w:val="008A41F0"/>
    <w:rsid w:val="008A7374"/>
    <w:rsid w:val="008A7993"/>
    <w:rsid w:val="008B71B8"/>
    <w:rsid w:val="008B78B2"/>
    <w:rsid w:val="008C45F2"/>
    <w:rsid w:val="008C53EF"/>
    <w:rsid w:val="008C60B4"/>
    <w:rsid w:val="008C7223"/>
    <w:rsid w:val="008C7343"/>
    <w:rsid w:val="008D2832"/>
    <w:rsid w:val="008D46EC"/>
    <w:rsid w:val="008D7D49"/>
    <w:rsid w:val="008F1B50"/>
    <w:rsid w:val="008F367B"/>
    <w:rsid w:val="008F3958"/>
    <w:rsid w:val="008F58CE"/>
    <w:rsid w:val="008F64AB"/>
    <w:rsid w:val="008F6EE7"/>
    <w:rsid w:val="00901215"/>
    <w:rsid w:val="00901311"/>
    <w:rsid w:val="009043C2"/>
    <w:rsid w:val="00907919"/>
    <w:rsid w:val="00912232"/>
    <w:rsid w:val="009137D7"/>
    <w:rsid w:val="00913B3D"/>
    <w:rsid w:val="009147B5"/>
    <w:rsid w:val="00914A69"/>
    <w:rsid w:val="00915E03"/>
    <w:rsid w:val="009177AF"/>
    <w:rsid w:val="00921197"/>
    <w:rsid w:val="00923A99"/>
    <w:rsid w:val="00923E57"/>
    <w:rsid w:val="009255AD"/>
    <w:rsid w:val="00925F5B"/>
    <w:rsid w:val="00927549"/>
    <w:rsid w:val="00931ABF"/>
    <w:rsid w:val="00932DE3"/>
    <w:rsid w:val="009344CD"/>
    <w:rsid w:val="00935300"/>
    <w:rsid w:val="00937049"/>
    <w:rsid w:val="00937D67"/>
    <w:rsid w:val="009417ED"/>
    <w:rsid w:val="009440D7"/>
    <w:rsid w:val="00945DB4"/>
    <w:rsid w:val="00951534"/>
    <w:rsid w:val="00952A45"/>
    <w:rsid w:val="00960B30"/>
    <w:rsid w:val="00960C53"/>
    <w:rsid w:val="00961FFA"/>
    <w:rsid w:val="0096375E"/>
    <w:rsid w:val="0096794A"/>
    <w:rsid w:val="00970A1C"/>
    <w:rsid w:val="00972A6B"/>
    <w:rsid w:val="00973434"/>
    <w:rsid w:val="00973536"/>
    <w:rsid w:val="00974647"/>
    <w:rsid w:val="0098193C"/>
    <w:rsid w:val="0098481A"/>
    <w:rsid w:val="0098588C"/>
    <w:rsid w:val="00987973"/>
    <w:rsid w:val="00987B7E"/>
    <w:rsid w:val="00990DE6"/>
    <w:rsid w:val="009940AE"/>
    <w:rsid w:val="00994941"/>
    <w:rsid w:val="00996EC6"/>
    <w:rsid w:val="00997174"/>
    <w:rsid w:val="00997756"/>
    <w:rsid w:val="00997DA3"/>
    <w:rsid w:val="009A0226"/>
    <w:rsid w:val="009A0360"/>
    <w:rsid w:val="009A08AD"/>
    <w:rsid w:val="009A16C2"/>
    <w:rsid w:val="009A1ECB"/>
    <w:rsid w:val="009A274A"/>
    <w:rsid w:val="009A2B55"/>
    <w:rsid w:val="009A3029"/>
    <w:rsid w:val="009A473B"/>
    <w:rsid w:val="009A5268"/>
    <w:rsid w:val="009B007B"/>
    <w:rsid w:val="009B24B7"/>
    <w:rsid w:val="009B458D"/>
    <w:rsid w:val="009B57A0"/>
    <w:rsid w:val="009B6678"/>
    <w:rsid w:val="009B6A0D"/>
    <w:rsid w:val="009B7FD3"/>
    <w:rsid w:val="009D0FA2"/>
    <w:rsid w:val="009D1300"/>
    <w:rsid w:val="009D1B85"/>
    <w:rsid w:val="009D52AD"/>
    <w:rsid w:val="009D6C5B"/>
    <w:rsid w:val="009E0F69"/>
    <w:rsid w:val="009E26E2"/>
    <w:rsid w:val="009E69EC"/>
    <w:rsid w:val="009E7383"/>
    <w:rsid w:val="009E7AA2"/>
    <w:rsid w:val="009F19FF"/>
    <w:rsid w:val="009F2593"/>
    <w:rsid w:val="009F78CF"/>
    <w:rsid w:val="00A03615"/>
    <w:rsid w:val="00A043B7"/>
    <w:rsid w:val="00A04B1E"/>
    <w:rsid w:val="00A06F91"/>
    <w:rsid w:val="00A07D12"/>
    <w:rsid w:val="00A15CD1"/>
    <w:rsid w:val="00A16B4F"/>
    <w:rsid w:val="00A17AD7"/>
    <w:rsid w:val="00A21EA1"/>
    <w:rsid w:val="00A23D12"/>
    <w:rsid w:val="00A2526D"/>
    <w:rsid w:val="00A256E6"/>
    <w:rsid w:val="00A36A57"/>
    <w:rsid w:val="00A40EE5"/>
    <w:rsid w:val="00A40F97"/>
    <w:rsid w:val="00A42C6B"/>
    <w:rsid w:val="00A519A3"/>
    <w:rsid w:val="00A559D3"/>
    <w:rsid w:val="00A6541F"/>
    <w:rsid w:val="00A72C2B"/>
    <w:rsid w:val="00A74CD2"/>
    <w:rsid w:val="00A76320"/>
    <w:rsid w:val="00A768AC"/>
    <w:rsid w:val="00A76A23"/>
    <w:rsid w:val="00A80352"/>
    <w:rsid w:val="00A80E32"/>
    <w:rsid w:val="00A81F63"/>
    <w:rsid w:val="00A822FE"/>
    <w:rsid w:val="00A828D1"/>
    <w:rsid w:val="00A842F3"/>
    <w:rsid w:val="00A8606B"/>
    <w:rsid w:val="00A86B2E"/>
    <w:rsid w:val="00A87B0D"/>
    <w:rsid w:val="00A9343B"/>
    <w:rsid w:val="00A93517"/>
    <w:rsid w:val="00A954A2"/>
    <w:rsid w:val="00A95D05"/>
    <w:rsid w:val="00A9628B"/>
    <w:rsid w:val="00A97A4E"/>
    <w:rsid w:val="00AA01E3"/>
    <w:rsid w:val="00AA45C5"/>
    <w:rsid w:val="00AA7F50"/>
    <w:rsid w:val="00AA7FFD"/>
    <w:rsid w:val="00AB174E"/>
    <w:rsid w:val="00AB3B62"/>
    <w:rsid w:val="00AB517E"/>
    <w:rsid w:val="00AB668B"/>
    <w:rsid w:val="00AB76B8"/>
    <w:rsid w:val="00AC051F"/>
    <w:rsid w:val="00AC20E4"/>
    <w:rsid w:val="00AC322E"/>
    <w:rsid w:val="00AD2889"/>
    <w:rsid w:val="00AD3AE1"/>
    <w:rsid w:val="00AD5BAB"/>
    <w:rsid w:val="00AE0DA2"/>
    <w:rsid w:val="00AE3CB3"/>
    <w:rsid w:val="00AE46B3"/>
    <w:rsid w:val="00AE48EE"/>
    <w:rsid w:val="00AE740C"/>
    <w:rsid w:val="00AE77CD"/>
    <w:rsid w:val="00AF194E"/>
    <w:rsid w:val="00AF1D43"/>
    <w:rsid w:val="00B00D0E"/>
    <w:rsid w:val="00B00DB4"/>
    <w:rsid w:val="00B01563"/>
    <w:rsid w:val="00B01EB2"/>
    <w:rsid w:val="00B0379A"/>
    <w:rsid w:val="00B03DF3"/>
    <w:rsid w:val="00B05196"/>
    <w:rsid w:val="00B059BF"/>
    <w:rsid w:val="00B06A39"/>
    <w:rsid w:val="00B06F63"/>
    <w:rsid w:val="00B0734E"/>
    <w:rsid w:val="00B07C39"/>
    <w:rsid w:val="00B114CB"/>
    <w:rsid w:val="00B123B4"/>
    <w:rsid w:val="00B153EC"/>
    <w:rsid w:val="00B17DD9"/>
    <w:rsid w:val="00B21962"/>
    <w:rsid w:val="00B23692"/>
    <w:rsid w:val="00B32B19"/>
    <w:rsid w:val="00B350E9"/>
    <w:rsid w:val="00B35A66"/>
    <w:rsid w:val="00B40115"/>
    <w:rsid w:val="00B4167B"/>
    <w:rsid w:val="00B43025"/>
    <w:rsid w:val="00B43399"/>
    <w:rsid w:val="00B4660E"/>
    <w:rsid w:val="00B46D00"/>
    <w:rsid w:val="00B47B54"/>
    <w:rsid w:val="00B51887"/>
    <w:rsid w:val="00B5492A"/>
    <w:rsid w:val="00B5565E"/>
    <w:rsid w:val="00B55B3B"/>
    <w:rsid w:val="00B57402"/>
    <w:rsid w:val="00B62BD3"/>
    <w:rsid w:val="00B63EAD"/>
    <w:rsid w:val="00B67A66"/>
    <w:rsid w:val="00B75F74"/>
    <w:rsid w:val="00B804D6"/>
    <w:rsid w:val="00B8058A"/>
    <w:rsid w:val="00B80804"/>
    <w:rsid w:val="00B8132C"/>
    <w:rsid w:val="00B81DE4"/>
    <w:rsid w:val="00B83217"/>
    <w:rsid w:val="00B8614A"/>
    <w:rsid w:val="00B87F8D"/>
    <w:rsid w:val="00B9148C"/>
    <w:rsid w:val="00B9257F"/>
    <w:rsid w:val="00B93370"/>
    <w:rsid w:val="00B947B7"/>
    <w:rsid w:val="00B964C4"/>
    <w:rsid w:val="00B97E53"/>
    <w:rsid w:val="00BA1592"/>
    <w:rsid w:val="00BA399B"/>
    <w:rsid w:val="00BC262C"/>
    <w:rsid w:val="00BC5BDA"/>
    <w:rsid w:val="00BC5FBA"/>
    <w:rsid w:val="00BC7A90"/>
    <w:rsid w:val="00BD2854"/>
    <w:rsid w:val="00BD3DC5"/>
    <w:rsid w:val="00BD7C8A"/>
    <w:rsid w:val="00BE21BF"/>
    <w:rsid w:val="00BE2270"/>
    <w:rsid w:val="00BE57B2"/>
    <w:rsid w:val="00BE6E5E"/>
    <w:rsid w:val="00BF0376"/>
    <w:rsid w:val="00BF1194"/>
    <w:rsid w:val="00BF46CC"/>
    <w:rsid w:val="00BF4E02"/>
    <w:rsid w:val="00C04C75"/>
    <w:rsid w:val="00C06D07"/>
    <w:rsid w:val="00C100E4"/>
    <w:rsid w:val="00C10E28"/>
    <w:rsid w:val="00C11151"/>
    <w:rsid w:val="00C13470"/>
    <w:rsid w:val="00C17D8C"/>
    <w:rsid w:val="00C17FBA"/>
    <w:rsid w:val="00C22704"/>
    <w:rsid w:val="00C22A1A"/>
    <w:rsid w:val="00C26316"/>
    <w:rsid w:val="00C323EF"/>
    <w:rsid w:val="00C3409D"/>
    <w:rsid w:val="00C3699F"/>
    <w:rsid w:val="00C36E96"/>
    <w:rsid w:val="00C430EE"/>
    <w:rsid w:val="00C45AA7"/>
    <w:rsid w:val="00C46F5C"/>
    <w:rsid w:val="00C477F2"/>
    <w:rsid w:val="00C553B7"/>
    <w:rsid w:val="00C5775C"/>
    <w:rsid w:val="00C60A02"/>
    <w:rsid w:val="00C61C99"/>
    <w:rsid w:val="00C62394"/>
    <w:rsid w:val="00C65488"/>
    <w:rsid w:val="00C70049"/>
    <w:rsid w:val="00C7009B"/>
    <w:rsid w:val="00C707EC"/>
    <w:rsid w:val="00C7193B"/>
    <w:rsid w:val="00C725F3"/>
    <w:rsid w:val="00C72795"/>
    <w:rsid w:val="00C7284A"/>
    <w:rsid w:val="00C7318A"/>
    <w:rsid w:val="00C75CB8"/>
    <w:rsid w:val="00C8619E"/>
    <w:rsid w:val="00C86522"/>
    <w:rsid w:val="00C8771F"/>
    <w:rsid w:val="00C91FEF"/>
    <w:rsid w:val="00C91FF3"/>
    <w:rsid w:val="00C9266E"/>
    <w:rsid w:val="00C93F7E"/>
    <w:rsid w:val="00C9712F"/>
    <w:rsid w:val="00CA13CA"/>
    <w:rsid w:val="00CA1941"/>
    <w:rsid w:val="00CA485C"/>
    <w:rsid w:val="00CA48F4"/>
    <w:rsid w:val="00CA54DF"/>
    <w:rsid w:val="00CA5705"/>
    <w:rsid w:val="00CA6B27"/>
    <w:rsid w:val="00CA7A80"/>
    <w:rsid w:val="00CB0FCB"/>
    <w:rsid w:val="00CB2925"/>
    <w:rsid w:val="00CB6AD6"/>
    <w:rsid w:val="00CC022E"/>
    <w:rsid w:val="00CC1756"/>
    <w:rsid w:val="00CC2AC3"/>
    <w:rsid w:val="00CC4A55"/>
    <w:rsid w:val="00CC5BA5"/>
    <w:rsid w:val="00CD0311"/>
    <w:rsid w:val="00CD0FFE"/>
    <w:rsid w:val="00CD1EA5"/>
    <w:rsid w:val="00CD30AF"/>
    <w:rsid w:val="00CD6445"/>
    <w:rsid w:val="00CD750B"/>
    <w:rsid w:val="00CE1114"/>
    <w:rsid w:val="00CE203A"/>
    <w:rsid w:val="00CE6E30"/>
    <w:rsid w:val="00CF127E"/>
    <w:rsid w:val="00CF21AF"/>
    <w:rsid w:val="00CF5A26"/>
    <w:rsid w:val="00CF7DBA"/>
    <w:rsid w:val="00D021E7"/>
    <w:rsid w:val="00D04E8B"/>
    <w:rsid w:val="00D05F4D"/>
    <w:rsid w:val="00D066F4"/>
    <w:rsid w:val="00D12D07"/>
    <w:rsid w:val="00D13B11"/>
    <w:rsid w:val="00D1460B"/>
    <w:rsid w:val="00D15C1A"/>
    <w:rsid w:val="00D161F0"/>
    <w:rsid w:val="00D177E3"/>
    <w:rsid w:val="00D22B01"/>
    <w:rsid w:val="00D235E3"/>
    <w:rsid w:val="00D2699B"/>
    <w:rsid w:val="00D3138D"/>
    <w:rsid w:val="00D318C4"/>
    <w:rsid w:val="00D404A0"/>
    <w:rsid w:val="00D4054B"/>
    <w:rsid w:val="00D43327"/>
    <w:rsid w:val="00D446C2"/>
    <w:rsid w:val="00D45C94"/>
    <w:rsid w:val="00D4686C"/>
    <w:rsid w:val="00D46A3D"/>
    <w:rsid w:val="00D52B54"/>
    <w:rsid w:val="00D53B97"/>
    <w:rsid w:val="00D54020"/>
    <w:rsid w:val="00D56807"/>
    <w:rsid w:val="00D57FA9"/>
    <w:rsid w:val="00D60818"/>
    <w:rsid w:val="00D60DD3"/>
    <w:rsid w:val="00D63B0B"/>
    <w:rsid w:val="00D65117"/>
    <w:rsid w:val="00D659E1"/>
    <w:rsid w:val="00D6780D"/>
    <w:rsid w:val="00D762BA"/>
    <w:rsid w:val="00D77627"/>
    <w:rsid w:val="00D91C99"/>
    <w:rsid w:val="00D92E17"/>
    <w:rsid w:val="00D94770"/>
    <w:rsid w:val="00D972BA"/>
    <w:rsid w:val="00D9760E"/>
    <w:rsid w:val="00D97A13"/>
    <w:rsid w:val="00DA0473"/>
    <w:rsid w:val="00DA1349"/>
    <w:rsid w:val="00DA233F"/>
    <w:rsid w:val="00DA5D41"/>
    <w:rsid w:val="00DA6C27"/>
    <w:rsid w:val="00DB6387"/>
    <w:rsid w:val="00DB7BFF"/>
    <w:rsid w:val="00DC027F"/>
    <w:rsid w:val="00DC116E"/>
    <w:rsid w:val="00DC3463"/>
    <w:rsid w:val="00DC3BF8"/>
    <w:rsid w:val="00DC604D"/>
    <w:rsid w:val="00DC669E"/>
    <w:rsid w:val="00DD6F62"/>
    <w:rsid w:val="00DE4534"/>
    <w:rsid w:val="00DE49DF"/>
    <w:rsid w:val="00DE4BEF"/>
    <w:rsid w:val="00DE7182"/>
    <w:rsid w:val="00DE7713"/>
    <w:rsid w:val="00DF3755"/>
    <w:rsid w:val="00DF562A"/>
    <w:rsid w:val="00DF58C7"/>
    <w:rsid w:val="00E069B3"/>
    <w:rsid w:val="00E10B48"/>
    <w:rsid w:val="00E11ACB"/>
    <w:rsid w:val="00E13445"/>
    <w:rsid w:val="00E147D7"/>
    <w:rsid w:val="00E169E3"/>
    <w:rsid w:val="00E2138A"/>
    <w:rsid w:val="00E23E39"/>
    <w:rsid w:val="00E2405A"/>
    <w:rsid w:val="00E32822"/>
    <w:rsid w:val="00E34C02"/>
    <w:rsid w:val="00E40EB8"/>
    <w:rsid w:val="00E40FD5"/>
    <w:rsid w:val="00E42DDB"/>
    <w:rsid w:val="00E438B2"/>
    <w:rsid w:val="00E43CD7"/>
    <w:rsid w:val="00E44950"/>
    <w:rsid w:val="00E467FE"/>
    <w:rsid w:val="00E47704"/>
    <w:rsid w:val="00E54EA1"/>
    <w:rsid w:val="00E55008"/>
    <w:rsid w:val="00E5753A"/>
    <w:rsid w:val="00E60B4F"/>
    <w:rsid w:val="00E6163E"/>
    <w:rsid w:val="00E622EF"/>
    <w:rsid w:val="00E635F8"/>
    <w:rsid w:val="00E6434C"/>
    <w:rsid w:val="00E64F3E"/>
    <w:rsid w:val="00E6534F"/>
    <w:rsid w:val="00E657D7"/>
    <w:rsid w:val="00E6672E"/>
    <w:rsid w:val="00E71EFB"/>
    <w:rsid w:val="00E721B0"/>
    <w:rsid w:val="00E74C8A"/>
    <w:rsid w:val="00E75886"/>
    <w:rsid w:val="00E76D21"/>
    <w:rsid w:val="00E853E5"/>
    <w:rsid w:val="00E86654"/>
    <w:rsid w:val="00E87928"/>
    <w:rsid w:val="00E93579"/>
    <w:rsid w:val="00EA71CA"/>
    <w:rsid w:val="00EA7519"/>
    <w:rsid w:val="00EB35A4"/>
    <w:rsid w:val="00EB7767"/>
    <w:rsid w:val="00EC30CE"/>
    <w:rsid w:val="00EC318A"/>
    <w:rsid w:val="00EC402A"/>
    <w:rsid w:val="00EC55DC"/>
    <w:rsid w:val="00ED3698"/>
    <w:rsid w:val="00ED7C32"/>
    <w:rsid w:val="00EE1594"/>
    <w:rsid w:val="00EE3D33"/>
    <w:rsid w:val="00EE57AB"/>
    <w:rsid w:val="00EF347F"/>
    <w:rsid w:val="00EF61AE"/>
    <w:rsid w:val="00EF6597"/>
    <w:rsid w:val="00EF6B85"/>
    <w:rsid w:val="00EF7127"/>
    <w:rsid w:val="00F009C9"/>
    <w:rsid w:val="00F03ABD"/>
    <w:rsid w:val="00F118FC"/>
    <w:rsid w:val="00F12D85"/>
    <w:rsid w:val="00F13C26"/>
    <w:rsid w:val="00F1464F"/>
    <w:rsid w:val="00F1588A"/>
    <w:rsid w:val="00F22F5D"/>
    <w:rsid w:val="00F249FB"/>
    <w:rsid w:val="00F27D6C"/>
    <w:rsid w:val="00F3046E"/>
    <w:rsid w:val="00F32FDC"/>
    <w:rsid w:val="00F42BBD"/>
    <w:rsid w:val="00F51E86"/>
    <w:rsid w:val="00F52FFA"/>
    <w:rsid w:val="00F55033"/>
    <w:rsid w:val="00F56544"/>
    <w:rsid w:val="00F56704"/>
    <w:rsid w:val="00F57527"/>
    <w:rsid w:val="00F64E81"/>
    <w:rsid w:val="00F66EC3"/>
    <w:rsid w:val="00F75A98"/>
    <w:rsid w:val="00F8049A"/>
    <w:rsid w:val="00F80949"/>
    <w:rsid w:val="00F8152B"/>
    <w:rsid w:val="00F826A8"/>
    <w:rsid w:val="00F857EA"/>
    <w:rsid w:val="00F86E8F"/>
    <w:rsid w:val="00F91252"/>
    <w:rsid w:val="00F927A5"/>
    <w:rsid w:val="00F93345"/>
    <w:rsid w:val="00F95DDA"/>
    <w:rsid w:val="00F96207"/>
    <w:rsid w:val="00F96DB2"/>
    <w:rsid w:val="00F96F2B"/>
    <w:rsid w:val="00FA053E"/>
    <w:rsid w:val="00FA1C70"/>
    <w:rsid w:val="00FA297A"/>
    <w:rsid w:val="00FA2B67"/>
    <w:rsid w:val="00FA31A4"/>
    <w:rsid w:val="00FA49A7"/>
    <w:rsid w:val="00FA7488"/>
    <w:rsid w:val="00FB56DE"/>
    <w:rsid w:val="00FB7175"/>
    <w:rsid w:val="00FC00F0"/>
    <w:rsid w:val="00FD077C"/>
    <w:rsid w:val="00FD3F4F"/>
    <w:rsid w:val="00FD5FCD"/>
    <w:rsid w:val="00FD62F8"/>
    <w:rsid w:val="00FD75C3"/>
    <w:rsid w:val="00FE0557"/>
    <w:rsid w:val="00FE2916"/>
    <w:rsid w:val="00FE5191"/>
    <w:rsid w:val="00FE7005"/>
    <w:rsid w:val="00FE7A98"/>
    <w:rsid w:val="00FE7D30"/>
    <w:rsid w:val="00FF06FC"/>
    <w:rsid w:val="00FF74A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E647376-7413-4353-8BD9-0CC038A8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DB"/>
    <w:rPr>
      <w:rFonts w:eastAsia="Calibri"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BDB"/>
    <w:pPr>
      <w:tabs>
        <w:tab w:val="center" w:pos="4153"/>
        <w:tab w:val="right" w:pos="8306"/>
      </w:tabs>
    </w:pPr>
  </w:style>
  <w:style w:type="character" w:customStyle="1" w:styleId="HeaderChar">
    <w:name w:val="Header Char"/>
    <w:basedOn w:val="DefaultParagraphFont"/>
    <w:link w:val="Header"/>
    <w:uiPriority w:val="99"/>
    <w:rsid w:val="00053BDB"/>
    <w:rPr>
      <w:rFonts w:eastAsia="Calibri" w:cs="Times New Roman"/>
      <w:sz w:val="24"/>
      <w:szCs w:val="24"/>
      <w:lang w:eastAsia="lv-LV"/>
    </w:rPr>
  </w:style>
  <w:style w:type="paragraph" w:styleId="Footer">
    <w:name w:val="footer"/>
    <w:basedOn w:val="Normal"/>
    <w:link w:val="FooterChar"/>
    <w:uiPriority w:val="99"/>
    <w:unhideWhenUsed/>
    <w:rsid w:val="00053BDB"/>
    <w:pPr>
      <w:tabs>
        <w:tab w:val="center" w:pos="4153"/>
        <w:tab w:val="right" w:pos="8306"/>
      </w:tabs>
    </w:pPr>
  </w:style>
  <w:style w:type="character" w:customStyle="1" w:styleId="FooterChar">
    <w:name w:val="Footer Char"/>
    <w:basedOn w:val="DefaultParagraphFont"/>
    <w:link w:val="Footer"/>
    <w:uiPriority w:val="99"/>
    <w:rsid w:val="00053BDB"/>
    <w:rPr>
      <w:rFonts w:eastAsia="Calibri" w:cs="Times New Roman"/>
      <w:sz w:val="24"/>
      <w:szCs w:val="24"/>
      <w:lang w:eastAsia="lv-LV"/>
    </w:rPr>
  </w:style>
  <w:style w:type="paragraph" w:styleId="ListParagraph">
    <w:name w:val="List Paragraph"/>
    <w:aliases w:val="2,H&amp;P List Paragraph,List Paragraph1,Strip"/>
    <w:basedOn w:val="Normal"/>
    <w:link w:val="ListParagraphChar"/>
    <w:uiPriority w:val="34"/>
    <w:qFormat/>
    <w:rsid w:val="00DF3755"/>
    <w:pPr>
      <w:ind w:left="720"/>
      <w:contextualSpacing/>
    </w:p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rsid w:val="00DF3755"/>
    <w:rPr>
      <w:rFonts w:eastAsia="Times New Roman"/>
      <w:sz w:val="20"/>
      <w:szCs w:val="20"/>
      <w:lang w:eastAsia="en-US"/>
    </w:rPr>
  </w:style>
  <w:style w:type="character" w:customStyle="1" w:styleId="FootnoteTextChar">
    <w:name w:val="Footnote Text Char"/>
    <w:aliases w:val="Fußnotentext Char Char Char,Fußnotentext Char Char Char Char Char,Fußnotentext Char Char1,Fußnotentext Char1 Char,Fußnotentext Char1 Char Char Char Char Char,Fußnotentext Char1 Char Char Char Char1,Fußnotentext Char1 Char1 Char"/>
    <w:basedOn w:val="DefaultParagraphFont"/>
    <w:link w:val="FootnoteText"/>
    <w:rsid w:val="00DF3755"/>
    <w:rPr>
      <w:rFonts w:eastAsia="Times New Roman" w:cs="Times New Roman"/>
      <w:sz w:val="20"/>
      <w:szCs w:val="20"/>
    </w:rPr>
  </w:style>
  <w:style w:type="character" w:styleId="FootnoteReference">
    <w:name w:val="footnote reference"/>
    <w:aliases w:val="Footnote Reference Number,Footnote Reference Superscript,SUPERS"/>
    <w:uiPriority w:val="99"/>
    <w:rsid w:val="00DF3755"/>
    <w:rPr>
      <w:vertAlign w:val="superscript"/>
    </w:rPr>
  </w:style>
  <w:style w:type="paragraph" w:styleId="BodyText2">
    <w:name w:val="Body Text 2"/>
    <w:basedOn w:val="Normal"/>
    <w:link w:val="BodyText2Char"/>
    <w:semiHidden/>
    <w:rsid w:val="00DF3755"/>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3755"/>
    <w:rPr>
      <w:rFonts w:eastAsia="Calibri" w:cs="Times New Roman"/>
      <w:b/>
      <w:bCs/>
      <w:szCs w:val="28"/>
      <w:lang w:val="x-none" w:eastAsia="x-none"/>
    </w:rPr>
  </w:style>
  <w:style w:type="character" w:customStyle="1" w:styleId="ListParagraphChar">
    <w:name w:val="List Paragraph Char"/>
    <w:aliases w:val="2 Char,H&amp;P List Paragraph Char,List Paragraph1 Char,Strip Char"/>
    <w:link w:val="ListParagraph"/>
    <w:uiPriority w:val="34"/>
    <w:rsid w:val="00DF3755"/>
    <w:rPr>
      <w:rFonts w:eastAsia="Calibri" w:cs="Times New Roman"/>
      <w:sz w:val="24"/>
      <w:szCs w:val="24"/>
      <w:lang w:eastAsia="lv-LV"/>
    </w:rPr>
  </w:style>
  <w:style w:type="paragraph" w:styleId="BalloonText">
    <w:name w:val="Balloon Text"/>
    <w:basedOn w:val="Normal"/>
    <w:link w:val="BalloonTextChar"/>
    <w:uiPriority w:val="99"/>
    <w:semiHidden/>
    <w:unhideWhenUsed/>
    <w:rsid w:val="00125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C1"/>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F1588A"/>
    <w:rPr>
      <w:sz w:val="16"/>
      <w:szCs w:val="16"/>
    </w:rPr>
  </w:style>
  <w:style w:type="paragraph" w:styleId="CommentText">
    <w:name w:val="annotation text"/>
    <w:basedOn w:val="Normal"/>
    <w:link w:val="CommentTextChar"/>
    <w:uiPriority w:val="99"/>
    <w:unhideWhenUsed/>
    <w:rsid w:val="00F1588A"/>
    <w:rPr>
      <w:sz w:val="20"/>
      <w:szCs w:val="20"/>
    </w:rPr>
  </w:style>
  <w:style w:type="character" w:customStyle="1" w:styleId="CommentTextChar">
    <w:name w:val="Comment Text Char"/>
    <w:basedOn w:val="DefaultParagraphFont"/>
    <w:link w:val="CommentText"/>
    <w:uiPriority w:val="99"/>
    <w:rsid w:val="00F1588A"/>
    <w:rPr>
      <w:rFonts w:eastAsia="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588A"/>
    <w:rPr>
      <w:b/>
      <w:bCs/>
    </w:rPr>
  </w:style>
  <w:style w:type="character" w:customStyle="1" w:styleId="CommentSubjectChar">
    <w:name w:val="Comment Subject Char"/>
    <w:basedOn w:val="CommentTextChar"/>
    <w:link w:val="CommentSubject"/>
    <w:uiPriority w:val="99"/>
    <w:semiHidden/>
    <w:rsid w:val="00F1588A"/>
    <w:rPr>
      <w:rFonts w:eastAsia="Calibri" w:cs="Times New Roman"/>
      <w:b/>
      <w:bCs/>
      <w:sz w:val="20"/>
      <w:szCs w:val="20"/>
      <w:lang w:eastAsia="lv-LV"/>
    </w:rPr>
  </w:style>
  <w:style w:type="character" w:styleId="Hyperlink">
    <w:name w:val="Hyperlink"/>
    <w:uiPriority w:val="99"/>
    <w:rsid w:val="00755A80"/>
    <w:rPr>
      <w:rFonts w:cs="Times New Roman"/>
      <w:color w:val="0000FF"/>
      <w:u w:val="single"/>
    </w:rPr>
  </w:style>
  <w:style w:type="paragraph" w:customStyle="1" w:styleId="naisnod">
    <w:name w:val="naisnod"/>
    <w:basedOn w:val="Normal"/>
    <w:rsid w:val="00C7318A"/>
    <w:pPr>
      <w:spacing w:before="100" w:beforeAutospacing="1" w:after="100" w:afterAutospacing="1"/>
    </w:pPr>
    <w:rPr>
      <w:rFonts w:eastAsia="Times New Roman"/>
    </w:rPr>
  </w:style>
  <w:style w:type="paragraph" w:customStyle="1" w:styleId="tv213">
    <w:name w:val="tv213"/>
    <w:basedOn w:val="Normal"/>
    <w:rsid w:val="006D2ED2"/>
    <w:pPr>
      <w:spacing w:before="100" w:beforeAutospacing="1" w:after="100" w:afterAutospacing="1"/>
      <w:ind w:left="567" w:hanging="709"/>
      <w:jc w:val="both"/>
    </w:pPr>
    <w:rPr>
      <w:rFonts w:eastAsia="Times New Roman"/>
    </w:rPr>
  </w:style>
  <w:style w:type="paragraph" w:styleId="Revision">
    <w:name w:val="Revision"/>
    <w:hidden/>
    <w:uiPriority w:val="99"/>
    <w:semiHidden/>
    <w:rsid w:val="00536274"/>
    <w:rPr>
      <w:rFonts w:eastAsia="Calibri" w:cs="Times New Roman"/>
      <w:sz w:val="24"/>
      <w:szCs w:val="24"/>
      <w:lang w:eastAsia="lv-LV"/>
    </w:rPr>
  </w:style>
  <w:style w:type="character" w:styleId="FollowedHyperlink">
    <w:name w:val="FollowedHyperlink"/>
    <w:basedOn w:val="DefaultParagraphFont"/>
    <w:uiPriority w:val="99"/>
    <w:semiHidden/>
    <w:unhideWhenUsed/>
    <w:rsid w:val="00056475"/>
    <w:rPr>
      <w:color w:val="954F72" w:themeColor="followedHyperlink"/>
      <w:u w:val="single"/>
    </w:rPr>
  </w:style>
  <w:style w:type="character" w:customStyle="1" w:styleId="UnresolvedMention1">
    <w:name w:val="Unresolved Mention1"/>
    <w:basedOn w:val="DefaultParagraphFont"/>
    <w:uiPriority w:val="99"/>
    <w:semiHidden/>
    <w:unhideWhenUsed/>
    <w:rsid w:val="007C0F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63BE-9A0F-4A78-B220-4CDDD5EA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12964</Words>
  <Characters>7390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Ekonomikas ministrija</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dc:title>
  <dc:subject>MK noteikumu projekta anotācija</dc:subject>
  <dc:creator>Kristaps Zvaigznītis</dc:creator>
  <dc:description>67013171, Kristaps.Zvaigznitis@em.gov.lv</dc:description>
  <cp:lastModifiedBy>Līva Immermane</cp:lastModifiedBy>
  <cp:revision>101</cp:revision>
  <cp:lastPrinted>2016-06-30T06:03:00Z</cp:lastPrinted>
  <dcterms:created xsi:type="dcterms:W3CDTF">2018-01-08T12:27:00Z</dcterms:created>
  <dcterms:modified xsi:type="dcterms:W3CDTF">2018-06-12T10:27:00Z</dcterms:modified>
</cp:coreProperties>
</file>