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865185" w:rsidP="00865185" w14:paraId="3CD14ED0" w14:textId="508B4B4B">
      <w:pPr>
        <w:spacing w:after="0" w:line="240" w:lineRule="auto"/>
        <w:jc w:val="center"/>
        <w:rPr>
          <w:rFonts w:ascii="Times New Roman" w:eastAsia="Times New Roman" w:hAnsi="Times New Roman"/>
          <w:b/>
          <w:sz w:val="26"/>
          <w:szCs w:val="26"/>
          <w:lang w:eastAsia="lv-LV"/>
        </w:rPr>
      </w:pPr>
      <w:r w:rsidRPr="000D6942">
        <w:rPr>
          <w:rFonts w:ascii="Times New Roman" w:eastAsia="Times New Roman" w:hAnsi="Times New Roman"/>
          <w:b/>
          <w:sz w:val="26"/>
          <w:szCs w:val="26"/>
          <w:lang w:eastAsia="lv-LV"/>
        </w:rPr>
        <w:t>Ministru kabineta noteikumu projekta „Grozījumi Ministru kabineta 2009.gada 15.septembra noteikumos Nr.1065 „Noteikumi par aizdevumiem sīko (mikro), mazo un vidējo saimnieciskās darbības veicēju un lauksaimniecības pakalpojumu kooperatīvo sabiedrību attīstības veicināšanai”” sākotnējās ietekmes novērtējuma ziņojums (anotācija)</w:t>
      </w:r>
    </w:p>
    <w:p w:rsidR="00F219A2" w:rsidP="00865185" w14:paraId="0AD46A79" w14:textId="4DB28592">
      <w:pPr>
        <w:spacing w:after="0" w:line="240" w:lineRule="auto"/>
        <w:jc w:val="center"/>
        <w:rPr>
          <w:rFonts w:ascii="Times New Roman" w:eastAsia="Times New Roman" w:hAnsi="Times New Roman"/>
          <w:b/>
          <w:sz w:val="26"/>
          <w:szCs w:val="26"/>
          <w:lang w:eastAsia="lv-LV"/>
        </w:rPr>
      </w:pPr>
    </w:p>
    <w:p w:rsidR="00F219A2" w:rsidP="00865185" w14:paraId="54BB03C9" w14:textId="258D1661">
      <w:pPr>
        <w:spacing w:after="0" w:line="240" w:lineRule="auto"/>
        <w:jc w:val="center"/>
        <w:rPr>
          <w:rFonts w:ascii="Times New Roman" w:eastAsia="Times New Roman" w:hAnsi="Times New Roman"/>
          <w:b/>
          <w:sz w:val="26"/>
          <w:szCs w:val="26"/>
          <w:lang w:eastAsia="lv-LV"/>
        </w:rPr>
      </w:pPr>
    </w:p>
    <w:tbl>
      <w:tblPr>
        <w:tblW w:w="5292" w:type="pct"/>
        <w:tblCellSpacing w:w="15" w:type="dxa"/>
        <w:tblInd w:w="-5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5"/>
        <w:gridCol w:w="6086"/>
      </w:tblGrid>
      <w:tr w14:paraId="7618292C" w14:textId="77777777" w:rsidTr="00F219A2">
        <w:tblPrEx>
          <w:tblW w:w="5292" w:type="pct"/>
          <w:tblCellSpacing w:w="15" w:type="dxa"/>
          <w:tblInd w:w="-5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69" w:type="pct"/>
            <w:gridSpan w:val="2"/>
            <w:tcBorders>
              <w:top w:val="outset" w:sz="6" w:space="0" w:color="auto"/>
              <w:left w:val="outset" w:sz="6" w:space="0" w:color="auto"/>
              <w:bottom w:val="outset" w:sz="6" w:space="0" w:color="auto"/>
              <w:right w:val="outset" w:sz="6" w:space="0" w:color="auto"/>
            </w:tcBorders>
            <w:vAlign w:val="center"/>
            <w:hideMark/>
          </w:tcPr>
          <w:p w:rsidR="00F219A2" w:rsidRPr="00F219A2" w:rsidP="00F219A2" w14:paraId="2BEE7556" w14:textId="77777777">
            <w:pPr>
              <w:spacing w:after="0" w:line="240" w:lineRule="auto"/>
              <w:rPr>
                <w:rFonts w:ascii="Times New Roman" w:eastAsia="Times New Roman" w:hAnsi="Times New Roman"/>
                <w:b/>
                <w:bCs/>
                <w:iCs/>
                <w:sz w:val="26"/>
                <w:szCs w:val="26"/>
                <w:lang w:eastAsia="lv-LV"/>
              </w:rPr>
            </w:pPr>
            <w:r w:rsidRPr="00F219A2">
              <w:rPr>
                <w:rFonts w:ascii="Times New Roman" w:eastAsia="Times New Roman" w:hAnsi="Times New Roman"/>
                <w:b/>
                <w:bCs/>
                <w:iCs/>
                <w:sz w:val="26"/>
                <w:szCs w:val="26"/>
                <w:lang w:eastAsia="lv-LV"/>
              </w:rPr>
              <w:t>Tiesību akta projekta anotācijas kopsavilkums</w:t>
            </w:r>
          </w:p>
        </w:tc>
      </w:tr>
      <w:tr w14:paraId="244D5150" w14:textId="77777777" w:rsidTr="00F219A2">
        <w:tblPrEx>
          <w:tblW w:w="5292" w:type="pct"/>
          <w:tblCellSpacing w:w="15" w:type="dxa"/>
          <w:tblInd w:w="-575" w:type="dxa"/>
          <w:tblCellMar>
            <w:top w:w="30" w:type="dxa"/>
            <w:left w:w="30" w:type="dxa"/>
            <w:bottom w:w="30" w:type="dxa"/>
            <w:right w:w="30" w:type="dxa"/>
          </w:tblCellMar>
          <w:tblLook w:val="04A0"/>
        </w:tblPrEx>
        <w:trPr>
          <w:trHeight w:val="2357"/>
          <w:tblCellSpacing w:w="15" w:type="dxa"/>
        </w:trPr>
        <w:tc>
          <w:tcPr>
            <w:tcW w:w="1871" w:type="pct"/>
            <w:tcBorders>
              <w:top w:val="outset" w:sz="6" w:space="0" w:color="auto"/>
              <w:left w:val="outset" w:sz="6" w:space="0" w:color="auto"/>
              <w:bottom w:val="outset" w:sz="6" w:space="0" w:color="auto"/>
              <w:right w:val="outset" w:sz="6" w:space="0" w:color="auto"/>
            </w:tcBorders>
            <w:hideMark/>
          </w:tcPr>
          <w:p w:rsidR="00F219A2" w:rsidRPr="00F219A2" w:rsidP="00F219A2" w14:paraId="17F08163" w14:textId="77777777">
            <w:pPr>
              <w:spacing w:after="0" w:line="240" w:lineRule="auto"/>
              <w:rPr>
                <w:rFonts w:ascii="Times New Roman" w:eastAsia="Times New Roman" w:hAnsi="Times New Roman"/>
                <w:iCs/>
                <w:sz w:val="26"/>
                <w:szCs w:val="26"/>
                <w:lang w:eastAsia="lv-LV"/>
              </w:rPr>
            </w:pPr>
            <w:r w:rsidRPr="00F219A2">
              <w:rPr>
                <w:rFonts w:ascii="Times New Roman" w:eastAsia="Times New Roman" w:hAnsi="Times New Roman"/>
                <w:iCs/>
                <w:sz w:val="26"/>
                <w:szCs w:val="26"/>
                <w:lang w:eastAsia="lv-LV"/>
              </w:rPr>
              <w:t>Mērķis, risinājums un projekta spēkā stāšanās laiks (500 zīmes bez atstarpēm)</w:t>
            </w:r>
          </w:p>
        </w:tc>
        <w:tc>
          <w:tcPr>
            <w:tcW w:w="3083" w:type="pct"/>
            <w:tcBorders>
              <w:top w:val="outset" w:sz="6" w:space="0" w:color="auto"/>
              <w:left w:val="outset" w:sz="6" w:space="0" w:color="auto"/>
              <w:bottom w:val="outset" w:sz="6" w:space="0" w:color="auto"/>
              <w:right w:val="outset" w:sz="6" w:space="0" w:color="auto"/>
            </w:tcBorders>
            <w:hideMark/>
          </w:tcPr>
          <w:p w:rsidR="00F219A2" w:rsidRPr="00F219A2" w:rsidP="00F219A2" w14:paraId="00A064F2" w14:textId="6C766722">
            <w:pPr>
              <w:spacing w:after="0" w:line="240" w:lineRule="auto"/>
              <w:jc w:val="both"/>
              <w:rPr>
                <w:rFonts w:ascii="Times New Roman" w:eastAsia="Times New Roman" w:hAnsi="Times New Roman"/>
                <w:iCs/>
                <w:sz w:val="26"/>
                <w:szCs w:val="26"/>
                <w:lang w:eastAsia="lv-LV"/>
              </w:rPr>
            </w:pPr>
            <w:r w:rsidRPr="00F219A2">
              <w:rPr>
                <w:rFonts w:ascii="Times New Roman" w:eastAsia="Times New Roman" w:hAnsi="Times New Roman"/>
                <w:iCs/>
                <w:sz w:val="26"/>
                <w:szCs w:val="26"/>
                <w:lang w:eastAsia="lv-LV"/>
              </w:rPr>
              <w:t xml:space="preserve">Tiesību akta projekts paredz precizēt </w:t>
            </w:r>
            <w:r w:rsidRPr="00F219A2">
              <w:rPr>
                <w:rFonts w:ascii="Times New Roman" w:eastAsia="Times New Roman" w:hAnsi="Times New Roman"/>
                <w:iCs/>
                <w:sz w:val="26"/>
                <w:szCs w:val="26"/>
                <w:lang w:eastAsia="lv-LV"/>
              </w:rPr>
              <w:t>kabineta 2009.gada 15.septembra noteikumos Nr.1065 „Noteikumi par aizdevumiem sīko (mikro), mazo un vidējo saimnieciskās darbības veicēju un lauksaimniecības pakalpojumu kooperatīvo sabiedrību attīstības veicināšanai” atbalsta saņēmēju loku, atbalstāmās nozares, investīciju aizdevumu nosacījumus, precizēt a</w:t>
            </w:r>
            <w:r w:rsidRPr="00F219A2">
              <w:rPr>
                <w:rFonts w:ascii="Times New Roman" w:eastAsia="Times New Roman" w:hAnsi="Times New Roman"/>
                <w:iCs/>
                <w:sz w:val="26"/>
                <w:szCs w:val="26"/>
                <w:lang w:eastAsia="lv-LV"/>
              </w:rPr>
              <w:t>tbalsta stimulējošā</w:t>
            </w:r>
            <w:r w:rsidRPr="00F219A2">
              <w:rPr>
                <w:rFonts w:ascii="Times New Roman" w:eastAsia="Times New Roman" w:hAnsi="Times New Roman"/>
                <w:iCs/>
                <w:sz w:val="26"/>
                <w:szCs w:val="26"/>
                <w:lang w:eastAsia="lv-LV"/>
              </w:rPr>
              <w:t>s</w:t>
            </w:r>
            <w:r w:rsidRPr="00F219A2">
              <w:rPr>
                <w:rFonts w:ascii="Times New Roman" w:eastAsia="Times New Roman" w:hAnsi="Times New Roman"/>
                <w:iCs/>
                <w:sz w:val="26"/>
                <w:szCs w:val="26"/>
                <w:lang w:eastAsia="lv-LV"/>
              </w:rPr>
              <w:t xml:space="preserve"> ietekme</w:t>
            </w:r>
            <w:r w:rsidRPr="00F219A2">
              <w:rPr>
                <w:rFonts w:ascii="Times New Roman" w:eastAsia="Times New Roman" w:hAnsi="Times New Roman"/>
                <w:iCs/>
                <w:sz w:val="26"/>
                <w:szCs w:val="26"/>
                <w:lang w:eastAsia="lv-LV"/>
              </w:rPr>
              <w:t>s nosacījumus, ai</w:t>
            </w:r>
            <w:r w:rsidRPr="00F219A2">
              <w:rPr>
                <w:rFonts w:ascii="Times New Roman" w:eastAsia="Times New Roman" w:hAnsi="Times New Roman"/>
                <w:iCs/>
                <w:sz w:val="26"/>
                <w:szCs w:val="26"/>
                <w:lang w:eastAsia="lv-LV"/>
              </w:rPr>
              <w:t>zdevuma nodrošinājuma prasības</w:t>
            </w:r>
            <w:r w:rsidRPr="00F219A2">
              <w:rPr>
                <w:rFonts w:ascii="Times New Roman" w:eastAsia="Times New Roman" w:hAnsi="Times New Roman"/>
                <w:iCs/>
                <w:sz w:val="26"/>
                <w:szCs w:val="26"/>
                <w:lang w:eastAsia="lv-LV"/>
              </w:rPr>
              <w:t xml:space="preserve">, kā arī garantijas apjomu. </w:t>
            </w:r>
          </w:p>
        </w:tc>
      </w:tr>
    </w:tbl>
    <w:p w:rsidR="00F219A2" w:rsidRPr="00F219A2" w:rsidP="00865185" w14:paraId="30A05158" w14:textId="115D6919">
      <w:pPr>
        <w:spacing w:after="0" w:line="240" w:lineRule="auto"/>
        <w:jc w:val="center"/>
        <w:rPr>
          <w:rFonts w:ascii="Times New Roman" w:eastAsia="Times New Roman" w:hAnsi="Times New Roman"/>
          <w:b/>
          <w:sz w:val="26"/>
          <w:szCs w:val="26"/>
          <w:lang w:val="de-DE" w:eastAsia="lv-LV"/>
        </w:rPr>
      </w:pPr>
    </w:p>
    <w:p w:rsidR="00F219A2" w:rsidRPr="000D6942" w:rsidP="00865185" w14:paraId="4795AC8A" w14:textId="77777777">
      <w:pPr>
        <w:spacing w:after="0" w:line="240" w:lineRule="auto"/>
        <w:jc w:val="center"/>
        <w:rPr>
          <w:rFonts w:ascii="Times New Roman" w:hAnsi="Times New Roman"/>
          <w:b/>
          <w:sz w:val="26"/>
          <w:szCs w:val="26"/>
        </w:rPr>
      </w:pPr>
    </w:p>
    <w:tbl>
      <w:tblPr>
        <w:tblW w:w="9781" w:type="dxa"/>
        <w:tblInd w:w="-537"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tblPr>
      <w:tblGrid>
        <w:gridCol w:w="3119"/>
        <w:gridCol w:w="6662"/>
      </w:tblGrid>
      <w:tr w14:paraId="7909CF83" w14:textId="77777777" w:rsidTr="005E4D67">
        <w:tblPrEx>
          <w:tblW w:w="9781" w:type="dxa"/>
          <w:tblInd w:w="-537"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tblPrEx>
        <w:tc>
          <w:tcPr>
            <w:tcW w:w="9781"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865185" w:rsidRPr="000D6942" w:rsidP="006D126F" w14:paraId="44C94932" w14:textId="77777777">
            <w:pPr>
              <w:spacing w:after="0" w:line="240" w:lineRule="auto"/>
              <w:jc w:val="center"/>
              <w:rPr>
                <w:rFonts w:ascii="Times New Roman" w:eastAsia="Times New Roman" w:hAnsi="Times New Roman"/>
                <w:b/>
                <w:sz w:val="26"/>
                <w:szCs w:val="26"/>
                <w:lang w:eastAsia="lv-LV"/>
              </w:rPr>
            </w:pPr>
            <w:r w:rsidRPr="000D6942">
              <w:rPr>
                <w:rFonts w:ascii="Times New Roman" w:eastAsia="Times New Roman" w:hAnsi="Times New Roman"/>
                <w:b/>
                <w:sz w:val="26"/>
                <w:szCs w:val="26"/>
                <w:lang w:eastAsia="lv-LV"/>
              </w:rPr>
              <w:t>I. Tiesību akta projekta izstrādes nepieciešamība</w:t>
            </w:r>
          </w:p>
        </w:tc>
      </w:tr>
      <w:tr w14:paraId="4A37AFDD" w14:textId="77777777" w:rsidTr="005E4D67">
        <w:tblPrEx>
          <w:tblW w:w="9781" w:type="dxa"/>
          <w:tblInd w:w="-537" w:type="dxa"/>
          <w:tblLayout w:type="fixed"/>
          <w:tblCellMar>
            <w:left w:w="0" w:type="dxa"/>
            <w:right w:w="0" w:type="dxa"/>
          </w:tblCellMar>
          <w:tblLook w:val="04A0"/>
        </w:tblPrEx>
        <w:tc>
          <w:tcPr>
            <w:tcW w:w="3119" w:type="dxa"/>
            <w:tcBorders>
              <w:top w:val="thickThinLargeGap" w:sz="6" w:space="0" w:color="C0C0C0"/>
              <w:left w:val="thickThinLargeGap" w:sz="6" w:space="0" w:color="C0C0C0"/>
              <w:bottom w:val="thickThinLargeGap" w:sz="6" w:space="0" w:color="C0C0C0"/>
              <w:right w:val="thickThinLargeGap" w:sz="6" w:space="0" w:color="C0C0C0"/>
            </w:tcBorders>
            <w:hideMark/>
          </w:tcPr>
          <w:p w:rsidR="00865185" w:rsidRPr="000D6942" w:rsidP="006D126F" w14:paraId="086AD851" w14:textId="77777777">
            <w:pPr>
              <w:spacing w:after="0" w:line="240" w:lineRule="auto"/>
              <w:rPr>
                <w:rFonts w:ascii="Times New Roman" w:eastAsia="Times New Roman" w:hAnsi="Times New Roman"/>
                <w:sz w:val="26"/>
                <w:szCs w:val="26"/>
                <w:lang w:eastAsia="lv-LV"/>
              </w:rPr>
            </w:pPr>
            <w:r w:rsidRPr="000D6942">
              <w:rPr>
                <w:rFonts w:ascii="Times New Roman" w:eastAsia="Times New Roman" w:hAnsi="Times New Roman"/>
                <w:sz w:val="26"/>
                <w:szCs w:val="26"/>
                <w:lang w:eastAsia="lv-LV"/>
              </w:rPr>
              <w:t>1. Pamatojums</w:t>
            </w:r>
          </w:p>
        </w:tc>
        <w:tc>
          <w:tcPr>
            <w:tcW w:w="6662" w:type="dxa"/>
            <w:tcBorders>
              <w:top w:val="thickThinLargeGap" w:sz="6" w:space="0" w:color="C0C0C0"/>
              <w:left w:val="thickThinLargeGap" w:sz="6" w:space="0" w:color="C0C0C0"/>
              <w:bottom w:val="thickThinLargeGap" w:sz="6" w:space="0" w:color="C0C0C0"/>
              <w:right w:val="thickThinLargeGap" w:sz="6" w:space="0" w:color="C0C0C0"/>
            </w:tcBorders>
            <w:hideMark/>
          </w:tcPr>
          <w:p w:rsidR="00616F47" w:rsidRPr="000D6942" w:rsidP="00957A2A" w14:paraId="05F95B7E" w14:textId="61D69C1F">
            <w:pPr>
              <w:spacing w:after="0" w:line="240" w:lineRule="auto"/>
              <w:jc w:val="both"/>
              <w:rPr>
                <w:rFonts w:ascii="Times New Roman" w:hAnsi="Times New Roman"/>
                <w:sz w:val="26"/>
                <w:szCs w:val="26"/>
              </w:rPr>
            </w:pPr>
            <w:r w:rsidRPr="000D6942">
              <w:rPr>
                <w:rFonts w:ascii="Times New Roman" w:hAnsi="Times New Roman"/>
                <w:sz w:val="26"/>
                <w:szCs w:val="26"/>
              </w:rPr>
              <w:t>Ministru kabineta noteikumu projekts „Grozījumi Ministru kabineta 2009.gada 15.septembra noteikumos Nr.1065 „Noteikumi par aizdevumiem sīko (mikro), mazo un vidējo saimnieciskās darbības veicēju un lauksaimniecības pakalpojumu kooperatīvo sabiedrību attīstības veicināšanai”” (turpmāk - Noteikumu projekts) sagatavots pamatojoties uz Attīstības finanšu institūcijas likuma 12.panta ceturto daļu.</w:t>
            </w:r>
          </w:p>
        </w:tc>
      </w:tr>
      <w:tr w14:paraId="477B994C" w14:textId="77777777" w:rsidTr="005E4D67">
        <w:tblPrEx>
          <w:tblW w:w="9781" w:type="dxa"/>
          <w:tblInd w:w="-537" w:type="dxa"/>
          <w:tblLayout w:type="fixed"/>
          <w:tblCellMar>
            <w:left w:w="0" w:type="dxa"/>
            <w:right w:w="0" w:type="dxa"/>
          </w:tblCellMar>
          <w:tblLook w:val="04A0"/>
        </w:tblPrEx>
        <w:trPr>
          <w:trHeight w:val="360"/>
        </w:trPr>
        <w:tc>
          <w:tcPr>
            <w:tcW w:w="3119" w:type="dxa"/>
            <w:tcBorders>
              <w:top w:val="thickThinLargeGap" w:sz="6" w:space="0" w:color="C0C0C0"/>
              <w:left w:val="thickThinLargeGap" w:sz="6" w:space="0" w:color="C0C0C0"/>
              <w:bottom w:val="thickThinLargeGap" w:sz="6" w:space="0" w:color="C0C0C0"/>
              <w:right w:val="thickThinLargeGap" w:sz="6" w:space="0" w:color="C0C0C0"/>
            </w:tcBorders>
            <w:hideMark/>
          </w:tcPr>
          <w:p w:rsidR="00865185" w:rsidRPr="000D6942" w:rsidP="006D126F" w14:paraId="556288E0" w14:textId="77777777">
            <w:pPr>
              <w:spacing w:after="0" w:line="240" w:lineRule="auto"/>
              <w:rPr>
                <w:rFonts w:ascii="Times New Roman" w:eastAsia="Times New Roman" w:hAnsi="Times New Roman"/>
                <w:sz w:val="26"/>
                <w:szCs w:val="26"/>
                <w:lang w:eastAsia="lv-LV"/>
              </w:rPr>
            </w:pPr>
            <w:r w:rsidRPr="000D6942">
              <w:rPr>
                <w:rFonts w:ascii="Times New Roman" w:eastAsia="Times New Roman" w:hAnsi="Times New Roman"/>
                <w:sz w:val="26"/>
                <w:szCs w:val="26"/>
                <w:lang w:eastAsia="lv-LV"/>
              </w:rPr>
              <w:t>2. Pašreizējā situācija un problēmas, kuru risināšanai tiesību akta projekts izstrādāts, tiesiskā regulējuma mērķis un būtība</w:t>
            </w:r>
          </w:p>
          <w:p w:rsidR="00865185" w:rsidRPr="000D6942" w:rsidP="006D126F" w14:paraId="4029E02D" w14:textId="77777777">
            <w:pPr>
              <w:rPr>
                <w:rFonts w:ascii="Times New Roman" w:eastAsia="Times New Roman" w:hAnsi="Times New Roman"/>
                <w:sz w:val="26"/>
                <w:szCs w:val="26"/>
                <w:lang w:eastAsia="lv-LV"/>
              </w:rPr>
            </w:pPr>
          </w:p>
          <w:p w:rsidR="00865185" w:rsidRPr="000D6942" w:rsidP="006D126F" w14:paraId="218A0048" w14:textId="77777777">
            <w:pPr>
              <w:rPr>
                <w:rFonts w:ascii="Times New Roman" w:eastAsia="Times New Roman" w:hAnsi="Times New Roman"/>
                <w:sz w:val="26"/>
                <w:szCs w:val="26"/>
                <w:lang w:eastAsia="lv-LV"/>
              </w:rPr>
            </w:pPr>
          </w:p>
          <w:p w:rsidR="00865185" w:rsidRPr="000D6942" w:rsidP="006D126F" w14:paraId="46398D24" w14:textId="77777777">
            <w:pPr>
              <w:rPr>
                <w:rFonts w:ascii="Times New Roman" w:eastAsia="Times New Roman" w:hAnsi="Times New Roman"/>
                <w:sz w:val="26"/>
                <w:szCs w:val="26"/>
                <w:lang w:eastAsia="lv-LV"/>
              </w:rPr>
            </w:pPr>
          </w:p>
          <w:p w:rsidR="00865185" w:rsidRPr="000D6942" w:rsidP="006D126F" w14:paraId="28E886C1" w14:textId="77777777">
            <w:pPr>
              <w:rPr>
                <w:rFonts w:ascii="Times New Roman" w:eastAsia="Times New Roman" w:hAnsi="Times New Roman"/>
                <w:sz w:val="26"/>
                <w:szCs w:val="26"/>
                <w:lang w:eastAsia="lv-LV"/>
              </w:rPr>
            </w:pPr>
          </w:p>
          <w:p w:rsidR="00865185" w:rsidRPr="000D6942" w:rsidP="006D126F" w14:paraId="7B866A6F" w14:textId="77777777">
            <w:pPr>
              <w:rPr>
                <w:rFonts w:ascii="Times New Roman" w:eastAsia="Times New Roman" w:hAnsi="Times New Roman"/>
                <w:sz w:val="26"/>
                <w:szCs w:val="26"/>
                <w:lang w:eastAsia="lv-LV"/>
              </w:rPr>
            </w:pPr>
          </w:p>
          <w:p w:rsidR="00865185" w:rsidRPr="000D6942" w:rsidP="006D126F" w14:paraId="6EAE19BC" w14:textId="77777777">
            <w:pPr>
              <w:rPr>
                <w:rFonts w:ascii="Times New Roman" w:eastAsia="Times New Roman" w:hAnsi="Times New Roman"/>
                <w:sz w:val="26"/>
                <w:szCs w:val="26"/>
                <w:lang w:eastAsia="lv-LV"/>
              </w:rPr>
            </w:pPr>
          </w:p>
          <w:p w:rsidR="00865185" w:rsidRPr="000D6942" w:rsidP="006D126F" w14:paraId="281E336A" w14:textId="77777777">
            <w:pPr>
              <w:rPr>
                <w:rFonts w:ascii="Times New Roman" w:eastAsia="Times New Roman" w:hAnsi="Times New Roman"/>
                <w:sz w:val="26"/>
                <w:szCs w:val="26"/>
                <w:lang w:eastAsia="lv-LV"/>
              </w:rPr>
            </w:pPr>
          </w:p>
          <w:p w:rsidR="00865185" w:rsidRPr="000D6942" w:rsidP="006D126F" w14:paraId="29A73590" w14:textId="77777777">
            <w:pPr>
              <w:rPr>
                <w:rFonts w:ascii="Times New Roman" w:eastAsia="Times New Roman" w:hAnsi="Times New Roman"/>
                <w:sz w:val="26"/>
                <w:szCs w:val="26"/>
                <w:lang w:eastAsia="lv-LV"/>
              </w:rPr>
            </w:pPr>
          </w:p>
          <w:p w:rsidR="00865185" w:rsidRPr="000D6942" w:rsidP="006D126F" w14:paraId="0EBE96CE" w14:textId="77777777">
            <w:pPr>
              <w:rPr>
                <w:rFonts w:ascii="Times New Roman" w:eastAsia="Times New Roman" w:hAnsi="Times New Roman"/>
                <w:sz w:val="26"/>
                <w:szCs w:val="26"/>
                <w:lang w:eastAsia="lv-LV"/>
              </w:rPr>
            </w:pPr>
          </w:p>
          <w:p w:rsidR="00865185" w:rsidRPr="000D6942" w:rsidP="006D126F" w14:paraId="40AC06DF" w14:textId="77777777">
            <w:pPr>
              <w:jc w:val="center"/>
              <w:rPr>
                <w:rFonts w:ascii="Times New Roman" w:eastAsia="Times New Roman" w:hAnsi="Times New Roman"/>
                <w:sz w:val="26"/>
                <w:szCs w:val="26"/>
                <w:lang w:eastAsia="lv-LV"/>
              </w:rPr>
            </w:pPr>
          </w:p>
        </w:tc>
        <w:tc>
          <w:tcPr>
            <w:tcW w:w="6662" w:type="dxa"/>
            <w:tcBorders>
              <w:top w:val="thickThinLargeGap" w:sz="6" w:space="0" w:color="C0C0C0"/>
              <w:left w:val="thickThinLargeGap" w:sz="6" w:space="0" w:color="C0C0C0"/>
              <w:bottom w:val="thickThinLargeGap" w:sz="6" w:space="0" w:color="C0C0C0"/>
              <w:right w:val="thickThinLargeGap" w:sz="6" w:space="0" w:color="C0C0C0"/>
            </w:tcBorders>
            <w:hideMark/>
          </w:tcPr>
          <w:p w:rsidR="00865185" w:rsidP="00957A2A" w14:paraId="7465B66A" w14:textId="71CDA9D1">
            <w:pPr>
              <w:spacing w:after="0" w:line="240" w:lineRule="auto"/>
              <w:ind w:left="81"/>
              <w:jc w:val="both"/>
              <w:rPr>
                <w:rFonts w:ascii="Times New Roman" w:eastAsia="Times New Roman" w:hAnsi="Times New Roman"/>
                <w:bCs/>
                <w:sz w:val="26"/>
                <w:szCs w:val="26"/>
              </w:rPr>
            </w:pPr>
            <w:r w:rsidRPr="000D6942">
              <w:rPr>
                <w:rFonts w:ascii="Times New Roman" w:eastAsia="Times New Roman" w:hAnsi="Times New Roman"/>
                <w:bCs/>
                <w:sz w:val="26"/>
                <w:szCs w:val="26"/>
              </w:rPr>
              <w:t>Noteikumu projekts paredz šādas izmaiņas Ministru kabineta 2009. gada 15. septembra noteikumos Nr. 1065 „Noteikumi par aizdevumiem sīko (mikro), mazo un vidējo saimnieciskās darbības veicēju un lauksaimniecības pakalpojumu kooperatīvo sabiedrību attīstības veicināšanai” (turpmāk – MK noteikumi Nr. 1065):</w:t>
            </w:r>
          </w:p>
          <w:p w:rsidR="00825D40" w:rsidP="00865185" w14:paraId="79F8AAD6" w14:textId="53BED3F2">
            <w:pPr>
              <w:spacing w:after="0" w:line="240" w:lineRule="auto"/>
              <w:ind w:left="81" w:firstLine="284"/>
              <w:jc w:val="both"/>
              <w:rPr>
                <w:rFonts w:ascii="Times New Roman" w:eastAsia="Times New Roman" w:hAnsi="Times New Roman"/>
                <w:bCs/>
                <w:sz w:val="26"/>
                <w:szCs w:val="26"/>
              </w:rPr>
            </w:pPr>
          </w:p>
          <w:p w:rsidR="00BD6B78" w:rsidRPr="00041096" w:rsidP="00BD6B78" w14:paraId="17A396A3" w14:textId="534BBB74">
            <w:pPr>
              <w:pStyle w:val="ListParagraph"/>
              <w:numPr>
                <w:ilvl w:val="0"/>
                <w:numId w:val="10"/>
              </w:numPr>
              <w:spacing w:after="0" w:line="240" w:lineRule="auto"/>
              <w:jc w:val="both"/>
              <w:rPr>
                <w:rFonts w:ascii="Times New Roman" w:eastAsia="Times New Roman" w:hAnsi="Times New Roman"/>
                <w:b/>
                <w:bCs/>
                <w:i/>
                <w:sz w:val="26"/>
                <w:szCs w:val="26"/>
                <w:u w:val="single"/>
              </w:rPr>
            </w:pPr>
            <w:r w:rsidRPr="00041096">
              <w:rPr>
                <w:rFonts w:ascii="Times New Roman" w:eastAsia="Times New Roman" w:hAnsi="Times New Roman"/>
                <w:b/>
                <w:bCs/>
                <w:i/>
                <w:sz w:val="26"/>
                <w:szCs w:val="26"/>
                <w:u w:val="single"/>
                <w:lang w:val="lv-LV"/>
              </w:rPr>
              <w:t>A</w:t>
            </w:r>
            <w:r w:rsidRPr="00041096">
              <w:rPr>
                <w:rFonts w:ascii="Times New Roman" w:eastAsia="Times New Roman" w:hAnsi="Times New Roman"/>
                <w:b/>
                <w:bCs/>
                <w:i/>
                <w:sz w:val="26"/>
                <w:szCs w:val="26"/>
                <w:u w:val="single"/>
                <w:lang w:val="lv-LV"/>
              </w:rPr>
              <w:t>izdevumu saņēmēju loks</w:t>
            </w:r>
          </w:p>
          <w:p w:rsidR="00BD6B78" w:rsidRPr="009F6769" w:rsidP="00BD6B78" w14:paraId="0C34852B" w14:textId="643D8821">
            <w:pPr>
              <w:spacing w:after="0" w:line="240" w:lineRule="auto"/>
              <w:jc w:val="both"/>
              <w:rPr>
                <w:rFonts w:ascii="Times New Roman" w:eastAsia="Times New Roman" w:hAnsi="Times New Roman"/>
                <w:bCs/>
                <w:sz w:val="26"/>
                <w:szCs w:val="26"/>
              </w:rPr>
            </w:pPr>
            <w:r w:rsidRPr="009F6769">
              <w:rPr>
                <w:rFonts w:ascii="Times New Roman" w:eastAsia="Times New Roman" w:hAnsi="Times New Roman"/>
                <w:bCs/>
                <w:sz w:val="26"/>
                <w:szCs w:val="26"/>
              </w:rPr>
              <w:t>MK noteikum</w:t>
            </w:r>
            <w:r w:rsidR="009F6769">
              <w:rPr>
                <w:rFonts w:ascii="Times New Roman" w:eastAsia="Times New Roman" w:hAnsi="Times New Roman"/>
                <w:bCs/>
                <w:sz w:val="26"/>
                <w:szCs w:val="26"/>
              </w:rPr>
              <w:t xml:space="preserve">i </w:t>
            </w:r>
            <w:r w:rsidR="00907D09">
              <w:rPr>
                <w:rFonts w:ascii="Times New Roman" w:eastAsia="Times New Roman" w:hAnsi="Times New Roman"/>
                <w:bCs/>
                <w:sz w:val="26"/>
                <w:szCs w:val="26"/>
              </w:rPr>
              <w:t>N</w:t>
            </w:r>
            <w:r w:rsidR="009F6769">
              <w:rPr>
                <w:rFonts w:ascii="Times New Roman" w:eastAsia="Times New Roman" w:hAnsi="Times New Roman"/>
                <w:bCs/>
                <w:sz w:val="26"/>
                <w:szCs w:val="26"/>
              </w:rPr>
              <w:t xml:space="preserve">r.1065 paredz aizdevumu piešķiršanu saimnieciskās darbības veicējiem, </w:t>
            </w:r>
            <w:r w:rsidR="00570ACC">
              <w:rPr>
                <w:rFonts w:ascii="Times New Roman" w:eastAsia="Times New Roman" w:hAnsi="Times New Roman"/>
                <w:bCs/>
                <w:sz w:val="26"/>
                <w:szCs w:val="26"/>
              </w:rPr>
              <w:t>kur saimnieciskās darbības veicēju atbilstība ir noteikta saskaņā ar</w:t>
            </w:r>
            <w:r w:rsidR="009F6769">
              <w:rPr>
                <w:rFonts w:ascii="Times New Roman" w:eastAsia="Times New Roman" w:hAnsi="Times New Roman"/>
                <w:bCs/>
                <w:sz w:val="26"/>
                <w:szCs w:val="26"/>
              </w:rPr>
              <w:t xml:space="preserve"> </w:t>
            </w:r>
            <w:r w:rsidR="00570ACC">
              <w:rPr>
                <w:rFonts w:ascii="Times New Roman" w:eastAsia="Times New Roman" w:hAnsi="Times New Roman"/>
                <w:bCs/>
                <w:sz w:val="26"/>
                <w:szCs w:val="26"/>
              </w:rPr>
              <w:t>Komisijas r</w:t>
            </w:r>
            <w:r w:rsidR="009F6769">
              <w:rPr>
                <w:rFonts w:ascii="Times New Roman" w:eastAsia="Times New Roman" w:hAnsi="Times New Roman"/>
                <w:bCs/>
                <w:sz w:val="26"/>
                <w:szCs w:val="26"/>
              </w:rPr>
              <w:t xml:space="preserve">egulas </w:t>
            </w:r>
            <w:r w:rsidR="00907D09">
              <w:rPr>
                <w:rFonts w:ascii="Times New Roman" w:eastAsia="Times New Roman" w:hAnsi="Times New Roman"/>
                <w:bCs/>
                <w:sz w:val="26"/>
                <w:szCs w:val="26"/>
              </w:rPr>
              <w:t>N</w:t>
            </w:r>
            <w:r w:rsidR="009F6769">
              <w:rPr>
                <w:rFonts w:ascii="Times New Roman" w:eastAsia="Times New Roman" w:hAnsi="Times New Roman"/>
                <w:bCs/>
                <w:sz w:val="26"/>
                <w:szCs w:val="26"/>
              </w:rPr>
              <w:t xml:space="preserve">r.651/2014, </w:t>
            </w:r>
            <w:r w:rsidRPr="009F6769">
              <w:rPr>
                <w:rFonts w:ascii="Times New Roman" w:eastAsia="Times New Roman" w:hAnsi="Times New Roman"/>
                <w:bCs/>
                <w:sz w:val="26"/>
                <w:szCs w:val="26"/>
              </w:rPr>
              <w:t xml:space="preserve"> </w:t>
            </w:r>
            <w:r w:rsidR="00570ACC">
              <w:rPr>
                <w:rFonts w:ascii="Times New Roman" w:eastAsia="Times New Roman" w:hAnsi="Times New Roman"/>
                <w:bCs/>
                <w:sz w:val="26"/>
                <w:szCs w:val="26"/>
              </w:rPr>
              <w:t>Komisijas r</w:t>
            </w:r>
            <w:r w:rsidR="009F6769">
              <w:rPr>
                <w:rFonts w:ascii="Times New Roman" w:eastAsia="Times New Roman" w:hAnsi="Times New Roman"/>
                <w:bCs/>
                <w:sz w:val="26"/>
                <w:szCs w:val="26"/>
              </w:rPr>
              <w:t xml:space="preserve">egulas </w:t>
            </w:r>
            <w:r w:rsidR="00907D09">
              <w:rPr>
                <w:rFonts w:ascii="Times New Roman" w:eastAsia="Times New Roman" w:hAnsi="Times New Roman"/>
                <w:bCs/>
                <w:sz w:val="26"/>
                <w:szCs w:val="26"/>
              </w:rPr>
              <w:t>N</w:t>
            </w:r>
            <w:r w:rsidR="009F6769">
              <w:rPr>
                <w:rFonts w:ascii="Times New Roman" w:eastAsia="Times New Roman" w:hAnsi="Times New Roman"/>
                <w:bCs/>
                <w:sz w:val="26"/>
                <w:szCs w:val="26"/>
              </w:rPr>
              <w:t xml:space="preserve">r.702/2017 un </w:t>
            </w:r>
            <w:r w:rsidR="00570ACC">
              <w:rPr>
                <w:rFonts w:ascii="Times New Roman" w:eastAsia="Times New Roman" w:hAnsi="Times New Roman"/>
                <w:bCs/>
                <w:sz w:val="26"/>
                <w:szCs w:val="26"/>
              </w:rPr>
              <w:t>Komisijas r</w:t>
            </w:r>
            <w:r w:rsidR="009F6769">
              <w:rPr>
                <w:rFonts w:ascii="Times New Roman" w:eastAsia="Times New Roman" w:hAnsi="Times New Roman"/>
                <w:bCs/>
                <w:sz w:val="26"/>
                <w:szCs w:val="26"/>
              </w:rPr>
              <w:t xml:space="preserve">egulas </w:t>
            </w:r>
            <w:r w:rsidR="00907D09">
              <w:rPr>
                <w:rFonts w:ascii="Times New Roman" w:eastAsia="Times New Roman" w:hAnsi="Times New Roman"/>
                <w:bCs/>
                <w:sz w:val="26"/>
                <w:szCs w:val="26"/>
              </w:rPr>
              <w:t>N</w:t>
            </w:r>
            <w:r w:rsidR="009F6769">
              <w:rPr>
                <w:rFonts w:ascii="Times New Roman" w:eastAsia="Times New Roman" w:hAnsi="Times New Roman"/>
                <w:bCs/>
                <w:sz w:val="26"/>
                <w:szCs w:val="26"/>
              </w:rPr>
              <w:t>r.</w:t>
            </w:r>
            <w:r w:rsidRPr="009F6769" w:rsidR="009F6769">
              <w:rPr>
                <w:rFonts w:ascii="Times New Roman" w:eastAsia="Times New Roman" w:hAnsi="Times New Roman"/>
                <w:bCs/>
                <w:sz w:val="26"/>
                <w:szCs w:val="26"/>
              </w:rPr>
              <w:t>1379/2013</w:t>
            </w:r>
            <w:r w:rsidR="009F6769">
              <w:rPr>
                <w:rFonts w:ascii="Times New Roman" w:eastAsia="Times New Roman" w:hAnsi="Times New Roman"/>
                <w:bCs/>
                <w:sz w:val="26"/>
                <w:szCs w:val="26"/>
              </w:rPr>
              <w:t xml:space="preserve"> nosacījum</w:t>
            </w:r>
            <w:r w:rsidR="00570ACC">
              <w:rPr>
                <w:rFonts w:ascii="Times New Roman" w:eastAsia="Times New Roman" w:hAnsi="Times New Roman"/>
                <w:bCs/>
                <w:sz w:val="26"/>
                <w:szCs w:val="26"/>
              </w:rPr>
              <w:t>iem</w:t>
            </w:r>
            <w:r w:rsidR="009F6769">
              <w:rPr>
                <w:rFonts w:ascii="Times New Roman" w:eastAsia="Times New Roman" w:hAnsi="Times New Roman"/>
                <w:bCs/>
                <w:sz w:val="26"/>
                <w:szCs w:val="26"/>
              </w:rPr>
              <w:t xml:space="preserve">. Minētas regulas paredz aizdevumu piešķiršanu visiem saimnieciskās darbības veidiem, </w:t>
            </w:r>
            <w:r w:rsidR="00570ACC">
              <w:rPr>
                <w:rFonts w:ascii="Times New Roman" w:eastAsia="Times New Roman" w:hAnsi="Times New Roman"/>
                <w:bCs/>
                <w:sz w:val="26"/>
                <w:szCs w:val="26"/>
              </w:rPr>
              <w:t>bet</w:t>
            </w:r>
            <w:r w:rsidR="009F6769">
              <w:rPr>
                <w:rFonts w:ascii="Times New Roman" w:eastAsia="Times New Roman" w:hAnsi="Times New Roman"/>
                <w:bCs/>
                <w:sz w:val="26"/>
                <w:szCs w:val="26"/>
              </w:rPr>
              <w:t xml:space="preserve"> MK noteikumu </w:t>
            </w:r>
            <w:r w:rsidR="00907D09">
              <w:rPr>
                <w:rFonts w:ascii="Times New Roman" w:eastAsia="Times New Roman" w:hAnsi="Times New Roman"/>
                <w:bCs/>
                <w:sz w:val="26"/>
                <w:szCs w:val="26"/>
              </w:rPr>
              <w:t>N</w:t>
            </w:r>
            <w:r w:rsidR="009F6769">
              <w:rPr>
                <w:rFonts w:ascii="Times New Roman" w:eastAsia="Times New Roman" w:hAnsi="Times New Roman"/>
                <w:bCs/>
                <w:sz w:val="26"/>
                <w:szCs w:val="26"/>
              </w:rPr>
              <w:t>r.1065 1.punkts, 7.3. un 7.4.</w:t>
            </w:r>
            <w:r w:rsidR="00907D09">
              <w:rPr>
                <w:rFonts w:ascii="Times New Roman" w:eastAsia="Times New Roman" w:hAnsi="Times New Roman"/>
                <w:bCs/>
                <w:sz w:val="26"/>
                <w:szCs w:val="26"/>
              </w:rPr>
              <w:t>apakšpunkts</w:t>
            </w:r>
            <w:r w:rsidR="009F6769">
              <w:rPr>
                <w:rFonts w:ascii="Times New Roman" w:eastAsia="Times New Roman" w:hAnsi="Times New Roman"/>
                <w:bCs/>
                <w:sz w:val="26"/>
                <w:szCs w:val="26"/>
              </w:rPr>
              <w:t xml:space="preserve"> ierobežo aizdevumu saņēmēju loku atbilstoši to uzņēmējdarbības formai (uzskaitījums </w:t>
            </w:r>
            <w:r w:rsidR="00135AC3">
              <w:rPr>
                <w:rFonts w:ascii="Times New Roman" w:eastAsia="Times New Roman" w:hAnsi="Times New Roman"/>
                <w:bCs/>
                <w:sz w:val="26"/>
                <w:szCs w:val="26"/>
              </w:rPr>
              <w:t xml:space="preserve">punktu </w:t>
            </w:r>
            <w:r w:rsidR="009F6769">
              <w:rPr>
                <w:rFonts w:ascii="Times New Roman" w:eastAsia="Times New Roman" w:hAnsi="Times New Roman"/>
                <w:bCs/>
                <w:sz w:val="26"/>
                <w:szCs w:val="26"/>
              </w:rPr>
              <w:t xml:space="preserve">iekavās). Lai </w:t>
            </w:r>
            <w:r w:rsidR="009F6769">
              <w:rPr>
                <w:rFonts w:ascii="Times New Roman" w:eastAsia="Times New Roman" w:hAnsi="Times New Roman"/>
                <w:bCs/>
                <w:sz w:val="26"/>
                <w:szCs w:val="26"/>
              </w:rPr>
              <w:t xml:space="preserve">neierobežoto aizdevumu pretendentu loku atbilstoši </w:t>
            </w:r>
            <w:r w:rsidR="00570ACC">
              <w:rPr>
                <w:rFonts w:ascii="Times New Roman" w:eastAsia="Times New Roman" w:hAnsi="Times New Roman"/>
                <w:bCs/>
                <w:sz w:val="26"/>
                <w:szCs w:val="26"/>
              </w:rPr>
              <w:t>to uzņēmēj</w:t>
            </w:r>
            <w:r w:rsidR="009F6769">
              <w:rPr>
                <w:rFonts w:ascii="Times New Roman" w:eastAsia="Times New Roman" w:hAnsi="Times New Roman"/>
                <w:bCs/>
                <w:sz w:val="26"/>
                <w:szCs w:val="26"/>
              </w:rPr>
              <w:t>darbība</w:t>
            </w:r>
            <w:r w:rsidR="00570ACC">
              <w:rPr>
                <w:rFonts w:ascii="Times New Roman" w:eastAsia="Times New Roman" w:hAnsi="Times New Roman"/>
                <w:bCs/>
                <w:sz w:val="26"/>
                <w:szCs w:val="26"/>
              </w:rPr>
              <w:t>s</w:t>
            </w:r>
            <w:r w:rsidR="009F6769">
              <w:rPr>
                <w:rFonts w:ascii="Times New Roman" w:eastAsia="Times New Roman" w:hAnsi="Times New Roman"/>
                <w:bCs/>
                <w:sz w:val="26"/>
                <w:szCs w:val="26"/>
              </w:rPr>
              <w:t xml:space="preserve"> formai, precizēt</w:t>
            </w:r>
            <w:r w:rsidR="00570ACC">
              <w:rPr>
                <w:rFonts w:ascii="Times New Roman" w:eastAsia="Times New Roman" w:hAnsi="Times New Roman"/>
                <w:bCs/>
                <w:sz w:val="26"/>
                <w:szCs w:val="26"/>
              </w:rPr>
              <w:t xml:space="preserve">as atbilstības definīcijas </w:t>
            </w:r>
            <w:r w:rsidR="009F6769">
              <w:rPr>
                <w:rFonts w:ascii="Times New Roman" w:eastAsia="Times New Roman" w:hAnsi="Times New Roman"/>
                <w:bCs/>
                <w:sz w:val="26"/>
                <w:szCs w:val="26"/>
              </w:rPr>
              <w:t xml:space="preserve">MK noteikumu </w:t>
            </w:r>
            <w:r w:rsidR="00907D09">
              <w:rPr>
                <w:rFonts w:ascii="Times New Roman" w:eastAsia="Times New Roman" w:hAnsi="Times New Roman"/>
                <w:bCs/>
                <w:sz w:val="26"/>
                <w:szCs w:val="26"/>
              </w:rPr>
              <w:t>N</w:t>
            </w:r>
            <w:r w:rsidR="009F6769">
              <w:rPr>
                <w:rFonts w:ascii="Times New Roman" w:eastAsia="Times New Roman" w:hAnsi="Times New Roman"/>
                <w:bCs/>
                <w:sz w:val="26"/>
                <w:szCs w:val="26"/>
              </w:rPr>
              <w:t>r.1065 1.</w:t>
            </w:r>
            <w:r w:rsidR="00907D09">
              <w:rPr>
                <w:rFonts w:ascii="Times New Roman" w:eastAsia="Times New Roman" w:hAnsi="Times New Roman"/>
                <w:bCs/>
                <w:sz w:val="26"/>
                <w:szCs w:val="26"/>
              </w:rPr>
              <w:t>punktā</w:t>
            </w:r>
            <w:r w:rsidR="009F6769">
              <w:rPr>
                <w:rFonts w:ascii="Times New Roman" w:eastAsia="Times New Roman" w:hAnsi="Times New Roman"/>
                <w:bCs/>
                <w:sz w:val="26"/>
                <w:szCs w:val="26"/>
              </w:rPr>
              <w:t>, 7.3. un 7.4.</w:t>
            </w:r>
            <w:r w:rsidR="00907D09">
              <w:rPr>
                <w:rFonts w:ascii="Times New Roman" w:eastAsia="Times New Roman" w:hAnsi="Times New Roman"/>
                <w:bCs/>
                <w:sz w:val="26"/>
                <w:szCs w:val="26"/>
              </w:rPr>
              <w:t>apakš</w:t>
            </w:r>
            <w:r w:rsidR="009F6769">
              <w:rPr>
                <w:rFonts w:ascii="Times New Roman" w:eastAsia="Times New Roman" w:hAnsi="Times New Roman"/>
                <w:bCs/>
                <w:sz w:val="26"/>
                <w:szCs w:val="26"/>
              </w:rPr>
              <w:t>punktā.</w:t>
            </w:r>
          </w:p>
          <w:p w:rsidR="009F6769" w:rsidRPr="00BD6B78" w:rsidP="00BD6B78" w14:paraId="7A97C609" w14:textId="77777777">
            <w:pPr>
              <w:spacing w:after="0" w:line="240" w:lineRule="auto"/>
              <w:jc w:val="both"/>
              <w:rPr>
                <w:rFonts w:ascii="Times New Roman" w:eastAsia="Times New Roman" w:hAnsi="Times New Roman"/>
                <w:b/>
                <w:bCs/>
                <w:i/>
                <w:sz w:val="26"/>
                <w:szCs w:val="26"/>
              </w:rPr>
            </w:pPr>
          </w:p>
          <w:p w:rsidR="00825D40" w:rsidRPr="00BD6B78" w:rsidP="00BD6B78" w14:paraId="5AD5BCA9" w14:textId="279C53E7">
            <w:pPr>
              <w:pStyle w:val="ListParagraph"/>
              <w:numPr>
                <w:ilvl w:val="0"/>
                <w:numId w:val="10"/>
              </w:numPr>
              <w:spacing w:after="0" w:line="240" w:lineRule="auto"/>
              <w:jc w:val="both"/>
              <w:rPr>
                <w:rFonts w:ascii="Times New Roman" w:eastAsia="Times New Roman" w:hAnsi="Times New Roman"/>
                <w:b/>
                <w:bCs/>
                <w:i/>
                <w:sz w:val="26"/>
                <w:szCs w:val="26"/>
              </w:rPr>
            </w:pPr>
            <w:r>
              <w:rPr>
                <w:rFonts w:ascii="Times New Roman" w:eastAsia="Times New Roman" w:hAnsi="Times New Roman"/>
                <w:b/>
                <w:bCs/>
                <w:i/>
                <w:sz w:val="26"/>
                <w:szCs w:val="26"/>
                <w:u w:val="single"/>
                <w:lang w:val="lv-LV"/>
              </w:rPr>
              <w:t xml:space="preserve">Finanšu </w:t>
            </w:r>
            <w:r w:rsidR="00135AC3">
              <w:rPr>
                <w:rFonts w:ascii="Times New Roman" w:eastAsia="Times New Roman" w:hAnsi="Times New Roman"/>
                <w:b/>
                <w:bCs/>
                <w:i/>
                <w:sz w:val="26"/>
                <w:szCs w:val="26"/>
                <w:u w:val="single"/>
                <w:lang w:val="lv-LV"/>
              </w:rPr>
              <w:t>grūtīb</w:t>
            </w:r>
            <w:r>
              <w:rPr>
                <w:rFonts w:ascii="Times New Roman" w:eastAsia="Times New Roman" w:hAnsi="Times New Roman"/>
                <w:b/>
                <w:bCs/>
                <w:i/>
                <w:sz w:val="26"/>
                <w:szCs w:val="26"/>
                <w:u w:val="single"/>
                <w:lang w:val="lv-LV"/>
              </w:rPr>
              <w:t>u kritēriji</w:t>
            </w:r>
          </w:p>
          <w:p w:rsidR="00990C5E" w:rsidRPr="000D6942" w:rsidP="00957A2A" w14:paraId="35654A59" w14:textId="0E7AF1F6">
            <w:pPr>
              <w:spacing w:after="0" w:line="240" w:lineRule="auto"/>
              <w:ind w:left="81"/>
              <w:jc w:val="both"/>
              <w:rPr>
                <w:rFonts w:ascii="Times New Roman" w:eastAsia="Times New Roman" w:hAnsi="Times New Roman"/>
                <w:bCs/>
                <w:sz w:val="26"/>
                <w:szCs w:val="26"/>
              </w:rPr>
            </w:pPr>
            <w:r>
              <w:rPr>
                <w:rFonts w:ascii="Times New Roman" w:eastAsia="Times New Roman" w:hAnsi="Times New Roman"/>
                <w:bCs/>
                <w:sz w:val="26"/>
                <w:szCs w:val="26"/>
              </w:rPr>
              <w:t>Noteikumu projekta ir i</w:t>
            </w:r>
            <w:r w:rsidR="00135AC3">
              <w:rPr>
                <w:rFonts w:ascii="Times New Roman" w:eastAsia="Times New Roman" w:hAnsi="Times New Roman"/>
                <w:bCs/>
                <w:sz w:val="26"/>
                <w:szCs w:val="26"/>
              </w:rPr>
              <w:t xml:space="preserve">ekļauts </w:t>
            </w:r>
            <w:r>
              <w:rPr>
                <w:rFonts w:ascii="Times New Roman" w:eastAsia="Times New Roman" w:hAnsi="Times New Roman"/>
                <w:bCs/>
                <w:sz w:val="26"/>
                <w:szCs w:val="26"/>
              </w:rPr>
              <w:t>jaun</w:t>
            </w:r>
            <w:r w:rsidR="00135AC3">
              <w:rPr>
                <w:rFonts w:ascii="Times New Roman" w:eastAsia="Times New Roman" w:hAnsi="Times New Roman"/>
                <w:bCs/>
                <w:sz w:val="26"/>
                <w:szCs w:val="26"/>
              </w:rPr>
              <w:t>s</w:t>
            </w:r>
            <w:r>
              <w:rPr>
                <w:rFonts w:ascii="Times New Roman" w:eastAsia="Times New Roman" w:hAnsi="Times New Roman"/>
                <w:bCs/>
                <w:sz w:val="26"/>
                <w:szCs w:val="26"/>
              </w:rPr>
              <w:t xml:space="preserve"> 10.5.apakšpunkt</w:t>
            </w:r>
            <w:r w:rsidR="00135AC3">
              <w:rPr>
                <w:rFonts w:ascii="Times New Roman" w:eastAsia="Times New Roman" w:hAnsi="Times New Roman"/>
                <w:bCs/>
                <w:sz w:val="26"/>
                <w:szCs w:val="26"/>
              </w:rPr>
              <w:t>s</w:t>
            </w:r>
            <w:r>
              <w:rPr>
                <w:rFonts w:ascii="Times New Roman" w:eastAsia="Times New Roman" w:hAnsi="Times New Roman"/>
                <w:bCs/>
                <w:sz w:val="26"/>
                <w:szCs w:val="26"/>
              </w:rPr>
              <w:t xml:space="preserve">, lai nodrošinātu </w:t>
            </w:r>
            <w:r w:rsidRPr="00990C5E">
              <w:rPr>
                <w:rFonts w:ascii="Times New Roman" w:eastAsia="Times New Roman" w:hAnsi="Times New Roman"/>
                <w:bCs/>
                <w:sz w:val="26"/>
                <w:szCs w:val="26"/>
              </w:rPr>
              <w:t xml:space="preserve">Komisijas </w:t>
            </w:r>
            <w:r>
              <w:rPr>
                <w:rFonts w:ascii="Times New Roman" w:eastAsia="Times New Roman" w:hAnsi="Times New Roman"/>
                <w:bCs/>
                <w:sz w:val="26"/>
                <w:szCs w:val="26"/>
              </w:rPr>
              <w:t>regulas</w:t>
            </w:r>
            <w:r w:rsidRPr="00990C5E">
              <w:rPr>
                <w:rFonts w:ascii="Times New Roman" w:eastAsia="Times New Roman" w:hAnsi="Times New Roman"/>
                <w:bCs/>
                <w:sz w:val="26"/>
                <w:szCs w:val="26"/>
              </w:rPr>
              <w:t xml:space="preserve"> Nr.1407/2013 </w:t>
            </w:r>
            <w:r>
              <w:rPr>
                <w:rFonts w:ascii="Times New Roman" w:eastAsia="Times New Roman" w:hAnsi="Times New Roman"/>
                <w:bCs/>
                <w:sz w:val="26"/>
                <w:szCs w:val="26"/>
              </w:rPr>
              <w:t>4.panta 3.punkta a) apakšpunkta ievērošanu attiecībā uz MK noteikumu Nr.1065 30.</w:t>
            </w:r>
            <w:r w:rsidR="0086279B">
              <w:rPr>
                <w:rFonts w:ascii="Times New Roman" w:eastAsia="Times New Roman" w:hAnsi="Times New Roman"/>
                <w:bCs/>
                <w:sz w:val="26"/>
                <w:szCs w:val="26"/>
                <w:vertAlign w:val="superscript"/>
              </w:rPr>
              <w:t>²</w:t>
            </w:r>
            <w:r>
              <w:rPr>
                <w:rFonts w:ascii="Times New Roman" w:eastAsia="Times New Roman" w:hAnsi="Times New Roman"/>
                <w:bCs/>
                <w:sz w:val="26"/>
                <w:szCs w:val="26"/>
              </w:rPr>
              <w:t xml:space="preserve"> punktā minētā aizdevuma izsniegšanu</w:t>
            </w:r>
            <w:r w:rsidR="00155AA9">
              <w:rPr>
                <w:rFonts w:ascii="Times New Roman" w:eastAsia="Times New Roman" w:hAnsi="Times New Roman"/>
                <w:bCs/>
                <w:sz w:val="26"/>
                <w:szCs w:val="26"/>
              </w:rPr>
              <w:t>, kā arī tiek precizēts 10.3.</w:t>
            </w:r>
            <w:r w:rsidR="00907D09">
              <w:rPr>
                <w:rFonts w:ascii="Times New Roman" w:eastAsia="Times New Roman" w:hAnsi="Times New Roman"/>
                <w:bCs/>
                <w:sz w:val="26"/>
                <w:szCs w:val="26"/>
              </w:rPr>
              <w:t>apakš</w:t>
            </w:r>
            <w:r w:rsidR="00155AA9">
              <w:rPr>
                <w:rFonts w:ascii="Times New Roman" w:eastAsia="Times New Roman" w:hAnsi="Times New Roman"/>
                <w:bCs/>
                <w:sz w:val="26"/>
                <w:szCs w:val="26"/>
              </w:rPr>
              <w:t xml:space="preserve">punkts, </w:t>
            </w:r>
            <w:r w:rsidR="00A308F9">
              <w:rPr>
                <w:rFonts w:ascii="Times New Roman" w:eastAsia="Times New Roman" w:hAnsi="Times New Roman"/>
                <w:bCs/>
                <w:sz w:val="26"/>
                <w:szCs w:val="26"/>
              </w:rPr>
              <w:t xml:space="preserve">nosakot finanšu grūtību kritērijus saskaņā ar </w:t>
            </w:r>
            <w:r>
              <w:rPr>
                <w:rFonts w:ascii="Times New Roman" w:eastAsia="Times New Roman" w:hAnsi="Times New Roman"/>
                <w:bCs/>
                <w:sz w:val="26"/>
                <w:szCs w:val="26"/>
              </w:rPr>
              <w:t>Komisijas r</w:t>
            </w:r>
            <w:r w:rsidR="00907D09">
              <w:rPr>
                <w:rFonts w:ascii="Times New Roman" w:eastAsia="Times New Roman" w:hAnsi="Times New Roman"/>
                <w:bCs/>
                <w:sz w:val="26"/>
                <w:szCs w:val="26"/>
              </w:rPr>
              <w:t>egulu</w:t>
            </w:r>
            <w:r w:rsidR="002D2420">
              <w:rPr>
                <w:rFonts w:ascii="Times New Roman" w:eastAsia="Times New Roman" w:hAnsi="Times New Roman"/>
                <w:bCs/>
                <w:sz w:val="26"/>
                <w:szCs w:val="26"/>
              </w:rPr>
              <w:t xml:space="preserve"> </w:t>
            </w:r>
            <w:r w:rsidR="00907D09">
              <w:rPr>
                <w:rFonts w:ascii="Times New Roman" w:eastAsia="Times New Roman" w:hAnsi="Times New Roman"/>
                <w:bCs/>
                <w:sz w:val="26"/>
                <w:szCs w:val="26"/>
              </w:rPr>
              <w:t>n</w:t>
            </w:r>
            <w:r w:rsidR="002D2420">
              <w:rPr>
                <w:rFonts w:ascii="Times New Roman" w:eastAsia="Times New Roman" w:hAnsi="Times New Roman"/>
                <w:bCs/>
                <w:sz w:val="26"/>
                <w:szCs w:val="26"/>
              </w:rPr>
              <w:t>r.702/2014</w:t>
            </w:r>
            <w:r w:rsidR="00A308F9">
              <w:rPr>
                <w:rFonts w:ascii="Times New Roman" w:eastAsia="Times New Roman" w:hAnsi="Times New Roman"/>
                <w:bCs/>
                <w:sz w:val="26"/>
                <w:szCs w:val="26"/>
              </w:rPr>
              <w:t>.</w:t>
            </w:r>
          </w:p>
          <w:p w:rsidR="00865185" w:rsidRPr="000D6942" w:rsidP="00865185" w14:paraId="7D13EB5A" w14:textId="77777777">
            <w:pPr>
              <w:spacing w:after="0" w:line="240" w:lineRule="auto"/>
              <w:ind w:left="81" w:firstLine="284"/>
              <w:jc w:val="both"/>
              <w:rPr>
                <w:rFonts w:ascii="Times New Roman" w:eastAsia="Times New Roman" w:hAnsi="Times New Roman"/>
                <w:bCs/>
                <w:sz w:val="26"/>
                <w:szCs w:val="26"/>
              </w:rPr>
            </w:pPr>
          </w:p>
          <w:p w:rsidR="00865185" w:rsidRPr="00BD6B78" w:rsidP="00BD6B78" w14:paraId="0038DCCD" w14:textId="58EE4039">
            <w:pPr>
              <w:pStyle w:val="ListParagraph"/>
              <w:numPr>
                <w:ilvl w:val="0"/>
                <w:numId w:val="10"/>
              </w:numPr>
              <w:spacing w:after="0" w:line="240" w:lineRule="auto"/>
              <w:jc w:val="both"/>
              <w:rPr>
                <w:rFonts w:ascii="Times New Roman" w:eastAsia="Times New Roman" w:hAnsi="Times New Roman"/>
                <w:b/>
                <w:bCs/>
                <w:i/>
                <w:sz w:val="26"/>
                <w:szCs w:val="26"/>
                <w:u w:val="single"/>
              </w:rPr>
            </w:pPr>
            <w:r w:rsidRPr="00BD6B78">
              <w:rPr>
                <w:rFonts w:ascii="Times New Roman" w:eastAsia="Times New Roman" w:hAnsi="Times New Roman"/>
                <w:b/>
                <w:bCs/>
                <w:i/>
                <w:sz w:val="26"/>
                <w:szCs w:val="26"/>
                <w:u w:val="single"/>
              </w:rPr>
              <w:t>Atbalstām</w:t>
            </w:r>
            <w:r w:rsidR="006D126F">
              <w:rPr>
                <w:rFonts w:ascii="Times New Roman" w:eastAsia="Times New Roman" w:hAnsi="Times New Roman"/>
                <w:b/>
                <w:bCs/>
                <w:i/>
                <w:sz w:val="26"/>
                <w:szCs w:val="26"/>
                <w:u w:val="single"/>
                <w:lang w:val="lv-LV"/>
              </w:rPr>
              <w:t>ās</w:t>
            </w:r>
            <w:r w:rsidRPr="00BD6B78">
              <w:rPr>
                <w:rFonts w:ascii="Times New Roman" w:eastAsia="Times New Roman" w:hAnsi="Times New Roman"/>
                <w:b/>
                <w:bCs/>
                <w:i/>
                <w:sz w:val="26"/>
                <w:szCs w:val="26"/>
                <w:u w:val="single"/>
              </w:rPr>
              <w:t xml:space="preserve"> nozar</w:t>
            </w:r>
            <w:r w:rsidR="006D126F">
              <w:rPr>
                <w:rFonts w:ascii="Times New Roman" w:eastAsia="Times New Roman" w:hAnsi="Times New Roman"/>
                <w:b/>
                <w:bCs/>
                <w:i/>
                <w:sz w:val="26"/>
                <w:szCs w:val="26"/>
                <w:u w:val="single"/>
                <w:lang w:val="lv-LV"/>
              </w:rPr>
              <w:t>es</w:t>
            </w:r>
          </w:p>
          <w:p w:rsidR="00865185" w:rsidRPr="000D6942" w:rsidP="00957A2A" w14:paraId="207B56C0" w14:textId="3D4139B4">
            <w:pPr>
              <w:spacing w:after="0" w:line="240" w:lineRule="auto"/>
              <w:ind w:left="81"/>
              <w:contextualSpacing/>
              <w:jc w:val="both"/>
              <w:rPr>
                <w:rFonts w:ascii="Times New Roman" w:eastAsia="Times New Roman" w:hAnsi="Times New Roman"/>
                <w:bCs/>
                <w:sz w:val="26"/>
                <w:szCs w:val="26"/>
              </w:rPr>
            </w:pPr>
            <w:r>
              <w:rPr>
                <w:rFonts w:ascii="Times New Roman" w:eastAsia="Times New Roman" w:hAnsi="Times New Roman"/>
                <w:bCs/>
                <w:sz w:val="26"/>
                <w:szCs w:val="26"/>
              </w:rPr>
              <w:t>Noteikumu projekta 3.punkts</w:t>
            </w:r>
            <w:r w:rsidRPr="000D6942">
              <w:rPr>
                <w:rFonts w:ascii="Times New Roman" w:eastAsia="Times New Roman" w:hAnsi="Times New Roman"/>
                <w:bCs/>
                <w:sz w:val="26"/>
                <w:szCs w:val="26"/>
              </w:rPr>
              <w:t xml:space="preserve"> paredz </w:t>
            </w:r>
            <w:r w:rsidRPr="000D6942" w:rsidR="006E7481">
              <w:rPr>
                <w:rFonts w:ascii="Times New Roman" w:eastAsia="Times New Roman" w:hAnsi="Times New Roman"/>
                <w:bCs/>
                <w:sz w:val="26"/>
                <w:szCs w:val="26"/>
              </w:rPr>
              <w:t>dzēst MK noteikumu Nr.1065 11.6.-11.15.apakšpunkt</w:t>
            </w:r>
            <w:r w:rsidR="00C160D0">
              <w:rPr>
                <w:rFonts w:ascii="Times New Roman" w:eastAsia="Times New Roman" w:hAnsi="Times New Roman"/>
                <w:bCs/>
                <w:sz w:val="26"/>
                <w:szCs w:val="26"/>
              </w:rPr>
              <w:t>ā norādīt</w:t>
            </w:r>
            <w:r w:rsidR="000562B0">
              <w:rPr>
                <w:rFonts w:ascii="Times New Roman" w:eastAsia="Times New Roman" w:hAnsi="Times New Roman"/>
                <w:bCs/>
                <w:sz w:val="26"/>
                <w:szCs w:val="26"/>
              </w:rPr>
              <w:t>os</w:t>
            </w:r>
            <w:r w:rsidR="00C160D0">
              <w:rPr>
                <w:rFonts w:ascii="Times New Roman" w:eastAsia="Times New Roman" w:hAnsi="Times New Roman"/>
                <w:bCs/>
                <w:sz w:val="26"/>
                <w:szCs w:val="26"/>
              </w:rPr>
              <w:t xml:space="preserve"> nozaru ierobežojum</w:t>
            </w:r>
            <w:r w:rsidR="000562B0">
              <w:rPr>
                <w:rFonts w:ascii="Times New Roman" w:eastAsia="Times New Roman" w:hAnsi="Times New Roman"/>
                <w:bCs/>
                <w:sz w:val="26"/>
                <w:szCs w:val="26"/>
              </w:rPr>
              <w:t>us</w:t>
            </w:r>
            <w:r w:rsidRPr="000D6942" w:rsidR="006E7481">
              <w:rPr>
                <w:rFonts w:ascii="Times New Roman" w:eastAsia="Times New Roman" w:hAnsi="Times New Roman"/>
                <w:bCs/>
                <w:sz w:val="26"/>
                <w:szCs w:val="26"/>
              </w:rPr>
              <w:t xml:space="preserve">, </w:t>
            </w:r>
            <w:r w:rsidR="00C160D0">
              <w:rPr>
                <w:rFonts w:ascii="Times New Roman" w:eastAsia="Times New Roman" w:hAnsi="Times New Roman"/>
                <w:bCs/>
                <w:sz w:val="26"/>
                <w:szCs w:val="26"/>
              </w:rPr>
              <w:t>kas</w:t>
            </w:r>
            <w:r w:rsidRPr="000D6942" w:rsidR="00AD20FE">
              <w:rPr>
                <w:rFonts w:ascii="Times New Roman" w:eastAsia="Times New Roman" w:hAnsi="Times New Roman"/>
                <w:bCs/>
                <w:sz w:val="26"/>
                <w:szCs w:val="26"/>
              </w:rPr>
              <w:t xml:space="preserve"> MK noteikumos </w:t>
            </w:r>
            <w:r w:rsidR="00907D09">
              <w:rPr>
                <w:rFonts w:ascii="Times New Roman" w:eastAsia="Times New Roman" w:hAnsi="Times New Roman"/>
                <w:bCs/>
                <w:sz w:val="26"/>
                <w:szCs w:val="26"/>
              </w:rPr>
              <w:t>N</w:t>
            </w:r>
            <w:r w:rsidR="00C160D0">
              <w:rPr>
                <w:rFonts w:ascii="Times New Roman" w:eastAsia="Times New Roman" w:hAnsi="Times New Roman"/>
                <w:bCs/>
                <w:sz w:val="26"/>
                <w:szCs w:val="26"/>
              </w:rPr>
              <w:t xml:space="preserve">r.1065 </w:t>
            </w:r>
            <w:r w:rsidRPr="000D6942" w:rsidR="00AD20FE">
              <w:rPr>
                <w:rFonts w:ascii="Times New Roman" w:eastAsia="Times New Roman" w:hAnsi="Times New Roman"/>
                <w:bCs/>
                <w:sz w:val="26"/>
                <w:szCs w:val="26"/>
              </w:rPr>
              <w:t>iekļaut</w:t>
            </w:r>
            <w:r w:rsidR="000562B0">
              <w:rPr>
                <w:rFonts w:ascii="Times New Roman" w:eastAsia="Times New Roman" w:hAnsi="Times New Roman"/>
                <w:bCs/>
                <w:sz w:val="26"/>
                <w:szCs w:val="26"/>
              </w:rPr>
              <w:t>i</w:t>
            </w:r>
            <w:r w:rsidRPr="000D6942" w:rsidR="00AD20FE">
              <w:rPr>
                <w:rFonts w:ascii="Times New Roman" w:eastAsia="Times New Roman" w:hAnsi="Times New Roman"/>
                <w:bCs/>
                <w:sz w:val="26"/>
                <w:szCs w:val="26"/>
              </w:rPr>
              <w:t xml:space="preserve"> 2009.gadā, kad </w:t>
            </w:r>
            <w:r w:rsidR="00C160D0">
              <w:rPr>
                <w:rFonts w:ascii="Times New Roman" w:eastAsia="Times New Roman" w:hAnsi="Times New Roman"/>
                <w:bCs/>
                <w:sz w:val="26"/>
                <w:szCs w:val="26"/>
              </w:rPr>
              <w:t xml:space="preserve">valstī </w:t>
            </w:r>
            <w:r w:rsidRPr="000D6942" w:rsidR="00AD20FE">
              <w:rPr>
                <w:rFonts w:ascii="Times New Roman" w:eastAsia="Times New Roman" w:hAnsi="Times New Roman"/>
                <w:bCs/>
                <w:sz w:val="26"/>
                <w:szCs w:val="26"/>
              </w:rPr>
              <w:t xml:space="preserve">bija cita </w:t>
            </w:r>
            <w:r w:rsidR="002C1B10">
              <w:rPr>
                <w:rFonts w:ascii="Times New Roman" w:eastAsia="Times New Roman" w:hAnsi="Times New Roman"/>
                <w:bCs/>
                <w:sz w:val="26"/>
                <w:szCs w:val="26"/>
              </w:rPr>
              <w:t>ekonomiskā situācija</w:t>
            </w:r>
            <w:r w:rsidR="00C160D0">
              <w:rPr>
                <w:rFonts w:ascii="Times New Roman" w:eastAsia="Times New Roman" w:hAnsi="Times New Roman"/>
                <w:bCs/>
                <w:sz w:val="26"/>
                <w:szCs w:val="26"/>
              </w:rPr>
              <w:t xml:space="preserve"> un aizdevumu sniegšanu minētajās nozarē</w:t>
            </w:r>
            <w:r w:rsidR="000562B0">
              <w:rPr>
                <w:rFonts w:ascii="Times New Roman" w:eastAsia="Times New Roman" w:hAnsi="Times New Roman"/>
                <w:bCs/>
                <w:sz w:val="26"/>
                <w:szCs w:val="26"/>
              </w:rPr>
              <w:t>s</w:t>
            </w:r>
            <w:r w:rsidR="00C160D0">
              <w:rPr>
                <w:rFonts w:ascii="Times New Roman" w:eastAsia="Times New Roman" w:hAnsi="Times New Roman"/>
                <w:bCs/>
                <w:sz w:val="26"/>
                <w:szCs w:val="26"/>
              </w:rPr>
              <w:t xml:space="preserve"> Ekonomikas ministrija ierobežoja </w:t>
            </w:r>
            <w:r w:rsidR="006D126F">
              <w:rPr>
                <w:rFonts w:ascii="Times New Roman" w:eastAsia="Times New Roman" w:hAnsi="Times New Roman"/>
                <w:bCs/>
                <w:sz w:val="26"/>
                <w:szCs w:val="26"/>
              </w:rPr>
              <w:t>kreditēšanas</w:t>
            </w:r>
            <w:r w:rsidR="00C160D0">
              <w:rPr>
                <w:rFonts w:ascii="Times New Roman" w:eastAsia="Times New Roman" w:hAnsi="Times New Roman"/>
                <w:bCs/>
                <w:sz w:val="26"/>
                <w:szCs w:val="26"/>
              </w:rPr>
              <w:t xml:space="preserve"> </w:t>
            </w:r>
            <w:r w:rsidR="00570ACC">
              <w:rPr>
                <w:rFonts w:ascii="Times New Roman" w:eastAsia="Times New Roman" w:hAnsi="Times New Roman"/>
                <w:bCs/>
                <w:sz w:val="26"/>
                <w:szCs w:val="26"/>
              </w:rPr>
              <w:t xml:space="preserve">augsto </w:t>
            </w:r>
            <w:r w:rsidR="00C160D0">
              <w:rPr>
                <w:rFonts w:ascii="Times New Roman" w:eastAsia="Times New Roman" w:hAnsi="Times New Roman"/>
                <w:bCs/>
                <w:sz w:val="26"/>
                <w:szCs w:val="26"/>
              </w:rPr>
              <w:t xml:space="preserve">risku dēļ. </w:t>
            </w:r>
            <w:r w:rsidR="002C1B10">
              <w:rPr>
                <w:rFonts w:ascii="Times New Roman" w:eastAsia="Times New Roman" w:hAnsi="Times New Roman"/>
                <w:bCs/>
                <w:sz w:val="26"/>
                <w:szCs w:val="26"/>
              </w:rPr>
              <w:t xml:space="preserve"> </w:t>
            </w:r>
            <w:r w:rsidR="000562B0">
              <w:rPr>
                <w:rFonts w:ascii="Times New Roman" w:eastAsia="Times New Roman" w:hAnsi="Times New Roman"/>
                <w:bCs/>
                <w:sz w:val="26"/>
                <w:szCs w:val="26"/>
              </w:rPr>
              <w:t>Šādi</w:t>
            </w:r>
            <w:r w:rsidR="00C160D0">
              <w:rPr>
                <w:rFonts w:ascii="Times New Roman" w:eastAsia="Times New Roman" w:hAnsi="Times New Roman"/>
                <w:bCs/>
                <w:sz w:val="26"/>
                <w:szCs w:val="26"/>
              </w:rPr>
              <w:t xml:space="preserve"> ierobežojumi </w:t>
            </w:r>
            <w:r w:rsidR="006D126F">
              <w:rPr>
                <w:rFonts w:ascii="Times New Roman" w:eastAsia="Times New Roman" w:hAnsi="Times New Roman"/>
                <w:bCs/>
                <w:sz w:val="26"/>
                <w:szCs w:val="26"/>
              </w:rPr>
              <w:t xml:space="preserve">nosakāmi </w:t>
            </w:r>
            <w:r w:rsidR="00C160D0">
              <w:rPr>
                <w:rFonts w:ascii="Times New Roman" w:eastAsia="Times New Roman" w:hAnsi="Times New Roman"/>
                <w:bCs/>
                <w:sz w:val="26"/>
                <w:szCs w:val="26"/>
              </w:rPr>
              <w:t>Altum</w:t>
            </w:r>
            <w:r w:rsidR="00C160D0">
              <w:rPr>
                <w:rFonts w:ascii="Times New Roman" w:eastAsia="Times New Roman" w:hAnsi="Times New Roman"/>
                <w:bCs/>
                <w:sz w:val="26"/>
                <w:szCs w:val="26"/>
              </w:rPr>
              <w:t xml:space="preserve"> kredītpolitik</w:t>
            </w:r>
            <w:r w:rsidR="00907D09">
              <w:rPr>
                <w:rFonts w:ascii="Times New Roman" w:eastAsia="Times New Roman" w:hAnsi="Times New Roman"/>
                <w:bCs/>
                <w:sz w:val="26"/>
                <w:szCs w:val="26"/>
              </w:rPr>
              <w:t>as dokumentos,</w:t>
            </w:r>
            <w:r w:rsidR="00C160D0">
              <w:rPr>
                <w:rFonts w:ascii="Times New Roman" w:eastAsia="Times New Roman" w:hAnsi="Times New Roman"/>
                <w:bCs/>
                <w:sz w:val="26"/>
                <w:szCs w:val="26"/>
              </w:rPr>
              <w:t xml:space="preserve"> </w:t>
            </w:r>
            <w:r w:rsidR="006D126F">
              <w:rPr>
                <w:rFonts w:ascii="Times New Roman" w:eastAsia="Times New Roman" w:hAnsi="Times New Roman"/>
                <w:bCs/>
                <w:sz w:val="26"/>
                <w:szCs w:val="26"/>
              </w:rPr>
              <w:t>nevis M</w:t>
            </w:r>
            <w:r w:rsidR="00907D09">
              <w:rPr>
                <w:rFonts w:ascii="Times New Roman" w:eastAsia="Times New Roman" w:hAnsi="Times New Roman"/>
                <w:bCs/>
                <w:sz w:val="26"/>
                <w:szCs w:val="26"/>
              </w:rPr>
              <w:t>inistru kabineta</w:t>
            </w:r>
            <w:r w:rsidR="006D126F">
              <w:rPr>
                <w:rFonts w:ascii="Times New Roman" w:eastAsia="Times New Roman" w:hAnsi="Times New Roman"/>
                <w:bCs/>
                <w:sz w:val="26"/>
                <w:szCs w:val="26"/>
              </w:rPr>
              <w:t xml:space="preserve"> noteikumos</w:t>
            </w:r>
            <w:r w:rsidR="00C160D0">
              <w:rPr>
                <w:rFonts w:ascii="Times New Roman" w:eastAsia="Times New Roman" w:hAnsi="Times New Roman"/>
                <w:bCs/>
                <w:sz w:val="26"/>
                <w:szCs w:val="26"/>
              </w:rPr>
              <w:t xml:space="preserve">, tāpat </w:t>
            </w:r>
            <w:r w:rsidRPr="000D6942" w:rsidR="00AD20FE">
              <w:rPr>
                <w:rFonts w:ascii="Times New Roman" w:eastAsia="Times New Roman" w:hAnsi="Times New Roman"/>
                <w:bCs/>
                <w:sz w:val="26"/>
                <w:szCs w:val="26"/>
              </w:rPr>
              <w:t xml:space="preserve">nepieciešams savstarpēji harmonizēt/ </w:t>
            </w:r>
            <w:r w:rsidRPr="000D6942" w:rsidR="000D5010">
              <w:rPr>
                <w:rFonts w:ascii="Times New Roman" w:eastAsia="Times New Roman" w:hAnsi="Times New Roman"/>
                <w:bCs/>
                <w:sz w:val="26"/>
                <w:szCs w:val="26"/>
              </w:rPr>
              <w:t>vienādot</w:t>
            </w:r>
            <w:r w:rsidRPr="000D6942" w:rsidR="00AD20FE">
              <w:rPr>
                <w:rFonts w:ascii="Times New Roman" w:eastAsia="Times New Roman" w:hAnsi="Times New Roman"/>
                <w:bCs/>
                <w:sz w:val="26"/>
                <w:szCs w:val="26"/>
              </w:rPr>
              <w:t xml:space="preserve"> </w:t>
            </w:r>
            <w:r w:rsidR="000562B0">
              <w:rPr>
                <w:rFonts w:ascii="Times New Roman" w:eastAsia="Times New Roman" w:hAnsi="Times New Roman"/>
                <w:bCs/>
                <w:sz w:val="26"/>
                <w:szCs w:val="26"/>
              </w:rPr>
              <w:t xml:space="preserve">MK noteikumu </w:t>
            </w:r>
            <w:r w:rsidR="00907D09">
              <w:rPr>
                <w:rFonts w:ascii="Times New Roman" w:eastAsia="Times New Roman" w:hAnsi="Times New Roman"/>
                <w:bCs/>
                <w:sz w:val="26"/>
                <w:szCs w:val="26"/>
              </w:rPr>
              <w:t>N</w:t>
            </w:r>
            <w:r w:rsidR="000562B0">
              <w:rPr>
                <w:rFonts w:ascii="Times New Roman" w:eastAsia="Times New Roman" w:hAnsi="Times New Roman"/>
                <w:bCs/>
                <w:sz w:val="26"/>
                <w:szCs w:val="26"/>
              </w:rPr>
              <w:t xml:space="preserve">r.1065 </w:t>
            </w:r>
            <w:r w:rsidRPr="000D6942" w:rsidR="00AD20FE">
              <w:rPr>
                <w:rFonts w:ascii="Times New Roman" w:eastAsia="Times New Roman" w:hAnsi="Times New Roman"/>
                <w:bCs/>
                <w:sz w:val="26"/>
                <w:szCs w:val="26"/>
              </w:rPr>
              <w:t>nosacījumus ar citām valsts atbalsta programmām, piemēram, starta aizdevumiem</w:t>
            </w:r>
            <w:r w:rsidR="006D126F">
              <w:rPr>
                <w:rFonts w:ascii="Times New Roman" w:eastAsia="Times New Roman" w:hAnsi="Times New Roman"/>
                <w:bCs/>
                <w:sz w:val="26"/>
                <w:szCs w:val="26"/>
              </w:rPr>
              <w:t xml:space="preserve"> (</w:t>
            </w:r>
            <w:r>
              <w:fldChar w:fldCharType="begin"/>
            </w:r>
            <w:r>
              <w:instrText xml:space="preserve"> HYPERLINK "https://likumi.lv/ta/id/282520-noteikumi-par-mikroaizdevumiem-un-starta-aizdevumiem" </w:instrText>
            </w:r>
            <w:r>
              <w:fldChar w:fldCharType="separate"/>
            </w:r>
            <w:r w:rsidRPr="000562B0" w:rsidR="006D126F">
              <w:rPr>
                <w:rStyle w:val="Hyperlink"/>
                <w:rFonts w:ascii="Times New Roman" w:eastAsia="Times New Roman" w:hAnsi="Times New Roman"/>
                <w:bCs/>
                <w:sz w:val="26"/>
                <w:szCs w:val="26"/>
              </w:rPr>
              <w:t xml:space="preserve">MK noteikumiem </w:t>
            </w:r>
            <w:r w:rsidR="00907D09">
              <w:rPr>
                <w:rStyle w:val="Hyperlink"/>
                <w:rFonts w:ascii="Times New Roman" w:eastAsia="Times New Roman" w:hAnsi="Times New Roman"/>
                <w:bCs/>
                <w:sz w:val="26"/>
                <w:szCs w:val="26"/>
              </w:rPr>
              <w:t>N</w:t>
            </w:r>
            <w:r w:rsidRPr="000562B0" w:rsidR="006D126F">
              <w:rPr>
                <w:rStyle w:val="Hyperlink"/>
                <w:rFonts w:ascii="Times New Roman" w:eastAsia="Times New Roman" w:hAnsi="Times New Roman"/>
                <w:bCs/>
                <w:sz w:val="26"/>
                <w:szCs w:val="26"/>
              </w:rPr>
              <w:t>r.328</w:t>
            </w:r>
            <w:r>
              <w:fldChar w:fldCharType="end"/>
            </w:r>
            <w:r w:rsidR="006D126F">
              <w:rPr>
                <w:rFonts w:ascii="Times New Roman" w:eastAsia="Times New Roman" w:hAnsi="Times New Roman"/>
                <w:bCs/>
                <w:sz w:val="26"/>
                <w:szCs w:val="26"/>
              </w:rPr>
              <w:t>)</w:t>
            </w:r>
            <w:r w:rsidRPr="000D6942" w:rsidR="000D5010">
              <w:rPr>
                <w:rFonts w:ascii="Times New Roman" w:eastAsia="Times New Roman" w:hAnsi="Times New Roman"/>
                <w:bCs/>
                <w:sz w:val="26"/>
                <w:szCs w:val="26"/>
              </w:rPr>
              <w:t xml:space="preserve">, lai nodrošinātu savstarpēju programmu </w:t>
            </w:r>
            <w:r w:rsidRPr="000D6942" w:rsidR="000D5010">
              <w:rPr>
                <w:rFonts w:ascii="Times New Roman" w:eastAsia="Times New Roman" w:hAnsi="Times New Roman"/>
                <w:bCs/>
                <w:sz w:val="26"/>
                <w:szCs w:val="26"/>
              </w:rPr>
              <w:t>papildināmību</w:t>
            </w:r>
            <w:r w:rsidRPr="000D6942" w:rsidR="00AD20FE">
              <w:rPr>
                <w:rFonts w:ascii="Times New Roman" w:eastAsia="Times New Roman" w:hAnsi="Times New Roman"/>
                <w:bCs/>
                <w:sz w:val="26"/>
                <w:szCs w:val="26"/>
              </w:rPr>
              <w:t>.</w:t>
            </w:r>
          </w:p>
          <w:p w:rsidR="000D5010" w:rsidRPr="000D6942" w:rsidP="00957A2A" w14:paraId="54F11FF4" w14:textId="7674A148">
            <w:pPr>
              <w:spacing w:after="0" w:line="240" w:lineRule="auto"/>
              <w:ind w:left="81"/>
              <w:contextualSpacing/>
              <w:jc w:val="both"/>
              <w:rPr>
                <w:rFonts w:ascii="Times New Roman" w:eastAsia="Times New Roman" w:hAnsi="Times New Roman"/>
                <w:bCs/>
                <w:sz w:val="26"/>
                <w:szCs w:val="26"/>
              </w:rPr>
            </w:pPr>
            <w:r w:rsidRPr="000D6942">
              <w:rPr>
                <w:rFonts w:ascii="Times New Roman" w:eastAsia="Times New Roman" w:hAnsi="Times New Roman"/>
                <w:bCs/>
                <w:sz w:val="26"/>
                <w:szCs w:val="26"/>
              </w:rPr>
              <w:t>Viennozīmīgai skaidrībai un lai novērstu iespējamu interpretāciju, MK noteikumu Nr.1065 11.1. – 11.5.apakšpunkti papildināti ar NACE kodiem.</w:t>
            </w:r>
          </w:p>
          <w:p w:rsidR="000D5010" w:rsidP="00957A2A" w14:paraId="6A57E7D1" w14:textId="792B2508">
            <w:pPr>
              <w:spacing w:after="0" w:line="240" w:lineRule="auto"/>
              <w:ind w:left="81"/>
              <w:contextualSpacing/>
              <w:jc w:val="both"/>
              <w:rPr>
                <w:rFonts w:ascii="Times New Roman" w:eastAsia="Times New Roman" w:hAnsi="Times New Roman"/>
                <w:bCs/>
                <w:sz w:val="26"/>
                <w:szCs w:val="26"/>
              </w:rPr>
            </w:pPr>
            <w:r w:rsidRPr="000D6942">
              <w:rPr>
                <w:rFonts w:ascii="Times New Roman" w:eastAsia="Times New Roman" w:hAnsi="Times New Roman"/>
                <w:bCs/>
                <w:sz w:val="26"/>
                <w:szCs w:val="26"/>
              </w:rPr>
              <w:t>Atbilstoši grozījumiem MK noteikumu Nr.1065 11.punktā, precizējumi veikti arī MK noteikumu Nr.1065 12.punktā, t.i.</w:t>
            </w:r>
            <w:r w:rsidR="002D2420">
              <w:rPr>
                <w:rFonts w:ascii="Times New Roman" w:eastAsia="Times New Roman" w:hAnsi="Times New Roman"/>
                <w:bCs/>
                <w:sz w:val="26"/>
                <w:szCs w:val="26"/>
              </w:rPr>
              <w:t>,</w:t>
            </w:r>
            <w:r w:rsidRPr="000D6942">
              <w:rPr>
                <w:rFonts w:ascii="Times New Roman" w:eastAsia="Times New Roman" w:hAnsi="Times New Roman"/>
                <w:bCs/>
                <w:sz w:val="26"/>
                <w:szCs w:val="26"/>
              </w:rPr>
              <w:t xml:space="preserve"> tas tiek dzēsts, </w:t>
            </w:r>
            <w:r w:rsidR="002D2420">
              <w:rPr>
                <w:rFonts w:ascii="Times New Roman" w:eastAsia="Times New Roman" w:hAnsi="Times New Roman"/>
                <w:bCs/>
                <w:sz w:val="26"/>
                <w:szCs w:val="26"/>
              </w:rPr>
              <w:t>un precizēti 12.¹ punktā minētie nozaru ierobežojumi.</w:t>
            </w:r>
          </w:p>
          <w:p w:rsidR="000562B0" w:rsidP="00957A2A" w14:paraId="4F12D787" w14:textId="66CE14E6">
            <w:pPr>
              <w:spacing w:after="0" w:line="240" w:lineRule="auto"/>
              <w:ind w:left="81"/>
              <w:contextualSpacing/>
              <w:jc w:val="both"/>
              <w:rPr>
                <w:rFonts w:ascii="Times New Roman" w:eastAsia="Times New Roman" w:hAnsi="Times New Roman"/>
                <w:bCs/>
                <w:sz w:val="26"/>
                <w:szCs w:val="26"/>
              </w:rPr>
            </w:pPr>
            <w:r>
              <w:rPr>
                <w:rFonts w:ascii="Times New Roman" w:eastAsia="Times New Roman" w:hAnsi="Times New Roman"/>
                <w:bCs/>
                <w:sz w:val="26"/>
                <w:szCs w:val="26"/>
              </w:rPr>
              <w:t xml:space="preserve">MK noteikumu </w:t>
            </w:r>
            <w:r w:rsidR="00907D09">
              <w:rPr>
                <w:rFonts w:ascii="Times New Roman" w:eastAsia="Times New Roman" w:hAnsi="Times New Roman"/>
                <w:bCs/>
                <w:sz w:val="26"/>
                <w:szCs w:val="26"/>
              </w:rPr>
              <w:t>N</w:t>
            </w:r>
            <w:r>
              <w:rPr>
                <w:rFonts w:ascii="Times New Roman" w:eastAsia="Times New Roman" w:hAnsi="Times New Roman"/>
                <w:bCs/>
                <w:sz w:val="26"/>
                <w:szCs w:val="26"/>
              </w:rPr>
              <w:t>r.1065 11.1.</w:t>
            </w:r>
            <w:r w:rsidR="00907D09">
              <w:rPr>
                <w:rFonts w:ascii="Times New Roman" w:eastAsia="Times New Roman" w:hAnsi="Times New Roman"/>
                <w:bCs/>
                <w:sz w:val="26"/>
                <w:szCs w:val="26"/>
              </w:rPr>
              <w:t>apakš</w:t>
            </w:r>
            <w:r>
              <w:rPr>
                <w:rFonts w:ascii="Times New Roman" w:eastAsia="Times New Roman" w:hAnsi="Times New Roman"/>
                <w:bCs/>
                <w:sz w:val="26"/>
                <w:szCs w:val="26"/>
              </w:rPr>
              <w:t xml:space="preserve">punktā minētā nozare precizēta atbilstoši citiem finanšu instrumentu noteikumiem, piemērām, </w:t>
            </w:r>
            <w:r>
              <w:fldChar w:fldCharType="begin"/>
            </w:r>
            <w:r>
              <w:instrText xml:space="preserve"> HYPERLINK "https://likumi.lv/doc.php?id=220826" </w:instrText>
            </w:r>
            <w:r>
              <w:fldChar w:fldCharType="separate"/>
            </w:r>
            <w:r w:rsidRPr="000562B0">
              <w:rPr>
                <w:rStyle w:val="Hyperlink"/>
                <w:rFonts w:ascii="Times New Roman" w:eastAsia="Times New Roman" w:hAnsi="Times New Roman"/>
                <w:bCs/>
                <w:sz w:val="26"/>
                <w:szCs w:val="26"/>
              </w:rPr>
              <w:t xml:space="preserve">MK noteikumiem </w:t>
            </w:r>
            <w:r w:rsidR="00907D09">
              <w:rPr>
                <w:rStyle w:val="Hyperlink"/>
                <w:rFonts w:ascii="Times New Roman" w:eastAsia="Times New Roman" w:hAnsi="Times New Roman"/>
                <w:bCs/>
                <w:sz w:val="26"/>
                <w:szCs w:val="26"/>
              </w:rPr>
              <w:t>N</w:t>
            </w:r>
            <w:r w:rsidRPr="000562B0">
              <w:rPr>
                <w:rStyle w:val="Hyperlink"/>
                <w:rFonts w:ascii="Times New Roman" w:eastAsia="Times New Roman" w:hAnsi="Times New Roman"/>
                <w:bCs/>
                <w:sz w:val="26"/>
                <w:szCs w:val="26"/>
              </w:rPr>
              <w:t>r.997</w:t>
            </w:r>
            <w:r>
              <w:fldChar w:fldCharType="end"/>
            </w:r>
            <w:r>
              <w:rPr>
                <w:rFonts w:ascii="Times New Roman" w:eastAsia="Times New Roman" w:hAnsi="Times New Roman"/>
                <w:bCs/>
                <w:sz w:val="26"/>
                <w:szCs w:val="26"/>
              </w:rPr>
              <w:t xml:space="preserve"> un </w:t>
            </w:r>
            <w:r>
              <w:fldChar w:fldCharType="begin"/>
            </w:r>
            <w:r>
              <w:instrText xml:space="preserve"> HYPERLINK "https://likumi.lv/ta/id/282520-noteikumi-par-mikroaizdevumiem-un-starta-aizdevumiem" </w:instrText>
            </w:r>
            <w:r>
              <w:fldChar w:fldCharType="separate"/>
            </w:r>
            <w:r w:rsidRPr="000562B0">
              <w:rPr>
                <w:rStyle w:val="Hyperlink"/>
                <w:rFonts w:ascii="Times New Roman" w:eastAsia="Times New Roman" w:hAnsi="Times New Roman"/>
                <w:bCs/>
                <w:sz w:val="26"/>
                <w:szCs w:val="26"/>
              </w:rPr>
              <w:t xml:space="preserve">MK noteikumiem </w:t>
            </w:r>
            <w:r w:rsidR="00907D09">
              <w:rPr>
                <w:rStyle w:val="Hyperlink"/>
                <w:rFonts w:ascii="Times New Roman" w:eastAsia="Times New Roman" w:hAnsi="Times New Roman"/>
                <w:bCs/>
                <w:sz w:val="26"/>
                <w:szCs w:val="26"/>
              </w:rPr>
              <w:t>N</w:t>
            </w:r>
            <w:r w:rsidRPr="000562B0">
              <w:rPr>
                <w:rStyle w:val="Hyperlink"/>
                <w:rFonts w:ascii="Times New Roman" w:eastAsia="Times New Roman" w:hAnsi="Times New Roman"/>
                <w:bCs/>
                <w:sz w:val="26"/>
                <w:szCs w:val="26"/>
              </w:rPr>
              <w:t>r.328</w:t>
            </w:r>
            <w:r>
              <w:fldChar w:fldCharType="end"/>
            </w:r>
            <w:r>
              <w:rPr>
                <w:rFonts w:ascii="Times New Roman" w:eastAsia="Times New Roman" w:hAnsi="Times New Roman"/>
                <w:bCs/>
                <w:sz w:val="26"/>
                <w:szCs w:val="26"/>
              </w:rPr>
              <w:t>, kuri paredz ierobežot tikai tirdzniecību, nevis ražošanu.</w:t>
            </w:r>
          </w:p>
          <w:p w:rsidR="00824193" w:rsidP="006E7481" w14:paraId="5B6DCF94" w14:textId="1EC138F5">
            <w:pPr>
              <w:spacing w:after="0" w:line="240" w:lineRule="auto"/>
              <w:ind w:left="81" w:firstLine="284"/>
              <w:contextualSpacing/>
              <w:jc w:val="both"/>
              <w:rPr>
                <w:rFonts w:ascii="Times New Roman" w:eastAsia="Times New Roman" w:hAnsi="Times New Roman"/>
                <w:bCs/>
                <w:sz w:val="26"/>
                <w:szCs w:val="26"/>
              </w:rPr>
            </w:pPr>
          </w:p>
          <w:p w:rsidR="00824193" w:rsidRPr="00BD6B78" w:rsidP="00BD6B78" w14:paraId="75B2E0D3" w14:textId="68E86083">
            <w:pPr>
              <w:pStyle w:val="ListParagraph"/>
              <w:numPr>
                <w:ilvl w:val="0"/>
                <w:numId w:val="10"/>
              </w:numPr>
              <w:spacing w:after="0" w:line="240" w:lineRule="auto"/>
              <w:jc w:val="both"/>
              <w:rPr>
                <w:rFonts w:ascii="Times New Roman" w:eastAsia="Times New Roman" w:hAnsi="Times New Roman"/>
                <w:b/>
                <w:bCs/>
                <w:i/>
                <w:sz w:val="26"/>
                <w:szCs w:val="26"/>
                <w:u w:val="single"/>
              </w:rPr>
            </w:pPr>
            <w:r w:rsidRPr="00BD6B78">
              <w:rPr>
                <w:rFonts w:ascii="Times New Roman" w:eastAsia="Times New Roman" w:hAnsi="Times New Roman"/>
                <w:b/>
                <w:bCs/>
                <w:i/>
                <w:sz w:val="26"/>
                <w:szCs w:val="26"/>
                <w:u w:val="single"/>
              </w:rPr>
              <w:t>Investīciju aizdevumu nosacījumi</w:t>
            </w:r>
          </w:p>
          <w:p w:rsidR="004F7E6A" w:rsidRPr="000D6942" w:rsidP="00957A2A" w14:paraId="22673B92" w14:textId="03C37789">
            <w:pPr>
              <w:spacing w:after="0" w:line="240" w:lineRule="auto"/>
              <w:ind w:left="81"/>
              <w:contextualSpacing/>
              <w:jc w:val="both"/>
              <w:rPr>
                <w:rFonts w:ascii="Times New Roman" w:eastAsia="Times New Roman" w:hAnsi="Times New Roman"/>
                <w:bCs/>
                <w:sz w:val="26"/>
                <w:szCs w:val="26"/>
              </w:rPr>
            </w:pPr>
            <w:bookmarkStart w:id="0" w:name="_Hlk517352036"/>
            <w:r>
              <w:rPr>
                <w:rFonts w:ascii="Times New Roman" w:eastAsia="Times New Roman" w:hAnsi="Times New Roman"/>
                <w:bCs/>
                <w:sz w:val="26"/>
                <w:szCs w:val="26"/>
              </w:rPr>
              <w:t xml:space="preserve">MK noteikumu Nr.1605 </w:t>
            </w:r>
            <w:r w:rsidRPr="00AB7760">
              <w:rPr>
                <w:rFonts w:ascii="Times New Roman" w:eastAsia="Times New Roman" w:hAnsi="Times New Roman"/>
                <w:bCs/>
                <w:sz w:val="26"/>
                <w:szCs w:val="26"/>
              </w:rPr>
              <w:t>21.</w:t>
            </w:r>
            <w:r w:rsidRPr="00AB7760">
              <w:rPr>
                <w:rFonts w:ascii="Times New Roman" w:eastAsia="Times New Roman" w:hAnsi="Times New Roman"/>
                <w:bCs/>
                <w:sz w:val="24"/>
                <w:szCs w:val="26"/>
                <w:vertAlign w:val="superscript"/>
              </w:rPr>
              <w:t>1</w:t>
            </w:r>
            <w:r w:rsidRPr="00AB7760">
              <w:rPr>
                <w:rFonts w:ascii="Times New Roman" w:eastAsia="Times New Roman" w:hAnsi="Times New Roman"/>
                <w:bCs/>
                <w:sz w:val="26"/>
                <w:szCs w:val="26"/>
              </w:rPr>
              <w:t xml:space="preserve"> punkt</w:t>
            </w:r>
            <w:r>
              <w:rPr>
                <w:rFonts w:ascii="Times New Roman" w:eastAsia="Times New Roman" w:hAnsi="Times New Roman"/>
                <w:bCs/>
                <w:sz w:val="26"/>
                <w:szCs w:val="26"/>
              </w:rPr>
              <w:t xml:space="preserve">s </w:t>
            </w:r>
            <w:r w:rsidR="002166CC">
              <w:rPr>
                <w:rFonts w:ascii="Times New Roman" w:eastAsia="Times New Roman" w:hAnsi="Times New Roman"/>
                <w:bCs/>
                <w:sz w:val="26"/>
                <w:szCs w:val="26"/>
              </w:rPr>
              <w:t>paredz</w:t>
            </w:r>
            <w:r w:rsidRPr="00AB7760">
              <w:rPr>
                <w:rFonts w:ascii="Times New Roman" w:eastAsia="Times New Roman" w:hAnsi="Times New Roman"/>
                <w:bCs/>
                <w:sz w:val="26"/>
                <w:szCs w:val="26"/>
              </w:rPr>
              <w:t xml:space="preserve"> procentu likmes subsīdija</w:t>
            </w:r>
            <w:r w:rsidR="002166CC">
              <w:rPr>
                <w:rFonts w:ascii="Times New Roman" w:eastAsia="Times New Roman" w:hAnsi="Times New Roman"/>
                <w:bCs/>
                <w:sz w:val="26"/>
                <w:szCs w:val="26"/>
              </w:rPr>
              <w:t>s</w:t>
            </w:r>
            <w:r w:rsidRPr="00AB7760">
              <w:rPr>
                <w:rFonts w:ascii="Times New Roman" w:eastAsia="Times New Roman" w:hAnsi="Times New Roman"/>
                <w:bCs/>
                <w:sz w:val="26"/>
                <w:szCs w:val="26"/>
              </w:rPr>
              <w:t xml:space="preserve"> 50 % apmērā no kopēj</w:t>
            </w:r>
            <w:r w:rsidR="006D126F">
              <w:rPr>
                <w:rFonts w:ascii="Times New Roman" w:eastAsia="Times New Roman" w:hAnsi="Times New Roman"/>
                <w:bCs/>
                <w:sz w:val="26"/>
                <w:szCs w:val="26"/>
              </w:rPr>
              <w:t>iem</w:t>
            </w:r>
            <w:r w:rsidRPr="00AB7760">
              <w:rPr>
                <w:rFonts w:ascii="Times New Roman" w:eastAsia="Times New Roman" w:hAnsi="Times New Roman"/>
                <w:bCs/>
                <w:sz w:val="26"/>
                <w:szCs w:val="26"/>
              </w:rPr>
              <w:t xml:space="preserve"> </w:t>
            </w:r>
            <w:r w:rsidR="006D126F">
              <w:rPr>
                <w:rFonts w:ascii="Times New Roman" w:eastAsia="Times New Roman" w:hAnsi="Times New Roman"/>
                <w:bCs/>
                <w:sz w:val="26"/>
                <w:szCs w:val="26"/>
              </w:rPr>
              <w:t xml:space="preserve">investīciju aizdevumu </w:t>
            </w:r>
            <w:r w:rsidRPr="00AB7760">
              <w:rPr>
                <w:rFonts w:ascii="Times New Roman" w:eastAsia="Times New Roman" w:hAnsi="Times New Roman"/>
                <w:bCs/>
                <w:sz w:val="26"/>
                <w:szCs w:val="26"/>
              </w:rPr>
              <w:t>procentu maksājum</w:t>
            </w:r>
            <w:r w:rsidR="006D126F">
              <w:rPr>
                <w:rFonts w:ascii="Times New Roman" w:eastAsia="Times New Roman" w:hAnsi="Times New Roman"/>
                <w:bCs/>
                <w:sz w:val="26"/>
                <w:szCs w:val="26"/>
              </w:rPr>
              <w:t>iem.</w:t>
            </w:r>
            <w:r w:rsidRPr="00AB7760">
              <w:rPr>
                <w:rFonts w:ascii="Times New Roman" w:eastAsia="Times New Roman" w:hAnsi="Times New Roman"/>
                <w:bCs/>
                <w:sz w:val="26"/>
                <w:szCs w:val="26"/>
              </w:rPr>
              <w:t xml:space="preserve"> </w:t>
            </w:r>
            <w:r w:rsidR="006D126F">
              <w:rPr>
                <w:rFonts w:ascii="Times New Roman" w:eastAsia="Times New Roman" w:hAnsi="Times New Roman"/>
                <w:bCs/>
                <w:sz w:val="26"/>
                <w:szCs w:val="26"/>
              </w:rPr>
              <w:t>Šī</w:t>
            </w:r>
            <w:r w:rsidR="002166CC">
              <w:rPr>
                <w:rFonts w:ascii="Times New Roman" w:eastAsia="Times New Roman" w:hAnsi="Times New Roman"/>
                <w:bCs/>
                <w:sz w:val="26"/>
                <w:szCs w:val="26"/>
              </w:rPr>
              <w:t>s</w:t>
            </w:r>
            <w:r>
              <w:rPr>
                <w:rFonts w:ascii="Times New Roman" w:eastAsia="Times New Roman" w:hAnsi="Times New Roman"/>
                <w:bCs/>
                <w:sz w:val="26"/>
                <w:szCs w:val="26"/>
              </w:rPr>
              <w:t xml:space="preserve"> subsīdij</w:t>
            </w:r>
            <w:r w:rsidR="006D126F">
              <w:rPr>
                <w:rFonts w:ascii="Times New Roman" w:eastAsia="Times New Roman" w:hAnsi="Times New Roman"/>
                <w:bCs/>
                <w:sz w:val="26"/>
                <w:szCs w:val="26"/>
              </w:rPr>
              <w:t>as</w:t>
            </w:r>
            <w:r>
              <w:rPr>
                <w:rFonts w:ascii="Times New Roman" w:eastAsia="Times New Roman" w:hAnsi="Times New Roman"/>
                <w:bCs/>
                <w:sz w:val="26"/>
                <w:szCs w:val="26"/>
              </w:rPr>
              <w:t xml:space="preserve"> tika ieviests laikā</w:t>
            </w:r>
            <w:r w:rsidR="002166CC">
              <w:rPr>
                <w:rFonts w:ascii="Times New Roman" w:eastAsia="Times New Roman" w:hAnsi="Times New Roman"/>
                <w:bCs/>
                <w:sz w:val="26"/>
                <w:szCs w:val="26"/>
              </w:rPr>
              <w:t>,</w:t>
            </w:r>
            <w:r>
              <w:rPr>
                <w:rFonts w:ascii="Times New Roman" w:eastAsia="Times New Roman" w:hAnsi="Times New Roman"/>
                <w:bCs/>
                <w:sz w:val="26"/>
                <w:szCs w:val="26"/>
              </w:rPr>
              <w:t xml:space="preserve"> kad bija nepieciešamība </w:t>
            </w:r>
            <w:r w:rsidR="00C160D0">
              <w:rPr>
                <w:rFonts w:ascii="Times New Roman" w:eastAsia="Times New Roman" w:hAnsi="Times New Roman"/>
                <w:bCs/>
                <w:sz w:val="26"/>
                <w:szCs w:val="26"/>
              </w:rPr>
              <w:t xml:space="preserve">veicināt </w:t>
            </w:r>
            <w:r>
              <w:rPr>
                <w:rFonts w:ascii="Times New Roman" w:eastAsia="Times New Roman" w:hAnsi="Times New Roman"/>
                <w:bCs/>
                <w:sz w:val="26"/>
                <w:szCs w:val="26"/>
              </w:rPr>
              <w:t>investīciju iepludināšanu ekonomikā</w:t>
            </w:r>
            <w:r w:rsidR="00C160D0">
              <w:rPr>
                <w:rFonts w:ascii="Times New Roman" w:eastAsia="Times New Roman" w:hAnsi="Times New Roman"/>
                <w:bCs/>
                <w:sz w:val="26"/>
                <w:szCs w:val="26"/>
              </w:rPr>
              <w:t xml:space="preserve"> un kreditēšanas apjomu izaugsmi</w:t>
            </w:r>
            <w:r>
              <w:rPr>
                <w:rFonts w:ascii="Times New Roman" w:eastAsia="Times New Roman" w:hAnsi="Times New Roman"/>
                <w:bCs/>
                <w:sz w:val="26"/>
                <w:szCs w:val="26"/>
              </w:rPr>
              <w:t xml:space="preserve">. </w:t>
            </w:r>
            <w:r w:rsidR="003C1AE6">
              <w:rPr>
                <w:rFonts w:ascii="Times New Roman" w:eastAsia="Times New Roman" w:hAnsi="Times New Roman"/>
                <w:bCs/>
                <w:sz w:val="26"/>
                <w:szCs w:val="26"/>
              </w:rPr>
              <w:t>Kreditēšanas apjomi valstī ir stabilizējušies</w:t>
            </w:r>
            <w:r>
              <w:rPr>
                <w:rFonts w:ascii="Times New Roman" w:eastAsia="Times New Roman" w:hAnsi="Times New Roman"/>
                <w:bCs/>
                <w:sz w:val="26"/>
                <w:szCs w:val="26"/>
              </w:rPr>
              <w:t>, līdz ar to tiek dzēsts MK noteikumu Nr.1065 21.</w:t>
            </w:r>
            <w:r w:rsidRPr="00824193">
              <w:rPr>
                <w:rFonts w:ascii="Times New Roman" w:eastAsia="Times New Roman" w:hAnsi="Times New Roman"/>
                <w:bCs/>
                <w:sz w:val="26"/>
                <w:szCs w:val="26"/>
                <w:vertAlign w:val="superscript"/>
              </w:rPr>
              <w:t>1</w:t>
            </w:r>
            <w:r>
              <w:rPr>
                <w:rFonts w:ascii="Times New Roman" w:eastAsia="Times New Roman" w:hAnsi="Times New Roman"/>
                <w:bCs/>
                <w:sz w:val="26"/>
                <w:szCs w:val="26"/>
              </w:rPr>
              <w:t xml:space="preserve"> punkts.</w:t>
            </w:r>
          </w:p>
          <w:p w:rsidR="006E7481" w:rsidRPr="000D6942" w:rsidP="00865185" w14:paraId="508C4B31" w14:textId="77777777">
            <w:pPr>
              <w:spacing w:after="0" w:line="240" w:lineRule="auto"/>
              <w:ind w:left="81" w:firstLine="284"/>
              <w:contextualSpacing/>
              <w:jc w:val="both"/>
              <w:rPr>
                <w:rFonts w:ascii="Times New Roman" w:eastAsia="Times New Roman" w:hAnsi="Times New Roman"/>
                <w:bCs/>
                <w:sz w:val="26"/>
                <w:szCs w:val="26"/>
              </w:rPr>
            </w:pPr>
            <w:bookmarkEnd w:id="0"/>
          </w:p>
          <w:p w:rsidR="00865185" w:rsidRPr="000D6942" w:rsidP="00BD6B78" w14:paraId="500BD630" w14:textId="159C3CE4">
            <w:pPr>
              <w:pStyle w:val="ListParagraph"/>
              <w:numPr>
                <w:ilvl w:val="0"/>
                <w:numId w:val="10"/>
              </w:numPr>
              <w:spacing w:after="0" w:line="240" w:lineRule="auto"/>
              <w:jc w:val="both"/>
              <w:rPr>
                <w:rFonts w:ascii="Times New Roman" w:eastAsia="Times New Roman" w:hAnsi="Times New Roman"/>
                <w:b/>
                <w:bCs/>
                <w:i/>
                <w:sz w:val="26"/>
                <w:szCs w:val="26"/>
                <w:u w:val="single"/>
              </w:rPr>
            </w:pPr>
            <w:r w:rsidRPr="000D6942">
              <w:rPr>
                <w:rFonts w:ascii="Times New Roman" w:eastAsia="Times New Roman" w:hAnsi="Times New Roman"/>
                <w:b/>
                <w:bCs/>
                <w:i/>
                <w:sz w:val="26"/>
                <w:szCs w:val="26"/>
                <w:u w:val="single"/>
              </w:rPr>
              <w:t>Atbalsta stimulējošā ietekme</w:t>
            </w:r>
          </w:p>
          <w:p w:rsidR="007F4828" w:rsidRPr="000D6942" w:rsidP="00865185" w14:paraId="1FA64F53" w14:textId="2852416F">
            <w:pPr>
              <w:spacing w:after="0" w:line="240" w:lineRule="auto"/>
              <w:ind w:left="81"/>
              <w:jc w:val="both"/>
              <w:rPr>
                <w:rFonts w:ascii="Times New Roman" w:eastAsia="Times New Roman" w:hAnsi="Times New Roman"/>
                <w:bCs/>
                <w:sz w:val="26"/>
                <w:szCs w:val="26"/>
              </w:rPr>
            </w:pPr>
            <w:r w:rsidRPr="000D6942">
              <w:rPr>
                <w:rFonts w:ascii="Times New Roman" w:eastAsia="Times New Roman" w:hAnsi="Times New Roman"/>
                <w:bCs/>
                <w:sz w:val="26"/>
                <w:szCs w:val="26"/>
              </w:rPr>
              <w:t>MK noteikumu Nr.1065 23.punkts ir attiecinā</w:t>
            </w:r>
            <w:r w:rsidR="005C7D6B">
              <w:rPr>
                <w:rFonts w:ascii="Times New Roman" w:eastAsia="Times New Roman" w:hAnsi="Times New Roman"/>
                <w:bCs/>
                <w:sz w:val="26"/>
                <w:szCs w:val="26"/>
              </w:rPr>
              <w:t>m</w:t>
            </w:r>
            <w:r w:rsidRPr="000D6942">
              <w:rPr>
                <w:rFonts w:ascii="Times New Roman" w:eastAsia="Times New Roman" w:hAnsi="Times New Roman"/>
                <w:bCs/>
                <w:sz w:val="26"/>
                <w:szCs w:val="26"/>
              </w:rPr>
              <w:t xml:space="preserve">s uz visiem noteikumu 7.punktā minētajiem saimnieciskās darbības veicējiem, </w:t>
            </w:r>
            <w:r w:rsidR="00907D09">
              <w:rPr>
                <w:rFonts w:ascii="Times New Roman" w:eastAsia="Times New Roman" w:hAnsi="Times New Roman"/>
                <w:bCs/>
                <w:sz w:val="26"/>
                <w:szCs w:val="26"/>
              </w:rPr>
              <w:t>bet</w:t>
            </w:r>
            <w:r w:rsidR="005C7D6B">
              <w:rPr>
                <w:rFonts w:ascii="Times New Roman" w:eastAsia="Times New Roman" w:hAnsi="Times New Roman"/>
                <w:bCs/>
                <w:sz w:val="26"/>
                <w:szCs w:val="26"/>
              </w:rPr>
              <w:t xml:space="preserve"> </w:t>
            </w:r>
            <w:r w:rsidRPr="000D6942">
              <w:rPr>
                <w:rFonts w:ascii="Times New Roman" w:eastAsia="Times New Roman" w:hAnsi="Times New Roman"/>
                <w:bCs/>
                <w:sz w:val="26"/>
                <w:szCs w:val="26"/>
              </w:rPr>
              <w:t xml:space="preserve">noteikumu 7.1. un 7.2. apakšpunktā minētajiem saimnieciskās darbības veicējiem investīciju aizdevumus sniedz kā </w:t>
            </w:r>
            <w:r w:rsidRPr="000D6942">
              <w:rPr>
                <w:rFonts w:ascii="Times New Roman" w:eastAsia="Times New Roman" w:hAnsi="Times New Roman"/>
                <w:bCs/>
                <w:i/>
                <w:sz w:val="26"/>
                <w:szCs w:val="26"/>
              </w:rPr>
              <w:t xml:space="preserve">de </w:t>
            </w:r>
            <w:r w:rsidRPr="000D6942">
              <w:rPr>
                <w:rFonts w:ascii="Times New Roman" w:eastAsia="Times New Roman" w:hAnsi="Times New Roman"/>
                <w:bCs/>
                <w:i/>
                <w:sz w:val="26"/>
                <w:szCs w:val="26"/>
              </w:rPr>
              <w:t>minimis</w:t>
            </w:r>
            <w:r w:rsidRPr="000D6942">
              <w:rPr>
                <w:rFonts w:ascii="Times New Roman" w:eastAsia="Times New Roman" w:hAnsi="Times New Roman"/>
                <w:bCs/>
                <w:sz w:val="26"/>
                <w:szCs w:val="26"/>
              </w:rPr>
              <w:t xml:space="preserve"> atbalstu saskaņā ar Komisijas regulu Nr. 1407/2013 un uz </w:t>
            </w:r>
            <w:r w:rsidR="005C7D6B">
              <w:rPr>
                <w:rFonts w:ascii="Times New Roman" w:eastAsia="Times New Roman" w:hAnsi="Times New Roman"/>
                <w:bCs/>
                <w:sz w:val="26"/>
                <w:szCs w:val="26"/>
              </w:rPr>
              <w:t xml:space="preserve">tiem </w:t>
            </w:r>
            <w:r w:rsidRPr="000D6942">
              <w:rPr>
                <w:rFonts w:ascii="Times New Roman" w:eastAsia="Times New Roman" w:hAnsi="Times New Roman"/>
                <w:bCs/>
                <w:sz w:val="26"/>
                <w:szCs w:val="26"/>
              </w:rPr>
              <w:t>neattiecas stimulējošās ietekmes nosacījumi, kas noteikti Komisijas regul</w:t>
            </w:r>
            <w:r w:rsidR="00907D09">
              <w:rPr>
                <w:rFonts w:ascii="Times New Roman" w:eastAsia="Times New Roman" w:hAnsi="Times New Roman"/>
                <w:bCs/>
                <w:sz w:val="26"/>
                <w:szCs w:val="26"/>
              </w:rPr>
              <w:t>ā</w:t>
            </w:r>
            <w:r w:rsidRPr="000D6942">
              <w:rPr>
                <w:rFonts w:ascii="Times New Roman" w:eastAsia="Times New Roman" w:hAnsi="Times New Roman"/>
                <w:bCs/>
                <w:sz w:val="26"/>
                <w:szCs w:val="26"/>
              </w:rPr>
              <w:t xml:space="preserve"> Nr.702/2014,</w:t>
            </w:r>
            <w:r w:rsidR="006D126F">
              <w:rPr>
                <w:rFonts w:ascii="Times New Roman" w:eastAsia="Times New Roman" w:hAnsi="Times New Roman"/>
                <w:bCs/>
                <w:sz w:val="26"/>
                <w:szCs w:val="26"/>
              </w:rPr>
              <w:t xml:space="preserve"> tādēļ</w:t>
            </w:r>
            <w:r w:rsidRPr="000D6942">
              <w:rPr>
                <w:rFonts w:ascii="Times New Roman" w:eastAsia="Times New Roman" w:hAnsi="Times New Roman"/>
                <w:bCs/>
                <w:sz w:val="26"/>
                <w:szCs w:val="26"/>
              </w:rPr>
              <w:t xml:space="preserve"> MK noteikumu Nr.1065 23.punkts papildināts ar atsaucēm uz noteikumu 7.3. un 7.4.apakšpunktiem</w:t>
            </w:r>
            <w:r w:rsidR="005C7D6B">
              <w:rPr>
                <w:rFonts w:ascii="Times New Roman" w:eastAsia="Times New Roman" w:hAnsi="Times New Roman"/>
                <w:bCs/>
                <w:sz w:val="26"/>
                <w:szCs w:val="26"/>
              </w:rPr>
              <w:t>.</w:t>
            </w:r>
            <w:r w:rsidRPr="000D6942">
              <w:rPr>
                <w:rFonts w:ascii="Times New Roman" w:eastAsia="Times New Roman" w:hAnsi="Times New Roman"/>
                <w:bCs/>
                <w:sz w:val="26"/>
                <w:szCs w:val="26"/>
              </w:rPr>
              <w:t xml:space="preserve"> </w:t>
            </w:r>
            <w:r w:rsidR="005C7D6B">
              <w:rPr>
                <w:rFonts w:ascii="Times New Roman" w:eastAsia="Times New Roman" w:hAnsi="Times New Roman"/>
                <w:bCs/>
                <w:sz w:val="26"/>
                <w:szCs w:val="26"/>
              </w:rPr>
              <w:t>V</w:t>
            </w:r>
            <w:r w:rsidRPr="000D6942">
              <w:rPr>
                <w:rFonts w:ascii="Times New Roman" w:eastAsia="Times New Roman" w:hAnsi="Times New Roman"/>
                <w:bCs/>
                <w:sz w:val="26"/>
                <w:szCs w:val="26"/>
              </w:rPr>
              <w:t xml:space="preserve">ienlaikus, lai novērstu iespējamās interpretācijas </w:t>
            </w:r>
            <w:r w:rsidR="00824193">
              <w:rPr>
                <w:rFonts w:ascii="Times New Roman" w:eastAsia="Times New Roman" w:hAnsi="Times New Roman"/>
                <w:bCs/>
                <w:sz w:val="26"/>
                <w:szCs w:val="26"/>
              </w:rPr>
              <w:t>(</w:t>
            </w:r>
            <w:r w:rsidRPr="000D6942" w:rsidR="00824193">
              <w:rPr>
                <w:rFonts w:ascii="Times New Roman" w:eastAsia="Times New Roman" w:hAnsi="Times New Roman"/>
                <w:bCs/>
                <w:sz w:val="26"/>
                <w:szCs w:val="26"/>
              </w:rPr>
              <w:t>t.i.</w:t>
            </w:r>
            <w:r w:rsidR="00E87DD5">
              <w:rPr>
                <w:rFonts w:ascii="Times New Roman" w:eastAsia="Times New Roman" w:hAnsi="Times New Roman"/>
                <w:bCs/>
                <w:sz w:val="26"/>
                <w:szCs w:val="26"/>
              </w:rPr>
              <w:t>,</w:t>
            </w:r>
            <w:r w:rsidRPr="000D6942" w:rsidR="00824193">
              <w:rPr>
                <w:rFonts w:ascii="Times New Roman" w:eastAsia="Times New Roman" w:hAnsi="Times New Roman"/>
                <w:bCs/>
                <w:sz w:val="26"/>
                <w:szCs w:val="26"/>
              </w:rPr>
              <w:t xml:space="preserve"> saimnieciskās darbības veicējs var būt uzsācis biznesa plāna īstenošanu, bet nav uzsācis darbu pie konkrētā atbalstītā projekta posma vai uzsācis konkrēto darbību</w:t>
            </w:r>
            <w:r w:rsidR="00824193">
              <w:rPr>
                <w:rFonts w:ascii="Times New Roman" w:eastAsia="Times New Roman" w:hAnsi="Times New Roman"/>
                <w:bCs/>
                <w:sz w:val="26"/>
                <w:szCs w:val="26"/>
              </w:rPr>
              <w:t>)</w:t>
            </w:r>
            <w:r w:rsidRPr="000D6942" w:rsidR="00824193">
              <w:rPr>
                <w:rFonts w:ascii="Times New Roman" w:eastAsia="Times New Roman" w:hAnsi="Times New Roman"/>
                <w:bCs/>
                <w:sz w:val="26"/>
                <w:szCs w:val="26"/>
              </w:rPr>
              <w:t xml:space="preserve"> </w:t>
            </w:r>
            <w:r w:rsidRPr="000D6942">
              <w:rPr>
                <w:rFonts w:ascii="Times New Roman" w:eastAsia="Times New Roman" w:hAnsi="Times New Roman"/>
                <w:bCs/>
                <w:sz w:val="26"/>
                <w:szCs w:val="26"/>
              </w:rPr>
              <w:t xml:space="preserve">attiecībā uz stimulējošās ietekmes nosacījumu atbilstošu piemērošanu, punkts </w:t>
            </w:r>
            <w:r w:rsidR="00824193">
              <w:rPr>
                <w:rFonts w:ascii="Times New Roman" w:eastAsia="Times New Roman" w:hAnsi="Times New Roman"/>
                <w:bCs/>
                <w:sz w:val="26"/>
                <w:szCs w:val="26"/>
              </w:rPr>
              <w:t>papildināts ar atsauci uz</w:t>
            </w:r>
            <w:r w:rsidRPr="000D6942">
              <w:rPr>
                <w:rFonts w:ascii="Times New Roman" w:eastAsia="Times New Roman" w:hAnsi="Times New Roman"/>
                <w:bCs/>
                <w:sz w:val="26"/>
                <w:szCs w:val="26"/>
              </w:rPr>
              <w:t xml:space="preserve"> Komisijas </w:t>
            </w:r>
            <w:r w:rsidRPr="000D6942" w:rsidR="00286E17">
              <w:rPr>
                <w:rFonts w:ascii="Times New Roman" w:eastAsia="Times New Roman" w:hAnsi="Times New Roman"/>
                <w:bCs/>
                <w:sz w:val="26"/>
                <w:szCs w:val="26"/>
              </w:rPr>
              <w:t>regulas Nr.702/2014</w:t>
            </w:r>
            <w:r w:rsidR="00824193">
              <w:rPr>
                <w:rFonts w:ascii="Times New Roman" w:eastAsia="Times New Roman" w:hAnsi="Times New Roman"/>
                <w:bCs/>
                <w:sz w:val="26"/>
                <w:szCs w:val="26"/>
              </w:rPr>
              <w:t xml:space="preserve"> 6.panta 2.punktu un Komisijas regulas Nr.1388/20147 6.panta 2.punktu.</w:t>
            </w:r>
            <w:r w:rsidRPr="000D6942" w:rsidR="00BA0937">
              <w:rPr>
                <w:rFonts w:ascii="Times New Roman" w:eastAsia="Times New Roman" w:hAnsi="Times New Roman"/>
                <w:bCs/>
                <w:sz w:val="26"/>
                <w:szCs w:val="26"/>
              </w:rPr>
              <w:t xml:space="preserve"> </w:t>
            </w:r>
          </w:p>
          <w:p w:rsidR="00BF7889" w:rsidRPr="000D6942" w:rsidP="004011B9" w14:paraId="44F8C229" w14:textId="77777777">
            <w:pPr>
              <w:spacing w:after="0" w:line="240" w:lineRule="auto"/>
              <w:ind w:left="82" w:firstLine="567"/>
              <w:jc w:val="both"/>
              <w:rPr>
                <w:rFonts w:ascii="Times New Roman" w:hAnsi="Times New Roman"/>
                <w:sz w:val="26"/>
                <w:szCs w:val="26"/>
              </w:rPr>
            </w:pPr>
          </w:p>
          <w:p w:rsidR="002438C8" w:rsidRPr="00990C5E" w:rsidP="00BD6B78" w14:paraId="28101D8F" w14:textId="03D638A4">
            <w:pPr>
              <w:pStyle w:val="ListParagraph"/>
              <w:numPr>
                <w:ilvl w:val="0"/>
                <w:numId w:val="10"/>
              </w:numPr>
              <w:spacing w:after="0" w:line="240" w:lineRule="auto"/>
              <w:jc w:val="both"/>
              <w:rPr>
                <w:rFonts w:ascii="Times New Roman" w:eastAsia="Times New Roman" w:hAnsi="Times New Roman"/>
                <w:b/>
                <w:bCs/>
                <w:i/>
                <w:sz w:val="26"/>
                <w:szCs w:val="26"/>
                <w:u w:val="single"/>
              </w:rPr>
            </w:pPr>
            <w:r>
              <w:rPr>
                <w:rFonts w:ascii="Times New Roman" w:eastAsia="Times New Roman" w:hAnsi="Times New Roman"/>
                <w:b/>
                <w:bCs/>
                <w:i/>
                <w:sz w:val="26"/>
                <w:szCs w:val="26"/>
                <w:u w:val="single"/>
                <w:lang w:val="lv-LV"/>
              </w:rPr>
              <w:t>Aizdevuma nodrošinājuma prasības</w:t>
            </w:r>
          </w:p>
          <w:p w:rsidR="001A08BC" w:rsidRPr="000D6942" w:rsidP="00957A2A" w14:paraId="0DB8A067" w14:textId="2C7C8098">
            <w:pPr>
              <w:spacing w:after="0" w:line="240" w:lineRule="auto"/>
              <w:ind w:left="82"/>
              <w:jc w:val="both"/>
              <w:rPr>
                <w:rFonts w:ascii="Times New Roman" w:hAnsi="Times New Roman"/>
                <w:sz w:val="26"/>
                <w:szCs w:val="26"/>
              </w:rPr>
            </w:pPr>
            <w:r w:rsidRPr="000D6942">
              <w:rPr>
                <w:rFonts w:ascii="Times New Roman" w:hAnsi="Times New Roman"/>
                <w:sz w:val="26"/>
                <w:szCs w:val="26"/>
              </w:rPr>
              <w:t xml:space="preserve">MK noteikumu </w:t>
            </w:r>
            <w:r w:rsidR="00907D09">
              <w:rPr>
                <w:rFonts w:ascii="Times New Roman" w:hAnsi="Times New Roman"/>
                <w:sz w:val="26"/>
                <w:szCs w:val="26"/>
              </w:rPr>
              <w:t>N</w:t>
            </w:r>
            <w:r w:rsidR="005C7D6B">
              <w:rPr>
                <w:rFonts w:ascii="Times New Roman" w:hAnsi="Times New Roman"/>
                <w:sz w:val="26"/>
                <w:szCs w:val="26"/>
              </w:rPr>
              <w:t xml:space="preserve">r.1065 </w:t>
            </w:r>
            <w:r w:rsidRPr="000D6942">
              <w:rPr>
                <w:rFonts w:ascii="Times New Roman" w:hAnsi="Times New Roman"/>
                <w:sz w:val="26"/>
                <w:szCs w:val="26"/>
              </w:rPr>
              <w:t>28.</w:t>
            </w:r>
            <w:r w:rsidR="00907D09">
              <w:rPr>
                <w:rFonts w:ascii="Times New Roman" w:hAnsi="Times New Roman"/>
                <w:sz w:val="26"/>
                <w:szCs w:val="26"/>
                <w:vertAlign w:val="superscript"/>
              </w:rPr>
              <w:t xml:space="preserve">¹ </w:t>
            </w:r>
            <w:r w:rsidRPr="000D6942">
              <w:rPr>
                <w:rFonts w:ascii="Times New Roman" w:hAnsi="Times New Roman"/>
                <w:sz w:val="26"/>
                <w:szCs w:val="26"/>
              </w:rPr>
              <w:t>punkts nosaka, ka “</w:t>
            </w:r>
            <w:r w:rsidRPr="00135AC3">
              <w:rPr>
                <w:rFonts w:ascii="Times New Roman" w:hAnsi="Times New Roman"/>
                <w:i/>
                <w:sz w:val="26"/>
                <w:szCs w:val="26"/>
              </w:rPr>
              <w:t>ja saimnieciskās darbības veicēja ieguldījums projektā no saviem resursiem vai ārējā finansējuma, kas nav saistīts ar jebkādu komercdarbības atbalstu, ir mazāks par 10 % no projekta kopējām izmaksām, tad saistību nodrošinājuma koeficients nepārsniedz 75 % un attiecīgais saimnieciskās darbības veicējs piesaista saimnieciskās darbības veicēja biedru, akcionāru vai dalībnieku galvojumus 100 % apmērā no aizdevuma apjoma.</w:t>
            </w:r>
            <w:r w:rsidRPr="000D6942">
              <w:rPr>
                <w:rFonts w:ascii="Times New Roman" w:hAnsi="Times New Roman"/>
                <w:sz w:val="26"/>
                <w:szCs w:val="26"/>
              </w:rPr>
              <w:t xml:space="preserve">” </w:t>
            </w:r>
          </w:p>
          <w:p w:rsidR="00BE28DE" w:rsidP="008E2496" w14:paraId="26A6852C" w14:textId="5ECD8C47">
            <w:pPr>
              <w:spacing w:after="0" w:line="240" w:lineRule="auto"/>
              <w:ind w:left="82"/>
              <w:jc w:val="both"/>
              <w:rPr>
                <w:rFonts w:ascii="Times New Roman" w:hAnsi="Times New Roman"/>
                <w:sz w:val="26"/>
                <w:szCs w:val="26"/>
              </w:rPr>
            </w:pPr>
            <w:r>
              <w:rPr>
                <w:rFonts w:ascii="Times New Roman" w:hAnsi="Times New Roman"/>
                <w:sz w:val="26"/>
                <w:szCs w:val="26"/>
              </w:rPr>
              <w:t xml:space="preserve">Nodrošinājuma </w:t>
            </w:r>
            <w:r w:rsidR="00907D09">
              <w:rPr>
                <w:rFonts w:ascii="Times New Roman" w:hAnsi="Times New Roman"/>
                <w:sz w:val="26"/>
                <w:szCs w:val="26"/>
              </w:rPr>
              <w:t xml:space="preserve">prasības un </w:t>
            </w:r>
            <w:r>
              <w:rPr>
                <w:rFonts w:ascii="Times New Roman" w:hAnsi="Times New Roman"/>
                <w:sz w:val="26"/>
                <w:szCs w:val="26"/>
              </w:rPr>
              <w:t>saimnieciskā darbības veicēja līdzdalības</w:t>
            </w:r>
            <w:r>
              <w:rPr>
                <w:rFonts w:ascii="Times New Roman" w:hAnsi="Times New Roman"/>
                <w:sz w:val="26"/>
                <w:szCs w:val="26"/>
              </w:rPr>
              <w:t xml:space="preserve"> prasības </w:t>
            </w:r>
            <w:r>
              <w:rPr>
                <w:rFonts w:ascii="Times New Roman" w:hAnsi="Times New Roman"/>
                <w:sz w:val="26"/>
                <w:szCs w:val="26"/>
              </w:rPr>
              <w:t xml:space="preserve">ir </w:t>
            </w:r>
            <w:r>
              <w:rPr>
                <w:rFonts w:ascii="Times New Roman" w:hAnsi="Times New Roman"/>
                <w:sz w:val="26"/>
                <w:szCs w:val="26"/>
              </w:rPr>
              <w:t xml:space="preserve">nosakāmas </w:t>
            </w:r>
            <w:r>
              <w:rPr>
                <w:rFonts w:ascii="Times New Roman" w:hAnsi="Times New Roman"/>
                <w:sz w:val="26"/>
                <w:szCs w:val="26"/>
              </w:rPr>
              <w:t>Altum</w:t>
            </w:r>
            <w:r>
              <w:rPr>
                <w:rFonts w:ascii="Times New Roman" w:hAnsi="Times New Roman"/>
                <w:sz w:val="26"/>
                <w:szCs w:val="26"/>
              </w:rPr>
              <w:t xml:space="preserve"> kredītpolitikā, nevis Ministru kabineta noteikumos, jo </w:t>
            </w:r>
            <w:r>
              <w:rPr>
                <w:rFonts w:ascii="Times New Roman" w:hAnsi="Times New Roman"/>
                <w:sz w:val="26"/>
                <w:szCs w:val="26"/>
              </w:rPr>
              <w:t xml:space="preserve">tās </w:t>
            </w:r>
            <w:r w:rsidR="00A73EE8">
              <w:rPr>
                <w:rFonts w:ascii="Times New Roman" w:hAnsi="Times New Roman"/>
                <w:sz w:val="26"/>
                <w:szCs w:val="26"/>
              </w:rPr>
              <w:t>tiek piemērotas</w:t>
            </w:r>
            <w:r>
              <w:rPr>
                <w:rFonts w:ascii="Times New Roman" w:hAnsi="Times New Roman"/>
                <w:sz w:val="26"/>
                <w:szCs w:val="26"/>
              </w:rPr>
              <w:t>, ņemot vērā konkrēto projektu, vērtējot tā darījuma struktūru, saimnieciskā darbības veicēja finansiālo situāciju, projekta dzīvotspēju u.c. rādītājus</w:t>
            </w:r>
            <w:r w:rsidR="008E2496">
              <w:rPr>
                <w:rFonts w:ascii="Times New Roman" w:hAnsi="Times New Roman"/>
                <w:sz w:val="26"/>
                <w:szCs w:val="26"/>
              </w:rPr>
              <w:t xml:space="preserve">, attiecīgi </w:t>
            </w:r>
            <w:r w:rsidR="00DE3FA8">
              <w:rPr>
                <w:rFonts w:ascii="Times New Roman" w:hAnsi="Times New Roman"/>
                <w:sz w:val="26"/>
                <w:szCs w:val="26"/>
              </w:rPr>
              <w:t xml:space="preserve">svītrots MK noteikumu </w:t>
            </w:r>
            <w:r>
              <w:rPr>
                <w:rFonts w:ascii="Times New Roman" w:hAnsi="Times New Roman"/>
                <w:sz w:val="26"/>
                <w:szCs w:val="26"/>
              </w:rPr>
              <w:t>N</w:t>
            </w:r>
            <w:r w:rsidR="00DE3FA8">
              <w:rPr>
                <w:rFonts w:ascii="Times New Roman" w:hAnsi="Times New Roman"/>
                <w:sz w:val="26"/>
                <w:szCs w:val="26"/>
              </w:rPr>
              <w:t xml:space="preserve">r.1065 </w:t>
            </w:r>
            <w:r w:rsidRPr="000D6942" w:rsidR="00DE3FA8">
              <w:rPr>
                <w:rFonts w:ascii="Times New Roman" w:hAnsi="Times New Roman"/>
                <w:sz w:val="26"/>
                <w:szCs w:val="26"/>
              </w:rPr>
              <w:t>28.</w:t>
            </w:r>
            <w:r>
              <w:rPr>
                <w:rFonts w:ascii="Times New Roman" w:hAnsi="Times New Roman"/>
                <w:sz w:val="26"/>
                <w:szCs w:val="26"/>
                <w:vertAlign w:val="superscript"/>
              </w:rPr>
              <w:t xml:space="preserve">¹ </w:t>
            </w:r>
            <w:r w:rsidRPr="000D6942" w:rsidR="00DE3FA8">
              <w:rPr>
                <w:rFonts w:ascii="Times New Roman" w:hAnsi="Times New Roman"/>
                <w:sz w:val="26"/>
                <w:szCs w:val="26"/>
              </w:rPr>
              <w:t>punkts</w:t>
            </w:r>
            <w:r w:rsidR="00DE3FA8">
              <w:rPr>
                <w:rFonts w:ascii="Times New Roman" w:hAnsi="Times New Roman"/>
                <w:sz w:val="26"/>
                <w:szCs w:val="26"/>
              </w:rPr>
              <w:t>.</w:t>
            </w:r>
            <w:r w:rsidRPr="000D6942" w:rsidR="00DE3FA8">
              <w:rPr>
                <w:rFonts w:ascii="Times New Roman" w:hAnsi="Times New Roman"/>
                <w:sz w:val="26"/>
                <w:szCs w:val="26"/>
              </w:rPr>
              <w:t xml:space="preserve"> </w:t>
            </w:r>
          </w:p>
          <w:p w:rsidR="001A08BC" w:rsidRPr="000D6942" w:rsidP="00957A2A" w14:paraId="48400E2D" w14:textId="18231CDB">
            <w:pPr>
              <w:spacing w:after="0" w:line="240" w:lineRule="auto"/>
              <w:ind w:left="82"/>
              <w:jc w:val="both"/>
              <w:rPr>
                <w:rFonts w:ascii="Times New Roman" w:hAnsi="Times New Roman"/>
                <w:sz w:val="26"/>
                <w:szCs w:val="26"/>
              </w:rPr>
            </w:pPr>
            <w:r w:rsidRPr="000D6942">
              <w:rPr>
                <w:rFonts w:ascii="Times New Roman" w:hAnsi="Times New Roman"/>
                <w:sz w:val="26"/>
                <w:szCs w:val="26"/>
              </w:rPr>
              <w:t xml:space="preserve">Papildus ārējo normatīvo aktu izstrādātājiem ir nepieciešams maksimāli izvairīties no daudzkārtējas normatīvo aktu grozīšanas, īpaši par normām, kuras tajos nav nepieciešams </w:t>
            </w:r>
            <w:r w:rsidR="00DE3FA8">
              <w:rPr>
                <w:rFonts w:ascii="Times New Roman" w:hAnsi="Times New Roman"/>
                <w:sz w:val="26"/>
                <w:szCs w:val="26"/>
              </w:rPr>
              <w:t>norādīt</w:t>
            </w:r>
            <w:r w:rsidRPr="000D6942">
              <w:rPr>
                <w:rFonts w:ascii="Times New Roman" w:hAnsi="Times New Roman"/>
                <w:sz w:val="26"/>
                <w:szCs w:val="26"/>
              </w:rPr>
              <w:t xml:space="preserve"> un kas rada papildus administratīvo slogu visām iesaistītajām pusēm.</w:t>
            </w:r>
          </w:p>
          <w:p w:rsidR="001A08BC" w:rsidRPr="000D6942" w:rsidP="007D05E1" w14:paraId="52F29B9F" w14:textId="77777777">
            <w:pPr>
              <w:spacing w:after="0" w:line="240" w:lineRule="auto"/>
              <w:ind w:left="82" w:firstLine="567"/>
              <w:jc w:val="both"/>
              <w:rPr>
                <w:rFonts w:ascii="Times New Roman" w:hAnsi="Times New Roman"/>
                <w:sz w:val="26"/>
                <w:szCs w:val="26"/>
              </w:rPr>
            </w:pPr>
          </w:p>
          <w:p w:rsidR="001A08BC" w:rsidRPr="00BD6B78" w:rsidP="00BD6B78" w14:paraId="4DE990C5" w14:textId="01BDDB3F">
            <w:pPr>
              <w:pStyle w:val="ListParagraph"/>
              <w:numPr>
                <w:ilvl w:val="0"/>
                <w:numId w:val="10"/>
              </w:numPr>
              <w:spacing w:after="0" w:line="240" w:lineRule="auto"/>
              <w:jc w:val="both"/>
              <w:rPr>
                <w:rFonts w:ascii="Times New Roman" w:eastAsia="Times New Roman" w:hAnsi="Times New Roman"/>
                <w:b/>
                <w:bCs/>
                <w:i/>
                <w:sz w:val="26"/>
                <w:szCs w:val="26"/>
                <w:u w:val="single"/>
              </w:rPr>
            </w:pPr>
            <w:r>
              <w:rPr>
                <w:rFonts w:ascii="Times New Roman" w:eastAsia="Times New Roman" w:hAnsi="Times New Roman"/>
                <w:b/>
                <w:bCs/>
                <w:i/>
                <w:sz w:val="26"/>
                <w:szCs w:val="26"/>
                <w:u w:val="single"/>
                <w:lang w:val="lv-LV"/>
              </w:rPr>
              <w:t>G</w:t>
            </w:r>
            <w:r w:rsidRPr="00BD6B78" w:rsidR="002E0857">
              <w:rPr>
                <w:rFonts w:ascii="Times New Roman" w:eastAsia="Times New Roman" w:hAnsi="Times New Roman"/>
                <w:b/>
                <w:bCs/>
                <w:i/>
                <w:sz w:val="26"/>
                <w:szCs w:val="26"/>
                <w:u w:val="single"/>
              </w:rPr>
              <w:t>arantijas</w:t>
            </w:r>
            <w:r w:rsidRPr="00BD6B78" w:rsidR="002E0857">
              <w:rPr>
                <w:rFonts w:ascii="Times New Roman" w:eastAsia="Times New Roman" w:hAnsi="Times New Roman"/>
                <w:b/>
                <w:bCs/>
                <w:i/>
                <w:sz w:val="26"/>
                <w:szCs w:val="26"/>
                <w:u w:val="single"/>
              </w:rPr>
              <w:t xml:space="preserve"> apjom</w:t>
            </w:r>
            <w:r>
              <w:rPr>
                <w:rFonts w:ascii="Times New Roman" w:eastAsia="Times New Roman" w:hAnsi="Times New Roman"/>
                <w:b/>
                <w:bCs/>
                <w:i/>
                <w:sz w:val="26"/>
                <w:szCs w:val="26"/>
                <w:u w:val="single"/>
                <w:lang w:val="lv-LV"/>
              </w:rPr>
              <w:t>s</w:t>
            </w:r>
          </w:p>
          <w:p w:rsidR="00B823AB" w:rsidRPr="000D6942" w:rsidP="00957A2A" w14:paraId="3631467B" w14:textId="4A7F3FC9">
            <w:pPr>
              <w:spacing w:after="0" w:line="240" w:lineRule="auto"/>
              <w:ind w:left="82"/>
              <w:jc w:val="both"/>
              <w:rPr>
                <w:rFonts w:ascii="Times New Roman" w:hAnsi="Times New Roman"/>
                <w:sz w:val="26"/>
                <w:szCs w:val="26"/>
              </w:rPr>
            </w:pPr>
            <w:r w:rsidRPr="000D6942">
              <w:rPr>
                <w:rFonts w:ascii="Times New Roman" w:hAnsi="Times New Roman"/>
                <w:sz w:val="26"/>
                <w:szCs w:val="26"/>
              </w:rPr>
              <w:t>MK noteikumu Nr.1065 38.</w:t>
            </w:r>
            <w:r w:rsidR="004F10F1">
              <w:rPr>
                <w:rFonts w:ascii="Times New Roman" w:hAnsi="Times New Roman"/>
                <w:sz w:val="26"/>
                <w:szCs w:val="26"/>
                <w:vertAlign w:val="superscript"/>
              </w:rPr>
              <w:t>¹</w:t>
            </w:r>
            <w:r w:rsidRPr="000D6942">
              <w:rPr>
                <w:rFonts w:ascii="Times New Roman" w:hAnsi="Times New Roman"/>
                <w:sz w:val="26"/>
                <w:szCs w:val="26"/>
              </w:rPr>
              <w:t xml:space="preserve"> 1. un 38.</w:t>
            </w:r>
            <w:r w:rsidR="004F10F1">
              <w:rPr>
                <w:rFonts w:ascii="Times New Roman" w:hAnsi="Times New Roman"/>
                <w:sz w:val="26"/>
                <w:szCs w:val="26"/>
                <w:vertAlign w:val="superscript"/>
              </w:rPr>
              <w:t>¹</w:t>
            </w:r>
            <w:r w:rsidRPr="000D6942">
              <w:rPr>
                <w:rFonts w:ascii="Times New Roman" w:hAnsi="Times New Roman"/>
                <w:sz w:val="26"/>
                <w:szCs w:val="26"/>
              </w:rPr>
              <w:t xml:space="preserve"> 2.</w:t>
            </w:r>
            <w:r w:rsidR="004F10F1">
              <w:rPr>
                <w:rFonts w:ascii="Times New Roman" w:hAnsi="Times New Roman"/>
                <w:sz w:val="26"/>
                <w:szCs w:val="26"/>
              </w:rPr>
              <w:t>apakš</w:t>
            </w:r>
            <w:r w:rsidRPr="000D6942">
              <w:rPr>
                <w:rFonts w:ascii="Times New Roman" w:hAnsi="Times New Roman"/>
                <w:sz w:val="26"/>
                <w:szCs w:val="26"/>
              </w:rPr>
              <w:t xml:space="preserve">punktos noteikts izsniegtās garantijas apmērs attiecīgi 80% vai 65%. MK noteikumu Nr.1065 </w:t>
            </w:r>
            <w:r w:rsidR="00DE3FA8">
              <w:rPr>
                <w:rFonts w:ascii="Times New Roman" w:hAnsi="Times New Roman"/>
                <w:sz w:val="26"/>
                <w:szCs w:val="26"/>
              </w:rPr>
              <w:t>mērķis nav bijis</w:t>
            </w:r>
            <w:r w:rsidRPr="000D6942">
              <w:rPr>
                <w:rFonts w:ascii="Times New Roman" w:hAnsi="Times New Roman"/>
                <w:sz w:val="26"/>
                <w:szCs w:val="26"/>
              </w:rPr>
              <w:t xml:space="preserve"> noteikt konstantu garantijas apmēru</w:t>
            </w:r>
            <w:r w:rsidR="00DE3FA8">
              <w:rPr>
                <w:rFonts w:ascii="Times New Roman" w:hAnsi="Times New Roman"/>
                <w:sz w:val="26"/>
                <w:szCs w:val="26"/>
              </w:rPr>
              <w:t xml:space="preserve">, bet </w:t>
            </w:r>
            <w:r w:rsidRPr="000D6942">
              <w:rPr>
                <w:rFonts w:ascii="Times New Roman" w:hAnsi="Times New Roman"/>
                <w:sz w:val="26"/>
                <w:szCs w:val="26"/>
              </w:rPr>
              <w:t>maksimāl</w:t>
            </w:r>
            <w:r w:rsidR="00DE3FA8">
              <w:rPr>
                <w:rFonts w:ascii="Times New Roman" w:hAnsi="Times New Roman"/>
                <w:sz w:val="26"/>
                <w:szCs w:val="26"/>
              </w:rPr>
              <w:t>o</w:t>
            </w:r>
            <w:r w:rsidRPr="000D6942">
              <w:rPr>
                <w:rFonts w:ascii="Times New Roman" w:hAnsi="Times New Roman"/>
                <w:sz w:val="26"/>
                <w:szCs w:val="26"/>
              </w:rPr>
              <w:t xml:space="preserve"> apjom</w:t>
            </w:r>
            <w:r w:rsidR="00DE3FA8">
              <w:rPr>
                <w:rFonts w:ascii="Times New Roman" w:hAnsi="Times New Roman"/>
                <w:sz w:val="26"/>
                <w:szCs w:val="26"/>
              </w:rPr>
              <w:t>u</w:t>
            </w:r>
            <w:r w:rsidRPr="000D6942">
              <w:rPr>
                <w:rFonts w:ascii="Times New Roman" w:hAnsi="Times New Roman"/>
                <w:sz w:val="26"/>
                <w:szCs w:val="26"/>
              </w:rPr>
              <w:t xml:space="preserve">, kuru nevar </w:t>
            </w:r>
            <w:r w:rsidRPr="000D6942">
              <w:rPr>
                <w:rFonts w:ascii="Times New Roman" w:hAnsi="Times New Roman"/>
                <w:sz w:val="26"/>
                <w:szCs w:val="26"/>
              </w:rPr>
              <w:t xml:space="preserve">pārsniegt. </w:t>
            </w:r>
            <w:r w:rsidR="00DE3FA8">
              <w:rPr>
                <w:rFonts w:ascii="Times New Roman" w:hAnsi="Times New Roman"/>
                <w:sz w:val="26"/>
                <w:szCs w:val="26"/>
              </w:rPr>
              <w:t xml:space="preserve">Lai </w:t>
            </w:r>
            <w:r w:rsidRPr="000D6942">
              <w:rPr>
                <w:rFonts w:ascii="Times New Roman" w:hAnsi="Times New Roman"/>
                <w:sz w:val="26"/>
                <w:szCs w:val="26"/>
              </w:rPr>
              <w:t>finansējumu izmantot</w:t>
            </w:r>
            <w:r w:rsidR="00DE3FA8">
              <w:rPr>
                <w:rFonts w:ascii="Times New Roman" w:hAnsi="Times New Roman"/>
                <w:sz w:val="26"/>
                <w:szCs w:val="26"/>
              </w:rPr>
              <w:t>u</w:t>
            </w:r>
            <w:r w:rsidRPr="000D6942">
              <w:rPr>
                <w:rFonts w:ascii="Times New Roman" w:hAnsi="Times New Roman"/>
                <w:sz w:val="26"/>
                <w:szCs w:val="26"/>
              </w:rPr>
              <w:t xml:space="preserve"> maksimāli lietderīgi un efektīvi</w:t>
            </w:r>
            <w:r w:rsidR="00DE3FA8">
              <w:rPr>
                <w:rFonts w:ascii="Times New Roman" w:hAnsi="Times New Roman"/>
                <w:sz w:val="26"/>
                <w:szCs w:val="26"/>
              </w:rPr>
              <w:t xml:space="preserve"> un </w:t>
            </w:r>
            <w:r w:rsidRPr="000D6942">
              <w:rPr>
                <w:rFonts w:ascii="Times New Roman" w:hAnsi="Times New Roman"/>
                <w:sz w:val="26"/>
                <w:szCs w:val="26"/>
              </w:rPr>
              <w:t>ar pieejamo finansējumu garantijām atbalstīt</w:t>
            </w:r>
            <w:r w:rsidR="00DE3FA8">
              <w:rPr>
                <w:rFonts w:ascii="Times New Roman" w:hAnsi="Times New Roman"/>
                <w:sz w:val="26"/>
                <w:szCs w:val="26"/>
              </w:rPr>
              <w:t>u</w:t>
            </w:r>
            <w:r w:rsidRPr="000D6942">
              <w:rPr>
                <w:rFonts w:ascii="Times New Roman" w:hAnsi="Times New Roman"/>
                <w:sz w:val="26"/>
                <w:szCs w:val="26"/>
              </w:rPr>
              <w:t xml:space="preserve"> pēc iespējas lielāku projektu skaitu, un viennozīmīgai skaidrībai un izpratnei</w:t>
            </w:r>
            <w:r w:rsidR="00DE3FA8">
              <w:rPr>
                <w:rFonts w:ascii="Times New Roman" w:hAnsi="Times New Roman"/>
                <w:sz w:val="26"/>
                <w:szCs w:val="26"/>
              </w:rPr>
              <w:t>,</w:t>
            </w:r>
            <w:r w:rsidRPr="000D6942">
              <w:rPr>
                <w:rFonts w:ascii="Times New Roman" w:hAnsi="Times New Roman"/>
                <w:sz w:val="26"/>
                <w:szCs w:val="26"/>
              </w:rPr>
              <w:t xml:space="preserve"> precizēti attiecīgie MK noteikumu </w:t>
            </w:r>
            <w:r w:rsidR="004F10F1">
              <w:rPr>
                <w:rFonts w:ascii="Times New Roman" w:hAnsi="Times New Roman"/>
                <w:sz w:val="26"/>
                <w:szCs w:val="26"/>
              </w:rPr>
              <w:t>N</w:t>
            </w:r>
            <w:r w:rsidR="00DE3FA8">
              <w:rPr>
                <w:rFonts w:ascii="Times New Roman" w:hAnsi="Times New Roman"/>
                <w:sz w:val="26"/>
                <w:szCs w:val="26"/>
              </w:rPr>
              <w:t xml:space="preserve">r.1065 </w:t>
            </w:r>
            <w:r w:rsidRPr="000D6942">
              <w:rPr>
                <w:rFonts w:ascii="Times New Roman" w:hAnsi="Times New Roman"/>
                <w:sz w:val="26"/>
                <w:szCs w:val="26"/>
              </w:rPr>
              <w:t>punkti: pieturzīmi “-“ aizstājot ar vārdu “līdz”.</w:t>
            </w:r>
          </w:p>
          <w:p w:rsidR="00E42A33" w:rsidRPr="000D6942" w:rsidP="00E42A33" w14:paraId="22079EB9" w14:textId="1ACD5998">
            <w:pPr>
              <w:spacing w:after="0" w:line="240" w:lineRule="auto"/>
              <w:jc w:val="both"/>
              <w:rPr>
                <w:rFonts w:ascii="Times New Roman" w:hAnsi="Times New Roman"/>
                <w:sz w:val="26"/>
                <w:szCs w:val="26"/>
              </w:rPr>
            </w:pPr>
          </w:p>
          <w:p w:rsidR="00E42A33" w:rsidRPr="00BD6B78" w:rsidP="00BD6B78" w14:paraId="730D176D" w14:textId="5FA87D07">
            <w:pPr>
              <w:pStyle w:val="ListParagraph"/>
              <w:numPr>
                <w:ilvl w:val="0"/>
                <w:numId w:val="10"/>
              </w:numPr>
              <w:spacing w:after="0" w:line="240" w:lineRule="auto"/>
              <w:jc w:val="both"/>
              <w:rPr>
                <w:rFonts w:ascii="Times New Roman" w:eastAsia="Times New Roman" w:hAnsi="Times New Roman"/>
                <w:b/>
                <w:bCs/>
                <w:i/>
                <w:sz w:val="26"/>
                <w:szCs w:val="26"/>
                <w:u w:val="single"/>
              </w:rPr>
            </w:pPr>
            <w:r w:rsidRPr="00BD6B78">
              <w:rPr>
                <w:rFonts w:ascii="Times New Roman" w:eastAsia="Times New Roman" w:hAnsi="Times New Roman"/>
                <w:b/>
                <w:bCs/>
                <w:i/>
                <w:sz w:val="26"/>
                <w:szCs w:val="26"/>
                <w:u w:val="single"/>
              </w:rPr>
              <w:t>Tehniski precizējumi</w:t>
            </w:r>
          </w:p>
          <w:p w:rsidR="009F6769" w:rsidRPr="00135AC3" w:rsidP="00135AC3" w14:paraId="5571C6BA" w14:textId="0EBEF051">
            <w:pPr>
              <w:pStyle w:val="ListParagraph"/>
              <w:numPr>
                <w:ilvl w:val="0"/>
                <w:numId w:val="11"/>
              </w:numPr>
              <w:spacing w:after="120" w:line="240" w:lineRule="auto"/>
              <w:jc w:val="both"/>
              <w:rPr>
                <w:rFonts w:ascii="Times New Roman" w:hAnsi="Times New Roman"/>
                <w:sz w:val="26"/>
                <w:szCs w:val="26"/>
              </w:rPr>
            </w:pPr>
            <w:r>
              <w:rPr>
                <w:rFonts w:ascii="Times New Roman" w:hAnsi="Times New Roman"/>
                <w:sz w:val="26"/>
                <w:szCs w:val="26"/>
                <w:lang w:val="lv-LV"/>
              </w:rPr>
              <w:t>Noteikumu projekta</w:t>
            </w:r>
            <w:r w:rsidRPr="00135AC3">
              <w:rPr>
                <w:rFonts w:ascii="Times New Roman" w:hAnsi="Times New Roman"/>
                <w:sz w:val="26"/>
                <w:szCs w:val="26"/>
              </w:rPr>
              <w:t xml:space="preserve"> 4.punktā precizēts </w:t>
            </w:r>
            <w:r w:rsidRPr="00135AC3" w:rsidR="00C160D0">
              <w:rPr>
                <w:rFonts w:ascii="Times New Roman" w:hAnsi="Times New Roman"/>
                <w:sz w:val="26"/>
                <w:szCs w:val="26"/>
              </w:rPr>
              <w:t>Altum</w:t>
            </w:r>
            <w:r w:rsidRPr="00135AC3" w:rsidR="00C160D0">
              <w:rPr>
                <w:rFonts w:ascii="Times New Roman" w:hAnsi="Times New Roman"/>
                <w:sz w:val="26"/>
                <w:szCs w:val="26"/>
              </w:rPr>
              <w:t xml:space="preserve"> nosaukums</w:t>
            </w:r>
            <w:r>
              <w:rPr>
                <w:rFonts w:ascii="Times New Roman" w:hAnsi="Times New Roman"/>
                <w:sz w:val="26"/>
                <w:szCs w:val="26"/>
                <w:lang w:val="lv-LV"/>
              </w:rPr>
              <w:t>;</w:t>
            </w:r>
          </w:p>
          <w:p w:rsidR="00DE3FA8" w:rsidRPr="00135AC3" w:rsidP="00135AC3" w14:paraId="18F009B3" w14:textId="2E186923">
            <w:pPr>
              <w:pStyle w:val="ListParagraph"/>
              <w:numPr>
                <w:ilvl w:val="0"/>
                <w:numId w:val="11"/>
              </w:numPr>
              <w:spacing w:after="120" w:line="240" w:lineRule="auto"/>
              <w:jc w:val="both"/>
              <w:rPr>
                <w:rFonts w:ascii="Times New Roman" w:hAnsi="Times New Roman"/>
                <w:sz w:val="26"/>
                <w:szCs w:val="26"/>
              </w:rPr>
            </w:pPr>
            <w:r w:rsidRPr="00135AC3">
              <w:rPr>
                <w:rFonts w:ascii="Times New Roman" w:hAnsi="Times New Roman"/>
                <w:sz w:val="26"/>
                <w:szCs w:val="26"/>
              </w:rPr>
              <w:t xml:space="preserve">dzēsts MK noteikumu </w:t>
            </w:r>
            <w:r w:rsidRPr="00135AC3" w:rsidR="00156BAD">
              <w:rPr>
                <w:rFonts w:ascii="Times New Roman" w:hAnsi="Times New Roman"/>
                <w:sz w:val="26"/>
                <w:szCs w:val="26"/>
              </w:rPr>
              <w:t>Nr.</w:t>
            </w:r>
            <w:r w:rsidRPr="00135AC3">
              <w:rPr>
                <w:rFonts w:ascii="Times New Roman" w:hAnsi="Times New Roman"/>
                <w:sz w:val="26"/>
                <w:szCs w:val="26"/>
              </w:rPr>
              <w:t>1065 9.punkts, jo šim punktam nav juridiskās noslodzes</w:t>
            </w:r>
            <w:r w:rsidR="004F10F1">
              <w:rPr>
                <w:rFonts w:ascii="Times New Roman" w:hAnsi="Times New Roman"/>
                <w:sz w:val="26"/>
                <w:szCs w:val="26"/>
                <w:lang w:val="lv-LV"/>
              </w:rPr>
              <w:t>;</w:t>
            </w:r>
          </w:p>
          <w:p w:rsidR="00DE3FA8" w:rsidRPr="00135AC3" w:rsidP="00135AC3" w14:paraId="559CF946" w14:textId="2E2BE06A">
            <w:pPr>
              <w:pStyle w:val="ListParagraph"/>
              <w:numPr>
                <w:ilvl w:val="0"/>
                <w:numId w:val="11"/>
              </w:numPr>
              <w:spacing w:after="120" w:line="240" w:lineRule="auto"/>
              <w:jc w:val="both"/>
              <w:rPr>
                <w:rFonts w:ascii="Times New Roman" w:hAnsi="Times New Roman"/>
                <w:sz w:val="26"/>
                <w:szCs w:val="26"/>
              </w:rPr>
            </w:pPr>
            <w:r>
              <w:rPr>
                <w:rFonts w:ascii="Times New Roman" w:hAnsi="Times New Roman"/>
                <w:sz w:val="26"/>
                <w:szCs w:val="26"/>
                <w:lang w:val="lv-LV"/>
              </w:rPr>
              <w:t>l</w:t>
            </w:r>
            <w:r w:rsidRPr="00135AC3" w:rsidR="00AB40E1">
              <w:rPr>
                <w:rFonts w:ascii="Times New Roman" w:hAnsi="Times New Roman"/>
                <w:sz w:val="26"/>
                <w:szCs w:val="26"/>
              </w:rPr>
              <w:t xml:space="preserve">ai salāgotu </w:t>
            </w:r>
            <w:r>
              <w:rPr>
                <w:rFonts w:ascii="Times New Roman" w:hAnsi="Times New Roman"/>
                <w:sz w:val="26"/>
                <w:szCs w:val="26"/>
                <w:lang w:val="lv-LV"/>
              </w:rPr>
              <w:t xml:space="preserve">MK noteikumu </w:t>
            </w:r>
            <w:r w:rsidR="004F10F1">
              <w:rPr>
                <w:rFonts w:ascii="Times New Roman" w:hAnsi="Times New Roman"/>
                <w:sz w:val="26"/>
                <w:szCs w:val="26"/>
                <w:lang w:val="lv-LV"/>
              </w:rPr>
              <w:t>N</w:t>
            </w:r>
            <w:r>
              <w:rPr>
                <w:rFonts w:ascii="Times New Roman" w:hAnsi="Times New Roman"/>
                <w:sz w:val="26"/>
                <w:szCs w:val="26"/>
                <w:lang w:val="lv-LV"/>
              </w:rPr>
              <w:t xml:space="preserve">r.1065 nosacījumus </w:t>
            </w:r>
            <w:r w:rsidRPr="00135AC3" w:rsidR="00AB40E1">
              <w:rPr>
                <w:rFonts w:ascii="Times New Roman" w:hAnsi="Times New Roman"/>
                <w:sz w:val="26"/>
                <w:szCs w:val="26"/>
              </w:rPr>
              <w:t xml:space="preserve">ar </w:t>
            </w:r>
            <w:r w:rsidRPr="00135AC3" w:rsidR="004F10F1">
              <w:rPr>
                <w:rFonts w:ascii="Times New Roman" w:hAnsi="Times New Roman"/>
                <w:sz w:val="26"/>
                <w:szCs w:val="26"/>
              </w:rPr>
              <w:t>cit</w:t>
            </w:r>
            <w:r w:rsidR="004F10F1">
              <w:rPr>
                <w:rFonts w:ascii="Times New Roman" w:hAnsi="Times New Roman"/>
                <w:sz w:val="26"/>
                <w:szCs w:val="26"/>
                <w:lang w:val="lv-LV"/>
              </w:rPr>
              <w:t>iem</w:t>
            </w:r>
            <w:r w:rsidRPr="00135AC3" w:rsidR="00AB40E1">
              <w:rPr>
                <w:rFonts w:ascii="Times New Roman" w:hAnsi="Times New Roman"/>
                <w:sz w:val="26"/>
                <w:szCs w:val="26"/>
              </w:rPr>
              <w:t xml:space="preserve"> </w:t>
            </w:r>
            <w:r>
              <w:rPr>
                <w:rFonts w:ascii="Times New Roman" w:hAnsi="Times New Roman"/>
                <w:sz w:val="26"/>
                <w:szCs w:val="26"/>
                <w:lang w:val="lv-LV"/>
              </w:rPr>
              <w:t xml:space="preserve">finanšu instrumentiem </w:t>
            </w:r>
            <w:r w:rsidRPr="00135AC3" w:rsidR="00AB40E1">
              <w:rPr>
                <w:rFonts w:ascii="Times New Roman" w:hAnsi="Times New Roman"/>
                <w:sz w:val="26"/>
                <w:szCs w:val="26"/>
              </w:rPr>
              <w:t xml:space="preserve">un </w:t>
            </w:r>
            <w:r>
              <w:rPr>
                <w:rFonts w:ascii="Times New Roman" w:hAnsi="Times New Roman"/>
                <w:sz w:val="26"/>
                <w:szCs w:val="26"/>
                <w:lang w:val="lv-LV"/>
              </w:rPr>
              <w:t>nodrošinātu</w:t>
            </w:r>
            <w:r w:rsidRPr="00135AC3" w:rsidR="00AB40E1">
              <w:rPr>
                <w:rFonts w:ascii="Times New Roman" w:hAnsi="Times New Roman"/>
                <w:sz w:val="26"/>
                <w:szCs w:val="26"/>
              </w:rPr>
              <w:t xml:space="preserve"> informāciju piepras</w:t>
            </w:r>
            <w:r>
              <w:rPr>
                <w:rFonts w:ascii="Times New Roman" w:hAnsi="Times New Roman"/>
                <w:sz w:val="26"/>
                <w:szCs w:val="26"/>
                <w:lang w:val="lv-LV"/>
              </w:rPr>
              <w:t>īšanu</w:t>
            </w:r>
            <w:r w:rsidRPr="00135AC3" w:rsidR="00AB40E1">
              <w:rPr>
                <w:rFonts w:ascii="Times New Roman" w:hAnsi="Times New Roman"/>
                <w:sz w:val="26"/>
                <w:szCs w:val="26"/>
              </w:rPr>
              <w:t xml:space="preserve"> pēc satur</w:t>
            </w:r>
            <w:r w:rsidR="006D126F">
              <w:rPr>
                <w:rFonts w:ascii="Times New Roman" w:hAnsi="Times New Roman"/>
                <w:sz w:val="26"/>
                <w:szCs w:val="26"/>
                <w:lang w:val="lv-LV"/>
              </w:rPr>
              <w:t>a</w:t>
            </w:r>
            <w:r>
              <w:rPr>
                <w:rFonts w:ascii="Times New Roman" w:hAnsi="Times New Roman"/>
                <w:sz w:val="26"/>
                <w:szCs w:val="26"/>
                <w:lang w:val="lv-LV"/>
              </w:rPr>
              <w:t>,</w:t>
            </w:r>
            <w:r w:rsidRPr="00135AC3" w:rsidR="00AB40E1">
              <w:rPr>
                <w:rFonts w:ascii="Times New Roman" w:hAnsi="Times New Roman"/>
                <w:sz w:val="26"/>
                <w:szCs w:val="26"/>
              </w:rPr>
              <w:t xml:space="preserve"> nevis dokume</w:t>
            </w:r>
            <w:r w:rsidRPr="00135AC3" w:rsidR="002C1B10">
              <w:rPr>
                <w:rFonts w:ascii="Times New Roman" w:hAnsi="Times New Roman"/>
                <w:sz w:val="26"/>
                <w:szCs w:val="26"/>
              </w:rPr>
              <w:t>nta nosaukuma, precizēts MK</w:t>
            </w:r>
            <w:r w:rsidRPr="00135AC3" w:rsidR="00AB40E1">
              <w:rPr>
                <w:rFonts w:ascii="Times New Roman" w:hAnsi="Times New Roman"/>
                <w:sz w:val="26"/>
                <w:szCs w:val="26"/>
              </w:rPr>
              <w:t xml:space="preserve"> noteikumu Nr.1065 16.punkts, nosakot, ka atbalsta saņēmējam</w:t>
            </w:r>
            <w:r>
              <w:rPr>
                <w:rFonts w:ascii="Times New Roman" w:hAnsi="Times New Roman"/>
                <w:sz w:val="26"/>
                <w:szCs w:val="26"/>
                <w:lang w:val="lv-LV"/>
              </w:rPr>
              <w:t xml:space="preserve"> </w:t>
            </w:r>
            <w:r w:rsidRPr="00135AC3" w:rsidR="00AB40E1">
              <w:rPr>
                <w:rFonts w:ascii="Times New Roman" w:hAnsi="Times New Roman"/>
                <w:sz w:val="26"/>
                <w:szCs w:val="26"/>
              </w:rPr>
              <w:t>iesniedz pieteikum</w:t>
            </w:r>
            <w:r w:rsidR="006D126F">
              <w:rPr>
                <w:rFonts w:ascii="Times New Roman" w:hAnsi="Times New Roman"/>
                <w:sz w:val="26"/>
                <w:szCs w:val="26"/>
                <w:lang w:val="lv-LV"/>
              </w:rPr>
              <w:t>u</w:t>
            </w:r>
            <w:r w:rsidRPr="00135AC3" w:rsidR="00AB40E1">
              <w:rPr>
                <w:rFonts w:ascii="Times New Roman" w:hAnsi="Times New Roman"/>
                <w:sz w:val="26"/>
                <w:szCs w:val="26"/>
              </w:rPr>
              <w:t xml:space="preserve">, kurā ietverts biznesa projekta apraksts, kā arī cita sabiedrības </w:t>
            </w:r>
            <w:r w:rsidRPr="00135AC3" w:rsidR="00AB40E1">
              <w:rPr>
                <w:rFonts w:ascii="Times New Roman" w:hAnsi="Times New Roman"/>
                <w:sz w:val="26"/>
                <w:szCs w:val="26"/>
              </w:rPr>
              <w:t>Altum</w:t>
            </w:r>
            <w:r w:rsidRPr="00135AC3" w:rsidR="00AB40E1">
              <w:rPr>
                <w:rFonts w:ascii="Times New Roman" w:hAnsi="Times New Roman"/>
                <w:sz w:val="26"/>
                <w:szCs w:val="26"/>
              </w:rPr>
              <w:t xml:space="preserve"> norādītā informācija</w:t>
            </w:r>
            <w:r w:rsidR="0036594C">
              <w:rPr>
                <w:rFonts w:ascii="Times New Roman" w:hAnsi="Times New Roman"/>
                <w:sz w:val="26"/>
                <w:szCs w:val="26"/>
                <w:lang w:val="lv-LV"/>
              </w:rPr>
              <w:t>;</w:t>
            </w:r>
          </w:p>
          <w:p w:rsidR="00DE3FA8" w:rsidRPr="00135AC3" w:rsidP="00135AC3" w14:paraId="3B267BDE" w14:textId="7A65751C">
            <w:pPr>
              <w:pStyle w:val="ListParagraph"/>
              <w:numPr>
                <w:ilvl w:val="0"/>
                <w:numId w:val="11"/>
              </w:numPr>
              <w:spacing w:after="120" w:line="240" w:lineRule="auto"/>
              <w:jc w:val="both"/>
              <w:rPr>
                <w:rFonts w:ascii="Times New Roman" w:hAnsi="Times New Roman"/>
                <w:sz w:val="26"/>
                <w:szCs w:val="26"/>
              </w:rPr>
            </w:pPr>
            <w:r w:rsidRPr="00135AC3">
              <w:rPr>
                <w:rFonts w:ascii="Times New Roman" w:hAnsi="Times New Roman"/>
                <w:sz w:val="26"/>
                <w:szCs w:val="26"/>
              </w:rPr>
              <w:t>dzēsti</w:t>
            </w:r>
            <w:r w:rsidRPr="00135AC3" w:rsidR="00AB40E1">
              <w:rPr>
                <w:rFonts w:ascii="Times New Roman" w:hAnsi="Times New Roman"/>
                <w:sz w:val="26"/>
                <w:szCs w:val="26"/>
              </w:rPr>
              <w:t xml:space="preserve"> MK noteikumu Nr.1065 17.</w:t>
            </w:r>
            <w:r w:rsidRPr="00135AC3">
              <w:rPr>
                <w:rFonts w:ascii="Times New Roman" w:hAnsi="Times New Roman"/>
                <w:sz w:val="26"/>
                <w:szCs w:val="26"/>
              </w:rPr>
              <w:t>,</w:t>
            </w:r>
            <w:r w:rsidRPr="00135AC3" w:rsidR="00D57073">
              <w:rPr>
                <w:rFonts w:ascii="Times New Roman" w:hAnsi="Times New Roman"/>
                <w:sz w:val="26"/>
                <w:szCs w:val="26"/>
              </w:rPr>
              <w:t xml:space="preserve"> 24.</w:t>
            </w:r>
            <w:r w:rsidRPr="00135AC3">
              <w:rPr>
                <w:rFonts w:ascii="Times New Roman" w:hAnsi="Times New Roman"/>
                <w:sz w:val="26"/>
                <w:szCs w:val="26"/>
              </w:rPr>
              <w:t>, 30.</w:t>
            </w:r>
            <w:bookmarkStart w:id="1" w:name="_Hlk519504590"/>
            <w:r w:rsidRPr="00135AC3">
              <w:rPr>
                <w:rFonts w:ascii="Times New Roman" w:hAnsi="Times New Roman"/>
                <w:sz w:val="26"/>
                <w:szCs w:val="26"/>
                <w:vertAlign w:val="superscript"/>
              </w:rPr>
              <w:t>4</w:t>
            </w:r>
            <w:bookmarkEnd w:id="1"/>
            <w:r w:rsidRPr="00135AC3">
              <w:rPr>
                <w:rFonts w:ascii="Times New Roman" w:hAnsi="Times New Roman"/>
                <w:sz w:val="26"/>
                <w:szCs w:val="26"/>
              </w:rPr>
              <w:t>, 30.</w:t>
            </w:r>
            <w:r w:rsidRPr="00135AC3">
              <w:rPr>
                <w:rFonts w:ascii="Times New Roman" w:hAnsi="Times New Roman"/>
                <w:sz w:val="26"/>
                <w:szCs w:val="26"/>
                <w:vertAlign w:val="superscript"/>
              </w:rPr>
              <w:t>6</w:t>
            </w:r>
            <w:r w:rsidRPr="00135AC3">
              <w:rPr>
                <w:rFonts w:ascii="Times New Roman" w:hAnsi="Times New Roman"/>
                <w:sz w:val="26"/>
                <w:szCs w:val="26"/>
              </w:rPr>
              <w:t xml:space="preserve"> </w:t>
            </w:r>
            <w:r w:rsidRPr="00135AC3" w:rsidR="00D57073">
              <w:rPr>
                <w:rFonts w:ascii="Times New Roman" w:hAnsi="Times New Roman"/>
                <w:sz w:val="26"/>
                <w:szCs w:val="26"/>
              </w:rPr>
              <w:t>punkti</w:t>
            </w:r>
            <w:r w:rsidRPr="00135AC3" w:rsidR="00AB40E1">
              <w:rPr>
                <w:rFonts w:ascii="Times New Roman" w:hAnsi="Times New Roman"/>
                <w:sz w:val="26"/>
                <w:szCs w:val="26"/>
              </w:rPr>
              <w:t xml:space="preserve">, jo </w:t>
            </w:r>
            <w:r w:rsidR="0053627B">
              <w:rPr>
                <w:rFonts w:ascii="Times New Roman" w:hAnsi="Times New Roman"/>
                <w:sz w:val="26"/>
                <w:szCs w:val="26"/>
                <w:lang w:val="lv-LV"/>
              </w:rPr>
              <w:t xml:space="preserve">dublē </w:t>
            </w:r>
            <w:r w:rsidR="008E2496">
              <w:rPr>
                <w:rFonts w:ascii="Times New Roman" w:hAnsi="Times New Roman"/>
                <w:sz w:val="26"/>
                <w:szCs w:val="26"/>
                <w:lang w:val="lv-LV"/>
              </w:rPr>
              <w:t>normu</w:t>
            </w:r>
            <w:r w:rsidR="0053627B">
              <w:rPr>
                <w:rFonts w:ascii="Times New Roman" w:hAnsi="Times New Roman"/>
                <w:sz w:val="26"/>
                <w:szCs w:val="26"/>
                <w:lang w:val="lv-LV"/>
              </w:rPr>
              <w:t xml:space="preserve"> par biznesa plāna iesniegšanu; </w:t>
            </w:r>
          </w:p>
          <w:p w:rsidR="00135AC3" w:rsidRPr="00135AC3" w:rsidP="00135AC3" w14:paraId="28781E11" w14:textId="0DEE723C">
            <w:pPr>
              <w:pStyle w:val="ListParagraph"/>
              <w:numPr>
                <w:ilvl w:val="0"/>
                <w:numId w:val="11"/>
              </w:numPr>
              <w:spacing w:after="120" w:line="240" w:lineRule="auto"/>
              <w:jc w:val="both"/>
              <w:rPr>
                <w:rFonts w:ascii="Times New Roman" w:hAnsi="Times New Roman"/>
                <w:sz w:val="26"/>
                <w:szCs w:val="26"/>
              </w:rPr>
            </w:pPr>
            <w:r w:rsidRPr="00135AC3">
              <w:rPr>
                <w:rFonts w:ascii="Times New Roman" w:hAnsi="Times New Roman"/>
                <w:sz w:val="26"/>
                <w:szCs w:val="26"/>
              </w:rPr>
              <w:t>MK noteikumu Nr.1065 18. un 18.</w:t>
            </w:r>
            <w:r w:rsidRPr="00135AC3">
              <w:rPr>
                <w:rFonts w:ascii="Times New Roman" w:hAnsi="Times New Roman"/>
                <w:sz w:val="26"/>
                <w:szCs w:val="26"/>
                <w:vertAlign w:val="superscript"/>
              </w:rPr>
              <w:t>1</w:t>
            </w:r>
            <w:r w:rsidRPr="00135AC3">
              <w:rPr>
                <w:rFonts w:ascii="Times New Roman" w:hAnsi="Times New Roman"/>
                <w:sz w:val="26"/>
                <w:szCs w:val="26"/>
              </w:rPr>
              <w:t xml:space="preserve"> punktos dzēsta </w:t>
            </w:r>
            <w:r w:rsidR="0053627B">
              <w:rPr>
                <w:rFonts w:ascii="Times New Roman" w:hAnsi="Times New Roman"/>
                <w:sz w:val="26"/>
                <w:szCs w:val="26"/>
                <w:lang w:val="lv-LV"/>
              </w:rPr>
              <w:t>teikuma daļa</w:t>
            </w:r>
            <w:r w:rsidRPr="00135AC3">
              <w:rPr>
                <w:rFonts w:ascii="Times New Roman" w:hAnsi="Times New Roman"/>
                <w:sz w:val="26"/>
                <w:szCs w:val="26"/>
              </w:rPr>
              <w:t>: “</w:t>
            </w:r>
            <w:r w:rsidRPr="00135AC3">
              <w:rPr>
                <w:rFonts w:ascii="Times New Roman" w:hAnsi="Times New Roman"/>
                <w:i/>
                <w:sz w:val="26"/>
                <w:szCs w:val="26"/>
              </w:rPr>
              <w:t>un kopējais aizdevuma termiņš nepārsniedz maksimālo termiņu</w:t>
            </w:r>
            <w:r w:rsidRPr="00135AC3">
              <w:rPr>
                <w:rFonts w:ascii="Times New Roman" w:hAnsi="Times New Roman"/>
                <w:sz w:val="26"/>
                <w:szCs w:val="26"/>
              </w:rPr>
              <w:t>”, jo MK noteikumos</w:t>
            </w:r>
            <w:r w:rsidR="0053627B">
              <w:rPr>
                <w:rFonts w:ascii="Times New Roman" w:hAnsi="Times New Roman"/>
                <w:sz w:val="26"/>
                <w:szCs w:val="26"/>
                <w:lang w:val="lv-LV"/>
              </w:rPr>
              <w:t xml:space="preserve"> Nr.1065</w:t>
            </w:r>
            <w:r w:rsidRPr="00135AC3">
              <w:rPr>
                <w:rFonts w:ascii="Times New Roman" w:hAnsi="Times New Roman"/>
                <w:sz w:val="26"/>
                <w:szCs w:val="26"/>
              </w:rPr>
              <w:t xml:space="preserve"> nav noteikts maksimālais apgrozāmo līdzekļu aizdevumu termiņš</w:t>
            </w:r>
            <w:r w:rsidRPr="00135AC3">
              <w:rPr>
                <w:rFonts w:ascii="Times New Roman" w:hAnsi="Times New Roman"/>
                <w:sz w:val="26"/>
                <w:szCs w:val="26"/>
                <w:lang w:val="lv-LV"/>
              </w:rPr>
              <w:t xml:space="preserve">, bet termiņu nosaka </w:t>
            </w:r>
            <w:r w:rsidRPr="00135AC3">
              <w:rPr>
                <w:rFonts w:ascii="Times New Roman" w:hAnsi="Times New Roman"/>
                <w:sz w:val="26"/>
                <w:szCs w:val="26"/>
                <w:lang w:val="lv-LV"/>
              </w:rPr>
              <w:t>Altum</w:t>
            </w:r>
            <w:r w:rsidRPr="00135AC3">
              <w:rPr>
                <w:rFonts w:ascii="Times New Roman" w:hAnsi="Times New Roman"/>
                <w:sz w:val="26"/>
                <w:szCs w:val="26"/>
                <w:lang w:val="lv-LV"/>
              </w:rPr>
              <w:t xml:space="preserve"> kredītpolitik</w:t>
            </w:r>
            <w:r w:rsidR="00041096">
              <w:rPr>
                <w:rFonts w:ascii="Times New Roman" w:hAnsi="Times New Roman"/>
                <w:sz w:val="26"/>
                <w:szCs w:val="26"/>
                <w:lang w:val="lv-LV"/>
              </w:rPr>
              <w:t>ā</w:t>
            </w:r>
            <w:r w:rsidRPr="00135AC3">
              <w:rPr>
                <w:rFonts w:ascii="Times New Roman" w:hAnsi="Times New Roman"/>
                <w:sz w:val="26"/>
                <w:szCs w:val="26"/>
                <w:lang w:val="lv-LV"/>
              </w:rPr>
              <w:t xml:space="preserve">, </w:t>
            </w:r>
            <w:r w:rsidR="0053627B">
              <w:rPr>
                <w:rFonts w:ascii="Times New Roman" w:hAnsi="Times New Roman"/>
                <w:sz w:val="26"/>
                <w:szCs w:val="26"/>
                <w:lang w:val="lv-LV"/>
              </w:rPr>
              <w:t>pamatojoties uz konkrētā projekta specifiku</w:t>
            </w:r>
            <w:r w:rsidR="008E2496">
              <w:rPr>
                <w:rFonts w:ascii="Times New Roman" w:hAnsi="Times New Roman"/>
                <w:sz w:val="26"/>
                <w:szCs w:val="26"/>
                <w:lang w:val="lv-LV"/>
              </w:rPr>
              <w:t>;</w:t>
            </w:r>
          </w:p>
          <w:p w:rsidR="00135AC3" w:rsidRPr="00135AC3" w:rsidP="00135AC3" w14:paraId="069574FB" w14:textId="5ADFACEC">
            <w:pPr>
              <w:pStyle w:val="ListParagraph"/>
              <w:numPr>
                <w:ilvl w:val="0"/>
                <w:numId w:val="11"/>
              </w:numPr>
              <w:spacing w:after="120" w:line="240" w:lineRule="auto"/>
              <w:jc w:val="both"/>
              <w:rPr>
                <w:rFonts w:ascii="Times New Roman" w:hAnsi="Times New Roman"/>
                <w:sz w:val="26"/>
                <w:szCs w:val="26"/>
              </w:rPr>
            </w:pPr>
            <w:r w:rsidRPr="00135AC3">
              <w:rPr>
                <w:rFonts w:ascii="Times New Roman" w:hAnsi="Times New Roman"/>
                <w:sz w:val="26"/>
                <w:szCs w:val="26"/>
              </w:rPr>
              <w:t xml:space="preserve">MK noteikumu Nr.1065 27.punkts precizēts, nosakot, ka maksimālais termiņš ir līdz 20 gadiem, kas neizslēdz termiņa pagarināšanas iespējas aizdevumiem, kam sākotnēji </w:t>
            </w:r>
            <w:r w:rsidR="00570ACC">
              <w:rPr>
                <w:rFonts w:ascii="Times New Roman" w:hAnsi="Times New Roman"/>
                <w:sz w:val="26"/>
                <w:szCs w:val="26"/>
                <w:lang w:val="lv-LV"/>
              </w:rPr>
              <w:t xml:space="preserve">ir </w:t>
            </w:r>
            <w:r w:rsidRPr="00135AC3">
              <w:rPr>
                <w:rFonts w:ascii="Times New Roman" w:hAnsi="Times New Roman"/>
                <w:sz w:val="26"/>
                <w:szCs w:val="26"/>
              </w:rPr>
              <w:t>noteikts īsāks termiņš</w:t>
            </w:r>
            <w:r w:rsidR="00570ACC">
              <w:rPr>
                <w:rFonts w:ascii="Times New Roman" w:hAnsi="Times New Roman"/>
                <w:sz w:val="26"/>
                <w:szCs w:val="26"/>
                <w:lang w:val="lv-LV"/>
              </w:rPr>
              <w:t>;</w:t>
            </w:r>
          </w:p>
          <w:p w:rsidR="00135AC3" w:rsidRPr="00135AC3" w:rsidP="00135AC3" w14:paraId="2F6279BB" w14:textId="397DF0BC">
            <w:pPr>
              <w:pStyle w:val="ListParagraph"/>
              <w:numPr>
                <w:ilvl w:val="0"/>
                <w:numId w:val="11"/>
              </w:numPr>
              <w:spacing w:after="120" w:line="240" w:lineRule="auto"/>
              <w:jc w:val="both"/>
              <w:rPr>
                <w:rFonts w:ascii="Times New Roman" w:hAnsi="Times New Roman"/>
                <w:sz w:val="26"/>
                <w:szCs w:val="26"/>
              </w:rPr>
            </w:pPr>
            <w:r w:rsidRPr="00135AC3">
              <w:rPr>
                <w:rFonts w:ascii="Times New Roman" w:hAnsi="Times New Roman"/>
                <w:sz w:val="26"/>
                <w:szCs w:val="26"/>
              </w:rPr>
              <w:t xml:space="preserve">MK noteikumu </w:t>
            </w:r>
            <w:r w:rsidR="00570ACC">
              <w:rPr>
                <w:rFonts w:ascii="Times New Roman" w:hAnsi="Times New Roman"/>
                <w:sz w:val="26"/>
                <w:szCs w:val="26"/>
                <w:lang w:val="lv-LV"/>
              </w:rPr>
              <w:t>N</w:t>
            </w:r>
            <w:r w:rsidRPr="00135AC3">
              <w:rPr>
                <w:rFonts w:ascii="Times New Roman" w:hAnsi="Times New Roman"/>
                <w:sz w:val="26"/>
                <w:szCs w:val="26"/>
                <w:lang w:val="lv-LV"/>
              </w:rPr>
              <w:t xml:space="preserve">r.1065 </w:t>
            </w:r>
            <w:r w:rsidRPr="00135AC3">
              <w:rPr>
                <w:rFonts w:ascii="Times New Roman" w:hAnsi="Times New Roman"/>
                <w:sz w:val="26"/>
                <w:szCs w:val="26"/>
              </w:rPr>
              <w:t>37.2</w:t>
            </w:r>
            <w:r w:rsidRPr="00135AC3" w:rsidR="0045551B">
              <w:rPr>
                <w:rFonts w:ascii="Times New Roman" w:hAnsi="Times New Roman"/>
                <w:sz w:val="26"/>
                <w:szCs w:val="26"/>
              </w:rPr>
              <w:t>.</w:t>
            </w:r>
            <w:r w:rsidR="00570ACC">
              <w:rPr>
                <w:rFonts w:ascii="Times New Roman" w:hAnsi="Times New Roman"/>
                <w:sz w:val="26"/>
                <w:szCs w:val="26"/>
                <w:lang w:val="lv-LV"/>
              </w:rPr>
              <w:t>apakš</w:t>
            </w:r>
            <w:r w:rsidRPr="00135AC3">
              <w:rPr>
                <w:rFonts w:ascii="Times New Roman" w:hAnsi="Times New Roman"/>
                <w:sz w:val="26"/>
                <w:szCs w:val="26"/>
              </w:rPr>
              <w:t xml:space="preserve">punkts </w:t>
            </w:r>
            <w:r w:rsidR="008E2496">
              <w:rPr>
                <w:rFonts w:ascii="Times New Roman" w:hAnsi="Times New Roman"/>
                <w:sz w:val="26"/>
                <w:szCs w:val="26"/>
                <w:lang w:val="lv-LV"/>
              </w:rPr>
              <w:t xml:space="preserve">ir </w:t>
            </w:r>
            <w:r w:rsidRPr="00135AC3">
              <w:rPr>
                <w:rFonts w:ascii="Times New Roman" w:hAnsi="Times New Roman"/>
                <w:sz w:val="26"/>
                <w:szCs w:val="26"/>
              </w:rPr>
              <w:t xml:space="preserve">papildināts ar </w:t>
            </w:r>
            <w:r w:rsidRPr="00135AC3" w:rsidR="002E0857">
              <w:rPr>
                <w:rFonts w:ascii="Times New Roman" w:hAnsi="Times New Roman"/>
                <w:sz w:val="26"/>
                <w:szCs w:val="26"/>
              </w:rPr>
              <w:t>atsaucēm uz Komisijas regulu Nr.1408/2013 un Komisijas regulu Nr.717/2014</w:t>
            </w:r>
            <w:r w:rsidR="00570ACC">
              <w:rPr>
                <w:rFonts w:ascii="Times New Roman" w:hAnsi="Times New Roman"/>
                <w:sz w:val="26"/>
                <w:szCs w:val="26"/>
                <w:lang w:val="lv-LV"/>
              </w:rPr>
              <w:t>, saskaņā ar kurām arī tiek sniegts valsts atbalsts</w:t>
            </w:r>
            <w:r w:rsidR="008E2496">
              <w:rPr>
                <w:rFonts w:ascii="Times New Roman" w:hAnsi="Times New Roman"/>
                <w:sz w:val="26"/>
                <w:szCs w:val="26"/>
                <w:lang w:val="lv-LV"/>
              </w:rPr>
              <w:t xml:space="preserve"> šo noteikumu ietvaros</w:t>
            </w:r>
            <w:r w:rsidR="00570ACC">
              <w:rPr>
                <w:rFonts w:ascii="Times New Roman" w:hAnsi="Times New Roman"/>
                <w:sz w:val="26"/>
                <w:szCs w:val="26"/>
                <w:lang w:val="lv-LV"/>
              </w:rPr>
              <w:t>;</w:t>
            </w:r>
          </w:p>
          <w:p w:rsidR="00CC59EF" w:rsidP="002C1B10" w14:paraId="6B42D24B" w14:textId="2C3CD586">
            <w:pPr>
              <w:pStyle w:val="ListParagraph"/>
              <w:numPr>
                <w:ilvl w:val="0"/>
                <w:numId w:val="11"/>
              </w:numPr>
              <w:spacing w:after="120" w:line="240" w:lineRule="auto"/>
              <w:jc w:val="both"/>
              <w:rPr>
                <w:rFonts w:ascii="Times New Roman" w:hAnsi="Times New Roman"/>
                <w:sz w:val="26"/>
                <w:szCs w:val="26"/>
              </w:rPr>
            </w:pPr>
            <w:r>
              <w:rPr>
                <w:rFonts w:ascii="Times New Roman" w:hAnsi="Times New Roman"/>
                <w:sz w:val="26"/>
                <w:szCs w:val="26"/>
                <w:lang w:val="lv-LV"/>
              </w:rPr>
              <w:t>d</w:t>
            </w:r>
            <w:r w:rsidRPr="00135AC3">
              <w:rPr>
                <w:rFonts w:ascii="Times New Roman" w:hAnsi="Times New Roman"/>
                <w:sz w:val="26"/>
                <w:szCs w:val="26"/>
              </w:rPr>
              <w:t>zēsts</w:t>
            </w:r>
            <w:r w:rsidRPr="00135AC3">
              <w:rPr>
                <w:rFonts w:ascii="Times New Roman" w:hAnsi="Times New Roman"/>
                <w:sz w:val="26"/>
                <w:szCs w:val="26"/>
              </w:rPr>
              <w:t xml:space="preserve"> MK noteikumu Nr.1065 46.punkts, jo garantiju kompensācijas izmaksu kārtīb</w:t>
            </w:r>
            <w:r w:rsidR="00135AC3">
              <w:rPr>
                <w:rFonts w:ascii="Times New Roman" w:hAnsi="Times New Roman"/>
                <w:sz w:val="26"/>
                <w:szCs w:val="26"/>
                <w:lang w:val="lv-LV"/>
              </w:rPr>
              <w:t>u</w:t>
            </w:r>
            <w:r w:rsidRPr="00135AC3">
              <w:rPr>
                <w:rFonts w:ascii="Times New Roman" w:hAnsi="Times New Roman"/>
                <w:sz w:val="26"/>
                <w:szCs w:val="26"/>
              </w:rPr>
              <w:t xml:space="preserve"> </w:t>
            </w:r>
            <w:r w:rsidR="00135AC3">
              <w:rPr>
                <w:rFonts w:ascii="Times New Roman" w:hAnsi="Times New Roman"/>
                <w:sz w:val="26"/>
                <w:szCs w:val="26"/>
                <w:lang w:val="lv-LV"/>
              </w:rPr>
              <w:t xml:space="preserve">nosaka </w:t>
            </w:r>
            <w:r w:rsidRPr="00135AC3">
              <w:rPr>
                <w:rFonts w:ascii="Times New Roman" w:hAnsi="Times New Roman"/>
                <w:sz w:val="26"/>
                <w:szCs w:val="26"/>
              </w:rPr>
              <w:t>Altum</w:t>
            </w:r>
            <w:r w:rsidRPr="00135AC3">
              <w:rPr>
                <w:rFonts w:ascii="Times New Roman" w:hAnsi="Times New Roman"/>
                <w:sz w:val="26"/>
                <w:szCs w:val="26"/>
              </w:rPr>
              <w:t xml:space="preserve"> </w:t>
            </w:r>
            <w:r>
              <w:rPr>
                <w:rFonts w:ascii="Times New Roman" w:hAnsi="Times New Roman"/>
                <w:sz w:val="26"/>
                <w:szCs w:val="26"/>
                <w:lang w:val="lv-LV"/>
              </w:rPr>
              <w:t>iekšējās kārtībās.</w:t>
            </w:r>
          </w:p>
          <w:p w:rsidR="00135AC3" w:rsidRPr="00135AC3" w:rsidP="00135AC3" w14:paraId="32329A06" w14:textId="77777777">
            <w:pPr>
              <w:pStyle w:val="ListParagraph"/>
              <w:spacing w:after="120" w:line="240" w:lineRule="auto"/>
              <w:jc w:val="both"/>
              <w:rPr>
                <w:rFonts w:ascii="Times New Roman" w:hAnsi="Times New Roman"/>
                <w:sz w:val="26"/>
                <w:szCs w:val="26"/>
              </w:rPr>
            </w:pPr>
          </w:p>
          <w:p w:rsidR="00616F47" w:rsidRPr="00BD6B78" w:rsidP="00BD6B78" w14:paraId="6B0FCEE2" w14:textId="01778C6E">
            <w:pPr>
              <w:pStyle w:val="ListParagraph"/>
              <w:numPr>
                <w:ilvl w:val="0"/>
                <w:numId w:val="10"/>
              </w:numPr>
              <w:autoSpaceDE w:val="0"/>
              <w:autoSpaceDN w:val="0"/>
              <w:adjustRightInd w:val="0"/>
              <w:spacing w:before="120" w:after="120" w:line="240" w:lineRule="auto"/>
              <w:ind w:right="346"/>
              <w:jc w:val="both"/>
              <w:rPr>
                <w:rFonts w:ascii="Times New Roman" w:eastAsia="Times New Roman" w:hAnsi="Times New Roman"/>
                <w:b/>
                <w:bCs/>
                <w:i/>
                <w:sz w:val="26"/>
                <w:szCs w:val="26"/>
                <w:u w:val="single"/>
              </w:rPr>
            </w:pPr>
            <w:r w:rsidRPr="00BD6B78">
              <w:rPr>
                <w:rFonts w:ascii="Times New Roman" w:eastAsia="Times New Roman" w:hAnsi="Times New Roman"/>
                <w:b/>
                <w:bCs/>
                <w:i/>
                <w:sz w:val="26"/>
                <w:szCs w:val="26"/>
                <w:u w:val="single"/>
              </w:rPr>
              <w:t>Programmas rādītāju novērtējums</w:t>
            </w:r>
          </w:p>
          <w:p w:rsidR="00B653A4" w:rsidRPr="000D6942" w:rsidP="00957A2A" w14:paraId="795B87F4" w14:textId="47F01707">
            <w:pPr>
              <w:spacing w:after="0" w:line="240" w:lineRule="auto"/>
              <w:ind w:left="82"/>
              <w:jc w:val="both"/>
              <w:rPr>
                <w:rFonts w:ascii="Times New Roman" w:hAnsi="Times New Roman"/>
                <w:sz w:val="26"/>
                <w:szCs w:val="26"/>
              </w:rPr>
            </w:pPr>
            <w:r w:rsidRPr="00CC59EF">
              <w:rPr>
                <w:rFonts w:ascii="Times New Roman" w:hAnsi="Times New Roman"/>
                <w:sz w:val="26"/>
                <w:szCs w:val="26"/>
              </w:rPr>
              <w:t xml:space="preserve">Sabiedrība </w:t>
            </w:r>
            <w:r w:rsidRPr="00CC59EF">
              <w:rPr>
                <w:rFonts w:ascii="Times New Roman" w:hAnsi="Times New Roman"/>
                <w:sz w:val="26"/>
                <w:szCs w:val="26"/>
              </w:rPr>
              <w:t>Altum</w:t>
            </w:r>
            <w:r w:rsidRPr="00CC59EF">
              <w:rPr>
                <w:rFonts w:ascii="Times New Roman" w:hAnsi="Times New Roman"/>
                <w:sz w:val="26"/>
                <w:szCs w:val="26"/>
              </w:rPr>
              <w:t xml:space="preserve"> nodrošinās </w:t>
            </w:r>
            <w:r w:rsidR="00570ACC">
              <w:rPr>
                <w:rFonts w:ascii="Times New Roman" w:hAnsi="Times New Roman"/>
                <w:sz w:val="26"/>
                <w:szCs w:val="26"/>
              </w:rPr>
              <w:t>N</w:t>
            </w:r>
            <w:r w:rsidRPr="00CC59EF">
              <w:rPr>
                <w:rFonts w:ascii="Times New Roman" w:hAnsi="Times New Roman"/>
                <w:sz w:val="26"/>
                <w:szCs w:val="26"/>
              </w:rPr>
              <w:t xml:space="preserve">oteikumu projekta ietvaros īstenojamās atbalsta programmas ietekmes, risku un attiecīgi sagaidāmo zaudējumu, finansiālo rezultātu un programmas īstenošanas izvērtēšanu, lai ievērotu Attīstības finanšu institūcijas likuma 12.panta </w:t>
            </w:r>
            <w:r w:rsidR="00570ACC">
              <w:rPr>
                <w:rFonts w:ascii="Times New Roman" w:hAnsi="Times New Roman"/>
                <w:sz w:val="26"/>
                <w:szCs w:val="26"/>
              </w:rPr>
              <w:t>trešo daļu</w:t>
            </w:r>
            <w:r w:rsidRPr="00CC59EF">
              <w:rPr>
                <w:rFonts w:ascii="Times New Roman" w:hAnsi="Times New Roman"/>
                <w:sz w:val="26"/>
                <w:szCs w:val="26"/>
              </w:rPr>
              <w:t xml:space="preserve">. Šo </w:t>
            </w:r>
            <w:r w:rsidRPr="00CC59EF">
              <w:rPr>
                <w:rFonts w:ascii="Times New Roman" w:hAnsi="Times New Roman"/>
                <w:sz w:val="26"/>
                <w:szCs w:val="26"/>
              </w:rPr>
              <w:t>izvērtējumu</w:t>
            </w:r>
            <w:r w:rsidRPr="00CC59EF">
              <w:rPr>
                <w:rFonts w:ascii="Times New Roman" w:hAnsi="Times New Roman"/>
                <w:sz w:val="26"/>
                <w:szCs w:val="26"/>
              </w:rPr>
              <w:t xml:space="preserve"> EM </w:t>
            </w:r>
            <w:r w:rsidRPr="00CC59EF">
              <w:rPr>
                <w:rFonts w:ascii="Times New Roman" w:hAnsi="Times New Roman"/>
                <w:sz w:val="26"/>
                <w:szCs w:val="26"/>
              </w:rPr>
              <w:t xml:space="preserve">virzīs apstiprināšanai Ministru kabinetā vienlaicīgi ar </w:t>
            </w:r>
            <w:r w:rsidR="00570ACC">
              <w:rPr>
                <w:rFonts w:ascii="Times New Roman" w:hAnsi="Times New Roman"/>
                <w:sz w:val="26"/>
                <w:szCs w:val="26"/>
              </w:rPr>
              <w:t xml:space="preserve">šo Noteikumu projektu </w:t>
            </w:r>
            <w:r w:rsidRPr="00CC59EF">
              <w:rPr>
                <w:rFonts w:ascii="Times New Roman" w:hAnsi="Times New Roman"/>
                <w:sz w:val="26"/>
                <w:szCs w:val="26"/>
              </w:rPr>
              <w:t xml:space="preserve">un EM to atsevišķi saskaņos ar Finanšu ministriju, kad būs saskaņoti visi </w:t>
            </w:r>
            <w:r w:rsidR="00570ACC">
              <w:rPr>
                <w:rFonts w:ascii="Times New Roman" w:hAnsi="Times New Roman"/>
                <w:sz w:val="26"/>
                <w:szCs w:val="26"/>
              </w:rPr>
              <w:t>N</w:t>
            </w:r>
            <w:r w:rsidRPr="00CC59EF" w:rsidR="00570ACC">
              <w:rPr>
                <w:rFonts w:ascii="Times New Roman" w:hAnsi="Times New Roman"/>
                <w:sz w:val="26"/>
                <w:szCs w:val="26"/>
              </w:rPr>
              <w:t xml:space="preserve">oteikumu </w:t>
            </w:r>
            <w:r w:rsidRPr="00CC59EF">
              <w:rPr>
                <w:rFonts w:ascii="Times New Roman" w:hAnsi="Times New Roman"/>
                <w:sz w:val="26"/>
                <w:szCs w:val="26"/>
              </w:rPr>
              <w:t xml:space="preserve">projekta nosacījumi, kas ir priekšnosacījums šī </w:t>
            </w:r>
            <w:r w:rsidRPr="00CC59EF">
              <w:rPr>
                <w:rFonts w:ascii="Times New Roman" w:hAnsi="Times New Roman"/>
                <w:sz w:val="26"/>
                <w:szCs w:val="26"/>
              </w:rPr>
              <w:t>izvērtējuma</w:t>
            </w:r>
            <w:r w:rsidRPr="00CC59EF">
              <w:rPr>
                <w:rFonts w:ascii="Times New Roman" w:hAnsi="Times New Roman"/>
                <w:sz w:val="26"/>
                <w:szCs w:val="26"/>
              </w:rPr>
              <w:t xml:space="preserve"> apstiprināšanai.</w:t>
            </w:r>
          </w:p>
        </w:tc>
      </w:tr>
      <w:tr w14:paraId="5E83C9D0" w14:textId="77777777" w:rsidTr="005E4D67">
        <w:tblPrEx>
          <w:tblW w:w="9781" w:type="dxa"/>
          <w:tblInd w:w="-537" w:type="dxa"/>
          <w:tblLayout w:type="fixed"/>
          <w:tblCellMar>
            <w:left w:w="0" w:type="dxa"/>
            <w:right w:w="0" w:type="dxa"/>
          </w:tblCellMar>
          <w:tblLook w:val="04A0"/>
        </w:tblPrEx>
        <w:trPr>
          <w:trHeight w:val="360"/>
        </w:trPr>
        <w:tc>
          <w:tcPr>
            <w:tcW w:w="3119" w:type="dxa"/>
            <w:tcBorders>
              <w:top w:val="thickThinLargeGap" w:sz="6" w:space="0" w:color="C0C0C0"/>
              <w:left w:val="thickThinLargeGap" w:sz="6" w:space="0" w:color="C0C0C0"/>
              <w:bottom w:val="thickThinLargeGap" w:sz="6" w:space="0" w:color="C0C0C0"/>
              <w:right w:val="thickThinLargeGap" w:sz="6" w:space="0" w:color="C0C0C0"/>
            </w:tcBorders>
            <w:hideMark/>
          </w:tcPr>
          <w:p w:rsidR="00865185" w:rsidRPr="000D6942" w:rsidP="006D126F" w14:paraId="6BB4C39C" w14:textId="084FAE53">
            <w:pPr>
              <w:spacing w:after="0" w:line="240" w:lineRule="auto"/>
              <w:rPr>
                <w:rFonts w:ascii="Times New Roman" w:eastAsia="Times New Roman" w:hAnsi="Times New Roman"/>
                <w:sz w:val="26"/>
                <w:szCs w:val="26"/>
                <w:lang w:eastAsia="lv-LV"/>
              </w:rPr>
            </w:pPr>
            <w:r w:rsidRPr="000D6942">
              <w:rPr>
                <w:rFonts w:ascii="Times New Roman" w:eastAsia="Times New Roman" w:hAnsi="Times New Roman"/>
                <w:sz w:val="26"/>
                <w:szCs w:val="26"/>
                <w:lang w:eastAsia="lv-LV"/>
              </w:rPr>
              <w:t>3. Projekta izstrādē iesaistītās institūcijas</w:t>
            </w:r>
          </w:p>
        </w:tc>
        <w:tc>
          <w:tcPr>
            <w:tcW w:w="6662" w:type="dxa"/>
            <w:tcBorders>
              <w:top w:val="thickThinLargeGap" w:sz="6" w:space="0" w:color="C0C0C0"/>
              <w:left w:val="thickThinLargeGap" w:sz="6" w:space="0" w:color="C0C0C0"/>
              <w:bottom w:val="thickThinLargeGap" w:sz="6" w:space="0" w:color="C0C0C0"/>
              <w:right w:val="thickThinLargeGap" w:sz="6" w:space="0" w:color="C0C0C0"/>
            </w:tcBorders>
            <w:hideMark/>
          </w:tcPr>
          <w:p w:rsidR="00865185" w:rsidRPr="000D6942" w:rsidP="006D126F" w14:paraId="10C1310F" w14:textId="77777777">
            <w:pPr>
              <w:spacing w:after="0" w:line="240" w:lineRule="auto"/>
              <w:ind w:firstLine="567"/>
              <w:jc w:val="both"/>
              <w:rPr>
                <w:rFonts w:ascii="Times New Roman" w:hAnsi="Times New Roman"/>
                <w:color w:val="000000"/>
                <w:sz w:val="26"/>
                <w:szCs w:val="26"/>
              </w:rPr>
            </w:pPr>
            <w:r w:rsidRPr="000D6942">
              <w:rPr>
                <w:rFonts w:ascii="Times New Roman" w:hAnsi="Times New Roman"/>
                <w:color w:val="000000"/>
                <w:sz w:val="26"/>
                <w:szCs w:val="26"/>
              </w:rPr>
              <w:t>Nav</w:t>
            </w:r>
          </w:p>
        </w:tc>
      </w:tr>
      <w:tr w14:paraId="1C617DFF" w14:textId="77777777" w:rsidTr="005E4D67">
        <w:tblPrEx>
          <w:tblW w:w="9781" w:type="dxa"/>
          <w:tblInd w:w="-537" w:type="dxa"/>
          <w:tblLayout w:type="fixed"/>
          <w:tblCellMar>
            <w:left w:w="0" w:type="dxa"/>
            <w:right w:w="0" w:type="dxa"/>
          </w:tblCellMar>
          <w:tblLook w:val="04A0"/>
        </w:tblPrEx>
        <w:tc>
          <w:tcPr>
            <w:tcW w:w="3119" w:type="dxa"/>
            <w:tcBorders>
              <w:top w:val="thickThinLargeGap" w:sz="6" w:space="0" w:color="C0C0C0"/>
              <w:left w:val="thickThinLargeGap" w:sz="6" w:space="0" w:color="C0C0C0"/>
              <w:bottom w:val="thickThinLargeGap" w:sz="6" w:space="0" w:color="C0C0C0"/>
              <w:right w:val="thickThinLargeGap" w:sz="6" w:space="0" w:color="C0C0C0"/>
            </w:tcBorders>
            <w:hideMark/>
          </w:tcPr>
          <w:p w:rsidR="00865185" w:rsidRPr="000D6942" w:rsidP="006D126F" w14:paraId="00E227B4" w14:textId="77777777">
            <w:pPr>
              <w:spacing w:after="0" w:line="240" w:lineRule="auto"/>
              <w:rPr>
                <w:rFonts w:ascii="Times New Roman" w:eastAsia="Times New Roman" w:hAnsi="Times New Roman"/>
                <w:sz w:val="26"/>
                <w:szCs w:val="26"/>
                <w:lang w:eastAsia="lv-LV"/>
              </w:rPr>
            </w:pPr>
            <w:r w:rsidRPr="000D6942">
              <w:rPr>
                <w:rFonts w:ascii="Times New Roman" w:eastAsia="Times New Roman" w:hAnsi="Times New Roman"/>
                <w:sz w:val="26"/>
                <w:szCs w:val="26"/>
                <w:lang w:eastAsia="lv-LV"/>
              </w:rPr>
              <w:t> 4. Cita informācija</w:t>
            </w:r>
          </w:p>
        </w:tc>
        <w:tc>
          <w:tcPr>
            <w:tcW w:w="6662" w:type="dxa"/>
            <w:tcBorders>
              <w:top w:val="thickThinLargeGap" w:sz="6" w:space="0" w:color="C0C0C0"/>
              <w:left w:val="thickThinLargeGap" w:sz="6" w:space="0" w:color="C0C0C0"/>
              <w:bottom w:val="thickThinLargeGap" w:sz="6" w:space="0" w:color="C0C0C0"/>
              <w:right w:val="thickThinLargeGap" w:sz="6" w:space="0" w:color="C0C0C0"/>
            </w:tcBorders>
            <w:hideMark/>
          </w:tcPr>
          <w:p w:rsidR="00865185" w:rsidRPr="000D6942" w:rsidP="006D126F" w14:paraId="7F19D085" w14:textId="77777777">
            <w:pPr>
              <w:spacing w:after="0" w:line="240" w:lineRule="auto"/>
              <w:ind w:firstLine="567"/>
              <w:jc w:val="both"/>
              <w:rPr>
                <w:rFonts w:ascii="Times New Roman" w:hAnsi="Times New Roman"/>
                <w:sz w:val="26"/>
                <w:szCs w:val="26"/>
              </w:rPr>
            </w:pPr>
            <w:r w:rsidRPr="000D6942">
              <w:rPr>
                <w:rFonts w:ascii="Times New Roman" w:hAnsi="Times New Roman"/>
                <w:sz w:val="26"/>
                <w:szCs w:val="26"/>
              </w:rPr>
              <w:t>Nav</w:t>
            </w:r>
          </w:p>
        </w:tc>
      </w:tr>
    </w:tbl>
    <w:p w:rsidR="00865185" w:rsidRPr="000D6942" w:rsidP="00865185" w14:paraId="632B726E" w14:textId="77777777">
      <w:pPr>
        <w:spacing w:after="0" w:line="240" w:lineRule="auto"/>
        <w:jc w:val="center"/>
        <w:rPr>
          <w:rFonts w:ascii="Times New Roman" w:eastAsia="Arial Unicode MS" w:hAnsi="Times New Roman"/>
          <w:b/>
          <w:sz w:val="26"/>
          <w:szCs w:val="26"/>
        </w:rPr>
      </w:pPr>
    </w:p>
    <w:tbl>
      <w:tblPr>
        <w:tblpPr w:leftFromText="180" w:rightFromText="180" w:bottomFromText="200" w:vertAnchor="text" w:horzAnchor="margin" w:tblpXSpec="center" w:tblpY="149"/>
        <w:tblW w:w="9639"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4A0"/>
      </w:tblPr>
      <w:tblGrid>
        <w:gridCol w:w="3231"/>
        <w:gridCol w:w="6408"/>
      </w:tblGrid>
      <w:tr w14:paraId="51D11DF1" w14:textId="77777777" w:rsidTr="006D126F">
        <w:tblPrEx>
          <w:tblW w:w="9639"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4A0"/>
        </w:tblPrEx>
        <w:tc>
          <w:tcPr>
            <w:tcW w:w="9639"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865185" w:rsidRPr="000D6942" w:rsidP="006D126F" w14:paraId="14D1DB27" w14:textId="77777777">
            <w:pPr>
              <w:spacing w:after="0" w:line="240" w:lineRule="auto"/>
              <w:jc w:val="center"/>
              <w:rPr>
                <w:rFonts w:ascii="Times New Roman" w:eastAsia="Times New Roman" w:hAnsi="Times New Roman"/>
                <w:b/>
                <w:bCs/>
                <w:sz w:val="26"/>
                <w:szCs w:val="26"/>
                <w:lang w:eastAsia="lv-LV"/>
              </w:rPr>
            </w:pPr>
            <w:r w:rsidRPr="000D6942">
              <w:rPr>
                <w:rFonts w:ascii="Times New Roman" w:eastAsia="Times New Roman" w:hAnsi="Times New Roman"/>
                <w:b/>
                <w:bCs/>
                <w:sz w:val="26"/>
                <w:szCs w:val="26"/>
                <w:lang w:eastAsia="lv-LV"/>
              </w:rPr>
              <w:t>II. Tiesību akta projekta ietekme uz sabiedrību, tautsaimniecības attīstību un administratīvo slogu</w:t>
            </w:r>
          </w:p>
        </w:tc>
      </w:tr>
      <w:tr w14:paraId="0F3071BF" w14:textId="77777777" w:rsidTr="006D126F">
        <w:tblPrEx>
          <w:tblW w:w="9639" w:type="dxa"/>
          <w:tblCellMar>
            <w:left w:w="0" w:type="dxa"/>
            <w:right w:w="0" w:type="dxa"/>
          </w:tblCellMar>
          <w:tblLook w:val="04A0"/>
        </w:tblPrEx>
        <w:trPr>
          <w:trHeight w:val="467"/>
        </w:trPr>
        <w:tc>
          <w:tcPr>
            <w:tcW w:w="3231" w:type="dxa"/>
            <w:tcBorders>
              <w:top w:val="thickThinLargeGap" w:sz="6" w:space="0" w:color="C0C0C0"/>
              <w:left w:val="thickThinLargeGap" w:sz="6" w:space="0" w:color="C0C0C0"/>
              <w:bottom w:val="thickThinLargeGap" w:sz="6" w:space="0" w:color="C0C0C0"/>
              <w:right w:val="thickThinLargeGap" w:sz="6" w:space="0" w:color="C0C0C0"/>
            </w:tcBorders>
            <w:hideMark/>
          </w:tcPr>
          <w:p w:rsidR="00865185" w:rsidRPr="000D6942" w:rsidP="006D126F" w14:paraId="5E7677EC" w14:textId="77777777">
            <w:pPr>
              <w:numPr>
                <w:ilvl w:val="0"/>
                <w:numId w:val="1"/>
              </w:numPr>
              <w:spacing w:after="0" w:line="240" w:lineRule="auto"/>
              <w:ind w:left="30" w:firstLine="0"/>
              <w:rPr>
                <w:rFonts w:ascii="Times New Roman" w:eastAsia="Times New Roman" w:hAnsi="Times New Roman"/>
                <w:sz w:val="26"/>
                <w:szCs w:val="26"/>
                <w:lang w:eastAsia="lv-LV"/>
              </w:rPr>
            </w:pPr>
            <w:r w:rsidRPr="000D6942">
              <w:rPr>
                <w:rFonts w:ascii="Times New Roman" w:eastAsia="Times New Roman" w:hAnsi="Times New Roman"/>
                <w:sz w:val="26"/>
                <w:szCs w:val="26"/>
                <w:lang w:eastAsia="lv-LV"/>
              </w:rPr>
              <w:t xml:space="preserve">Sabiedrības </w:t>
            </w:r>
            <w:r w:rsidRPr="000D6942">
              <w:rPr>
                <w:rFonts w:ascii="Times New Roman" w:eastAsia="Times New Roman" w:hAnsi="Times New Roman"/>
                <w:sz w:val="26"/>
                <w:szCs w:val="26"/>
                <w:lang w:eastAsia="lv-LV"/>
              </w:rPr>
              <w:t>mērķgrupas</w:t>
            </w:r>
            <w:r w:rsidRPr="000D6942">
              <w:rPr>
                <w:rFonts w:ascii="Times New Roman" w:eastAsia="Times New Roman" w:hAnsi="Times New Roman"/>
                <w:sz w:val="26"/>
                <w:szCs w:val="26"/>
                <w:lang w:eastAsia="lv-LV"/>
              </w:rPr>
              <w:t>, kuras tiesiskais regulējums ietekmē vai varētu ietekmēt</w:t>
            </w:r>
          </w:p>
        </w:tc>
        <w:tc>
          <w:tcPr>
            <w:tcW w:w="6408" w:type="dxa"/>
            <w:tcBorders>
              <w:top w:val="thickThinLargeGap" w:sz="6" w:space="0" w:color="C0C0C0"/>
              <w:left w:val="thickThinLargeGap" w:sz="6" w:space="0" w:color="C0C0C0"/>
              <w:bottom w:val="thickThinLargeGap" w:sz="6" w:space="0" w:color="C0C0C0"/>
              <w:right w:val="thickThinLargeGap" w:sz="6" w:space="0" w:color="C0C0C0"/>
            </w:tcBorders>
            <w:hideMark/>
          </w:tcPr>
          <w:p w:rsidR="00865185" w:rsidRPr="000D6942" w:rsidP="006D126F" w14:paraId="01E37C9E" w14:textId="14998357">
            <w:pPr>
              <w:spacing w:before="75" w:after="75" w:line="240" w:lineRule="auto"/>
              <w:ind w:firstLine="450"/>
              <w:jc w:val="both"/>
              <w:rPr>
                <w:rFonts w:ascii="Times New Roman" w:eastAsia="Times New Roman" w:hAnsi="Times New Roman"/>
                <w:iCs/>
                <w:sz w:val="26"/>
                <w:szCs w:val="26"/>
                <w:lang w:eastAsia="lv-LV"/>
              </w:rPr>
            </w:pPr>
            <w:r w:rsidRPr="000D6942">
              <w:rPr>
                <w:rFonts w:ascii="Times New Roman" w:eastAsia="Times New Roman" w:hAnsi="Times New Roman"/>
                <w:iCs/>
                <w:sz w:val="26"/>
                <w:szCs w:val="26"/>
                <w:lang w:eastAsia="lv-LV"/>
              </w:rPr>
              <w:t>Daudzdzīvokļu dzīvojamo māju dzīvokļu īpašnieki, īpaši pašvaldības, dzīvokļu īpašnieku pilnvarotās personas, ESKO, pārvaldnieki</w:t>
            </w:r>
            <w:r w:rsidRPr="000D6942" w:rsidR="00E6370E">
              <w:rPr>
                <w:rFonts w:ascii="Times New Roman" w:eastAsia="Times New Roman" w:hAnsi="Times New Roman"/>
                <w:iCs/>
                <w:sz w:val="26"/>
                <w:szCs w:val="26"/>
                <w:lang w:eastAsia="lv-LV"/>
              </w:rPr>
              <w:t xml:space="preserve">, </w:t>
            </w:r>
            <w:r w:rsidRPr="000D6942" w:rsidR="00A34896">
              <w:rPr>
                <w:rFonts w:ascii="Times New Roman" w:hAnsi="Times New Roman"/>
                <w:sz w:val="26"/>
                <w:szCs w:val="26"/>
              </w:rPr>
              <w:t xml:space="preserve"> saimnieciskās darbības veicēji</w:t>
            </w:r>
            <w:r w:rsidRPr="000D6942">
              <w:rPr>
                <w:rFonts w:ascii="Times New Roman" w:eastAsia="Times New Roman" w:hAnsi="Times New Roman"/>
                <w:iCs/>
                <w:sz w:val="26"/>
                <w:szCs w:val="26"/>
                <w:lang w:eastAsia="lv-LV"/>
              </w:rPr>
              <w:t>.</w:t>
            </w:r>
          </w:p>
        </w:tc>
      </w:tr>
      <w:tr w14:paraId="33E06B8C" w14:textId="77777777" w:rsidTr="006D126F">
        <w:tblPrEx>
          <w:tblW w:w="9639" w:type="dxa"/>
          <w:tblCellMar>
            <w:left w:w="0" w:type="dxa"/>
            <w:right w:w="0" w:type="dxa"/>
          </w:tblCellMar>
          <w:tblLook w:val="04A0"/>
        </w:tblPrEx>
        <w:trPr>
          <w:trHeight w:val="523"/>
        </w:trPr>
        <w:tc>
          <w:tcPr>
            <w:tcW w:w="3231" w:type="dxa"/>
            <w:tcBorders>
              <w:top w:val="thickThinLargeGap" w:sz="6" w:space="0" w:color="C0C0C0"/>
              <w:left w:val="thickThinLargeGap" w:sz="6" w:space="0" w:color="C0C0C0"/>
              <w:bottom w:val="thickThinLargeGap" w:sz="6" w:space="0" w:color="C0C0C0"/>
              <w:right w:val="thickThinLargeGap" w:sz="6" w:space="0" w:color="C0C0C0"/>
            </w:tcBorders>
            <w:hideMark/>
          </w:tcPr>
          <w:p w:rsidR="00865185" w:rsidRPr="000D6942" w:rsidP="006D126F" w14:paraId="508876A4" w14:textId="77777777">
            <w:pPr>
              <w:numPr>
                <w:ilvl w:val="0"/>
                <w:numId w:val="1"/>
              </w:numPr>
              <w:spacing w:after="0" w:line="240" w:lineRule="auto"/>
              <w:ind w:left="30" w:firstLine="0"/>
              <w:rPr>
                <w:rFonts w:ascii="Times New Roman" w:eastAsia="Times New Roman" w:hAnsi="Times New Roman"/>
                <w:sz w:val="26"/>
                <w:szCs w:val="26"/>
                <w:lang w:eastAsia="lv-LV"/>
              </w:rPr>
            </w:pPr>
            <w:r w:rsidRPr="000D6942">
              <w:rPr>
                <w:rFonts w:ascii="Times New Roman" w:eastAsia="Times New Roman" w:hAnsi="Times New Roman"/>
                <w:sz w:val="26"/>
                <w:szCs w:val="26"/>
                <w:lang w:eastAsia="lv-LV"/>
              </w:rPr>
              <w:t>Tiesiskā regulējuma ietekme uz tautsaimniecību un administratīvo slogu</w:t>
            </w:r>
          </w:p>
        </w:tc>
        <w:tc>
          <w:tcPr>
            <w:tcW w:w="6408" w:type="dxa"/>
            <w:tcBorders>
              <w:top w:val="thickThinLargeGap" w:sz="6" w:space="0" w:color="C0C0C0"/>
              <w:left w:val="thickThinLargeGap" w:sz="6" w:space="0" w:color="C0C0C0"/>
              <w:bottom w:val="thickThinLargeGap" w:sz="6" w:space="0" w:color="C0C0C0"/>
              <w:right w:val="thickThinLargeGap" w:sz="6" w:space="0" w:color="C0C0C0"/>
            </w:tcBorders>
            <w:hideMark/>
          </w:tcPr>
          <w:p w:rsidR="00865185" w:rsidRPr="000D6942" w:rsidP="006D126F" w14:paraId="1E3C62A6" w14:textId="77777777">
            <w:pPr>
              <w:spacing w:after="0" w:line="240" w:lineRule="auto"/>
              <w:ind w:firstLine="450"/>
              <w:jc w:val="both"/>
              <w:rPr>
                <w:rFonts w:ascii="Times New Roman" w:eastAsia="Times New Roman" w:hAnsi="Times New Roman"/>
                <w:iCs/>
                <w:sz w:val="26"/>
                <w:szCs w:val="26"/>
                <w:lang w:eastAsia="lv-LV"/>
              </w:rPr>
            </w:pPr>
            <w:r w:rsidRPr="000D6942">
              <w:rPr>
                <w:rFonts w:ascii="Times New Roman" w:eastAsia="Times New Roman" w:hAnsi="Times New Roman"/>
                <w:iCs/>
                <w:sz w:val="26"/>
                <w:szCs w:val="26"/>
                <w:lang w:eastAsia="lv-LV"/>
              </w:rPr>
              <w:t>Noteikumu projekts neparedz ietekmi uz administratīvo slogu.</w:t>
            </w:r>
          </w:p>
          <w:p w:rsidR="00865185" w:rsidRPr="000D6942" w:rsidP="006D126F" w14:paraId="0DA13175" w14:textId="76B2AAAC">
            <w:pPr>
              <w:spacing w:after="0" w:line="240" w:lineRule="auto"/>
              <w:ind w:firstLine="450"/>
              <w:jc w:val="both"/>
              <w:rPr>
                <w:rFonts w:ascii="Times New Roman" w:eastAsia="Times New Roman" w:hAnsi="Times New Roman"/>
                <w:iCs/>
                <w:sz w:val="26"/>
                <w:szCs w:val="26"/>
                <w:lang w:eastAsia="lv-LV"/>
              </w:rPr>
            </w:pPr>
            <w:r w:rsidRPr="000D6942">
              <w:rPr>
                <w:rFonts w:ascii="Times New Roman" w:eastAsia="Times New Roman" w:hAnsi="Times New Roman"/>
                <w:iCs/>
                <w:sz w:val="26"/>
                <w:szCs w:val="26"/>
                <w:lang w:eastAsia="lv-LV"/>
              </w:rPr>
              <w:t xml:space="preserve">Noteikumu projekta īstenošanu nodrošinās sabiedrība </w:t>
            </w:r>
            <w:r w:rsidRPr="000D6942" w:rsidR="00E6370E">
              <w:rPr>
                <w:rFonts w:ascii="Times New Roman" w:eastAsia="Times New Roman" w:hAnsi="Times New Roman"/>
                <w:bCs/>
                <w:sz w:val="26"/>
                <w:szCs w:val="26"/>
              </w:rPr>
              <w:t>"</w:t>
            </w:r>
            <w:r w:rsidRPr="000D6942">
              <w:rPr>
                <w:rFonts w:ascii="Times New Roman" w:eastAsia="Times New Roman" w:hAnsi="Times New Roman"/>
                <w:iCs/>
                <w:sz w:val="26"/>
                <w:szCs w:val="26"/>
                <w:lang w:eastAsia="lv-LV"/>
              </w:rPr>
              <w:t>Altum</w:t>
            </w:r>
            <w:r w:rsidRPr="000D6942" w:rsidR="00E6370E">
              <w:rPr>
                <w:rFonts w:ascii="Times New Roman" w:eastAsia="Times New Roman" w:hAnsi="Times New Roman"/>
                <w:bCs/>
                <w:sz w:val="26"/>
                <w:szCs w:val="26"/>
              </w:rPr>
              <w:t>"</w:t>
            </w:r>
            <w:r w:rsidRPr="000D6942">
              <w:rPr>
                <w:rFonts w:ascii="Times New Roman" w:eastAsia="Times New Roman" w:hAnsi="Times New Roman"/>
                <w:iCs/>
                <w:sz w:val="26"/>
                <w:szCs w:val="26"/>
                <w:lang w:eastAsia="lv-LV"/>
              </w:rPr>
              <w:t>.</w:t>
            </w:r>
          </w:p>
          <w:p w:rsidR="00865185" w:rsidRPr="000D6942" w:rsidP="006D126F" w14:paraId="7BF2FCFD" w14:textId="76CDDA20">
            <w:pPr>
              <w:spacing w:after="0" w:line="240" w:lineRule="auto"/>
              <w:ind w:firstLine="450"/>
              <w:jc w:val="both"/>
              <w:rPr>
                <w:rFonts w:ascii="Times New Roman" w:eastAsia="Times New Roman" w:hAnsi="Times New Roman"/>
                <w:sz w:val="26"/>
                <w:szCs w:val="26"/>
                <w:lang w:eastAsia="lv-LV"/>
              </w:rPr>
            </w:pPr>
          </w:p>
        </w:tc>
      </w:tr>
      <w:tr w14:paraId="7741D95B" w14:textId="77777777" w:rsidTr="006D126F">
        <w:tblPrEx>
          <w:tblW w:w="9639" w:type="dxa"/>
          <w:tblCellMar>
            <w:left w:w="0" w:type="dxa"/>
            <w:right w:w="0" w:type="dxa"/>
          </w:tblCellMar>
          <w:tblLook w:val="04A0"/>
        </w:tblPrEx>
        <w:trPr>
          <w:trHeight w:val="517"/>
        </w:trPr>
        <w:tc>
          <w:tcPr>
            <w:tcW w:w="3231" w:type="dxa"/>
            <w:tcBorders>
              <w:top w:val="thickThinLargeGap" w:sz="6" w:space="0" w:color="C0C0C0"/>
              <w:left w:val="thickThinLargeGap" w:sz="6" w:space="0" w:color="C0C0C0"/>
              <w:bottom w:val="thickThinLargeGap" w:sz="6" w:space="0" w:color="C0C0C0"/>
              <w:right w:val="thickThinLargeGap" w:sz="6" w:space="0" w:color="C0C0C0"/>
            </w:tcBorders>
            <w:hideMark/>
          </w:tcPr>
          <w:p w:rsidR="00865185" w:rsidRPr="000D6942" w:rsidP="006D126F" w14:paraId="438ABA98" w14:textId="77777777">
            <w:pPr>
              <w:numPr>
                <w:ilvl w:val="0"/>
                <w:numId w:val="1"/>
              </w:numPr>
              <w:spacing w:after="0" w:line="240" w:lineRule="auto"/>
              <w:ind w:left="30" w:firstLine="0"/>
              <w:rPr>
                <w:rFonts w:ascii="Times New Roman" w:eastAsia="Times New Roman" w:hAnsi="Times New Roman"/>
                <w:sz w:val="26"/>
                <w:szCs w:val="26"/>
                <w:lang w:eastAsia="lv-LV"/>
              </w:rPr>
            </w:pPr>
            <w:r w:rsidRPr="000D6942">
              <w:rPr>
                <w:rFonts w:ascii="Times New Roman" w:eastAsia="Times New Roman" w:hAnsi="Times New Roman"/>
                <w:sz w:val="26"/>
                <w:szCs w:val="26"/>
                <w:lang w:eastAsia="lv-LV"/>
              </w:rPr>
              <w:t>Administratīvo izmaksu monetārs novērtējums</w:t>
            </w:r>
          </w:p>
        </w:tc>
        <w:tc>
          <w:tcPr>
            <w:tcW w:w="6408" w:type="dxa"/>
            <w:tcBorders>
              <w:top w:val="thickThinLargeGap" w:sz="6" w:space="0" w:color="C0C0C0"/>
              <w:left w:val="thickThinLargeGap" w:sz="6" w:space="0" w:color="C0C0C0"/>
              <w:bottom w:val="thickThinLargeGap" w:sz="6" w:space="0" w:color="C0C0C0"/>
              <w:right w:val="thickThinLargeGap" w:sz="6" w:space="0" w:color="C0C0C0"/>
            </w:tcBorders>
            <w:hideMark/>
          </w:tcPr>
          <w:p w:rsidR="00865185" w:rsidRPr="000D6942" w:rsidP="00DE51B6" w14:paraId="3C251FCD" w14:textId="0B8CADEF">
            <w:pPr>
              <w:spacing w:after="0" w:line="240" w:lineRule="auto"/>
              <w:ind w:firstLine="461"/>
              <w:jc w:val="both"/>
              <w:rPr>
                <w:rFonts w:ascii="Times New Roman" w:eastAsia="Times New Roman" w:hAnsi="Times New Roman"/>
                <w:sz w:val="26"/>
                <w:szCs w:val="26"/>
                <w:lang w:eastAsia="lv-LV"/>
              </w:rPr>
            </w:pPr>
            <w:r w:rsidRPr="000D6942">
              <w:rPr>
                <w:rFonts w:ascii="Times New Roman" w:eastAsia="Times New Roman" w:hAnsi="Times New Roman"/>
                <w:iCs/>
                <w:sz w:val="26"/>
                <w:szCs w:val="26"/>
                <w:lang w:eastAsia="lv-LV"/>
              </w:rPr>
              <w:t>Noteikumu projekts neparedz ietekmi uz administratīvo slogu un izmaksām.</w:t>
            </w:r>
          </w:p>
        </w:tc>
      </w:tr>
      <w:tr w14:paraId="5C25D11C" w14:textId="77777777" w:rsidTr="006D126F">
        <w:tblPrEx>
          <w:tblW w:w="9639" w:type="dxa"/>
          <w:tblCellMar>
            <w:left w:w="0" w:type="dxa"/>
            <w:right w:w="0" w:type="dxa"/>
          </w:tblCellMar>
          <w:tblLook w:val="04A0"/>
        </w:tblPrEx>
        <w:trPr>
          <w:trHeight w:val="390"/>
        </w:trPr>
        <w:tc>
          <w:tcPr>
            <w:tcW w:w="3231" w:type="dxa"/>
            <w:tcBorders>
              <w:top w:val="thickThinLargeGap" w:sz="6" w:space="0" w:color="C0C0C0"/>
              <w:left w:val="thickThinLargeGap" w:sz="6" w:space="0" w:color="C0C0C0"/>
              <w:bottom w:val="thickThinLargeGap" w:sz="6" w:space="0" w:color="C0C0C0"/>
              <w:right w:val="thickThinLargeGap" w:sz="6" w:space="0" w:color="C0C0C0"/>
            </w:tcBorders>
            <w:hideMark/>
          </w:tcPr>
          <w:p w:rsidR="00865185" w:rsidRPr="000D6942" w:rsidP="006D126F" w14:paraId="343C68C0" w14:textId="77777777">
            <w:pPr>
              <w:numPr>
                <w:ilvl w:val="0"/>
                <w:numId w:val="1"/>
              </w:numPr>
              <w:spacing w:after="0" w:line="240" w:lineRule="auto"/>
              <w:ind w:left="30" w:firstLine="0"/>
              <w:rPr>
                <w:rFonts w:ascii="Times New Roman" w:eastAsia="Times New Roman" w:hAnsi="Times New Roman"/>
                <w:sz w:val="26"/>
                <w:szCs w:val="26"/>
                <w:lang w:eastAsia="lv-LV"/>
              </w:rPr>
            </w:pPr>
            <w:r w:rsidRPr="000D6942">
              <w:rPr>
                <w:rFonts w:ascii="Times New Roman" w:eastAsia="Times New Roman" w:hAnsi="Times New Roman"/>
                <w:sz w:val="26"/>
                <w:szCs w:val="26"/>
                <w:lang w:eastAsia="lv-LV"/>
              </w:rPr>
              <w:t>Cita informācija</w:t>
            </w:r>
          </w:p>
        </w:tc>
        <w:tc>
          <w:tcPr>
            <w:tcW w:w="6408" w:type="dxa"/>
            <w:tcBorders>
              <w:top w:val="thickThinLargeGap" w:sz="6" w:space="0" w:color="C0C0C0"/>
              <w:left w:val="thickThinLargeGap" w:sz="6" w:space="0" w:color="C0C0C0"/>
              <w:bottom w:val="thickThinLargeGap" w:sz="6" w:space="0" w:color="C0C0C0"/>
              <w:right w:val="thickThinLargeGap" w:sz="6" w:space="0" w:color="C0C0C0"/>
            </w:tcBorders>
            <w:hideMark/>
          </w:tcPr>
          <w:p w:rsidR="00865185" w:rsidRPr="000D6942" w:rsidP="006D126F" w14:paraId="0C8B6EC9" w14:textId="77777777">
            <w:pPr>
              <w:spacing w:after="0" w:line="240" w:lineRule="auto"/>
              <w:ind w:firstLine="450"/>
              <w:jc w:val="both"/>
              <w:rPr>
                <w:rFonts w:ascii="Times New Roman" w:eastAsia="Times New Roman" w:hAnsi="Times New Roman"/>
                <w:iCs/>
                <w:sz w:val="26"/>
                <w:szCs w:val="26"/>
                <w:lang w:eastAsia="lv-LV"/>
              </w:rPr>
            </w:pPr>
            <w:r w:rsidRPr="000D6942">
              <w:rPr>
                <w:rFonts w:ascii="Times New Roman" w:eastAsia="Times New Roman" w:hAnsi="Times New Roman"/>
                <w:color w:val="000000"/>
                <w:sz w:val="26"/>
                <w:szCs w:val="26"/>
                <w:lang w:eastAsia="lv-LV"/>
              </w:rPr>
              <w:t>Nav</w:t>
            </w:r>
          </w:p>
        </w:tc>
      </w:tr>
    </w:tbl>
    <w:tbl>
      <w:tblPr>
        <w:tblW w:w="5814" w:type="pct"/>
        <w:tblCellSpacing w:w="15"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80"/>
        <w:gridCol w:w="3107"/>
        <w:gridCol w:w="6858"/>
      </w:tblGrid>
      <w:tr w14:paraId="2FE74D04" w14:textId="77777777" w:rsidTr="006D126F">
        <w:tblPrEx>
          <w:tblW w:w="5814" w:type="pct"/>
          <w:tblCellSpacing w:w="15"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865185" w:rsidRPr="000D6942" w:rsidP="006D126F" w14:paraId="31D412F0" w14:textId="77777777">
            <w:pPr>
              <w:spacing w:before="100" w:beforeAutospacing="1" w:after="100" w:afterAutospacing="1" w:line="240" w:lineRule="auto"/>
              <w:jc w:val="center"/>
              <w:rPr>
                <w:rFonts w:ascii="Times New Roman" w:eastAsia="Times New Roman" w:hAnsi="Times New Roman"/>
                <w:b/>
                <w:bCs/>
                <w:sz w:val="26"/>
                <w:szCs w:val="26"/>
                <w:lang w:eastAsia="lv-LV"/>
              </w:rPr>
            </w:pPr>
            <w:r w:rsidRPr="000D6942">
              <w:rPr>
                <w:rFonts w:ascii="Times New Roman" w:eastAsia="Times New Roman" w:hAnsi="Times New Roman"/>
                <w:b/>
                <w:bCs/>
                <w:sz w:val="26"/>
                <w:szCs w:val="26"/>
                <w:lang w:eastAsia="lv-LV"/>
              </w:rPr>
              <w:t>V. Tiesību akta projekta atbilstība Latvijas Republikas starptautiskajām saistībām</w:t>
            </w:r>
          </w:p>
        </w:tc>
      </w:tr>
      <w:tr w14:paraId="06B81E6A" w14:textId="77777777" w:rsidTr="00865185">
        <w:tblPrEx>
          <w:tblW w:w="5814" w:type="pct"/>
          <w:tblCellSpacing w:w="15" w:type="dxa"/>
          <w:tblInd w:w="-717" w:type="dxa"/>
          <w:tblCellMar>
            <w:top w:w="30" w:type="dxa"/>
            <w:left w:w="30" w:type="dxa"/>
            <w:bottom w:w="30" w:type="dxa"/>
            <w:right w:w="30" w:type="dxa"/>
          </w:tblCellMar>
          <w:tblLook w:val="04A0"/>
        </w:tblPrEx>
        <w:trPr>
          <w:tblCellSpacing w:w="15" w:type="dxa"/>
        </w:trPr>
        <w:tc>
          <w:tcPr>
            <w:tcW w:w="344" w:type="pct"/>
            <w:tcBorders>
              <w:top w:val="outset" w:sz="6" w:space="0" w:color="auto"/>
              <w:left w:val="outset" w:sz="6" w:space="0" w:color="auto"/>
              <w:bottom w:val="outset" w:sz="6" w:space="0" w:color="auto"/>
              <w:right w:val="outset" w:sz="6" w:space="0" w:color="auto"/>
            </w:tcBorders>
            <w:hideMark/>
          </w:tcPr>
          <w:p w:rsidR="00865185" w:rsidRPr="000D6942" w:rsidP="006D126F" w14:paraId="57826566" w14:textId="77777777">
            <w:pPr>
              <w:spacing w:after="0" w:line="240" w:lineRule="auto"/>
              <w:rPr>
                <w:rFonts w:ascii="Times New Roman" w:eastAsia="Times New Roman" w:hAnsi="Times New Roman"/>
                <w:sz w:val="26"/>
                <w:szCs w:val="26"/>
                <w:lang w:eastAsia="lv-LV"/>
              </w:rPr>
            </w:pPr>
            <w:r w:rsidRPr="000D6942">
              <w:rPr>
                <w:rFonts w:ascii="Times New Roman" w:eastAsia="Times New Roman" w:hAnsi="Times New Roman"/>
                <w:sz w:val="26"/>
                <w:szCs w:val="26"/>
                <w:lang w:eastAsia="lv-LV"/>
              </w:rPr>
              <w:t>1.</w:t>
            </w:r>
          </w:p>
        </w:tc>
        <w:tc>
          <w:tcPr>
            <w:tcW w:w="1439" w:type="pct"/>
            <w:tcBorders>
              <w:top w:val="outset" w:sz="6" w:space="0" w:color="auto"/>
              <w:left w:val="outset" w:sz="6" w:space="0" w:color="auto"/>
              <w:bottom w:val="outset" w:sz="6" w:space="0" w:color="auto"/>
              <w:right w:val="outset" w:sz="6" w:space="0" w:color="auto"/>
            </w:tcBorders>
            <w:hideMark/>
          </w:tcPr>
          <w:p w:rsidR="00865185" w:rsidRPr="000D6942" w:rsidP="006D126F" w14:paraId="4078D6D1" w14:textId="77777777">
            <w:pPr>
              <w:spacing w:after="0" w:line="240" w:lineRule="auto"/>
              <w:rPr>
                <w:rFonts w:ascii="Times New Roman" w:eastAsia="Times New Roman" w:hAnsi="Times New Roman"/>
                <w:sz w:val="26"/>
                <w:szCs w:val="26"/>
                <w:lang w:eastAsia="lv-LV"/>
              </w:rPr>
            </w:pPr>
            <w:r w:rsidRPr="000D6942">
              <w:rPr>
                <w:rFonts w:ascii="Times New Roman" w:eastAsia="Times New Roman" w:hAnsi="Times New Roman"/>
                <w:sz w:val="26"/>
                <w:szCs w:val="26"/>
                <w:lang w:eastAsia="lv-LV"/>
              </w:rPr>
              <w:t>Saistības pret Eiropas Savienību</w:t>
            </w:r>
          </w:p>
        </w:tc>
        <w:tc>
          <w:tcPr>
            <w:tcW w:w="3154" w:type="pct"/>
            <w:tcBorders>
              <w:top w:val="outset" w:sz="6" w:space="0" w:color="auto"/>
              <w:left w:val="outset" w:sz="6" w:space="0" w:color="auto"/>
              <w:bottom w:val="outset" w:sz="6" w:space="0" w:color="auto"/>
              <w:right w:val="outset" w:sz="6" w:space="0" w:color="auto"/>
            </w:tcBorders>
            <w:hideMark/>
          </w:tcPr>
          <w:p w:rsidR="00865185" w:rsidRPr="000D6942" w:rsidP="006D126F" w14:paraId="76D5E4D1" w14:textId="778D150E">
            <w:pPr>
              <w:spacing w:after="0" w:line="240" w:lineRule="auto"/>
              <w:jc w:val="both"/>
              <w:rPr>
                <w:rFonts w:ascii="Times New Roman" w:eastAsia="Times New Roman" w:hAnsi="Times New Roman"/>
                <w:sz w:val="26"/>
                <w:szCs w:val="26"/>
                <w:lang w:eastAsia="lv-LV"/>
              </w:rPr>
            </w:pPr>
            <w:r w:rsidRPr="000D6942">
              <w:rPr>
                <w:rFonts w:ascii="Times New Roman" w:eastAsia="Times New Roman" w:hAnsi="Times New Roman"/>
                <w:sz w:val="26"/>
                <w:szCs w:val="26"/>
                <w:lang w:eastAsia="lv-LV"/>
              </w:rPr>
              <w:t xml:space="preserve">Ar Noteikumu projektu tiks ieviestas prasības no Komisijas 2013. gada 18. decembra Regulas (ES) Nr. 1407/2013 par Līguma par Eiropas Savienības darbību 107. un 108. panta piemērošanu </w:t>
            </w:r>
            <w:r w:rsidRPr="000D6942">
              <w:rPr>
                <w:rFonts w:ascii="Times New Roman" w:eastAsia="Times New Roman" w:hAnsi="Times New Roman"/>
                <w:i/>
                <w:sz w:val="26"/>
                <w:szCs w:val="26"/>
                <w:lang w:eastAsia="lv-LV"/>
              </w:rPr>
              <w:t xml:space="preserve">de </w:t>
            </w:r>
            <w:r w:rsidRPr="000D6942">
              <w:rPr>
                <w:rFonts w:ascii="Times New Roman" w:eastAsia="Times New Roman" w:hAnsi="Times New Roman"/>
                <w:i/>
                <w:sz w:val="26"/>
                <w:szCs w:val="26"/>
                <w:lang w:eastAsia="lv-LV"/>
              </w:rPr>
              <w:t>minimis</w:t>
            </w:r>
            <w:r w:rsidRPr="000D6942">
              <w:rPr>
                <w:rFonts w:ascii="Times New Roman" w:eastAsia="Times New Roman" w:hAnsi="Times New Roman"/>
                <w:sz w:val="26"/>
                <w:szCs w:val="26"/>
                <w:lang w:eastAsia="lv-LV"/>
              </w:rPr>
              <w:t xml:space="preserve"> atbalstam (Eiropas Savienības Oficiālais Vēstnesis, 2013. gada 24. decembris, Nr. L 352) (</w:t>
            </w:r>
            <w:r w:rsidR="00616F47">
              <w:rPr>
                <w:rFonts w:ascii="Times New Roman" w:eastAsia="Times New Roman" w:hAnsi="Times New Roman"/>
                <w:sz w:val="26"/>
                <w:szCs w:val="26"/>
                <w:lang w:eastAsia="lv-LV"/>
              </w:rPr>
              <w:t>turpmāk – Regula Nr. 1407/2013); Komisijas regulas Nr.1408/2013 un Komisijas regulas</w:t>
            </w:r>
            <w:r w:rsidRPr="00616F47" w:rsidR="00616F47">
              <w:rPr>
                <w:rFonts w:ascii="Times New Roman" w:eastAsia="Times New Roman" w:hAnsi="Times New Roman"/>
                <w:sz w:val="26"/>
                <w:szCs w:val="26"/>
                <w:lang w:eastAsia="lv-LV"/>
              </w:rPr>
              <w:t xml:space="preserve"> Nr.717/2014  </w:t>
            </w:r>
          </w:p>
        </w:tc>
      </w:tr>
      <w:tr w14:paraId="75EC0FA1" w14:textId="77777777" w:rsidTr="00865185">
        <w:tblPrEx>
          <w:tblW w:w="5814" w:type="pct"/>
          <w:tblCellSpacing w:w="15" w:type="dxa"/>
          <w:tblInd w:w="-717" w:type="dxa"/>
          <w:tblCellMar>
            <w:top w:w="30" w:type="dxa"/>
            <w:left w:w="30" w:type="dxa"/>
            <w:bottom w:w="30" w:type="dxa"/>
            <w:right w:w="30" w:type="dxa"/>
          </w:tblCellMar>
          <w:tblLook w:val="04A0"/>
        </w:tblPrEx>
        <w:trPr>
          <w:tblCellSpacing w:w="15" w:type="dxa"/>
        </w:trPr>
        <w:tc>
          <w:tcPr>
            <w:tcW w:w="344" w:type="pct"/>
            <w:tcBorders>
              <w:top w:val="outset" w:sz="6" w:space="0" w:color="auto"/>
              <w:left w:val="outset" w:sz="6" w:space="0" w:color="auto"/>
              <w:bottom w:val="outset" w:sz="6" w:space="0" w:color="auto"/>
              <w:right w:val="outset" w:sz="6" w:space="0" w:color="auto"/>
            </w:tcBorders>
            <w:hideMark/>
          </w:tcPr>
          <w:p w:rsidR="00865185" w:rsidRPr="000D6942" w:rsidP="006D126F" w14:paraId="60737EFB" w14:textId="77777777">
            <w:pPr>
              <w:spacing w:after="0" w:line="240" w:lineRule="auto"/>
              <w:rPr>
                <w:rFonts w:ascii="Times New Roman" w:eastAsia="Times New Roman" w:hAnsi="Times New Roman"/>
                <w:sz w:val="26"/>
                <w:szCs w:val="26"/>
                <w:lang w:eastAsia="lv-LV"/>
              </w:rPr>
            </w:pPr>
            <w:r w:rsidRPr="000D6942">
              <w:rPr>
                <w:rFonts w:ascii="Times New Roman" w:eastAsia="Times New Roman" w:hAnsi="Times New Roman"/>
                <w:sz w:val="26"/>
                <w:szCs w:val="26"/>
                <w:lang w:eastAsia="lv-LV"/>
              </w:rPr>
              <w:t>2.</w:t>
            </w:r>
          </w:p>
        </w:tc>
        <w:tc>
          <w:tcPr>
            <w:tcW w:w="1439" w:type="pct"/>
            <w:tcBorders>
              <w:top w:val="outset" w:sz="6" w:space="0" w:color="auto"/>
              <w:left w:val="outset" w:sz="6" w:space="0" w:color="auto"/>
              <w:bottom w:val="outset" w:sz="6" w:space="0" w:color="auto"/>
              <w:right w:val="outset" w:sz="6" w:space="0" w:color="auto"/>
            </w:tcBorders>
            <w:hideMark/>
          </w:tcPr>
          <w:p w:rsidR="00865185" w:rsidRPr="000D6942" w:rsidP="006D126F" w14:paraId="49DB3F0C" w14:textId="77777777">
            <w:pPr>
              <w:spacing w:after="0" w:line="240" w:lineRule="auto"/>
              <w:rPr>
                <w:rFonts w:ascii="Times New Roman" w:eastAsia="Times New Roman" w:hAnsi="Times New Roman"/>
                <w:sz w:val="26"/>
                <w:szCs w:val="26"/>
                <w:lang w:eastAsia="lv-LV"/>
              </w:rPr>
            </w:pPr>
            <w:r w:rsidRPr="000D6942">
              <w:rPr>
                <w:rFonts w:ascii="Times New Roman" w:eastAsia="Times New Roman" w:hAnsi="Times New Roman"/>
                <w:sz w:val="26"/>
                <w:szCs w:val="26"/>
                <w:lang w:eastAsia="lv-LV"/>
              </w:rPr>
              <w:t>Citas starptautiskās saistības</w:t>
            </w:r>
          </w:p>
        </w:tc>
        <w:tc>
          <w:tcPr>
            <w:tcW w:w="3154" w:type="pct"/>
            <w:tcBorders>
              <w:top w:val="outset" w:sz="6" w:space="0" w:color="auto"/>
              <w:left w:val="outset" w:sz="6" w:space="0" w:color="auto"/>
              <w:bottom w:val="outset" w:sz="6" w:space="0" w:color="auto"/>
              <w:right w:val="outset" w:sz="6" w:space="0" w:color="auto"/>
            </w:tcBorders>
            <w:hideMark/>
          </w:tcPr>
          <w:p w:rsidR="00865185" w:rsidRPr="000D6942" w:rsidP="006D126F" w14:paraId="7B0E7D5B" w14:textId="77777777">
            <w:pPr>
              <w:spacing w:after="0" w:line="240" w:lineRule="auto"/>
              <w:rPr>
                <w:rFonts w:ascii="Times New Roman" w:eastAsia="Times New Roman" w:hAnsi="Times New Roman"/>
                <w:sz w:val="26"/>
                <w:szCs w:val="26"/>
                <w:lang w:eastAsia="lv-LV"/>
              </w:rPr>
            </w:pPr>
            <w:r w:rsidRPr="000D6942">
              <w:rPr>
                <w:rFonts w:ascii="Times New Roman" w:eastAsia="Times New Roman" w:hAnsi="Times New Roman"/>
                <w:sz w:val="26"/>
                <w:szCs w:val="26"/>
                <w:lang w:eastAsia="lv-LV"/>
              </w:rPr>
              <w:t>Noteikumu projekts šo jomu neskar.</w:t>
            </w:r>
          </w:p>
        </w:tc>
      </w:tr>
      <w:tr w14:paraId="69686BC3" w14:textId="77777777" w:rsidTr="00865185">
        <w:tblPrEx>
          <w:tblW w:w="5814" w:type="pct"/>
          <w:tblCellSpacing w:w="15" w:type="dxa"/>
          <w:tblInd w:w="-717" w:type="dxa"/>
          <w:tblCellMar>
            <w:top w:w="30" w:type="dxa"/>
            <w:left w:w="30" w:type="dxa"/>
            <w:bottom w:w="30" w:type="dxa"/>
            <w:right w:w="30" w:type="dxa"/>
          </w:tblCellMar>
          <w:tblLook w:val="04A0"/>
        </w:tblPrEx>
        <w:trPr>
          <w:tblCellSpacing w:w="15" w:type="dxa"/>
        </w:trPr>
        <w:tc>
          <w:tcPr>
            <w:tcW w:w="344" w:type="pct"/>
            <w:tcBorders>
              <w:top w:val="outset" w:sz="6" w:space="0" w:color="auto"/>
              <w:left w:val="outset" w:sz="6" w:space="0" w:color="auto"/>
              <w:bottom w:val="outset" w:sz="6" w:space="0" w:color="auto"/>
              <w:right w:val="outset" w:sz="6" w:space="0" w:color="auto"/>
            </w:tcBorders>
            <w:hideMark/>
          </w:tcPr>
          <w:p w:rsidR="00865185" w:rsidRPr="000D6942" w:rsidP="006D126F" w14:paraId="7C209230" w14:textId="77777777">
            <w:pPr>
              <w:spacing w:after="0" w:line="240" w:lineRule="auto"/>
              <w:rPr>
                <w:rFonts w:ascii="Times New Roman" w:eastAsia="Times New Roman" w:hAnsi="Times New Roman"/>
                <w:sz w:val="26"/>
                <w:szCs w:val="26"/>
                <w:lang w:eastAsia="lv-LV"/>
              </w:rPr>
            </w:pPr>
            <w:r w:rsidRPr="000D6942">
              <w:rPr>
                <w:rFonts w:ascii="Times New Roman" w:eastAsia="Times New Roman" w:hAnsi="Times New Roman"/>
                <w:sz w:val="26"/>
                <w:szCs w:val="26"/>
                <w:lang w:eastAsia="lv-LV"/>
              </w:rPr>
              <w:t>3.</w:t>
            </w:r>
          </w:p>
        </w:tc>
        <w:tc>
          <w:tcPr>
            <w:tcW w:w="1439" w:type="pct"/>
            <w:tcBorders>
              <w:top w:val="outset" w:sz="6" w:space="0" w:color="auto"/>
              <w:left w:val="outset" w:sz="6" w:space="0" w:color="auto"/>
              <w:bottom w:val="outset" w:sz="6" w:space="0" w:color="auto"/>
              <w:right w:val="outset" w:sz="6" w:space="0" w:color="auto"/>
            </w:tcBorders>
            <w:hideMark/>
          </w:tcPr>
          <w:p w:rsidR="00865185" w:rsidRPr="000D6942" w:rsidP="006D126F" w14:paraId="089541A3" w14:textId="77777777">
            <w:pPr>
              <w:spacing w:after="0" w:line="240" w:lineRule="auto"/>
              <w:rPr>
                <w:rFonts w:ascii="Times New Roman" w:eastAsia="Times New Roman" w:hAnsi="Times New Roman"/>
                <w:sz w:val="26"/>
                <w:szCs w:val="26"/>
                <w:lang w:eastAsia="lv-LV"/>
              </w:rPr>
            </w:pPr>
            <w:r w:rsidRPr="000D6942">
              <w:rPr>
                <w:rFonts w:ascii="Times New Roman" w:eastAsia="Times New Roman" w:hAnsi="Times New Roman"/>
                <w:sz w:val="26"/>
                <w:szCs w:val="26"/>
                <w:lang w:eastAsia="lv-LV"/>
              </w:rPr>
              <w:t>Cita informācija</w:t>
            </w:r>
          </w:p>
        </w:tc>
        <w:tc>
          <w:tcPr>
            <w:tcW w:w="3154" w:type="pct"/>
            <w:tcBorders>
              <w:top w:val="outset" w:sz="6" w:space="0" w:color="auto"/>
              <w:left w:val="outset" w:sz="6" w:space="0" w:color="auto"/>
              <w:bottom w:val="outset" w:sz="6" w:space="0" w:color="auto"/>
              <w:right w:val="outset" w:sz="6" w:space="0" w:color="auto"/>
            </w:tcBorders>
            <w:hideMark/>
          </w:tcPr>
          <w:p w:rsidR="00865185" w:rsidRPr="000D6942" w:rsidP="006D126F" w14:paraId="6103C9FA" w14:textId="77777777">
            <w:pPr>
              <w:spacing w:after="0" w:line="240" w:lineRule="auto"/>
              <w:rPr>
                <w:rFonts w:ascii="Times New Roman" w:eastAsia="Times New Roman" w:hAnsi="Times New Roman"/>
                <w:sz w:val="26"/>
                <w:szCs w:val="26"/>
                <w:lang w:eastAsia="lv-LV"/>
              </w:rPr>
            </w:pPr>
            <w:r w:rsidRPr="000D6942">
              <w:rPr>
                <w:rFonts w:ascii="Times New Roman" w:eastAsia="Times New Roman" w:hAnsi="Times New Roman"/>
                <w:sz w:val="26"/>
                <w:szCs w:val="26"/>
                <w:lang w:eastAsia="lv-LV"/>
              </w:rPr>
              <w:t>Nav</w:t>
            </w:r>
          </w:p>
        </w:tc>
      </w:tr>
    </w:tbl>
    <w:p w:rsidR="00865185" w:rsidRPr="000D6942" w:rsidP="00865185" w14:paraId="65FAFFEA" w14:textId="77777777">
      <w:pPr>
        <w:spacing w:before="100" w:beforeAutospacing="1" w:after="0" w:line="240" w:lineRule="auto"/>
        <w:rPr>
          <w:rFonts w:ascii="Times New Roman" w:eastAsia="Times New Roman" w:hAnsi="Times New Roman"/>
          <w:sz w:val="26"/>
          <w:szCs w:val="26"/>
          <w:lang w:eastAsia="lv-LV"/>
        </w:rPr>
      </w:pPr>
    </w:p>
    <w:tbl>
      <w:tblPr>
        <w:tblW w:w="5724"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061"/>
        <w:gridCol w:w="1904"/>
        <w:gridCol w:w="1609"/>
        <w:gridCol w:w="5005"/>
      </w:tblGrid>
      <w:tr w14:paraId="3B5E5BB8" w14:textId="77777777" w:rsidTr="0060005D">
        <w:tblPrEx>
          <w:tblW w:w="5724"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jc w:val="center"/>
        </w:trPr>
        <w:tc>
          <w:tcPr>
            <w:tcW w:w="4969" w:type="pct"/>
            <w:gridSpan w:val="4"/>
            <w:tcBorders>
              <w:top w:val="outset" w:sz="6" w:space="0" w:color="auto"/>
              <w:left w:val="outset" w:sz="6" w:space="0" w:color="auto"/>
              <w:bottom w:val="outset" w:sz="6" w:space="0" w:color="auto"/>
              <w:right w:val="outset" w:sz="6" w:space="0" w:color="auto"/>
            </w:tcBorders>
            <w:vAlign w:val="center"/>
            <w:hideMark/>
          </w:tcPr>
          <w:p w:rsidR="00865185" w:rsidRPr="000D6942" w:rsidP="006D126F" w14:paraId="6938994F" w14:textId="77777777">
            <w:pPr>
              <w:spacing w:before="100" w:beforeAutospacing="1" w:after="100" w:afterAutospacing="1" w:line="240" w:lineRule="auto"/>
              <w:jc w:val="center"/>
              <w:rPr>
                <w:rFonts w:ascii="Times New Roman" w:eastAsia="Times New Roman" w:hAnsi="Times New Roman"/>
                <w:b/>
                <w:bCs/>
                <w:sz w:val="26"/>
                <w:szCs w:val="26"/>
                <w:lang w:eastAsia="lv-LV"/>
              </w:rPr>
            </w:pPr>
            <w:r w:rsidRPr="000D6942">
              <w:rPr>
                <w:rFonts w:ascii="Times New Roman" w:eastAsia="Times New Roman" w:hAnsi="Times New Roman"/>
                <w:b/>
                <w:bCs/>
                <w:sz w:val="26"/>
                <w:szCs w:val="26"/>
                <w:lang w:eastAsia="lv-LV"/>
              </w:rPr>
              <w:t>1.tabula</w:t>
            </w:r>
            <w:r w:rsidRPr="000D6942">
              <w:rPr>
                <w:rFonts w:ascii="Times New Roman" w:eastAsia="Times New Roman" w:hAnsi="Times New Roman"/>
                <w:b/>
                <w:bCs/>
                <w:sz w:val="26"/>
                <w:szCs w:val="26"/>
                <w:lang w:eastAsia="lv-LV"/>
              </w:rPr>
              <w:br/>
              <w:t>Tiesību akta projekta atbilstība ES tiesību aktiem</w:t>
            </w:r>
          </w:p>
        </w:tc>
      </w:tr>
      <w:tr w14:paraId="3E532351" w14:textId="77777777" w:rsidTr="00DC613D">
        <w:tblPrEx>
          <w:tblW w:w="5724" w:type="pct"/>
          <w:jc w:val="center"/>
          <w:tblCellSpacing w:w="15" w:type="dxa"/>
          <w:tblCellMar>
            <w:top w:w="30" w:type="dxa"/>
            <w:left w:w="30" w:type="dxa"/>
            <w:bottom w:w="30" w:type="dxa"/>
            <w:right w:w="30" w:type="dxa"/>
          </w:tblCellMar>
          <w:tblLook w:val="04A0"/>
        </w:tblPrEx>
        <w:trPr>
          <w:tblCellSpacing w:w="15" w:type="dxa"/>
          <w:jc w:val="center"/>
        </w:trPr>
        <w:tc>
          <w:tcPr>
            <w:tcW w:w="961" w:type="pct"/>
            <w:tcBorders>
              <w:top w:val="outset" w:sz="6" w:space="0" w:color="auto"/>
              <w:left w:val="outset" w:sz="6" w:space="0" w:color="auto"/>
              <w:bottom w:val="outset" w:sz="6" w:space="0" w:color="auto"/>
              <w:right w:val="outset" w:sz="6" w:space="0" w:color="auto"/>
            </w:tcBorders>
            <w:hideMark/>
          </w:tcPr>
          <w:p w:rsidR="00865185" w:rsidRPr="000D6942" w:rsidP="006D126F" w14:paraId="2DF16A87" w14:textId="77777777">
            <w:pPr>
              <w:spacing w:after="0" w:line="240" w:lineRule="auto"/>
              <w:rPr>
                <w:rFonts w:ascii="Times New Roman" w:eastAsia="Times New Roman" w:hAnsi="Times New Roman"/>
                <w:sz w:val="26"/>
                <w:szCs w:val="26"/>
                <w:lang w:eastAsia="lv-LV"/>
              </w:rPr>
            </w:pPr>
            <w:r w:rsidRPr="000D6942">
              <w:rPr>
                <w:rFonts w:ascii="Times New Roman" w:eastAsia="Times New Roman" w:hAnsi="Times New Roman"/>
                <w:sz w:val="26"/>
                <w:szCs w:val="26"/>
                <w:lang w:eastAsia="lv-LV"/>
              </w:rPr>
              <w:t xml:space="preserve">Attiecīgā ES tiesību akta </w:t>
            </w:r>
            <w:r w:rsidRPr="000D6942">
              <w:rPr>
                <w:rFonts w:ascii="Times New Roman" w:eastAsia="Times New Roman" w:hAnsi="Times New Roman"/>
                <w:sz w:val="26"/>
                <w:szCs w:val="26"/>
                <w:lang w:eastAsia="lv-LV"/>
              </w:rPr>
              <w:t>datums, numurs un nosaukums</w:t>
            </w:r>
          </w:p>
        </w:tc>
        <w:tc>
          <w:tcPr>
            <w:tcW w:w="3992" w:type="pct"/>
            <w:gridSpan w:val="3"/>
            <w:tcBorders>
              <w:top w:val="outset" w:sz="6" w:space="0" w:color="auto"/>
              <w:left w:val="outset" w:sz="6" w:space="0" w:color="auto"/>
              <w:bottom w:val="outset" w:sz="6" w:space="0" w:color="auto"/>
              <w:right w:val="outset" w:sz="6" w:space="0" w:color="auto"/>
            </w:tcBorders>
            <w:hideMark/>
          </w:tcPr>
          <w:p w:rsidR="0060005D" w:rsidRPr="000D6942" w:rsidP="006D126F" w14:paraId="613467A3" w14:textId="77777777">
            <w:pPr>
              <w:spacing w:after="0" w:line="240" w:lineRule="auto"/>
              <w:jc w:val="both"/>
              <w:rPr>
                <w:rFonts w:ascii="Times New Roman" w:eastAsia="Times New Roman" w:hAnsi="Times New Roman"/>
                <w:sz w:val="26"/>
                <w:szCs w:val="26"/>
                <w:lang w:eastAsia="lv-LV"/>
              </w:rPr>
            </w:pPr>
            <w:r w:rsidRPr="000D6942">
              <w:rPr>
                <w:rFonts w:ascii="Times New Roman" w:eastAsia="Times New Roman" w:hAnsi="Times New Roman"/>
                <w:sz w:val="26"/>
                <w:szCs w:val="26"/>
                <w:lang w:eastAsia="lv-LV"/>
              </w:rPr>
              <w:t xml:space="preserve">Ar </w:t>
            </w:r>
            <w:r w:rsidRPr="000D6942" w:rsidR="00B259AE">
              <w:rPr>
                <w:rFonts w:ascii="Times New Roman" w:eastAsia="Times New Roman" w:hAnsi="Times New Roman"/>
                <w:sz w:val="26"/>
                <w:szCs w:val="26"/>
                <w:lang w:eastAsia="lv-LV"/>
              </w:rPr>
              <w:t>noteikumu projektu</w:t>
            </w:r>
            <w:r w:rsidRPr="000D6942">
              <w:rPr>
                <w:rFonts w:ascii="Times New Roman" w:eastAsia="Times New Roman" w:hAnsi="Times New Roman"/>
                <w:sz w:val="26"/>
                <w:szCs w:val="26"/>
                <w:lang w:eastAsia="lv-LV"/>
              </w:rPr>
              <w:t xml:space="preserve"> tiek ieviestas</w:t>
            </w:r>
            <w:r w:rsidRPr="000D6942">
              <w:rPr>
                <w:rFonts w:ascii="Times New Roman" w:eastAsia="Times New Roman" w:hAnsi="Times New Roman"/>
                <w:sz w:val="26"/>
                <w:szCs w:val="26"/>
                <w:lang w:eastAsia="lv-LV"/>
              </w:rPr>
              <w:t>:</w:t>
            </w:r>
          </w:p>
          <w:p w:rsidR="0060005D" w:rsidRPr="000D6942" w:rsidP="00F41458" w14:paraId="193DE84B" w14:textId="637F654C">
            <w:pPr>
              <w:pStyle w:val="ListParagraph"/>
              <w:numPr>
                <w:ilvl w:val="0"/>
                <w:numId w:val="7"/>
              </w:numPr>
              <w:spacing w:after="0" w:line="240" w:lineRule="auto"/>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Regulas Nr. 140</w:t>
            </w:r>
            <w:r w:rsidRPr="000D6942" w:rsidR="00865185">
              <w:rPr>
                <w:rFonts w:ascii="Times New Roman" w:eastAsia="Times New Roman" w:hAnsi="Times New Roman"/>
                <w:sz w:val="26"/>
                <w:szCs w:val="26"/>
                <w:lang w:eastAsia="lv-LV"/>
              </w:rPr>
              <w:t>7/2013 prasības</w:t>
            </w:r>
            <w:r w:rsidRPr="000D6942">
              <w:rPr>
                <w:rFonts w:ascii="Times New Roman" w:eastAsia="Times New Roman" w:hAnsi="Times New Roman"/>
                <w:sz w:val="26"/>
                <w:szCs w:val="26"/>
                <w:lang w:val="lv-LV" w:eastAsia="lv-LV"/>
              </w:rPr>
              <w:t>;</w:t>
            </w:r>
          </w:p>
          <w:p w:rsidR="00865185" w:rsidRPr="00616F47" w:rsidP="00F41458" w14:paraId="05FDE8D7" w14:textId="77777777">
            <w:pPr>
              <w:pStyle w:val="ListParagraph"/>
              <w:numPr>
                <w:ilvl w:val="0"/>
                <w:numId w:val="7"/>
              </w:numPr>
              <w:spacing w:after="0" w:line="240" w:lineRule="auto"/>
              <w:jc w:val="both"/>
              <w:rPr>
                <w:rFonts w:ascii="Times New Roman" w:eastAsia="Times New Roman" w:hAnsi="Times New Roman"/>
                <w:sz w:val="26"/>
                <w:szCs w:val="26"/>
                <w:lang w:eastAsia="lv-LV"/>
              </w:rPr>
            </w:pPr>
            <w:r w:rsidRPr="000D6942">
              <w:rPr>
                <w:rFonts w:ascii="Times New Roman" w:eastAsia="Times New Roman" w:hAnsi="Times New Roman"/>
                <w:sz w:val="26"/>
                <w:szCs w:val="26"/>
                <w:lang w:eastAsia="lv-LV"/>
              </w:rPr>
              <w:t xml:space="preserve">Regulas Nr. </w:t>
            </w:r>
            <w:r w:rsidR="00616F47">
              <w:rPr>
                <w:rFonts w:ascii="Times New Roman" w:eastAsia="Times New Roman" w:hAnsi="Times New Roman"/>
                <w:sz w:val="26"/>
                <w:szCs w:val="26"/>
                <w:lang w:val="lv-LV" w:eastAsia="lv-LV"/>
              </w:rPr>
              <w:t>702/2014 prasības;</w:t>
            </w:r>
          </w:p>
          <w:p w:rsidR="00616F47" w:rsidRPr="00616F47" w:rsidP="00F41458" w14:paraId="231C0FAC" w14:textId="0474D02D">
            <w:pPr>
              <w:pStyle w:val="ListParagraph"/>
              <w:numPr>
                <w:ilvl w:val="0"/>
                <w:numId w:val="7"/>
              </w:numPr>
              <w:spacing w:after="0" w:line="240" w:lineRule="auto"/>
              <w:jc w:val="both"/>
              <w:rPr>
                <w:rFonts w:ascii="Times New Roman" w:eastAsia="Times New Roman" w:hAnsi="Times New Roman"/>
                <w:sz w:val="26"/>
                <w:szCs w:val="26"/>
                <w:lang w:eastAsia="lv-LV"/>
              </w:rPr>
            </w:pPr>
            <w:r>
              <w:rPr>
                <w:rFonts w:ascii="Times New Roman" w:eastAsia="Times New Roman" w:hAnsi="Times New Roman"/>
                <w:sz w:val="26"/>
                <w:szCs w:val="26"/>
                <w:lang w:val="lv-LV" w:eastAsia="lv-LV"/>
              </w:rPr>
              <w:t>Regulas Nr.</w:t>
            </w:r>
            <w:r w:rsidR="00CC59EF">
              <w:rPr>
                <w:rFonts w:ascii="Times New Roman" w:eastAsia="Times New Roman" w:hAnsi="Times New Roman"/>
                <w:sz w:val="26"/>
                <w:szCs w:val="26"/>
                <w:lang w:val="lv-LV" w:eastAsia="lv-LV"/>
              </w:rPr>
              <w:t xml:space="preserve"> </w:t>
            </w:r>
            <w:r>
              <w:rPr>
                <w:rFonts w:ascii="Times New Roman" w:eastAsia="Times New Roman" w:hAnsi="Times New Roman"/>
                <w:sz w:val="26"/>
                <w:szCs w:val="26"/>
                <w:lang w:val="lv-LV" w:eastAsia="lv-LV"/>
              </w:rPr>
              <w:t>1408/2013 prasības;</w:t>
            </w:r>
          </w:p>
          <w:p w:rsidR="00616F47" w:rsidRPr="000D6942" w:rsidP="00F41458" w14:paraId="219077DD" w14:textId="6AF99923">
            <w:pPr>
              <w:pStyle w:val="ListParagraph"/>
              <w:numPr>
                <w:ilvl w:val="0"/>
                <w:numId w:val="7"/>
              </w:numPr>
              <w:spacing w:after="0" w:line="240" w:lineRule="auto"/>
              <w:jc w:val="both"/>
              <w:rPr>
                <w:rFonts w:ascii="Times New Roman" w:eastAsia="Times New Roman" w:hAnsi="Times New Roman"/>
                <w:sz w:val="26"/>
                <w:szCs w:val="26"/>
                <w:lang w:eastAsia="lv-LV"/>
              </w:rPr>
            </w:pPr>
            <w:r>
              <w:rPr>
                <w:rFonts w:ascii="Times New Roman" w:eastAsia="Times New Roman" w:hAnsi="Times New Roman"/>
                <w:sz w:val="26"/>
                <w:szCs w:val="26"/>
                <w:lang w:val="lv-LV" w:eastAsia="lv-LV"/>
              </w:rPr>
              <w:t>Re</w:t>
            </w:r>
            <w:r>
              <w:rPr>
                <w:rFonts w:ascii="Times New Roman" w:eastAsia="Times New Roman" w:hAnsi="Times New Roman"/>
                <w:sz w:val="26"/>
                <w:szCs w:val="26"/>
                <w:lang w:val="lv-LV" w:eastAsia="lv-LV"/>
              </w:rPr>
              <w:t>gulas Nr.</w:t>
            </w:r>
            <w:r>
              <w:rPr>
                <w:rFonts w:ascii="Times New Roman" w:eastAsia="Times New Roman" w:hAnsi="Times New Roman"/>
                <w:sz w:val="26"/>
                <w:szCs w:val="26"/>
                <w:lang w:val="lv-LV" w:eastAsia="lv-LV"/>
              </w:rPr>
              <w:t xml:space="preserve"> 717/2014 prasības</w:t>
            </w:r>
          </w:p>
        </w:tc>
      </w:tr>
      <w:tr w14:paraId="5D64A45F" w14:textId="77777777" w:rsidTr="00DC613D">
        <w:tblPrEx>
          <w:tblW w:w="5724" w:type="pct"/>
          <w:jc w:val="center"/>
          <w:tblCellSpacing w:w="15" w:type="dxa"/>
          <w:tblCellMar>
            <w:top w:w="30" w:type="dxa"/>
            <w:left w:w="30" w:type="dxa"/>
            <w:bottom w:w="30" w:type="dxa"/>
            <w:right w:w="30" w:type="dxa"/>
          </w:tblCellMar>
          <w:tblLook w:val="04A0"/>
        </w:tblPrEx>
        <w:trPr>
          <w:tblCellSpacing w:w="15" w:type="dxa"/>
          <w:jc w:val="center"/>
        </w:trPr>
        <w:tc>
          <w:tcPr>
            <w:tcW w:w="961" w:type="pct"/>
            <w:tcBorders>
              <w:top w:val="outset" w:sz="6" w:space="0" w:color="auto"/>
              <w:left w:val="outset" w:sz="6" w:space="0" w:color="auto"/>
              <w:bottom w:val="outset" w:sz="6" w:space="0" w:color="auto"/>
              <w:right w:val="outset" w:sz="6" w:space="0" w:color="auto"/>
            </w:tcBorders>
            <w:vAlign w:val="center"/>
            <w:hideMark/>
          </w:tcPr>
          <w:p w:rsidR="00865185" w:rsidRPr="000D6942" w:rsidP="006D126F" w14:paraId="167E9F96" w14:textId="77777777">
            <w:pPr>
              <w:spacing w:before="100" w:beforeAutospacing="1" w:after="100" w:afterAutospacing="1" w:line="240" w:lineRule="auto"/>
              <w:jc w:val="center"/>
              <w:rPr>
                <w:rFonts w:ascii="Times New Roman" w:eastAsia="Times New Roman" w:hAnsi="Times New Roman"/>
                <w:sz w:val="26"/>
                <w:szCs w:val="26"/>
                <w:lang w:eastAsia="lv-LV"/>
              </w:rPr>
            </w:pPr>
            <w:r w:rsidRPr="000D6942">
              <w:rPr>
                <w:rFonts w:ascii="Times New Roman" w:eastAsia="Times New Roman" w:hAnsi="Times New Roman"/>
                <w:sz w:val="26"/>
                <w:szCs w:val="26"/>
                <w:lang w:eastAsia="lv-LV"/>
              </w:rPr>
              <w:t>A</w:t>
            </w:r>
          </w:p>
        </w:tc>
        <w:tc>
          <w:tcPr>
            <w:tcW w:w="893" w:type="pct"/>
            <w:tcBorders>
              <w:top w:val="outset" w:sz="6" w:space="0" w:color="auto"/>
              <w:left w:val="outset" w:sz="6" w:space="0" w:color="auto"/>
              <w:bottom w:val="outset" w:sz="6" w:space="0" w:color="auto"/>
              <w:right w:val="outset" w:sz="6" w:space="0" w:color="auto"/>
            </w:tcBorders>
            <w:vAlign w:val="center"/>
            <w:hideMark/>
          </w:tcPr>
          <w:p w:rsidR="00865185" w:rsidRPr="000D6942" w:rsidP="006D126F" w14:paraId="12BD0A12" w14:textId="77777777">
            <w:pPr>
              <w:spacing w:before="100" w:beforeAutospacing="1" w:after="100" w:afterAutospacing="1" w:line="240" w:lineRule="auto"/>
              <w:jc w:val="center"/>
              <w:rPr>
                <w:rFonts w:ascii="Times New Roman" w:eastAsia="Times New Roman" w:hAnsi="Times New Roman"/>
                <w:sz w:val="26"/>
                <w:szCs w:val="26"/>
                <w:lang w:eastAsia="lv-LV"/>
              </w:rPr>
            </w:pPr>
            <w:r w:rsidRPr="000D6942">
              <w:rPr>
                <w:rFonts w:ascii="Times New Roman" w:eastAsia="Times New Roman" w:hAnsi="Times New Roman"/>
                <w:sz w:val="26"/>
                <w:szCs w:val="26"/>
                <w:lang w:eastAsia="lv-LV"/>
              </w:rPr>
              <w:t>B</w:t>
            </w:r>
          </w:p>
        </w:tc>
        <w:tc>
          <w:tcPr>
            <w:tcW w:w="752" w:type="pct"/>
            <w:tcBorders>
              <w:top w:val="outset" w:sz="6" w:space="0" w:color="auto"/>
              <w:left w:val="outset" w:sz="6" w:space="0" w:color="auto"/>
              <w:bottom w:val="outset" w:sz="6" w:space="0" w:color="auto"/>
              <w:right w:val="outset" w:sz="6" w:space="0" w:color="auto"/>
            </w:tcBorders>
            <w:vAlign w:val="center"/>
            <w:hideMark/>
          </w:tcPr>
          <w:p w:rsidR="00865185" w:rsidRPr="000D6942" w:rsidP="006D126F" w14:paraId="79382070" w14:textId="77777777">
            <w:pPr>
              <w:spacing w:before="100" w:beforeAutospacing="1" w:after="100" w:afterAutospacing="1" w:line="240" w:lineRule="auto"/>
              <w:jc w:val="center"/>
              <w:rPr>
                <w:rFonts w:ascii="Times New Roman" w:eastAsia="Times New Roman" w:hAnsi="Times New Roman"/>
                <w:sz w:val="26"/>
                <w:szCs w:val="26"/>
                <w:lang w:eastAsia="lv-LV"/>
              </w:rPr>
            </w:pPr>
            <w:r w:rsidRPr="000D6942">
              <w:rPr>
                <w:rFonts w:ascii="Times New Roman" w:eastAsia="Times New Roman" w:hAnsi="Times New Roman"/>
                <w:sz w:val="26"/>
                <w:szCs w:val="26"/>
                <w:lang w:eastAsia="lv-LV"/>
              </w:rPr>
              <w:t>C</w:t>
            </w:r>
          </w:p>
        </w:tc>
        <w:tc>
          <w:tcPr>
            <w:tcW w:w="2317" w:type="pct"/>
            <w:tcBorders>
              <w:top w:val="outset" w:sz="6" w:space="0" w:color="auto"/>
              <w:left w:val="outset" w:sz="6" w:space="0" w:color="auto"/>
              <w:bottom w:val="outset" w:sz="6" w:space="0" w:color="auto"/>
              <w:right w:val="outset" w:sz="6" w:space="0" w:color="auto"/>
            </w:tcBorders>
            <w:vAlign w:val="center"/>
            <w:hideMark/>
          </w:tcPr>
          <w:p w:rsidR="00865185" w:rsidRPr="000D6942" w:rsidP="006D126F" w14:paraId="794168F6" w14:textId="77777777">
            <w:pPr>
              <w:spacing w:before="100" w:beforeAutospacing="1" w:after="100" w:afterAutospacing="1" w:line="240" w:lineRule="auto"/>
              <w:jc w:val="center"/>
              <w:rPr>
                <w:rFonts w:ascii="Times New Roman" w:eastAsia="Times New Roman" w:hAnsi="Times New Roman"/>
                <w:sz w:val="26"/>
                <w:szCs w:val="26"/>
                <w:lang w:eastAsia="lv-LV"/>
              </w:rPr>
            </w:pPr>
            <w:r w:rsidRPr="000D6942">
              <w:rPr>
                <w:rFonts w:ascii="Times New Roman" w:eastAsia="Times New Roman" w:hAnsi="Times New Roman"/>
                <w:sz w:val="26"/>
                <w:szCs w:val="26"/>
                <w:lang w:eastAsia="lv-LV"/>
              </w:rPr>
              <w:t>D</w:t>
            </w:r>
          </w:p>
        </w:tc>
      </w:tr>
      <w:tr w14:paraId="229F2019" w14:textId="77777777" w:rsidTr="00DC613D">
        <w:tblPrEx>
          <w:tblW w:w="5724" w:type="pct"/>
          <w:jc w:val="center"/>
          <w:tblCellSpacing w:w="15" w:type="dxa"/>
          <w:tblCellMar>
            <w:top w:w="30" w:type="dxa"/>
            <w:left w:w="30" w:type="dxa"/>
            <w:bottom w:w="30" w:type="dxa"/>
            <w:right w:w="30" w:type="dxa"/>
          </w:tblCellMar>
          <w:tblLook w:val="04A0"/>
        </w:tblPrEx>
        <w:trPr>
          <w:tblCellSpacing w:w="15" w:type="dxa"/>
          <w:jc w:val="center"/>
        </w:trPr>
        <w:tc>
          <w:tcPr>
            <w:tcW w:w="961" w:type="pct"/>
            <w:tcBorders>
              <w:top w:val="outset" w:sz="6" w:space="0" w:color="auto"/>
              <w:left w:val="outset" w:sz="6" w:space="0" w:color="auto"/>
              <w:bottom w:val="outset" w:sz="6" w:space="0" w:color="auto"/>
              <w:right w:val="outset" w:sz="6" w:space="0" w:color="auto"/>
            </w:tcBorders>
            <w:vAlign w:val="center"/>
          </w:tcPr>
          <w:p w:rsidR="00865185" w:rsidRPr="000D6942" w:rsidP="006D126F" w14:paraId="7902A5DA" w14:textId="77777777">
            <w:pPr>
              <w:spacing w:before="100" w:beforeAutospacing="1" w:after="100" w:afterAutospacing="1" w:line="240" w:lineRule="auto"/>
              <w:rPr>
                <w:rFonts w:ascii="Times New Roman" w:eastAsia="Times New Roman" w:hAnsi="Times New Roman"/>
                <w:sz w:val="26"/>
                <w:szCs w:val="26"/>
                <w:lang w:eastAsia="lv-LV"/>
              </w:rPr>
            </w:pPr>
            <w:r w:rsidRPr="000D6942">
              <w:rPr>
                <w:rFonts w:ascii="Times New Roman" w:eastAsia="Times New Roman" w:hAnsi="Times New Roman"/>
                <w:sz w:val="26"/>
                <w:szCs w:val="26"/>
                <w:lang w:eastAsia="lv-LV"/>
              </w:rPr>
              <w:t xml:space="preserve">Attiecīgā ES tiesību akta panta numurs (uzskaitot katru tiesību akta </w:t>
            </w:r>
          </w:p>
          <w:p w:rsidR="00865185" w:rsidRPr="000D6942" w:rsidP="006D126F" w14:paraId="75A19820" w14:textId="77777777">
            <w:pPr>
              <w:spacing w:before="100" w:beforeAutospacing="1" w:after="100" w:afterAutospacing="1" w:line="240" w:lineRule="auto"/>
              <w:rPr>
                <w:rFonts w:ascii="Times New Roman" w:eastAsia="Times New Roman" w:hAnsi="Times New Roman"/>
                <w:sz w:val="26"/>
                <w:szCs w:val="26"/>
                <w:lang w:eastAsia="lv-LV"/>
              </w:rPr>
            </w:pPr>
            <w:r w:rsidRPr="000D6942">
              <w:rPr>
                <w:rFonts w:ascii="Times New Roman" w:eastAsia="Times New Roman" w:hAnsi="Times New Roman"/>
                <w:sz w:val="26"/>
                <w:szCs w:val="26"/>
                <w:lang w:eastAsia="lv-LV"/>
              </w:rPr>
              <w:t>vienību – pantu, daļu, punktu, apakšpunktu)</w:t>
            </w:r>
          </w:p>
        </w:tc>
        <w:tc>
          <w:tcPr>
            <w:tcW w:w="893" w:type="pct"/>
            <w:tcBorders>
              <w:top w:val="outset" w:sz="6" w:space="0" w:color="auto"/>
              <w:left w:val="outset" w:sz="6" w:space="0" w:color="auto"/>
              <w:bottom w:val="outset" w:sz="6" w:space="0" w:color="auto"/>
              <w:right w:val="outset" w:sz="6" w:space="0" w:color="auto"/>
            </w:tcBorders>
            <w:vAlign w:val="center"/>
          </w:tcPr>
          <w:p w:rsidR="00865185" w:rsidRPr="000D6942" w:rsidP="006D126F" w14:paraId="5355EE3F" w14:textId="77777777">
            <w:pPr>
              <w:spacing w:before="100" w:beforeAutospacing="1" w:after="100" w:afterAutospacing="1" w:line="240" w:lineRule="auto"/>
              <w:rPr>
                <w:rFonts w:ascii="Times New Roman" w:eastAsia="Times New Roman" w:hAnsi="Times New Roman"/>
                <w:sz w:val="26"/>
                <w:szCs w:val="26"/>
                <w:lang w:eastAsia="lv-LV"/>
              </w:rPr>
            </w:pPr>
            <w:r w:rsidRPr="000D6942">
              <w:rPr>
                <w:rFonts w:ascii="Times New Roman" w:eastAsia="Times New Roman" w:hAnsi="Times New Roman"/>
                <w:sz w:val="26"/>
                <w:szCs w:val="26"/>
                <w:lang w:eastAsia="lv-LV"/>
              </w:rPr>
              <w:t>Projekta vienība, kas pārņem vai ievieš katru šīs tabulas A ailē minēto ES tiesību akta vienību, vai tiesību akts, kur attiecīgā ES tiesību akta vienība pārņemta vai ieviesta</w:t>
            </w:r>
          </w:p>
        </w:tc>
        <w:tc>
          <w:tcPr>
            <w:tcW w:w="752" w:type="pct"/>
            <w:tcBorders>
              <w:top w:val="outset" w:sz="6" w:space="0" w:color="auto"/>
              <w:left w:val="outset" w:sz="6" w:space="0" w:color="auto"/>
              <w:bottom w:val="outset" w:sz="6" w:space="0" w:color="auto"/>
              <w:right w:val="outset" w:sz="6" w:space="0" w:color="auto"/>
            </w:tcBorders>
            <w:vAlign w:val="center"/>
          </w:tcPr>
          <w:p w:rsidR="00865185" w:rsidRPr="000D6942" w:rsidP="006D126F" w14:paraId="22A1D303" w14:textId="77777777">
            <w:pPr>
              <w:spacing w:after="0" w:line="240" w:lineRule="auto"/>
              <w:rPr>
                <w:rFonts w:ascii="Times New Roman" w:eastAsia="Times New Roman" w:hAnsi="Times New Roman"/>
                <w:sz w:val="26"/>
                <w:szCs w:val="26"/>
                <w:lang w:eastAsia="lv-LV"/>
              </w:rPr>
            </w:pPr>
            <w:r w:rsidRPr="000D6942">
              <w:rPr>
                <w:rFonts w:ascii="Times New Roman" w:eastAsia="Times New Roman" w:hAnsi="Times New Roman"/>
                <w:sz w:val="26"/>
                <w:szCs w:val="26"/>
                <w:lang w:eastAsia="lv-LV"/>
              </w:rPr>
              <w:t>Informācija par to, vai šīs tabulas A ailē minētās ES tiesību akta vienības tiek pārņemtas vai ieviestas pilnībā vai daļēji.</w:t>
            </w:r>
          </w:p>
          <w:p w:rsidR="00865185" w:rsidRPr="000D6942" w:rsidP="006D126F" w14:paraId="3528D1B0" w14:textId="77777777">
            <w:pPr>
              <w:spacing w:after="0" w:line="240" w:lineRule="auto"/>
              <w:rPr>
                <w:rFonts w:ascii="Times New Roman" w:eastAsia="Times New Roman" w:hAnsi="Times New Roman"/>
                <w:sz w:val="26"/>
                <w:szCs w:val="26"/>
                <w:lang w:eastAsia="lv-LV"/>
              </w:rPr>
            </w:pPr>
            <w:r w:rsidRPr="000D6942">
              <w:rPr>
                <w:rFonts w:ascii="Times New Roman" w:eastAsia="Times New Roman" w:hAnsi="Times New Roman"/>
                <w:sz w:val="26"/>
                <w:szCs w:val="26"/>
                <w:lang w:eastAsia="lv-LV"/>
              </w:rPr>
              <w:t>Ja attiecīgā ES tiesību akta vienība tiek pārņemta vai ieviesta daļēji, – sniedz attiecīgu skaidrojumu, kā arī precīzi norāda, kad un kādā veidā ES tiesību akta vienība tiks pārņemta vai ieviesta pilnībā.</w:t>
            </w:r>
          </w:p>
          <w:p w:rsidR="00865185" w:rsidRPr="000D6942" w:rsidP="006D126F" w14:paraId="7A011E3B" w14:textId="77777777">
            <w:pPr>
              <w:spacing w:after="0" w:line="240" w:lineRule="auto"/>
              <w:rPr>
                <w:rFonts w:ascii="Times New Roman" w:eastAsia="Times New Roman" w:hAnsi="Times New Roman"/>
                <w:sz w:val="26"/>
                <w:szCs w:val="26"/>
                <w:lang w:eastAsia="lv-LV"/>
              </w:rPr>
            </w:pPr>
            <w:r w:rsidRPr="000D6942">
              <w:rPr>
                <w:rFonts w:ascii="Times New Roman" w:eastAsia="Times New Roman" w:hAnsi="Times New Roman"/>
                <w:sz w:val="26"/>
                <w:szCs w:val="26"/>
                <w:lang w:eastAsia="lv-LV"/>
              </w:rPr>
              <w:t>Norāda institūciju, kas ir atbildīga par šo saistību izpildi pilnībā</w:t>
            </w:r>
          </w:p>
        </w:tc>
        <w:tc>
          <w:tcPr>
            <w:tcW w:w="2317" w:type="pct"/>
            <w:tcBorders>
              <w:top w:val="outset" w:sz="6" w:space="0" w:color="auto"/>
              <w:left w:val="outset" w:sz="6" w:space="0" w:color="auto"/>
              <w:bottom w:val="outset" w:sz="6" w:space="0" w:color="auto"/>
              <w:right w:val="outset" w:sz="6" w:space="0" w:color="auto"/>
            </w:tcBorders>
            <w:vAlign w:val="center"/>
          </w:tcPr>
          <w:p w:rsidR="00865185" w:rsidRPr="000D6942" w:rsidP="006D126F" w14:paraId="17F1C0B6" w14:textId="77777777">
            <w:pPr>
              <w:spacing w:after="0" w:line="240" w:lineRule="auto"/>
              <w:rPr>
                <w:rFonts w:ascii="Times New Roman" w:eastAsia="Times New Roman" w:hAnsi="Times New Roman"/>
                <w:sz w:val="26"/>
                <w:szCs w:val="26"/>
                <w:lang w:eastAsia="lv-LV"/>
              </w:rPr>
            </w:pPr>
            <w:r w:rsidRPr="000D6942">
              <w:rPr>
                <w:rFonts w:ascii="Times New Roman" w:eastAsia="Times New Roman" w:hAnsi="Times New Roman"/>
                <w:sz w:val="26"/>
                <w:szCs w:val="26"/>
                <w:lang w:eastAsia="lv-LV"/>
              </w:rPr>
              <w:t>Informācija par to, vai šīs tabulas B ailē minētās projekta vienības paredz stingrākas prasības nekā šīs tabulas A ailē minētās ES tiesību akta vienības.</w:t>
            </w:r>
          </w:p>
          <w:p w:rsidR="00865185" w:rsidRPr="000D6942" w:rsidP="006D126F" w14:paraId="307AC296" w14:textId="77777777">
            <w:pPr>
              <w:spacing w:after="0" w:line="240" w:lineRule="auto"/>
              <w:rPr>
                <w:rFonts w:ascii="Times New Roman" w:eastAsia="Times New Roman" w:hAnsi="Times New Roman"/>
                <w:sz w:val="26"/>
                <w:szCs w:val="26"/>
                <w:lang w:eastAsia="lv-LV"/>
              </w:rPr>
            </w:pPr>
            <w:r w:rsidRPr="000D6942">
              <w:rPr>
                <w:rFonts w:ascii="Times New Roman" w:eastAsia="Times New Roman" w:hAnsi="Times New Roman"/>
                <w:sz w:val="26"/>
                <w:szCs w:val="26"/>
                <w:lang w:eastAsia="lv-LV"/>
              </w:rPr>
              <w:t>Ja projekts satur stingrākas prasības nekā attiecīgais ES tiesību akts, – norāda pamatojumu un samērīgumu.</w:t>
            </w:r>
          </w:p>
          <w:p w:rsidR="00865185" w:rsidRPr="000D6942" w:rsidP="006D126F" w14:paraId="7087BE5E" w14:textId="77777777">
            <w:pPr>
              <w:spacing w:after="0" w:line="240" w:lineRule="auto"/>
              <w:rPr>
                <w:rFonts w:ascii="Times New Roman" w:eastAsia="Times New Roman" w:hAnsi="Times New Roman"/>
                <w:sz w:val="26"/>
                <w:szCs w:val="26"/>
                <w:lang w:eastAsia="lv-LV"/>
              </w:rPr>
            </w:pPr>
            <w:r w:rsidRPr="000D6942">
              <w:rPr>
                <w:rFonts w:ascii="Times New Roman" w:eastAsia="Times New Roman" w:hAnsi="Times New Roman"/>
                <w:sz w:val="26"/>
                <w:szCs w:val="26"/>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14:paraId="64862311" w14:textId="77777777" w:rsidTr="00DC613D">
        <w:tblPrEx>
          <w:tblW w:w="5724" w:type="pct"/>
          <w:jc w:val="center"/>
          <w:tblCellSpacing w:w="15" w:type="dxa"/>
          <w:tblCellMar>
            <w:top w:w="30" w:type="dxa"/>
            <w:left w:w="30" w:type="dxa"/>
            <w:bottom w:w="30" w:type="dxa"/>
            <w:right w:w="30" w:type="dxa"/>
          </w:tblCellMar>
          <w:tblLook w:val="04A0"/>
        </w:tblPrEx>
        <w:trPr>
          <w:tblCellSpacing w:w="15" w:type="dxa"/>
          <w:jc w:val="center"/>
        </w:trPr>
        <w:tc>
          <w:tcPr>
            <w:tcW w:w="961" w:type="pct"/>
            <w:tcBorders>
              <w:top w:val="outset" w:sz="6" w:space="0" w:color="auto"/>
              <w:left w:val="outset" w:sz="6" w:space="0" w:color="auto"/>
              <w:bottom w:val="outset" w:sz="6" w:space="0" w:color="auto"/>
              <w:right w:val="outset" w:sz="6" w:space="0" w:color="auto"/>
            </w:tcBorders>
            <w:shd w:val="clear" w:color="auto" w:fill="auto"/>
          </w:tcPr>
          <w:p w:rsidR="0060005D" w:rsidRPr="000D6942" w:rsidP="006D126F" w14:paraId="1CDFCC68" w14:textId="5A43B839">
            <w:pPr>
              <w:spacing w:after="0" w:line="240" w:lineRule="auto"/>
              <w:rPr>
                <w:rFonts w:ascii="Times New Roman" w:hAnsi="Times New Roman"/>
                <w:i/>
                <w:sz w:val="26"/>
                <w:szCs w:val="26"/>
                <w:highlight w:val="yellow"/>
              </w:rPr>
            </w:pPr>
          </w:p>
        </w:tc>
        <w:tc>
          <w:tcPr>
            <w:tcW w:w="893" w:type="pct"/>
            <w:tcBorders>
              <w:top w:val="outset" w:sz="6" w:space="0" w:color="auto"/>
              <w:left w:val="outset" w:sz="6" w:space="0" w:color="auto"/>
              <w:bottom w:val="outset" w:sz="6" w:space="0" w:color="auto"/>
              <w:right w:val="outset" w:sz="6" w:space="0" w:color="auto"/>
            </w:tcBorders>
            <w:shd w:val="clear" w:color="auto" w:fill="FFFFFF" w:themeFill="background1"/>
          </w:tcPr>
          <w:p w:rsidR="0060005D" w:rsidRPr="00926E23" w:rsidP="006D126F" w14:paraId="50B16A20" w14:textId="56CEE568">
            <w:pPr>
              <w:spacing w:after="0" w:line="240" w:lineRule="auto"/>
              <w:rPr>
                <w:rFonts w:ascii="Times New Roman" w:hAnsi="Times New Roman"/>
                <w:i/>
                <w:sz w:val="26"/>
                <w:szCs w:val="26"/>
              </w:rPr>
            </w:pPr>
          </w:p>
        </w:tc>
        <w:tc>
          <w:tcPr>
            <w:tcW w:w="752" w:type="pct"/>
            <w:tcBorders>
              <w:top w:val="outset" w:sz="6" w:space="0" w:color="auto"/>
              <w:left w:val="outset" w:sz="6" w:space="0" w:color="auto"/>
              <w:bottom w:val="outset" w:sz="6" w:space="0" w:color="auto"/>
              <w:right w:val="outset" w:sz="6" w:space="0" w:color="auto"/>
            </w:tcBorders>
          </w:tcPr>
          <w:p w:rsidR="0060005D" w:rsidRPr="000D6942" w:rsidP="006D126F" w14:paraId="41413E3E" w14:textId="1F994A94">
            <w:pPr>
              <w:spacing w:after="0" w:line="240" w:lineRule="auto"/>
              <w:jc w:val="center"/>
              <w:rPr>
                <w:rFonts w:ascii="Times New Roman" w:eastAsia="Times New Roman" w:hAnsi="Times New Roman"/>
                <w:i/>
                <w:sz w:val="26"/>
                <w:szCs w:val="26"/>
                <w:lang w:eastAsia="lv-LV"/>
              </w:rPr>
            </w:pPr>
          </w:p>
        </w:tc>
        <w:tc>
          <w:tcPr>
            <w:tcW w:w="2317" w:type="pct"/>
            <w:tcBorders>
              <w:top w:val="outset" w:sz="6" w:space="0" w:color="auto"/>
              <w:left w:val="outset" w:sz="6" w:space="0" w:color="auto"/>
              <w:bottom w:val="outset" w:sz="6" w:space="0" w:color="auto"/>
              <w:right w:val="outset" w:sz="6" w:space="0" w:color="auto"/>
            </w:tcBorders>
          </w:tcPr>
          <w:p w:rsidR="0060005D" w:rsidRPr="000D6942" w:rsidP="006D126F" w14:paraId="7EFDAA95" w14:textId="76330D7C">
            <w:pPr>
              <w:spacing w:after="0" w:line="240" w:lineRule="auto"/>
              <w:jc w:val="center"/>
              <w:rPr>
                <w:rFonts w:ascii="Times New Roman" w:eastAsia="Times New Roman" w:hAnsi="Times New Roman"/>
                <w:i/>
                <w:sz w:val="26"/>
                <w:szCs w:val="26"/>
                <w:lang w:eastAsia="lv-LV"/>
              </w:rPr>
            </w:pPr>
          </w:p>
        </w:tc>
      </w:tr>
      <w:tr w14:paraId="7409B805" w14:textId="77777777" w:rsidTr="00DC613D">
        <w:tblPrEx>
          <w:tblW w:w="5724" w:type="pct"/>
          <w:jc w:val="center"/>
          <w:tblCellSpacing w:w="15" w:type="dxa"/>
          <w:tblCellMar>
            <w:top w:w="30" w:type="dxa"/>
            <w:left w:w="30" w:type="dxa"/>
            <w:bottom w:w="30" w:type="dxa"/>
            <w:right w:w="30" w:type="dxa"/>
          </w:tblCellMar>
          <w:tblLook w:val="04A0"/>
        </w:tblPrEx>
        <w:trPr>
          <w:tblCellSpacing w:w="15" w:type="dxa"/>
          <w:jc w:val="center"/>
        </w:trPr>
        <w:tc>
          <w:tcPr>
            <w:tcW w:w="961" w:type="pct"/>
            <w:tcBorders>
              <w:top w:val="outset" w:sz="6" w:space="0" w:color="auto"/>
              <w:left w:val="outset" w:sz="6" w:space="0" w:color="auto"/>
              <w:bottom w:val="outset" w:sz="6" w:space="0" w:color="auto"/>
              <w:right w:val="outset" w:sz="6" w:space="0" w:color="auto"/>
            </w:tcBorders>
            <w:shd w:val="clear" w:color="auto" w:fill="auto"/>
          </w:tcPr>
          <w:p w:rsidR="00DC613D" w:rsidRPr="00926E23" w:rsidP="00DC613D" w14:paraId="15CD1079" w14:textId="41A6F1ED">
            <w:pPr>
              <w:spacing w:after="0" w:line="240" w:lineRule="auto"/>
              <w:rPr>
                <w:rFonts w:ascii="Times New Roman" w:hAnsi="Times New Roman"/>
                <w:i/>
                <w:sz w:val="26"/>
                <w:szCs w:val="26"/>
              </w:rPr>
            </w:pPr>
            <w:r>
              <w:rPr>
                <w:rFonts w:ascii="Times New Roman" w:hAnsi="Times New Roman"/>
                <w:i/>
                <w:sz w:val="26"/>
                <w:szCs w:val="26"/>
              </w:rPr>
              <w:t>Regulas Nr.1407/2013 4.panta 3.punkta a) apakšpunkts</w:t>
            </w:r>
          </w:p>
        </w:tc>
        <w:tc>
          <w:tcPr>
            <w:tcW w:w="893" w:type="pct"/>
            <w:tcBorders>
              <w:top w:val="outset" w:sz="6" w:space="0" w:color="auto"/>
              <w:left w:val="outset" w:sz="6" w:space="0" w:color="auto"/>
              <w:bottom w:val="outset" w:sz="6" w:space="0" w:color="auto"/>
              <w:right w:val="outset" w:sz="6" w:space="0" w:color="auto"/>
            </w:tcBorders>
            <w:shd w:val="clear" w:color="auto" w:fill="FFFFFF" w:themeFill="background1"/>
          </w:tcPr>
          <w:p w:rsidR="00DC613D" w:rsidRPr="00926E23" w:rsidP="00DC613D" w14:paraId="76FDA2F5" w14:textId="1095C13F">
            <w:pPr>
              <w:spacing w:after="0" w:line="240" w:lineRule="auto"/>
              <w:rPr>
                <w:rFonts w:ascii="Times New Roman" w:hAnsi="Times New Roman"/>
                <w:i/>
                <w:sz w:val="26"/>
                <w:szCs w:val="26"/>
              </w:rPr>
            </w:pPr>
            <w:r>
              <w:rPr>
                <w:rFonts w:ascii="Times New Roman" w:hAnsi="Times New Roman"/>
                <w:i/>
                <w:sz w:val="26"/>
                <w:szCs w:val="26"/>
              </w:rPr>
              <w:t>Noteikumu projekta 2.punkts</w:t>
            </w:r>
          </w:p>
        </w:tc>
        <w:tc>
          <w:tcPr>
            <w:tcW w:w="752" w:type="pct"/>
            <w:tcBorders>
              <w:top w:val="outset" w:sz="6" w:space="0" w:color="auto"/>
              <w:left w:val="outset" w:sz="6" w:space="0" w:color="auto"/>
              <w:bottom w:val="outset" w:sz="6" w:space="0" w:color="auto"/>
              <w:right w:val="outset" w:sz="6" w:space="0" w:color="auto"/>
            </w:tcBorders>
          </w:tcPr>
          <w:p w:rsidR="00DC613D" w:rsidRPr="000D6942" w:rsidP="00DC613D" w14:paraId="7B618943" w14:textId="50B74612">
            <w:pPr>
              <w:spacing w:after="0" w:line="240" w:lineRule="auto"/>
              <w:jc w:val="center"/>
              <w:rPr>
                <w:rFonts w:ascii="Times New Roman" w:eastAsia="Times New Roman" w:hAnsi="Times New Roman"/>
                <w:i/>
                <w:sz w:val="26"/>
                <w:szCs w:val="26"/>
                <w:lang w:eastAsia="lv-LV"/>
              </w:rPr>
            </w:pPr>
            <w:r w:rsidRPr="000D6942">
              <w:rPr>
                <w:rFonts w:ascii="Times New Roman" w:eastAsia="Times New Roman" w:hAnsi="Times New Roman"/>
                <w:i/>
                <w:sz w:val="26"/>
                <w:szCs w:val="26"/>
                <w:lang w:eastAsia="lv-LV"/>
              </w:rPr>
              <w:t>Ieviests pilnībā</w:t>
            </w:r>
          </w:p>
        </w:tc>
        <w:tc>
          <w:tcPr>
            <w:tcW w:w="2317" w:type="pct"/>
            <w:tcBorders>
              <w:top w:val="outset" w:sz="6" w:space="0" w:color="auto"/>
              <w:left w:val="outset" w:sz="6" w:space="0" w:color="auto"/>
              <w:bottom w:val="outset" w:sz="6" w:space="0" w:color="auto"/>
              <w:right w:val="outset" w:sz="6" w:space="0" w:color="auto"/>
            </w:tcBorders>
          </w:tcPr>
          <w:p w:rsidR="00DC613D" w:rsidRPr="000D6942" w:rsidP="00DC613D" w14:paraId="67DBBDB5" w14:textId="22080C23">
            <w:pPr>
              <w:spacing w:after="0" w:line="240" w:lineRule="auto"/>
              <w:jc w:val="center"/>
              <w:rPr>
                <w:rFonts w:ascii="Times New Roman" w:eastAsia="Times New Roman" w:hAnsi="Times New Roman"/>
                <w:i/>
                <w:sz w:val="26"/>
                <w:szCs w:val="26"/>
                <w:lang w:eastAsia="lv-LV"/>
              </w:rPr>
            </w:pPr>
            <w:r w:rsidRPr="000D6942">
              <w:rPr>
                <w:rFonts w:ascii="Times New Roman" w:eastAsia="Times New Roman" w:hAnsi="Times New Roman"/>
                <w:i/>
                <w:sz w:val="26"/>
                <w:szCs w:val="26"/>
                <w:lang w:eastAsia="lv-LV"/>
              </w:rPr>
              <w:t>Neparedz stingrākas prasības</w:t>
            </w:r>
          </w:p>
        </w:tc>
      </w:tr>
      <w:tr w14:paraId="4C0AFD56" w14:textId="77777777" w:rsidTr="00DC613D">
        <w:tblPrEx>
          <w:tblW w:w="5724" w:type="pct"/>
          <w:jc w:val="center"/>
          <w:tblCellSpacing w:w="15" w:type="dxa"/>
          <w:tblCellMar>
            <w:top w:w="30" w:type="dxa"/>
            <w:left w:w="30" w:type="dxa"/>
            <w:bottom w:w="30" w:type="dxa"/>
            <w:right w:w="30" w:type="dxa"/>
          </w:tblCellMar>
          <w:tblLook w:val="04A0"/>
        </w:tblPrEx>
        <w:trPr>
          <w:tblCellSpacing w:w="15" w:type="dxa"/>
          <w:jc w:val="center"/>
        </w:trPr>
        <w:tc>
          <w:tcPr>
            <w:tcW w:w="961" w:type="pct"/>
            <w:tcBorders>
              <w:top w:val="outset" w:sz="6" w:space="0" w:color="auto"/>
              <w:left w:val="outset" w:sz="6" w:space="0" w:color="auto"/>
              <w:bottom w:val="outset" w:sz="6" w:space="0" w:color="auto"/>
              <w:right w:val="outset" w:sz="6" w:space="0" w:color="auto"/>
            </w:tcBorders>
            <w:shd w:val="clear" w:color="auto" w:fill="auto"/>
          </w:tcPr>
          <w:p w:rsidR="00DC613D" w:rsidP="00DC613D" w14:paraId="32FC701D" w14:textId="2FB47614">
            <w:pPr>
              <w:spacing w:after="0" w:line="240" w:lineRule="auto"/>
              <w:rPr>
                <w:rFonts w:ascii="Times New Roman" w:hAnsi="Times New Roman"/>
                <w:i/>
                <w:sz w:val="26"/>
                <w:szCs w:val="26"/>
              </w:rPr>
            </w:pPr>
            <w:r w:rsidRPr="00926E23">
              <w:rPr>
                <w:rFonts w:ascii="Times New Roman" w:hAnsi="Times New Roman"/>
                <w:i/>
                <w:sz w:val="26"/>
                <w:szCs w:val="26"/>
              </w:rPr>
              <w:t>Regula</w:t>
            </w:r>
            <w:r>
              <w:rPr>
                <w:rFonts w:ascii="Times New Roman" w:hAnsi="Times New Roman"/>
                <w:i/>
                <w:sz w:val="26"/>
                <w:szCs w:val="26"/>
              </w:rPr>
              <w:t>s</w:t>
            </w:r>
            <w:r w:rsidRPr="00926E23">
              <w:rPr>
                <w:rFonts w:ascii="Times New Roman" w:hAnsi="Times New Roman"/>
                <w:i/>
                <w:sz w:val="26"/>
                <w:szCs w:val="26"/>
              </w:rPr>
              <w:t xml:space="preserve"> Nr. 702/2014 6.panta 2.punkts </w:t>
            </w:r>
          </w:p>
        </w:tc>
        <w:tc>
          <w:tcPr>
            <w:tcW w:w="893" w:type="pct"/>
            <w:tcBorders>
              <w:top w:val="outset" w:sz="6" w:space="0" w:color="auto"/>
              <w:left w:val="outset" w:sz="6" w:space="0" w:color="auto"/>
              <w:bottom w:val="outset" w:sz="6" w:space="0" w:color="auto"/>
              <w:right w:val="outset" w:sz="6" w:space="0" w:color="auto"/>
            </w:tcBorders>
            <w:shd w:val="clear" w:color="auto" w:fill="FFFFFF" w:themeFill="background1"/>
          </w:tcPr>
          <w:p w:rsidR="00DC613D" w:rsidP="00DC613D" w14:paraId="1965C6F4" w14:textId="08125881">
            <w:pPr>
              <w:spacing w:after="0" w:line="240" w:lineRule="auto"/>
              <w:rPr>
                <w:rFonts w:ascii="Times New Roman" w:hAnsi="Times New Roman"/>
                <w:i/>
                <w:sz w:val="26"/>
                <w:szCs w:val="26"/>
              </w:rPr>
            </w:pPr>
            <w:r w:rsidRPr="00926E23">
              <w:rPr>
                <w:rFonts w:ascii="Times New Roman" w:hAnsi="Times New Roman"/>
                <w:i/>
                <w:sz w:val="26"/>
                <w:szCs w:val="26"/>
              </w:rPr>
              <w:t>Noteikumu projekta 10.punkts</w:t>
            </w:r>
          </w:p>
        </w:tc>
        <w:tc>
          <w:tcPr>
            <w:tcW w:w="752" w:type="pct"/>
            <w:tcBorders>
              <w:top w:val="outset" w:sz="6" w:space="0" w:color="auto"/>
              <w:left w:val="outset" w:sz="6" w:space="0" w:color="auto"/>
              <w:bottom w:val="outset" w:sz="6" w:space="0" w:color="auto"/>
              <w:right w:val="outset" w:sz="6" w:space="0" w:color="auto"/>
            </w:tcBorders>
          </w:tcPr>
          <w:p w:rsidR="00DC613D" w:rsidRPr="000D6942" w:rsidP="00DC613D" w14:paraId="708E3DE1" w14:textId="42DA1219">
            <w:pPr>
              <w:spacing w:after="0" w:line="240" w:lineRule="auto"/>
              <w:jc w:val="center"/>
              <w:rPr>
                <w:rFonts w:ascii="Times New Roman" w:eastAsia="Times New Roman" w:hAnsi="Times New Roman"/>
                <w:i/>
                <w:sz w:val="26"/>
                <w:szCs w:val="26"/>
                <w:lang w:eastAsia="lv-LV"/>
              </w:rPr>
            </w:pPr>
            <w:r w:rsidRPr="000D6942">
              <w:rPr>
                <w:rFonts w:ascii="Times New Roman" w:eastAsia="Times New Roman" w:hAnsi="Times New Roman"/>
                <w:i/>
                <w:sz w:val="26"/>
                <w:szCs w:val="26"/>
                <w:lang w:eastAsia="lv-LV"/>
              </w:rPr>
              <w:t>Ieviests pilnībā</w:t>
            </w:r>
          </w:p>
        </w:tc>
        <w:tc>
          <w:tcPr>
            <w:tcW w:w="2317" w:type="pct"/>
            <w:tcBorders>
              <w:top w:val="outset" w:sz="6" w:space="0" w:color="auto"/>
              <w:left w:val="outset" w:sz="6" w:space="0" w:color="auto"/>
              <w:bottom w:val="outset" w:sz="6" w:space="0" w:color="auto"/>
              <w:right w:val="outset" w:sz="6" w:space="0" w:color="auto"/>
            </w:tcBorders>
          </w:tcPr>
          <w:p w:rsidR="00DC613D" w:rsidRPr="000D6942" w:rsidP="00DC613D" w14:paraId="1BE8C645" w14:textId="42F51CA1">
            <w:pPr>
              <w:spacing w:after="0" w:line="240" w:lineRule="auto"/>
              <w:jc w:val="center"/>
              <w:rPr>
                <w:rFonts w:ascii="Times New Roman" w:eastAsia="Times New Roman" w:hAnsi="Times New Roman"/>
                <w:i/>
                <w:sz w:val="26"/>
                <w:szCs w:val="26"/>
                <w:lang w:eastAsia="lv-LV"/>
              </w:rPr>
            </w:pPr>
            <w:r w:rsidRPr="000D6942">
              <w:rPr>
                <w:rFonts w:ascii="Times New Roman" w:eastAsia="Times New Roman" w:hAnsi="Times New Roman"/>
                <w:i/>
                <w:sz w:val="26"/>
                <w:szCs w:val="26"/>
                <w:lang w:eastAsia="lv-LV"/>
              </w:rPr>
              <w:t>Neparedz stingrākas prasības</w:t>
            </w:r>
          </w:p>
        </w:tc>
      </w:tr>
      <w:tr w14:paraId="5F147AB6" w14:textId="77777777" w:rsidTr="00DC613D">
        <w:tblPrEx>
          <w:tblW w:w="5724" w:type="pct"/>
          <w:jc w:val="center"/>
          <w:tblCellSpacing w:w="15" w:type="dxa"/>
          <w:tblCellMar>
            <w:top w:w="30" w:type="dxa"/>
            <w:left w:w="30" w:type="dxa"/>
            <w:bottom w:w="30" w:type="dxa"/>
            <w:right w:w="30" w:type="dxa"/>
          </w:tblCellMar>
          <w:tblLook w:val="04A0"/>
        </w:tblPrEx>
        <w:trPr>
          <w:tblCellSpacing w:w="15" w:type="dxa"/>
          <w:jc w:val="center"/>
        </w:trPr>
        <w:tc>
          <w:tcPr>
            <w:tcW w:w="961" w:type="pct"/>
            <w:tcBorders>
              <w:top w:val="outset" w:sz="6" w:space="0" w:color="auto"/>
              <w:left w:val="outset" w:sz="6" w:space="0" w:color="auto"/>
              <w:bottom w:val="outset" w:sz="6" w:space="0" w:color="auto"/>
              <w:right w:val="outset" w:sz="6" w:space="0" w:color="auto"/>
            </w:tcBorders>
            <w:shd w:val="clear" w:color="auto" w:fill="auto"/>
          </w:tcPr>
          <w:p w:rsidR="00DC613D" w:rsidRPr="00926E23" w:rsidP="00DC613D" w14:paraId="1037EDA3" w14:textId="0C71A8EA">
            <w:pPr>
              <w:spacing w:after="0" w:line="240" w:lineRule="auto"/>
              <w:rPr>
                <w:rFonts w:ascii="Times New Roman" w:hAnsi="Times New Roman"/>
                <w:i/>
                <w:sz w:val="26"/>
                <w:szCs w:val="26"/>
              </w:rPr>
            </w:pPr>
            <w:r>
              <w:rPr>
                <w:rFonts w:ascii="Times New Roman" w:hAnsi="Times New Roman"/>
                <w:i/>
                <w:sz w:val="26"/>
                <w:szCs w:val="26"/>
              </w:rPr>
              <w:t>Regulas Nr.1388/2014 6.panta 2.punkts</w:t>
            </w:r>
          </w:p>
        </w:tc>
        <w:tc>
          <w:tcPr>
            <w:tcW w:w="893" w:type="pct"/>
            <w:tcBorders>
              <w:top w:val="outset" w:sz="6" w:space="0" w:color="auto"/>
              <w:left w:val="outset" w:sz="6" w:space="0" w:color="auto"/>
              <w:bottom w:val="outset" w:sz="6" w:space="0" w:color="auto"/>
              <w:right w:val="outset" w:sz="6" w:space="0" w:color="auto"/>
            </w:tcBorders>
            <w:shd w:val="clear" w:color="auto" w:fill="FFFFFF" w:themeFill="background1"/>
          </w:tcPr>
          <w:p w:rsidR="00DC613D" w:rsidRPr="00926E23" w:rsidP="00DC613D" w14:paraId="4CA43053" w14:textId="3548F759">
            <w:pPr>
              <w:spacing w:after="0" w:line="240" w:lineRule="auto"/>
              <w:rPr>
                <w:rFonts w:ascii="Times New Roman" w:hAnsi="Times New Roman"/>
                <w:i/>
                <w:sz w:val="26"/>
                <w:szCs w:val="26"/>
              </w:rPr>
            </w:pPr>
            <w:r w:rsidRPr="00926E23">
              <w:rPr>
                <w:rFonts w:ascii="Times New Roman" w:hAnsi="Times New Roman"/>
                <w:i/>
                <w:sz w:val="26"/>
                <w:szCs w:val="26"/>
              </w:rPr>
              <w:t>Noteikumu projekta 10.punkts</w:t>
            </w:r>
          </w:p>
        </w:tc>
        <w:tc>
          <w:tcPr>
            <w:tcW w:w="752" w:type="pct"/>
            <w:tcBorders>
              <w:top w:val="outset" w:sz="6" w:space="0" w:color="auto"/>
              <w:left w:val="outset" w:sz="6" w:space="0" w:color="auto"/>
              <w:bottom w:val="outset" w:sz="6" w:space="0" w:color="auto"/>
              <w:right w:val="outset" w:sz="6" w:space="0" w:color="auto"/>
            </w:tcBorders>
          </w:tcPr>
          <w:p w:rsidR="00DC613D" w:rsidRPr="000D6942" w:rsidP="00DC613D" w14:paraId="51DEBD23" w14:textId="4B45CFBF">
            <w:pPr>
              <w:spacing w:after="0" w:line="240" w:lineRule="auto"/>
              <w:jc w:val="center"/>
              <w:rPr>
                <w:rFonts w:ascii="Times New Roman" w:eastAsia="Times New Roman" w:hAnsi="Times New Roman"/>
                <w:i/>
                <w:sz w:val="26"/>
                <w:szCs w:val="26"/>
                <w:lang w:eastAsia="lv-LV"/>
              </w:rPr>
            </w:pPr>
            <w:r w:rsidRPr="000D6942">
              <w:rPr>
                <w:rFonts w:ascii="Times New Roman" w:eastAsia="Times New Roman" w:hAnsi="Times New Roman"/>
                <w:i/>
                <w:sz w:val="26"/>
                <w:szCs w:val="26"/>
                <w:lang w:eastAsia="lv-LV"/>
              </w:rPr>
              <w:t>Ieviests pilnībā</w:t>
            </w:r>
          </w:p>
        </w:tc>
        <w:tc>
          <w:tcPr>
            <w:tcW w:w="2317" w:type="pct"/>
            <w:tcBorders>
              <w:top w:val="outset" w:sz="6" w:space="0" w:color="auto"/>
              <w:left w:val="outset" w:sz="6" w:space="0" w:color="auto"/>
              <w:bottom w:val="outset" w:sz="6" w:space="0" w:color="auto"/>
              <w:right w:val="outset" w:sz="6" w:space="0" w:color="auto"/>
            </w:tcBorders>
          </w:tcPr>
          <w:p w:rsidR="00DC613D" w:rsidRPr="000D6942" w:rsidP="00DC613D" w14:paraId="690AD183" w14:textId="503FB7FD">
            <w:pPr>
              <w:spacing w:after="0" w:line="240" w:lineRule="auto"/>
              <w:jc w:val="center"/>
              <w:rPr>
                <w:rFonts w:ascii="Times New Roman" w:eastAsia="Times New Roman" w:hAnsi="Times New Roman"/>
                <w:i/>
                <w:sz w:val="26"/>
                <w:szCs w:val="26"/>
                <w:lang w:eastAsia="lv-LV"/>
              </w:rPr>
            </w:pPr>
            <w:r w:rsidRPr="000D6942">
              <w:rPr>
                <w:rFonts w:ascii="Times New Roman" w:eastAsia="Times New Roman" w:hAnsi="Times New Roman"/>
                <w:i/>
                <w:sz w:val="26"/>
                <w:szCs w:val="26"/>
                <w:lang w:eastAsia="lv-LV"/>
              </w:rPr>
              <w:t>Neparedz stingrākas prasības</w:t>
            </w:r>
          </w:p>
        </w:tc>
      </w:tr>
      <w:tr w14:paraId="25452382" w14:textId="77777777" w:rsidTr="00DC613D">
        <w:tblPrEx>
          <w:tblW w:w="5724" w:type="pct"/>
          <w:jc w:val="center"/>
          <w:tblCellSpacing w:w="15" w:type="dxa"/>
          <w:tblCellMar>
            <w:top w:w="30" w:type="dxa"/>
            <w:left w:w="30" w:type="dxa"/>
            <w:bottom w:w="30" w:type="dxa"/>
            <w:right w:w="30" w:type="dxa"/>
          </w:tblCellMar>
          <w:tblLook w:val="04A0"/>
        </w:tblPrEx>
        <w:trPr>
          <w:tblCellSpacing w:w="15" w:type="dxa"/>
          <w:jc w:val="center"/>
        </w:trPr>
        <w:tc>
          <w:tcPr>
            <w:tcW w:w="961" w:type="pct"/>
            <w:tcBorders>
              <w:top w:val="outset" w:sz="6" w:space="0" w:color="auto"/>
              <w:left w:val="outset" w:sz="6" w:space="0" w:color="auto"/>
              <w:bottom w:val="outset" w:sz="6" w:space="0" w:color="auto"/>
              <w:right w:val="outset" w:sz="6" w:space="0" w:color="auto"/>
            </w:tcBorders>
            <w:shd w:val="clear" w:color="auto" w:fill="auto"/>
          </w:tcPr>
          <w:p w:rsidR="00DC613D" w:rsidP="00DC613D" w14:paraId="1AEC0704" w14:textId="5FCA1B64">
            <w:pPr>
              <w:spacing w:after="0" w:line="240" w:lineRule="auto"/>
              <w:rPr>
                <w:rFonts w:ascii="Times New Roman" w:hAnsi="Times New Roman"/>
                <w:i/>
                <w:sz w:val="26"/>
                <w:szCs w:val="26"/>
              </w:rPr>
            </w:pPr>
            <w:r>
              <w:rPr>
                <w:rFonts w:ascii="Times New Roman" w:hAnsi="Times New Roman"/>
                <w:i/>
                <w:sz w:val="26"/>
                <w:szCs w:val="26"/>
              </w:rPr>
              <w:t>Regulas 1407/2013 6.panta 4.punkts</w:t>
            </w:r>
          </w:p>
        </w:tc>
        <w:tc>
          <w:tcPr>
            <w:tcW w:w="893" w:type="pct"/>
            <w:tcBorders>
              <w:top w:val="outset" w:sz="6" w:space="0" w:color="auto"/>
              <w:left w:val="outset" w:sz="6" w:space="0" w:color="auto"/>
              <w:bottom w:val="outset" w:sz="6" w:space="0" w:color="auto"/>
              <w:right w:val="outset" w:sz="6" w:space="0" w:color="auto"/>
            </w:tcBorders>
          </w:tcPr>
          <w:p w:rsidR="00DC613D" w:rsidRPr="00926E23" w:rsidP="00DC613D" w14:paraId="6BD5D228" w14:textId="3432719E">
            <w:pPr>
              <w:spacing w:after="0" w:line="240" w:lineRule="auto"/>
              <w:rPr>
                <w:rFonts w:ascii="Times New Roman" w:hAnsi="Times New Roman"/>
                <w:i/>
                <w:sz w:val="26"/>
                <w:szCs w:val="26"/>
              </w:rPr>
            </w:pPr>
            <w:r w:rsidRPr="000D6942">
              <w:rPr>
                <w:rFonts w:ascii="Times New Roman" w:hAnsi="Times New Roman"/>
                <w:i/>
                <w:sz w:val="26"/>
                <w:szCs w:val="26"/>
              </w:rPr>
              <w:t xml:space="preserve">Noteikumu projekta </w:t>
            </w:r>
            <w:r>
              <w:rPr>
                <w:rFonts w:ascii="Times New Roman" w:hAnsi="Times New Roman"/>
                <w:i/>
                <w:sz w:val="26"/>
                <w:szCs w:val="26"/>
              </w:rPr>
              <w:t>15</w:t>
            </w:r>
            <w:r w:rsidRPr="000D6942">
              <w:rPr>
                <w:rFonts w:ascii="Times New Roman" w:hAnsi="Times New Roman"/>
                <w:i/>
                <w:sz w:val="26"/>
                <w:szCs w:val="26"/>
              </w:rPr>
              <w:t>.punkts</w:t>
            </w:r>
          </w:p>
        </w:tc>
        <w:tc>
          <w:tcPr>
            <w:tcW w:w="752" w:type="pct"/>
            <w:tcBorders>
              <w:top w:val="outset" w:sz="6" w:space="0" w:color="auto"/>
              <w:left w:val="outset" w:sz="6" w:space="0" w:color="auto"/>
              <w:bottom w:val="outset" w:sz="6" w:space="0" w:color="auto"/>
              <w:right w:val="outset" w:sz="6" w:space="0" w:color="auto"/>
            </w:tcBorders>
          </w:tcPr>
          <w:p w:rsidR="00DC613D" w:rsidRPr="000D6942" w:rsidP="00DC613D" w14:paraId="04EC4118" w14:textId="0E3D78D1">
            <w:pPr>
              <w:spacing w:after="0" w:line="240" w:lineRule="auto"/>
              <w:jc w:val="center"/>
              <w:rPr>
                <w:rFonts w:ascii="Times New Roman" w:eastAsia="Times New Roman" w:hAnsi="Times New Roman"/>
                <w:i/>
                <w:sz w:val="26"/>
                <w:szCs w:val="26"/>
                <w:lang w:eastAsia="lv-LV"/>
              </w:rPr>
            </w:pPr>
            <w:r w:rsidRPr="000D6942">
              <w:rPr>
                <w:rFonts w:ascii="Times New Roman" w:eastAsia="Times New Roman" w:hAnsi="Times New Roman"/>
                <w:i/>
                <w:sz w:val="26"/>
                <w:szCs w:val="26"/>
                <w:lang w:eastAsia="lv-LV"/>
              </w:rPr>
              <w:t>Ieviests pilnībā</w:t>
            </w:r>
          </w:p>
        </w:tc>
        <w:tc>
          <w:tcPr>
            <w:tcW w:w="2317" w:type="pct"/>
            <w:tcBorders>
              <w:top w:val="outset" w:sz="6" w:space="0" w:color="auto"/>
              <w:left w:val="outset" w:sz="6" w:space="0" w:color="auto"/>
              <w:bottom w:val="outset" w:sz="6" w:space="0" w:color="auto"/>
              <w:right w:val="outset" w:sz="6" w:space="0" w:color="auto"/>
            </w:tcBorders>
          </w:tcPr>
          <w:p w:rsidR="00DC613D" w:rsidRPr="000D6942" w:rsidP="00DC613D" w14:paraId="7689F33B" w14:textId="6750A92A">
            <w:pPr>
              <w:spacing w:after="0" w:line="240" w:lineRule="auto"/>
              <w:jc w:val="center"/>
              <w:rPr>
                <w:rFonts w:ascii="Times New Roman" w:eastAsia="Times New Roman" w:hAnsi="Times New Roman"/>
                <w:i/>
                <w:sz w:val="26"/>
                <w:szCs w:val="26"/>
                <w:lang w:eastAsia="lv-LV"/>
              </w:rPr>
            </w:pPr>
            <w:r w:rsidRPr="000D6942">
              <w:rPr>
                <w:rFonts w:ascii="Times New Roman" w:eastAsia="Times New Roman" w:hAnsi="Times New Roman"/>
                <w:i/>
                <w:sz w:val="26"/>
                <w:szCs w:val="26"/>
                <w:lang w:eastAsia="lv-LV"/>
              </w:rPr>
              <w:t>Neparedz stingrākas prasības</w:t>
            </w:r>
          </w:p>
        </w:tc>
      </w:tr>
      <w:tr w14:paraId="0D4414F7" w14:textId="77777777" w:rsidTr="00DC613D">
        <w:tblPrEx>
          <w:tblW w:w="5724" w:type="pct"/>
          <w:jc w:val="center"/>
          <w:tblCellSpacing w:w="15" w:type="dxa"/>
          <w:tblCellMar>
            <w:top w:w="30" w:type="dxa"/>
            <w:left w:w="30" w:type="dxa"/>
            <w:bottom w:w="30" w:type="dxa"/>
            <w:right w:w="30" w:type="dxa"/>
          </w:tblCellMar>
          <w:tblLook w:val="04A0"/>
        </w:tblPrEx>
        <w:trPr>
          <w:tblCellSpacing w:w="15" w:type="dxa"/>
          <w:jc w:val="center"/>
        </w:trPr>
        <w:tc>
          <w:tcPr>
            <w:tcW w:w="961" w:type="pct"/>
            <w:tcBorders>
              <w:top w:val="outset" w:sz="6" w:space="0" w:color="auto"/>
              <w:left w:val="outset" w:sz="6" w:space="0" w:color="auto"/>
              <w:bottom w:val="outset" w:sz="6" w:space="0" w:color="auto"/>
              <w:right w:val="outset" w:sz="6" w:space="0" w:color="auto"/>
            </w:tcBorders>
          </w:tcPr>
          <w:p w:rsidR="00DC613D" w:rsidRPr="000D6942" w:rsidP="00DC613D" w14:paraId="4D9F33FA" w14:textId="0807AAD3">
            <w:pPr>
              <w:spacing w:after="0" w:line="240" w:lineRule="auto"/>
              <w:rPr>
                <w:rFonts w:ascii="Times New Roman" w:hAnsi="Times New Roman"/>
                <w:i/>
                <w:sz w:val="26"/>
                <w:szCs w:val="26"/>
              </w:rPr>
            </w:pPr>
            <w:r>
              <w:rPr>
                <w:rFonts w:ascii="Times New Roman" w:hAnsi="Times New Roman"/>
                <w:i/>
                <w:sz w:val="26"/>
                <w:szCs w:val="26"/>
              </w:rPr>
              <w:t>Regulas Nr. 1408/2013 6.panta 4.punkts</w:t>
            </w:r>
          </w:p>
        </w:tc>
        <w:tc>
          <w:tcPr>
            <w:tcW w:w="893" w:type="pct"/>
            <w:tcBorders>
              <w:top w:val="outset" w:sz="6" w:space="0" w:color="auto"/>
              <w:left w:val="outset" w:sz="6" w:space="0" w:color="auto"/>
              <w:bottom w:val="outset" w:sz="6" w:space="0" w:color="auto"/>
              <w:right w:val="outset" w:sz="6" w:space="0" w:color="auto"/>
            </w:tcBorders>
          </w:tcPr>
          <w:p w:rsidR="00DC613D" w:rsidRPr="000D6942" w:rsidP="00DC613D" w14:paraId="6F99CFF0" w14:textId="1650DD7A">
            <w:pPr>
              <w:spacing w:after="0" w:line="240" w:lineRule="auto"/>
              <w:rPr>
                <w:rFonts w:ascii="Times New Roman" w:hAnsi="Times New Roman"/>
                <w:i/>
                <w:sz w:val="26"/>
                <w:szCs w:val="26"/>
              </w:rPr>
            </w:pPr>
            <w:r w:rsidRPr="000D6942">
              <w:rPr>
                <w:rFonts w:ascii="Times New Roman" w:hAnsi="Times New Roman"/>
                <w:i/>
                <w:sz w:val="26"/>
                <w:szCs w:val="26"/>
              </w:rPr>
              <w:t xml:space="preserve">Noteikumu projekta </w:t>
            </w:r>
            <w:r>
              <w:rPr>
                <w:rFonts w:ascii="Times New Roman" w:hAnsi="Times New Roman"/>
                <w:i/>
                <w:sz w:val="26"/>
                <w:szCs w:val="26"/>
              </w:rPr>
              <w:t>15</w:t>
            </w:r>
            <w:r w:rsidRPr="000D6942">
              <w:rPr>
                <w:rFonts w:ascii="Times New Roman" w:hAnsi="Times New Roman"/>
                <w:i/>
                <w:sz w:val="26"/>
                <w:szCs w:val="26"/>
              </w:rPr>
              <w:t>.punkts</w:t>
            </w:r>
          </w:p>
        </w:tc>
        <w:tc>
          <w:tcPr>
            <w:tcW w:w="752" w:type="pct"/>
            <w:tcBorders>
              <w:top w:val="outset" w:sz="6" w:space="0" w:color="auto"/>
              <w:left w:val="outset" w:sz="6" w:space="0" w:color="auto"/>
              <w:bottom w:val="outset" w:sz="6" w:space="0" w:color="auto"/>
              <w:right w:val="outset" w:sz="6" w:space="0" w:color="auto"/>
            </w:tcBorders>
          </w:tcPr>
          <w:p w:rsidR="00DC613D" w:rsidRPr="000D6942" w:rsidP="00DC613D" w14:paraId="7ACB2D62" w14:textId="77777777">
            <w:pPr>
              <w:spacing w:after="0" w:line="240" w:lineRule="auto"/>
              <w:jc w:val="center"/>
              <w:rPr>
                <w:rFonts w:ascii="Times New Roman" w:eastAsia="Times New Roman" w:hAnsi="Times New Roman"/>
                <w:i/>
                <w:sz w:val="26"/>
                <w:szCs w:val="26"/>
                <w:lang w:eastAsia="lv-LV"/>
              </w:rPr>
            </w:pPr>
            <w:r w:rsidRPr="000D6942">
              <w:rPr>
                <w:rFonts w:ascii="Times New Roman" w:eastAsia="Times New Roman" w:hAnsi="Times New Roman"/>
                <w:i/>
                <w:sz w:val="26"/>
                <w:szCs w:val="26"/>
                <w:lang w:eastAsia="lv-LV"/>
              </w:rPr>
              <w:t>Ieviests pilnībā</w:t>
            </w:r>
          </w:p>
        </w:tc>
        <w:tc>
          <w:tcPr>
            <w:tcW w:w="2317" w:type="pct"/>
            <w:tcBorders>
              <w:top w:val="outset" w:sz="6" w:space="0" w:color="auto"/>
              <w:left w:val="outset" w:sz="6" w:space="0" w:color="auto"/>
              <w:bottom w:val="outset" w:sz="6" w:space="0" w:color="auto"/>
              <w:right w:val="outset" w:sz="6" w:space="0" w:color="auto"/>
            </w:tcBorders>
          </w:tcPr>
          <w:p w:rsidR="00DC613D" w:rsidRPr="000D6942" w:rsidP="00DC613D" w14:paraId="5F990AE6" w14:textId="77777777">
            <w:pPr>
              <w:spacing w:after="0" w:line="240" w:lineRule="auto"/>
              <w:jc w:val="center"/>
              <w:rPr>
                <w:rFonts w:ascii="Times New Roman" w:eastAsia="Times New Roman" w:hAnsi="Times New Roman"/>
                <w:i/>
                <w:sz w:val="26"/>
                <w:szCs w:val="26"/>
                <w:lang w:eastAsia="lv-LV"/>
              </w:rPr>
            </w:pPr>
            <w:r w:rsidRPr="000D6942">
              <w:rPr>
                <w:rFonts w:ascii="Times New Roman" w:eastAsia="Times New Roman" w:hAnsi="Times New Roman"/>
                <w:i/>
                <w:sz w:val="26"/>
                <w:szCs w:val="26"/>
                <w:lang w:eastAsia="lv-LV"/>
              </w:rPr>
              <w:t>Neparedz stingrākas prasības</w:t>
            </w:r>
          </w:p>
        </w:tc>
      </w:tr>
      <w:tr w14:paraId="529D8B98" w14:textId="77777777" w:rsidTr="00DC613D">
        <w:tblPrEx>
          <w:tblW w:w="5724" w:type="pct"/>
          <w:jc w:val="center"/>
          <w:tblCellSpacing w:w="15" w:type="dxa"/>
          <w:tblCellMar>
            <w:top w:w="30" w:type="dxa"/>
            <w:left w:w="30" w:type="dxa"/>
            <w:bottom w:w="30" w:type="dxa"/>
            <w:right w:w="30" w:type="dxa"/>
          </w:tblCellMar>
          <w:tblLook w:val="04A0"/>
        </w:tblPrEx>
        <w:trPr>
          <w:tblCellSpacing w:w="15" w:type="dxa"/>
          <w:jc w:val="center"/>
        </w:trPr>
        <w:tc>
          <w:tcPr>
            <w:tcW w:w="961" w:type="pct"/>
            <w:tcBorders>
              <w:top w:val="outset" w:sz="6" w:space="0" w:color="auto"/>
              <w:left w:val="outset" w:sz="6" w:space="0" w:color="auto"/>
              <w:bottom w:val="outset" w:sz="6" w:space="0" w:color="auto"/>
              <w:right w:val="outset" w:sz="6" w:space="0" w:color="auto"/>
            </w:tcBorders>
          </w:tcPr>
          <w:p w:rsidR="00DC613D" w:rsidRPr="000D6942" w:rsidP="00DC613D" w14:paraId="07E5016E" w14:textId="4F841F8D">
            <w:pPr>
              <w:spacing w:after="0" w:line="240" w:lineRule="auto"/>
              <w:rPr>
                <w:rFonts w:ascii="Times New Roman" w:hAnsi="Times New Roman"/>
                <w:i/>
                <w:sz w:val="26"/>
                <w:szCs w:val="26"/>
              </w:rPr>
            </w:pPr>
            <w:r w:rsidRPr="000D6942">
              <w:rPr>
                <w:rFonts w:ascii="Times New Roman" w:hAnsi="Times New Roman"/>
                <w:i/>
                <w:sz w:val="26"/>
                <w:szCs w:val="26"/>
              </w:rPr>
              <w:t xml:space="preserve">Regulas Nr. </w:t>
            </w:r>
            <w:r w:rsidRPr="00CC59EF">
              <w:rPr>
                <w:rFonts w:ascii="Times New Roman" w:hAnsi="Times New Roman"/>
                <w:i/>
                <w:sz w:val="26"/>
                <w:szCs w:val="26"/>
              </w:rPr>
              <w:t>717/2014</w:t>
            </w:r>
            <w:r>
              <w:rPr>
                <w:rFonts w:ascii="Times New Roman" w:hAnsi="Times New Roman"/>
                <w:i/>
                <w:sz w:val="26"/>
                <w:szCs w:val="26"/>
              </w:rPr>
              <w:t xml:space="preserve"> 6.panta 4</w:t>
            </w:r>
            <w:r w:rsidRPr="000D6942">
              <w:rPr>
                <w:rFonts w:ascii="Times New Roman" w:hAnsi="Times New Roman"/>
                <w:i/>
                <w:sz w:val="26"/>
                <w:szCs w:val="26"/>
              </w:rPr>
              <w:t>.punkts</w:t>
            </w:r>
          </w:p>
        </w:tc>
        <w:tc>
          <w:tcPr>
            <w:tcW w:w="893" w:type="pct"/>
            <w:tcBorders>
              <w:top w:val="outset" w:sz="6" w:space="0" w:color="auto"/>
              <w:left w:val="outset" w:sz="6" w:space="0" w:color="auto"/>
              <w:bottom w:val="outset" w:sz="6" w:space="0" w:color="auto"/>
              <w:right w:val="outset" w:sz="6" w:space="0" w:color="auto"/>
            </w:tcBorders>
          </w:tcPr>
          <w:p w:rsidR="00DC613D" w:rsidRPr="000D6942" w:rsidP="00DC613D" w14:paraId="77748730" w14:textId="6B6AF672">
            <w:pPr>
              <w:spacing w:after="0" w:line="240" w:lineRule="auto"/>
              <w:rPr>
                <w:rFonts w:ascii="Times New Roman" w:hAnsi="Times New Roman"/>
                <w:i/>
                <w:sz w:val="26"/>
                <w:szCs w:val="26"/>
              </w:rPr>
            </w:pPr>
            <w:r w:rsidRPr="000D6942">
              <w:rPr>
                <w:rFonts w:ascii="Times New Roman" w:hAnsi="Times New Roman"/>
                <w:i/>
                <w:sz w:val="26"/>
                <w:szCs w:val="26"/>
              </w:rPr>
              <w:t xml:space="preserve">Noteikumu projekta </w:t>
            </w:r>
            <w:r>
              <w:rPr>
                <w:rFonts w:ascii="Times New Roman" w:hAnsi="Times New Roman"/>
                <w:i/>
                <w:sz w:val="26"/>
                <w:szCs w:val="26"/>
              </w:rPr>
              <w:t>15</w:t>
            </w:r>
            <w:r w:rsidRPr="000D6942">
              <w:rPr>
                <w:rFonts w:ascii="Times New Roman" w:hAnsi="Times New Roman"/>
                <w:i/>
                <w:sz w:val="26"/>
                <w:szCs w:val="26"/>
              </w:rPr>
              <w:t>.punkts</w:t>
            </w:r>
          </w:p>
        </w:tc>
        <w:tc>
          <w:tcPr>
            <w:tcW w:w="752" w:type="pct"/>
            <w:tcBorders>
              <w:top w:val="outset" w:sz="6" w:space="0" w:color="auto"/>
              <w:left w:val="outset" w:sz="6" w:space="0" w:color="auto"/>
              <w:bottom w:val="outset" w:sz="6" w:space="0" w:color="auto"/>
              <w:right w:val="outset" w:sz="6" w:space="0" w:color="auto"/>
            </w:tcBorders>
          </w:tcPr>
          <w:p w:rsidR="00DC613D" w:rsidRPr="000D6942" w:rsidP="00DC613D" w14:paraId="4C733F69" w14:textId="77777777">
            <w:pPr>
              <w:spacing w:after="0" w:line="240" w:lineRule="auto"/>
              <w:jc w:val="center"/>
              <w:rPr>
                <w:rFonts w:ascii="Times New Roman" w:eastAsia="Times New Roman" w:hAnsi="Times New Roman"/>
                <w:i/>
                <w:sz w:val="26"/>
                <w:szCs w:val="26"/>
                <w:lang w:eastAsia="lv-LV"/>
              </w:rPr>
            </w:pPr>
            <w:r w:rsidRPr="000D6942">
              <w:rPr>
                <w:rFonts w:ascii="Times New Roman" w:eastAsia="Times New Roman" w:hAnsi="Times New Roman"/>
                <w:i/>
                <w:sz w:val="26"/>
                <w:szCs w:val="26"/>
                <w:lang w:eastAsia="lv-LV"/>
              </w:rPr>
              <w:t>Ieviests pilnībā</w:t>
            </w:r>
          </w:p>
        </w:tc>
        <w:tc>
          <w:tcPr>
            <w:tcW w:w="2317" w:type="pct"/>
            <w:tcBorders>
              <w:top w:val="outset" w:sz="6" w:space="0" w:color="auto"/>
              <w:left w:val="outset" w:sz="6" w:space="0" w:color="auto"/>
              <w:bottom w:val="outset" w:sz="6" w:space="0" w:color="auto"/>
              <w:right w:val="outset" w:sz="6" w:space="0" w:color="auto"/>
            </w:tcBorders>
          </w:tcPr>
          <w:p w:rsidR="00DC613D" w:rsidRPr="000D6942" w:rsidP="00DC613D" w14:paraId="7C548C76" w14:textId="77777777">
            <w:pPr>
              <w:spacing w:after="0" w:line="240" w:lineRule="auto"/>
              <w:jc w:val="center"/>
              <w:rPr>
                <w:rFonts w:ascii="Times New Roman" w:eastAsia="Times New Roman" w:hAnsi="Times New Roman"/>
                <w:i/>
                <w:sz w:val="26"/>
                <w:szCs w:val="26"/>
                <w:lang w:eastAsia="lv-LV"/>
              </w:rPr>
            </w:pPr>
            <w:r w:rsidRPr="000D6942">
              <w:rPr>
                <w:rFonts w:ascii="Times New Roman" w:eastAsia="Times New Roman" w:hAnsi="Times New Roman"/>
                <w:i/>
                <w:sz w:val="26"/>
                <w:szCs w:val="26"/>
                <w:lang w:eastAsia="lv-LV"/>
              </w:rPr>
              <w:t>Neparedz stingrākas prasības</w:t>
            </w:r>
          </w:p>
        </w:tc>
      </w:tr>
      <w:tr w14:paraId="50463D84" w14:textId="77777777" w:rsidTr="00DC613D">
        <w:tblPrEx>
          <w:tblW w:w="5724" w:type="pct"/>
          <w:jc w:val="center"/>
          <w:tblCellSpacing w:w="15" w:type="dxa"/>
          <w:tblCellMar>
            <w:top w:w="30" w:type="dxa"/>
            <w:left w:w="30" w:type="dxa"/>
            <w:bottom w:w="30" w:type="dxa"/>
            <w:right w:w="30" w:type="dxa"/>
          </w:tblCellMar>
          <w:tblLook w:val="04A0"/>
        </w:tblPrEx>
        <w:trPr>
          <w:tblCellSpacing w:w="15" w:type="dxa"/>
          <w:jc w:val="center"/>
        </w:trPr>
        <w:tc>
          <w:tcPr>
            <w:tcW w:w="961" w:type="pct"/>
            <w:tcBorders>
              <w:top w:val="outset" w:sz="6" w:space="0" w:color="auto"/>
              <w:left w:val="outset" w:sz="6" w:space="0" w:color="auto"/>
              <w:bottom w:val="outset" w:sz="6" w:space="0" w:color="auto"/>
              <w:right w:val="outset" w:sz="6" w:space="0" w:color="auto"/>
            </w:tcBorders>
            <w:hideMark/>
          </w:tcPr>
          <w:p w:rsidR="00DC613D" w:rsidRPr="000D6942" w:rsidP="00DC613D" w14:paraId="7F4B5E1B" w14:textId="77777777">
            <w:pPr>
              <w:spacing w:after="0" w:line="240" w:lineRule="auto"/>
              <w:rPr>
                <w:rFonts w:ascii="Times New Roman" w:eastAsia="Times New Roman" w:hAnsi="Times New Roman"/>
                <w:sz w:val="26"/>
                <w:szCs w:val="26"/>
                <w:lang w:eastAsia="lv-LV"/>
              </w:rPr>
            </w:pPr>
            <w:r w:rsidRPr="000D6942">
              <w:rPr>
                <w:rFonts w:ascii="Times New Roman" w:eastAsia="Times New Roman" w:hAnsi="Times New Roman"/>
                <w:sz w:val="26"/>
                <w:szCs w:val="26"/>
                <w:lang w:eastAsia="lv-LV"/>
              </w:rPr>
              <w:t>Kā ir izmantota ES tiesību aktā paredzētā rīcības brīvība dalībvalstij pārņemt vai ieviest noteiktas ES tiesību akta normas?</w:t>
            </w:r>
          </w:p>
          <w:p w:rsidR="00DC613D" w:rsidRPr="000D6942" w:rsidP="00DC613D" w14:paraId="09662CD8" w14:textId="77777777">
            <w:pPr>
              <w:spacing w:after="0" w:line="240" w:lineRule="auto"/>
              <w:rPr>
                <w:rFonts w:ascii="Times New Roman" w:eastAsia="Times New Roman" w:hAnsi="Times New Roman"/>
                <w:sz w:val="26"/>
                <w:szCs w:val="26"/>
                <w:lang w:eastAsia="lv-LV"/>
              </w:rPr>
            </w:pPr>
            <w:r w:rsidRPr="000D6942">
              <w:rPr>
                <w:rFonts w:ascii="Times New Roman" w:eastAsia="Times New Roman" w:hAnsi="Times New Roman"/>
                <w:sz w:val="26"/>
                <w:szCs w:val="26"/>
                <w:lang w:eastAsia="lv-LV"/>
              </w:rPr>
              <w:t>Kādēļ?</w:t>
            </w:r>
          </w:p>
        </w:tc>
        <w:tc>
          <w:tcPr>
            <w:tcW w:w="3992" w:type="pct"/>
            <w:gridSpan w:val="3"/>
            <w:tcBorders>
              <w:top w:val="outset" w:sz="6" w:space="0" w:color="auto"/>
              <w:left w:val="outset" w:sz="6" w:space="0" w:color="auto"/>
              <w:bottom w:val="outset" w:sz="6" w:space="0" w:color="auto"/>
              <w:right w:val="outset" w:sz="6" w:space="0" w:color="auto"/>
            </w:tcBorders>
            <w:hideMark/>
          </w:tcPr>
          <w:p w:rsidR="00DC613D" w:rsidRPr="000D6942" w:rsidP="00DC613D" w14:paraId="2FD317D6" w14:textId="77777777">
            <w:pPr>
              <w:spacing w:after="0" w:line="240" w:lineRule="auto"/>
              <w:jc w:val="both"/>
              <w:rPr>
                <w:rFonts w:ascii="Times New Roman" w:eastAsia="Times New Roman" w:hAnsi="Times New Roman"/>
                <w:sz w:val="26"/>
                <w:szCs w:val="26"/>
                <w:lang w:eastAsia="lv-LV"/>
              </w:rPr>
            </w:pPr>
            <w:r w:rsidRPr="000D6942">
              <w:rPr>
                <w:rFonts w:ascii="Times New Roman" w:eastAsia="Times New Roman" w:hAnsi="Times New Roman"/>
                <w:sz w:val="26"/>
                <w:szCs w:val="26"/>
                <w:lang w:eastAsia="lv-LV"/>
              </w:rPr>
              <w:t>Noteikumu projekts šo jomu neskar.</w:t>
            </w:r>
          </w:p>
        </w:tc>
      </w:tr>
      <w:tr w14:paraId="686E1BF9" w14:textId="77777777" w:rsidTr="00DC613D">
        <w:tblPrEx>
          <w:tblW w:w="5724" w:type="pct"/>
          <w:jc w:val="center"/>
          <w:tblCellSpacing w:w="15" w:type="dxa"/>
          <w:tblCellMar>
            <w:top w:w="30" w:type="dxa"/>
            <w:left w:w="30" w:type="dxa"/>
            <w:bottom w:w="30" w:type="dxa"/>
            <w:right w:w="30" w:type="dxa"/>
          </w:tblCellMar>
          <w:tblLook w:val="04A0"/>
        </w:tblPrEx>
        <w:trPr>
          <w:tblCellSpacing w:w="15" w:type="dxa"/>
          <w:jc w:val="center"/>
        </w:trPr>
        <w:tc>
          <w:tcPr>
            <w:tcW w:w="961" w:type="pct"/>
            <w:tcBorders>
              <w:top w:val="outset" w:sz="6" w:space="0" w:color="auto"/>
              <w:left w:val="outset" w:sz="6" w:space="0" w:color="auto"/>
              <w:bottom w:val="outset" w:sz="6" w:space="0" w:color="auto"/>
              <w:right w:val="outset" w:sz="6" w:space="0" w:color="auto"/>
            </w:tcBorders>
            <w:hideMark/>
          </w:tcPr>
          <w:p w:rsidR="00DC613D" w:rsidRPr="000D6942" w:rsidP="00DC613D" w14:paraId="31B2C373" w14:textId="77777777">
            <w:pPr>
              <w:spacing w:after="0" w:line="240" w:lineRule="auto"/>
              <w:rPr>
                <w:rFonts w:ascii="Times New Roman" w:eastAsia="Times New Roman" w:hAnsi="Times New Roman"/>
                <w:sz w:val="26"/>
                <w:szCs w:val="26"/>
                <w:lang w:eastAsia="lv-LV"/>
              </w:rPr>
            </w:pPr>
            <w:r w:rsidRPr="000D6942">
              <w:rPr>
                <w:rFonts w:ascii="Times New Roman" w:eastAsia="Times New Roman" w:hAnsi="Times New Roman"/>
                <w:sz w:val="26"/>
                <w:szCs w:val="26"/>
                <w:lang w:eastAsia="lv-LV"/>
              </w:rPr>
              <w:t xml:space="preserve">Saistības sniegt paziņojumu ES institūcijām un ES dalībvalstīm atbilstoši normatīvajiem aktiem, kas regulē informācijas sniegšanu par tehnisko noteikumu, valsts atbalsta piešķiršanas un finanšu noteikumu (attiecībā uz monetāro </w:t>
            </w:r>
            <w:r w:rsidRPr="000D6942">
              <w:rPr>
                <w:rFonts w:ascii="Times New Roman" w:eastAsia="Times New Roman" w:hAnsi="Times New Roman"/>
                <w:sz w:val="26"/>
                <w:szCs w:val="26"/>
                <w:lang w:eastAsia="lv-LV"/>
              </w:rPr>
              <w:t>politiku) projektiem</w:t>
            </w:r>
          </w:p>
        </w:tc>
        <w:tc>
          <w:tcPr>
            <w:tcW w:w="3992" w:type="pct"/>
            <w:gridSpan w:val="3"/>
            <w:tcBorders>
              <w:top w:val="outset" w:sz="6" w:space="0" w:color="auto"/>
              <w:left w:val="outset" w:sz="6" w:space="0" w:color="auto"/>
              <w:bottom w:val="outset" w:sz="6" w:space="0" w:color="auto"/>
              <w:right w:val="outset" w:sz="6" w:space="0" w:color="auto"/>
            </w:tcBorders>
            <w:hideMark/>
          </w:tcPr>
          <w:p w:rsidR="00DC613D" w:rsidRPr="000D6942" w:rsidP="00DC613D" w14:paraId="3200EC18" w14:textId="77777777">
            <w:pPr>
              <w:spacing w:after="0" w:line="240" w:lineRule="auto"/>
              <w:jc w:val="both"/>
              <w:rPr>
                <w:rFonts w:ascii="Times New Roman" w:eastAsia="Times New Roman" w:hAnsi="Times New Roman"/>
                <w:sz w:val="26"/>
                <w:szCs w:val="26"/>
                <w:lang w:eastAsia="lv-LV"/>
              </w:rPr>
            </w:pPr>
            <w:r w:rsidRPr="000D6942">
              <w:rPr>
                <w:rFonts w:ascii="Times New Roman" w:eastAsia="Times New Roman" w:hAnsi="Times New Roman"/>
                <w:sz w:val="26"/>
                <w:szCs w:val="26"/>
                <w:lang w:eastAsia="lv-LV"/>
              </w:rPr>
              <w:t>Noteikumu projekts šo jomu neskar.</w:t>
            </w:r>
          </w:p>
        </w:tc>
      </w:tr>
      <w:tr w14:paraId="56A32A1B" w14:textId="77777777" w:rsidTr="00DC613D">
        <w:tblPrEx>
          <w:tblW w:w="5724" w:type="pct"/>
          <w:jc w:val="center"/>
          <w:tblCellSpacing w:w="15" w:type="dxa"/>
          <w:tblCellMar>
            <w:top w:w="30" w:type="dxa"/>
            <w:left w:w="30" w:type="dxa"/>
            <w:bottom w:w="30" w:type="dxa"/>
            <w:right w:w="30" w:type="dxa"/>
          </w:tblCellMar>
          <w:tblLook w:val="04A0"/>
        </w:tblPrEx>
        <w:trPr>
          <w:tblCellSpacing w:w="15" w:type="dxa"/>
          <w:jc w:val="center"/>
        </w:trPr>
        <w:tc>
          <w:tcPr>
            <w:tcW w:w="961" w:type="pct"/>
            <w:tcBorders>
              <w:top w:val="outset" w:sz="6" w:space="0" w:color="auto"/>
              <w:left w:val="outset" w:sz="6" w:space="0" w:color="auto"/>
              <w:bottom w:val="outset" w:sz="6" w:space="0" w:color="auto"/>
              <w:right w:val="outset" w:sz="6" w:space="0" w:color="auto"/>
            </w:tcBorders>
            <w:hideMark/>
          </w:tcPr>
          <w:p w:rsidR="00DC613D" w:rsidRPr="000D6942" w:rsidP="00DC613D" w14:paraId="633415B1" w14:textId="77777777">
            <w:pPr>
              <w:spacing w:after="0" w:line="240" w:lineRule="auto"/>
              <w:rPr>
                <w:rFonts w:ascii="Times New Roman" w:eastAsia="Times New Roman" w:hAnsi="Times New Roman"/>
                <w:sz w:val="26"/>
                <w:szCs w:val="26"/>
                <w:lang w:eastAsia="lv-LV"/>
              </w:rPr>
            </w:pPr>
            <w:r w:rsidRPr="000D6942">
              <w:rPr>
                <w:rFonts w:ascii="Times New Roman" w:eastAsia="Times New Roman" w:hAnsi="Times New Roman"/>
                <w:sz w:val="26"/>
                <w:szCs w:val="26"/>
                <w:lang w:eastAsia="lv-LV"/>
              </w:rPr>
              <w:t>Cita informācija</w:t>
            </w:r>
          </w:p>
        </w:tc>
        <w:tc>
          <w:tcPr>
            <w:tcW w:w="3992" w:type="pct"/>
            <w:gridSpan w:val="3"/>
            <w:tcBorders>
              <w:top w:val="outset" w:sz="6" w:space="0" w:color="auto"/>
              <w:left w:val="outset" w:sz="6" w:space="0" w:color="auto"/>
              <w:bottom w:val="outset" w:sz="6" w:space="0" w:color="auto"/>
              <w:right w:val="outset" w:sz="6" w:space="0" w:color="auto"/>
            </w:tcBorders>
            <w:hideMark/>
          </w:tcPr>
          <w:p w:rsidR="00DC613D" w:rsidRPr="000D6942" w:rsidP="00DC613D" w14:paraId="60311944" w14:textId="77777777">
            <w:pPr>
              <w:spacing w:after="0" w:line="240" w:lineRule="auto"/>
              <w:rPr>
                <w:rFonts w:ascii="Times New Roman" w:eastAsia="Times New Roman" w:hAnsi="Times New Roman"/>
                <w:sz w:val="26"/>
                <w:szCs w:val="26"/>
                <w:lang w:eastAsia="lv-LV"/>
              </w:rPr>
            </w:pPr>
            <w:r w:rsidRPr="000D6942">
              <w:rPr>
                <w:rFonts w:ascii="Times New Roman" w:eastAsia="Times New Roman" w:hAnsi="Times New Roman"/>
                <w:sz w:val="26"/>
                <w:szCs w:val="26"/>
                <w:lang w:eastAsia="lv-LV"/>
              </w:rPr>
              <w:t>Nav</w:t>
            </w:r>
          </w:p>
        </w:tc>
      </w:tr>
    </w:tbl>
    <w:p w:rsidR="00865185" w:rsidRPr="000D6942" w:rsidP="00865185" w14:paraId="4C9336EF" w14:textId="77777777">
      <w:pPr>
        <w:spacing w:after="0" w:line="240" w:lineRule="auto"/>
        <w:rPr>
          <w:rFonts w:ascii="Times New Roman" w:hAnsi="Times New Roman"/>
          <w:bCs/>
          <w:sz w:val="26"/>
          <w:szCs w:val="26"/>
        </w:rPr>
      </w:pPr>
    </w:p>
    <w:tbl>
      <w:tblPr>
        <w:tblW w:w="964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640"/>
      </w:tblGrid>
      <w:tr w14:paraId="5282A5EA" w14:textId="77777777" w:rsidTr="00926E23">
        <w:tblPrEx>
          <w:tblW w:w="964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249"/>
        </w:trPr>
        <w:tc>
          <w:tcPr>
            <w:tcW w:w="9640" w:type="dxa"/>
            <w:vAlign w:val="center"/>
          </w:tcPr>
          <w:p w:rsidR="00926E23" w:rsidRPr="00926E23" w:rsidP="00926E23" w14:paraId="0F7D3C65" w14:textId="77777777">
            <w:pPr>
              <w:spacing w:after="0" w:line="240" w:lineRule="auto"/>
              <w:ind w:left="57" w:right="57"/>
              <w:jc w:val="center"/>
              <w:rPr>
                <w:rFonts w:ascii="Times New Roman" w:eastAsia="Times New Roman" w:hAnsi="Times New Roman"/>
                <w:sz w:val="28"/>
                <w:szCs w:val="28"/>
                <w:lang w:eastAsia="lv-LV"/>
              </w:rPr>
            </w:pPr>
            <w:r w:rsidRPr="00926E23">
              <w:rPr>
                <w:rFonts w:ascii="Times New Roman" w:eastAsia="Times New Roman" w:hAnsi="Times New Roman"/>
                <w:b/>
                <w:sz w:val="28"/>
                <w:szCs w:val="28"/>
                <w:lang w:eastAsia="lv-LV"/>
              </w:rPr>
              <w:t>VI. Sabiedrības līdzdalība un komunikācijas aktivitātes</w:t>
            </w:r>
          </w:p>
        </w:tc>
      </w:tr>
      <w:tr w14:paraId="6EF54E2B" w14:textId="77777777" w:rsidTr="00926E23">
        <w:tblPrEx>
          <w:tblW w:w="9640" w:type="dxa"/>
          <w:tblInd w:w="-704" w:type="dxa"/>
          <w:tblCellMar>
            <w:left w:w="0" w:type="dxa"/>
            <w:right w:w="0" w:type="dxa"/>
          </w:tblCellMar>
          <w:tblLook w:val="0000"/>
        </w:tblPrEx>
        <w:trPr>
          <w:trHeight w:val="218"/>
        </w:trPr>
        <w:tc>
          <w:tcPr>
            <w:tcW w:w="9640" w:type="dxa"/>
          </w:tcPr>
          <w:p w:rsidR="00926E23" w:rsidRPr="00926E23" w:rsidP="00926E23" w14:paraId="7923D6D3" w14:textId="77777777">
            <w:pPr>
              <w:spacing w:after="0" w:line="240" w:lineRule="auto"/>
              <w:ind w:left="57" w:right="57"/>
              <w:jc w:val="center"/>
              <w:rPr>
                <w:rFonts w:ascii="Times New Roman" w:eastAsia="PMingLiU" w:hAnsi="Times New Roman"/>
                <w:sz w:val="28"/>
                <w:szCs w:val="28"/>
                <w:lang w:eastAsia="ja-JP"/>
              </w:rPr>
            </w:pPr>
            <w:r w:rsidRPr="0014239A">
              <w:rPr>
                <w:rFonts w:ascii="Times New Roman" w:hAnsi="Times New Roman"/>
                <w:bCs/>
                <w:sz w:val="28"/>
                <w:szCs w:val="28"/>
                <w:lang w:val="de-DE"/>
              </w:rPr>
              <w:t>Noteikumu</w:t>
            </w:r>
            <w:r w:rsidRPr="0014239A">
              <w:rPr>
                <w:rFonts w:ascii="Times New Roman" w:hAnsi="Times New Roman"/>
                <w:bCs/>
                <w:sz w:val="28"/>
                <w:szCs w:val="28"/>
                <w:lang w:val="de-DE"/>
              </w:rPr>
              <w:t xml:space="preserve"> </w:t>
            </w:r>
            <w:r w:rsidRPr="0014239A">
              <w:rPr>
                <w:rFonts w:ascii="Times New Roman" w:hAnsi="Times New Roman"/>
                <w:bCs/>
                <w:sz w:val="28"/>
                <w:szCs w:val="28"/>
                <w:lang w:val="de-DE"/>
              </w:rPr>
              <w:t>projekts</w:t>
            </w:r>
            <w:r w:rsidRPr="0014239A">
              <w:rPr>
                <w:rFonts w:ascii="Times New Roman" w:hAnsi="Times New Roman"/>
                <w:bCs/>
                <w:sz w:val="28"/>
                <w:szCs w:val="28"/>
                <w:lang w:val="de-DE"/>
              </w:rPr>
              <w:t xml:space="preserve"> </w:t>
            </w:r>
            <w:r w:rsidRPr="0014239A">
              <w:rPr>
                <w:rFonts w:ascii="Times New Roman" w:hAnsi="Times New Roman"/>
                <w:bCs/>
                <w:sz w:val="28"/>
                <w:szCs w:val="28"/>
                <w:lang w:val="de-DE"/>
              </w:rPr>
              <w:t>šo</w:t>
            </w:r>
            <w:r w:rsidRPr="0014239A">
              <w:rPr>
                <w:rFonts w:ascii="Times New Roman" w:hAnsi="Times New Roman"/>
                <w:bCs/>
                <w:sz w:val="28"/>
                <w:szCs w:val="28"/>
                <w:lang w:val="de-DE"/>
              </w:rPr>
              <w:t xml:space="preserve"> </w:t>
            </w:r>
            <w:r w:rsidRPr="0014239A">
              <w:rPr>
                <w:rFonts w:ascii="Times New Roman" w:hAnsi="Times New Roman"/>
                <w:bCs/>
                <w:sz w:val="28"/>
                <w:szCs w:val="28"/>
                <w:lang w:val="de-DE"/>
              </w:rPr>
              <w:t>jomu</w:t>
            </w:r>
            <w:r w:rsidRPr="0014239A">
              <w:rPr>
                <w:rFonts w:ascii="Times New Roman" w:hAnsi="Times New Roman"/>
                <w:bCs/>
                <w:sz w:val="28"/>
                <w:szCs w:val="28"/>
                <w:lang w:val="de-DE"/>
              </w:rPr>
              <w:t xml:space="preserve"> </w:t>
            </w:r>
            <w:r w:rsidRPr="0014239A">
              <w:rPr>
                <w:rFonts w:ascii="Times New Roman" w:hAnsi="Times New Roman"/>
                <w:bCs/>
                <w:sz w:val="28"/>
                <w:szCs w:val="28"/>
                <w:lang w:val="de-DE"/>
              </w:rPr>
              <w:t>neskar</w:t>
            </w:r>
            <w:r w:rsidRPr="0014239A">
              <w:rPr>
                <w:rFonts w:ascii="Times New Roman" w:hAnsi="Times New Roman"/>
                <w:bCs/>
                <w:sz w:val="28"/>
                <w:szCs w:val="28"/>
                <w:lang w:val="de-DE"/>
              </w:rPr>
              <w:t>.</w:t>
            </w:r>
            <w:bookmarkStart w:id="2" w:name="p61"/>
            <w:bookmarkEnd w:id="2"/>
          </w:p>
        </w:tc>
      </w:tr>
    </w:tbl>
    <w:p w:rsidR="00926E23" w:rsidRPr="000D6942" w:rsidP="00865185" w14:paraId="3C48F64A" w14:textId="682D5C52">
      <w:pPr>
        <w:tabs>
          <w:tab w:val="left" w:pos="7655"/>
        </w:tabs>
        <w:spacing w:line="240" w:lineRule="auto"/>
        <w:jc w:val="both"/>
        <w:rPr>
          <w:rFonts w:ascii="Times New Roman" w:hAnsi="Times New Roman"/>
          <w:bCs/>
          <w:sz w:val="26"/>
          <w:szCs w:val="26"/>
        </w:rPr>
      </w:pPr>
    </w:p>
    <w:tbl>
      <w:tblPr>
        <w:tblW w:w="9498" w:type="dxa"/>
        <w:tblInd w:w="-537"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tblPr>
      <w:tblGrid>
        <w:gridCol w:w="4051"/>
        <w:gridCol w:w="5447"/>
      </w:tblGrid>
      <w:tr w14:paraId="7AAB3D05" w14:textId="77777777" w:rsidTr="006D126F">
        <w:tblPrEx>
          <w:tblW w:w="9498" w:type="dxa"/>
          <w:tblInd w:w="-537"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tblPrEx>
        <w:tc>
          <w:tcPr>
            <w:tcW w:w="9498"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865185" w:rsidRPr="000D6942" w:rsidP="006D126F" w14:paraId="6DA8AABE" w14:textId="77777777">
            <w:pPr>
              <w:spacing w:line="240" w:lineRule="auto"/>
              <w:jc w:val="center"/>
              <w:rPr>
                <w:rFonts w:ascii="Times New Roman" w:eastAsia="Times New Roman" w:hAnsi="Times New Roman"/>
                <w:b/>
                <w:sz w:val="26"/>
                <w:szCs w:val="26"/>
                <w:lang w:eastAsia="lv-LV"/>
              </w:rPr>
            </w:pPr>
            <w:r w:rsidRPr="000D6942">
              <w:rPr>
                <w:rFonts w:ascii="Times New Roman" w:eastAsia="Times New Roman" w:hAnsi="Times New Roman"/>
                <w:b/>
                <w:sz w:val="26"/>
                <w:szCs w:val="26"/>
                <w:lang w:eastAsia="lv-LV"/>
              </w:rPr>
              <w:t>VII. Tiesību akta projekta izpildes nodrošināšana un tās ietekme uz institūcijām</w:t>
            </w:r>
          </w:p>
        </w:tc>
      </w:tr>
      <w:tr w14:paraId="4809825C" w14:textId="77777777" w:rsidTr="00865185">
        <w:tblPrEx>
          <w:tblW w:w="9498" w:type="dxa"/>
          <w:tblInd w:w="-537" w:type="dxa"/>
          <w:tblLayout w:type="fixed"/>
          <w:tblCellMar>
            <w:left w:w="0" w:type="dxa"/>
            <w:right w:w="0" w:type="dxa"/>
          </w:tblCellMar>
          <w:tblLook w:val="04A0"/>
        </w:tblPrEx>
        <w:trPr>
          <w:trHeight w:val="558"/>
        </w:trPr>
        <w:tc>
          <w:tcPr>
            <w:tcW w:w="4051" w:type="dxa"/>
            <w:tcBorders>
              <w:top w:val="thickThinLargeGap" w:sz="6" w:space="0" w:color="C0C0C0"/>
              <w:left w:val="thickThinLargeGap" w:sz="6" w:space="0" w:color="C0C0C0"/>
              <w:bottom w:val="thickThinLargeGap" w:sz="6" w:space="0" w:color="C0C0C0"/>
              <w:right w:val="thickThinLargeGap" w:sz="6" w:space="0" w:color="C0C0C0"/>
            </w:tcBorders>
            <w:hideMark/>
          </w:tcPr>
          <w:p w:rsidR="00865185" w:rsidRPr="000D6942" w:rsidP="006D126F" w14:paraId="1650EEB7" w14:textId="77777777">
            <w:pPr>
              <w:numPr>
                <w:ilvl w:val="0"/>
                <w:numId w:val="3"/>
              </w:numPr>
              <w:spacing w:after="0" w:line="240" w:lineRule="auto"/>
              <w:ind w:left="0" w:firstLine="0"/>
              <w:rPr>
                <w:rFonts w:ascii="Times New Roman" w:eastAsia="Times New Roman" w:hAnsi="Times New Roman"/>
                <w:sz w:val="26"/>
                <w:szCs w:val="26"/>
                <w:lang w:eastAsia="lv-LV"/>
              </w:rPr>
            </w:pPr>
            <w:r w:rsidRPr="000D6942">
              <w:rPr>
                <w:rFonts w:ascii="Times New Roman" w:eastAsia="Times New Roman" w:hAnsi="Times New Roman"/>
                <w:sz w:val="26"/>
                <w:szCs w:val="26"/>
                <w:lang w:eastAsia="lv-LV"/>
              </w:rPr>
              <w:t>Projekta izpildē iesaistītās institūcijas</w:t>
            </w:r>
          </w:p>
        </w:tc>
        <w:tc>
          <w:tcPr>
            <w:tcW w:w="5447" w:type="dxa"/>
            <w:tcBorders>
              <w:top w:val="thickThinLargeGap" w:sz="6" w:space="0" w:color="C0C0C0"/>
              <w:left w:val="thickThinLargeGap" w:sz="6" w:space="0" w:color="C0C0C0"/>
              <w:bottom w:val="thickThinLargeGap" w:sz="6" w:space="0" w:color="C0C0C0"/>
              <w:right w:val="thickThinLargeGap" w:sz="6" w:space="0" w:color="C0C0C0"/>
            </w:tcBorders>
            <w:hideMark/>
          </w:tcPr>
          <w:p w:rsidR="00865185" w:rsidRPr="000D6942" w:rsidP="006D126F" w14:paraId="39E2ACBC" w14:textId="228FC49F">
            <w:pPr>
              <w:spacing w:after="0" w:line="240" w:lineRule="auto"/>
              <w:ind w:firstLine="425"/>
              <w:jc w:val="both"/>
              <w:rPr>
                <w:rFonts w:ascii="Times New Roman" w:hAnsi="Times New Roman"/>
                <w:sz w:val="26"/>
                <w:szCs w:val="26"/>
                <w:lang w:eastAsia="lv-LV"/>
              </w:rPr>
            </w:pPr>
            <w:r w:rsidRPr="000D6942">
              <w:rPr>
                <w:rFonts w:ascii="Times New Roman" w:hAnsi="Times New Roman"/>
                <w:sz w:val="26"/>
                <w:szCs w:val="26"/>
              </w:rPr>
              <w:t xml:space="preserve">Noteikumu projekta izpildē ir iesaistīta EM un sabiedrība </w:t>
            </w:r>
            <w:r w:rsidRPr="000D6942" w:rsidR="00E6370E">
              <w:rPr>
                <w:rFonts w:ascii="Times New Roman" w:eastAsia="Times New Roman" w:hAnsi="Times New Roman"/>
                <w:bCs/>
                <w:sz w:val="26"/>
                <w:szCs w:val="26"/>
              </w:rPr>
              <w:t>"</w:t>
            </w:r>
            <w:r w:rsidRPr="000D6942">
              <w:rPr>
                <w:rFonts w:ascii="Times New Roman" w:hAnsi="Times New Roman"/>
                <w:sz w:val="26"/>
                <w:szCs w:val="26"/>
              </w:rPr>
              <w:t>Altum</w:t>
            </w:r>
            <w:r w:rsidRPr="000D6942" w:rsidR="00E6370E">
              <w:rPr>
                <w:rFonts w:ascii="Times New Roman" w:eastAsia="Times New Roman" w:hAnsi="Times New Roman"/>
                <w:bCs/>
                <w:sz w:val="26"/>
                <w:szCs w:val="26"/>
              </w:rPr>
              <w:t>"</w:t>
            </w:r>
            <w:r w:rsidRPr="000D6942">
              <w:rPr>
                <w:rFonts w:ascii="Times New Roman" w:hAnsi="Times New Roman"/>
                <w:sz w:val="26"/>
                <w:szCs w:val="26"/>
              </w:rPr>
              <w:t>.</w:t>
            </w:r>
          </w:p>
        </w:tc>
      </w:tr>
      <w:tr w14:paraId="75362873" w14:textId="77777777" w:rsidTr="00865185">
        <w:tblPrEx>
          <w:tblW w:w="9498" w:type="dxa"/>
          <w:tblInd w:w="-537" w:type="dxa"/>
          <w:tblLayout w:type="fixed"/>
          <w:tblCellMar>
            <w:left w:w="0" w:type="dxa"/>
            <w:right w:w="0" w:type="dxa"/>
          </w:tblCellMar>
          <w:tblLook w:val="04A0"/>
        </w:tblPrEx>
        <w:tc>
          <w:tcPr>
            <w:tcW w:w="4051" w:type="dxa"/>
            <w:tcBorders>
              <w:top w:val="thickThinLargeGap" w:sz="6" w:space="0" w:color="C0C0C0"/>
              <w:left w:val="thickThinLargeGap" w:sz="6" w:space="0" w:color="C0C0C0"/>
              <w:bottom w:val="thickThinLargeGap" w:sz="6" w:space="0" w:color="C0C0C0"/>
              <w:right w:val="thickThinLargeGap" w:sz="6" w:space="0" w:color="C0C0C0"/>
            </w:tcBorders>
            <w:hideMark/>
          </w:tcPr>
          <w:p w:rsidR="00865185" w:rsidRPr="000D6942" w:rsidP="006D126F" w14:paraId="2FDAEA00" w14:textId="77777777">
            <w:pPr>
              <w:numPr>
                <w:ilvl w:val="0"/>
                <w:numId w:val="3"/>
              </w:numPr>
              <w:spacing w:after="0" w:line="240" w:lineRule="auto"/>
              <w:ind w:left="0" w:firstLine="0"/>
              <w:rPr>
                <w:rFonts w:ascii="Times New Roman" w:eastAsia="Times New Roman" w:hAnsi="Times New Roman"/>
                <w:sz w:val="26"/>
                <w:szCs w:val="26"/>
                <w:lang w:eastAsia="lv-LV"/>
              </w:rPr>
            </w:pPr>
            <w:r w:rsidRPr="000D6942">
              <w:rPr>
                <w:rFonts w:ascii="Times New Roman" w:eastAsia="Times New Roman" w:hAnsi="Times New Roman"/>
                <w:sz w:val="26"/>
                <w:szCs w:val="26"/>
                <w:lang w:eastAsia="lv-LV"/>
              </w:rPr>
              <w:t>Projekta izpildes ietekme uz pārvaldes funkcijām un institucionālo struktūru.</w:t>
            </w:r>
          </w:p>
          <w:p w:rsidR="00865185" w:rsidRPr="000D6942" w:rsidP="006D126F" w14:paraId="7C4FCF06" w14:textId="77777777">
            <w:pPr>
              <w:spacing w:after="0" w:line="240" w:lineRule="auto"/>
              <w:rPr>
                <w:rFonts w:ascii="Times New Roman" w:eastAsia="Times New Roman" w:hAnsi="Times New Roman"/>
                <w:sz w:val="26"/>
                <w:szCs w:val="26"/>
                <w:lang w:eastAsia="lv-LV"/>
              </w:rPr>
            </w:pPr>
            <w:r w:rsidRPr="000D6942">
              <w:rPr>
                <w:rFonts w:ascii="Times New Roman" w:eastAsia="Times New Roman" w:hAnsi="Times New Roman"/>
                <w:sz w:val="26"/>
                <w:szCs w:val="26"/>
                <w:lang w:eastAsia="lv-LV"/>
              </w:rPr>
              <w:t>Jaunu institūciju izveide, esošu institūciju likvidācija vai reorganizācija, to ietekme uz institūcijas cilvēkresursiem</w:t>
            </w:r>
          </w:p>
        </w:tc>
        <w:tc>
          <w:tcPr>
            <w:tcW w:w="5447" w:type="dxa"/>
            <w:tcBorders>
              <w:top w:val="thickThinLargeGap" w:sz="6" w:space="0" w:color="C0C0C0"/>
              <w:left w:val="thickThinLargeGap" w:sz="6" w:space="0" w:color="C0C0C0"/>
              <w:bottom w:val="thickThinLargeGap" w:sz="6" w:space="0" w:color="C0C0C0"/>
              <w:right w:val="thickThinLargeGap" w:sz="6" w:space="0" w:color="C0C0C0"/>
            </w:tcBorders>
            <w:hideMark/>
          </w:tcPr>
          <w:p w:rsidR="00865185" w:rsidRPr="000D6942" w:rsidP="006D126F" w14:paraId="1CC60EE5" w14:textId="1655344F">
            <w:pPr>
              <w:spacing w:line="240" w:lineRule="auto"/>
              <w:ind w:firstLine="567"/>
              <w:jc w:val="both"/>
              <w:rPr>
                <w:rFonts w:ascii="Times New Roman" w:hAnsi="Times New Roman"/>
                <w:sz w:val="26"/>
                <w:szCs w:val="26"/>
              </w:rPr>
            </w:pPr>
            <w:r w:rsidRPr="000D6942">
              <w:rPr>
                <w:rFonts w:ascii="Times New Roman" w:hAnsi="Times New Roman"/>
                <w:sz w:val="26"/>
                <w:szCs w:val="26"/>
              </w:rPr>
              <w:t xml:space="preserve">Noteikumu projekta izpilde tiks nodrošināta sabiedrības </w:t>
            </w:r>
            <w:r w:rsidRPr="000D6942" w:rsidR="00E6370E">
              <w:rPr>
                <w:rFonts w:ascii="Times New Roman" w:eastAsia="Times New Roman" w:hAnsi="Times New Roman"/>
                <w:bCs/>
                <w:sz w:val="26"/>
                <w:szCs w:val="26"/>
              </w:rPr>
              <w:t>"</w:t>
            </w:r>
            <w:r w:rsidRPr="000D6942">
              <w:rPr>
                <w:rFonts w:ascii="Times New Roman" w:hAnsi="Times New Roman"/>
                <w:sz w:val="26"/>
                <w:szCs w:val="26"/>
              </w:rPr>
              <w:t>Altum</w:t>
            </w:r>
            <w:r w:rsidRPr="000D6942" w:rsidR="00E6370E">
              <w:rPr>
                <w:rFonts w:ascii="Times New Roman" w:eastAsia="Times New Roman" w:hAnsi="Times New Roman"/>
                <w:bCs/>
                <w:sz w:val="26"/>
                <w:szCs w:val="26"/>
              </w:rPr>
              <w:t>"</w:t>
            </w:r>
            <w:r w:rsidRPr="000D6942">
              <w:rPr>
                <w:rFonts w:ascii="Times New Roman" w:hAnsi="Times New Roman"/>
                <w:sz w:val="26"/>
                <w:szCs w:val="26"/>
              </w:rPr>
              <w:t xml:space="preserve"> esošo funkciju ietvaros, nav nepieciešams izveidot jaunas institūcijas, likvidēt esošas institūcijas vai veikt reorganizāciju.</w:t>
            </w:r>
          </w:p>
        </w:tc>
      </w:tr>
      <w:tr w14:paraId="42E1BDFE" w14:textId="77777777" w:rsidTr="00865185">
        <w:tblPrEx>
          <w:tblW w:w="9498" w:type="dxa"/>
          <w:tblInd w:w="-537" w:type="dxa"/>
          <w:tblLayout w:type="fixed"/>
          <w:tblCellMar>
            <w:left w:w="0" w:type="dxa"/>
            <w:right w:w="0" w:type="dxa"/>
          </w:tblCellMar>
          <w:tblLook w:val="04A0"/>
        </w:tblPrEx>
        <w:tc>
          <w:tcPr>
            <w:tcW w:w="4051" w:type="dxa"/>
            <w:tcBorders>
              <w:top w:val="thickThinLargeGap" w:sz="6" w:space="0" w:color="C0C0C0"/>
              <w:left w:val="thickThinLargeGap" w:sz="6" w:space="0" w:color="C0C0C0"/>
              <w:bottom w:val="thickThinLargeGap" w:sz="6" w:space="0" w:color="C0C0C0"/>
              <w:right w:val="thickThinLargeGap" w:sz="6" w:space="0" w:color="C0C0C0"/>
            </w:tcBorders>
            <w:hideMark/>
          </w:tcPr>
          <w:p w:rsidR="00865185" w:rsidRPr="000D6942" w:rsidP="006D126F" w14:paraId="39BACBFF" w14:textId="77777777">
            <w:pPr>
              <w:numPr>
                <w:ilvl w:val="0"/>
                <w:numId w:val="3"/>
              </w:numPr>
              <w:spacing w:after="0" w:line="240" w:lineRule="auto"/>
              <w:ind w:left="0" w:firstLine="0"/>
              <w:rPr>
                <w:rFonts w:ascii="Times New Roman" w:eastAsia="Times New Roman" w:hAnsi="Times New Roman"/>
                <w:sz w:val="26"/>
                <w:szCs w:val="26"/>
                <w:lang w:eastAsia="lv-LV"/>
              </w:rPr>
            </w:pPr>
            <w:r w:rsidRPr="000D6942">
              <w:rPr>
                <w:rFonts w:ascii="Times New Roman" w:eastAsia="Times New Roman" w:hAnsi="Times New Roman"/>
                <w:sz w:val="26"/>
                <w:szCs w:val="26"/>
                <w:lang w:eastAsia="lv-LV"/>
              </w:rPr>
              <w:t>Cita informācija</w:t>
            </w:r>
          </w:p>
        </w:tc>
        <w:tc>
          <w:tcPr>
            <w:tcW w:w="5447" w:type="dxa"/>
            <w:tcBorders>
              <w:top w:val="thickThinLargeGap" w:sz="6" w:space="0" w:color="C0C0C0"/>
              <w:left w:val="thickThinLargeGap" w:sz="6" w:space="0" w:color="C0C0C0"/>
              <w:bottom w:val="thickThinLargeGap" w:sz="6" w:space="0" w:color="C0C0C0"/>
              <w:right w:val="thickThinLargeGap" w:sz="6" w:space="0" w:color="C0C0C0"/>
            </w:tcBorders>
            <w:hideMark/>
          </w:tcPr>
          <w:p w:rsidR="00865185" w:rsidRPr="000D6942" w:rsidP="006D126F" w14:paraId="4E30D82B" w14:textId="77777777">
            <w:pPr>
              <w:spacing w:after="0" w:line="240" w:lineRule="auto"/>
              <w:ind w:firstLine="284"/>
              <w:rPr>
                <w:rFonts w:ascii="Times New Roman" w:eastAsia="Times New Roman" w:hAnsi="Times New Roman"/>
                <w:sz w:val="26"/>
                <w:szCs w:val="26"/>
                <w:lang w:eastAsia="lv-LV"/>
              </w:rPr>
            </w:pPr>
            <w:r w:rsidRPr="000D6942">
              <w:rPr>
                <w:rFonts w:ascii="Times New Roman" w:eastAsia="Times New Roman" w:hAnsi="Times New Roman"/>
                <w:sz w:val="26"/>
                <w:szCs w:val="26"/>
                <w:lang w:eastAsia="lv-LV"/>
              </w:rPr>
              <w:t>Nav</w:t>
            </w:r>
          </w:p>
        </w:tc>
      </w:tr>
    </w:tbl>
    <w:p w:rsidR="00616F47" w:rsidP="00865185" w14:paraId="1471B95D" w14:textId="77777777">
      <w:pPr>
        <w:tabs>
          <w:tab w:val="right" w:pos="9071"/>
        </w:tabs>
        <w:spacing w:after="0" w:line="240" w:lineRule="auto"/>
        <w:jc w:val="both"/>
        <w:rPr>
          <w:rFonts w:ascii="Times New Roman" w:eastAsia="Times New Roman" w:hAnsi="Times New Roman"/>
          <w:sz w:val="26"/>
          <w:szCs w:val="26"/>
          <w:lang w:eastAsia="lv-LV"/>
        </w:rPr>
      </w:pPr>
    </w:p>
    <w:p w:rsidR="00865185" w:rsidRPr="000D6942" w:rsidP="00865185" w14:paraId="694280FA" w14:textId="295DF44B">
      <w:pPr>
        <w:tabs>
          <w:tab w:val="right" w:pos="9071"/>
        </w:tabs>
        <w:spacing w:after="0" w:line="240" w:lineRule="auto"/>
        <w:jc w:val="both"/>
        <w:rPr>
          <w:rFonts w:ascii="Times New Roman" w:eastAsia="Times New Roman" w:hAnsi="Times New Roman"/>
          <w:sz w:val="26"/>
          <w:szCs w:val="26"/>
          <w:lang w:eastAsia="lv-LV"/>
        </w:rPr>
      </w:pPr>
      <w:r w:rsidRPr="000D6942">
        <w:rPr>
          <w:rFonts w:ascii="Times New Roman" w:eastAsia="Times New Roman" w:hAnsi="Times New Roman"/>
          <w:sz w:val="26"/>
          <w:szCs w:val="26"/>
          <w:lang w:eastAsia="lv-LV"/>
        </w:rPr>
        <w:t xml:space="preserve">Anotācijas III., </w:t>
      </w:r>
      <w:r w:rsidRPr="000D6942">
        <w:rPr>
          <w:rFonts w:ascii="Times New Roman" w:eastAsia="Times New Roman" w:hAnsi="Times New Roman"/>
          <w:sz w:val="26"/>
          <w:szCs w:val="26"/>
          <w:lang w:eastAsia="lv-LV"/>
        </w:rPr>
        <w:t>IV.sadaļas</w:t>
      </w:r>
      <w:r w:rsidRPr="000D6942">
        <w:rPr>
          <w:rFonts w:ascii="Times New Roman" w:eastAsia="Times New Roman" w:hAnsi="Times New Roman"/>
          <w:sz w:val="26"/>
          <w:szCs w:val="26"/>
          <w:lang w:eastAsia="lv-LV"/>
        </w:rPr>
        <w:t xml:space="preserve"> – noteikumu projekts šīs jomas neskar. </w:t>
      </w:r>
    </w:p>
    <w:p w:rsidR="00865185" w:rsidRPr="000D6942" w:rsidP="00865185" w14:paraId="375AF081" w14:textId="77777777">
      <w:pPr>
        <w:tabs>
          <w:tab w:val="right" w:pos="9071"/>
        </w:tabs>
        <w:spacing w:after="0" w:line="240" w:lineRule="auto"/>
        <w:ind w:left="-567"/>
        <w:jc w:val="both"/>
        <w:rPr>
          <w:rFonts w:ascii="Times New Roman" w:hAnsi="Times New Roman"/>
          <w:color w:val="000000"/>
          <w:sz w:val="26"/>
          <w:szCs w:val="26"/>
        </w:rPr>
      </w:pPr>
    </w:p>
    <w:p w:rsidR="00865185" w:rsidRPr="000D6942" w:rsidP="00865185" w14:paraId="36C95E1B" w14:textId="77777777">
      <w:pPr>
        <w:tabs>
          <w:tab w:val="right" w:pos="9071"/>
        </w:tabs>
        <w:spacing w:after="0" w:line="240" w:lineRule="auto"/>
        <w:ind w:left="-567"/>
        <w:jc w:val="both"/>
        <w:rPr>
          <w:rFonts w:ascii="Times New Roman" w:hAnsi="Times New Roman"/>
          <w:color w:val="000000"/>
          <w:sz w:val="26"/>
          <w:szCs w:val="26"/>
        </w:rPr>
      </w:pPr>
      <w:r w:rsidRPr="000D6942">
        <w:rPr>
          <w:rFonts w:ascii="Times New Roman" w:hAnsi="Times New Roman"/>
          <w:color w:val="000000"/>
          <w:sz w:val="26"/>
          <w:szCs w:val="26"/>
        </w:rPr>
        <w:t>Ministru prezidenta biedrs,</w:t>
      </w:r>
    </w:p>
    <w:p w:rsidR="00865185" w:rsidRPr="000D6942" w:rsidP="00865185" w14:paraId="662BF218" w14:textId="77777777">
      <w:pPr>
        <w:tabs>
          <w:tab w:val="right" w:pos="9071"/>
        </w:tabs>
        <w:spacing w:after="0" w:line="240" w:lineRule="auto"/>
        <w:ind w:left="-567"/>
        <w:jc w:val="both"/>
        <w:rPr>
          <w:rFonts w:ascii="Times New Roman" w:hAnsi="Times New Roman"/>
          <w:color w:val="000000"/>
          <w:sz w:val="26"/>
          <w:szCs w:val="26"/>
        </w:rPr>
      </w:pPr>
      <w:r w:rsidRPr="000D6942">
        <w:rPr>
          <w:rFonts w:ascii="Times New Roman" w:hAnsi="Times New Roman"/>
          <w:color w:val="000000"/>
          <w:sz w:val="26"/>
          <w:szCs w:val="26"/>
        </w:rPr>
        <w:t xml:space="preserve">ekonomikas ministrs </w:t>
      </w:r>
      <w:r w:rsidRPr="000D6942">
        <w:rPr>
          <w:rFonts w:ascii="Times New Roman" w:hAnsi="Times New Roman"/>
          <w:color w:val="000000"/>
          <w:sz w:val="26"/>
          <w:szCs w:val="26"/>
        </w:rPr>
        <w:tab/>
        <w:t>A. Ašeradens</w:t>
      </w:r>
    </w:p>
    <w:p w:rsidR="00865185" w:rsidRPr="000D6942" w:rsidP="00865185" w14:paraId="3EF37D14" w14:textId="77777777">
      <w:pPr>
        <w:keepLines/>
        <w:widowControl w:val="0"/>
        <w:tabs>
          <w:tab w:val="right" w:pos="9071"/>
        </w:tabs>
        <w:spacing w:after="0" w:line="240" w:lineRule="auto"/>
        <w:rPr>
          <w:rFonts w:ascii="Times New Roman" w:eastAsia="Times New Roman" w:hAnsi="Times New Roman"/>
          <w:color w:val="000000"/>
          <w:sz w:val="26"/>
          <w:szCs w:val="26"/>
          <w:lang w:eastAsia="lv-LV"/>
        </w:rPr>
      </w:pPr>
    </w:p>
    <w:p w:rsidR="00926E23" w:rsidP="00957A2A" w14:paraId="3EA8F75F" w14:textId="0F6D40EA">
      <w:pPr>
        <w:tabs>
          <w:tab w:val="right" w:pos="9071"/>
        </w:tabs>
        <w:spacing w:after="0" w:line="240" w:lineRule="auto"/>
        <w:ind w:left="-567"/>
        <w:jc w:val="both"/>
        <w:rPr>
          <w:rFonts w:ascii="Times New Roman" w:hAnsi="Times New Roman"/>
          <w:sz w:val="26"/>
          <w:szCs w:val="26"/>
        </w:rPr>
      </w:pPr>
      <w:r w:rsidRPr="000D6942">
        <w:rPr>
          <w:rFonts w:ascii="Times New Roman" w:hAnsi="Times New Roman"/>
          <w:color w:val="000000"/>
          <w:sz w:val="26"/>
          <w:szCs w:val="26"/>
        </w:rPr>
        <w:t xml:space="preserve">Vīza: </w:t>
      </w:r>
      <w:r w:rsidRPr="000D6942">
        <w:rPr>
          <w:rFonts w:ascii="Times New Roman" w:hAnsi="Times New Roman"/>
          <w:sz w:val="26"/>
          <w:szCs w:val="26"/>
        </w:rPr>
        <w:t>Valsts sekretārs</w:t>
      </w:r>
      <w:r w:rsidRPr="000D6942">
        <w:rPr>
          <w:rFonts w:ascii="Times New Roman" w:hAnsi="Times New Roman"/>
          <w:color w:val="000000"/>
          <w:sz w:val="26"/>
          <w:szCs w:val="26"/>
        </w:rPr>
        <w:tab/>
      </w:r>
      <w:r>
        <w:rPr>
          <w:rFonts w:ascii="Times New Roman" w:hAnsi="Times New Roman"/>
          <w:sz w:val="26"/>
          <w:szCs w:val="26"/>
        </w:rPr>
        <w:t>Ē.Eglītis</w:t>
      </w:r>
    </w:p>
    <w:p w:rsidR="00865185" w:rsidP="00205C33" w14:paraId="2765369E" w14:textId="3C737975">
      <w:pPr>
        <w:ind w:left="-567"/>
      </w:pPr>
    </w:p>
    <w:p w:rsidR="00205C33" w:rsidP="00205C33" w14:paraId="350756F8" w14:textId="28991F4F">
      <w:pPr>
        <w:ind w:left="-567"/>
      </w:pPr>
    </w:p>
    <w:p w:rsidR="00205C33" w:rsidP="00205C33" w14:paraId="1552D0B3" w14:textId="44301F02">
      <w:pPr>
        <w:ind w:left="-567"/>
      </w:pPr>
    </w:p>
    <w:p w:rsidR="00205C33" w:rsidP="00205C33" w14:paraId="052275C8" w14:textId="3A6CA47C">
      <w:pPr>
        <w:ind w:left="-567"/>
      </w:pPr>
    </w:p>
    <w:p w:rsidR="00205C33" w:rsidP="00205C33" w14:paraId="74EEF638" w14:textId="77777777">
      <w:pPr>
        <w:ind w:left="-567"/>
      </w:pPr>
      <w:bookmarkStart w:id="3" w:name="_GoBack"/>
      <w:bookmarkEnd w:id="3"/>
    </w:p>
    <w:p w:rsidR="00205C33" w:rsidRPr="00205C33" w:rsidP="00205C33" w14:paraId="7EFAA7AD" w14:textId="1C85C7EE">
      <w:pPr>
        <w:spacing w:after="0" w:line="240" w:lineRule="auto"/>
        <w:ind w:left="-567"/>
        <w:rPr>
          <w:rFonts w:ascii="Times New Roman" w:hAnsi="Times New Roman"/>
          <w:sz w:val="16"/>
          <w:szCs w:val="16"/>
          <w:lang w:val="en-AU"/>
        </w:rPr>
      </w:pPr>
      <w:r w:rsidRPr="00205C33">
        <w:rPr>
          <w:rFonts w:ascii="Times New Roman" w:hAnsi="Times New Roman"/>
          <w:sz w:val="16"/>
          <w:szCs w:val="16"/>
          <w:lang w:val="en-AU"/>
        </w:rPr>
        <w:t>Madara Ambrēna, 67013061</w:t>
      </w:r>
    </w:p>
    <w:p w:rsidR="00205C33" w:rsidRPr="00205C33" w:rsidP="00205C33" w14:paraId="70FFA070" w14:textId="77777777">
      <w:pPr>
        <w:spacing w:after="0" w:line="240" w:lineRule="auto"/>
        <w:ind w:left="-567"/>
        <w:rPr>
          <w:rFonts w:ascii="Times New Roman" w:eastAsia="Times New Roman" w:hAnsi="Times New Roman"/>
          <w:iCs/>
          <w:sz w:val="24"/>
          <w:szCs w:val="24"/>
          <w:lang w:val="en-AU" w:eastAsia="lv-LV"/>
        </w:rPr>
      </w:pPr>
      <w:r>
        <w:fldChar w:fldCharType="begin"/>
      </w:r>
      <w:r>
        <w:instrText xml:space="preserve"> HYPERLINK "mailto:Madara.Ambrena@em.gov.lv" </w:instrText>
      </w:r>
      <w:r>
        <w:fldChar w:fldCharType="separate"/>
      </w:r>
      <w:r w:rsidRPr="00205C33">
        <w:rPr>
          <w:rFonts w:ascii="Times New Roman" w:hAnsi="Times New Roman"/>
          <w:color w:val="0000FF"/>
          <w:sz w:val="16"/>
          <w:szCs w:val="16"/>
          <w:u w:val="single"/>
          <w:lang w:val="en-AU"/>
        </w:rPr>
        <w:t>Madara.Ambrena@em.gov.lv</w:t>
      </w:r>
      <w:r>
        <w:fldChar w:fldCharType="end"/>
      </w:r>
      <w:r w:rsidRPr="00205C33">
        <w:rPr>
          <w:rFonts w:ascii="Times New Roman" w:hAnsi="Times New Roman"/>
          <w:sz w:val="16"/>
          <w:szCs w:val="16"/>
          <w:lang w:val="en-AU"/>
        </w:rPr>
        <w:t xml:space="preserve"> </w:t>
      </w:r>
    </w:p>
    <w:p w:rsidR="00205C33" w:rsidP="00205C33" w14:paraId="71B436C0" w14:textId="77777777">
      <w:pPr>
        <w:ind w:firstLine="720"/>
      </w:pPr>
    </w:p>
    <w:p w:rsidR="00205C33" w:rsidP="00205C33" w14:paraId="6DA54414" w14:textId="26EDCF15"/>
    <w:p w:rsidR="000F72AE" w:rsidRPr="00205C33" w:rsidP="00205C33" w14:paraId="0C2E1AB8" w14:textId="77777777"/>
    <w:sectPr w:rsidSect="00F219A2">
      <w:headerReference w:type="default" r:id="rId4"/>
      <w:footerReference w:type="default" r:id="rId5"/>
      <w:footerReference w:type="first" r:id="rId6"/>
      <w:pgSz w:w="11906" w:h="16838"/>
      <w:pgMar w:top="1440" w:right="849" w:bottom="1440" w:left="180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00000003" w:usb1="08080000" w:usb2="00000010" w:usb3="00000000" w:csb0="001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0ACC" w:rsidRPr="007563C2" w:rsidP="006D126F" w14:paraId="09F71214" w14:textId="38E6F30D">
    <w:pPr>
      <w:spacing w:after="0" w:line="240" w:lineRule="auto"/>
      <w:ind w:left="-426" w:right="-483"/>
      <w:jc w:val="both"/>
      <w:rPr>
        <w:rFonts w:ascii="Times New Roman" w:eastAsia="Times New Roman" w:hAnsi="Times New Roman"/>
        <w:sz w:val="20"/>
        <w:szCs w:val="20"/>
        <w:lang w:eastAsia="lv-LV"/>
      </w:rPr>
    </w:pPr>
    <w:r w:rsidRPr="007563C2">
      <w:rPr>
        <w:rFonts w:ascii="Times New Roman" w:eastAsia="Times New Roman" w:hAnsi="Times New Roman"/>
        <w:sz w:val="20"/>
        <w:szCs w:val="20"/>
        <w:lang w:eastAsia="lv-LV"/>
      </w:rPr>
      <w:fldChar w:fldCharType="begin"/>
    </w:r>
    <w:r w:rsidRPr="007563C2">
      <w:rPr>
        <w:rFonts w:ascii="Times New Roman" w:eastAsia="Times New Roman" w:hAnsi="Times New Roman"/>
        <w:sz w:val="20"/>
        <w:szCs w:val="20"/>
        <w:lang w:eastAsia="lv-LV"/>
      </w:rPr>
      <w:instrText xml:space="preserve"> FILENAME   \* MERGEFORMAT </w:instrText>
    </w:r>
    <w:r w:rsidRPr="007563C2">
      <w:rPr>
        <w:rFonts w:ascii="Times New Roman" w:eastAsia="Times New Roman" w:hAnsi="Times New Roman"/>
        <w:sz w:val="20"/>
        <w:szCs w:val="20"/>
        <w:lang w:eastAsia="lv-LV"/>
      </w:rPr>
      <w:fldChar w:fldCharType="separate"/>
    </w:r>
    <w:r w:rsidRPr="007563C2">
      <w:rPr>
        <w:rFonts w:ascii="Times New Roman" w:eastAsia="Times New Roman" w:hAnsi="Times New Roman"/>
        <w:noProof/>
        <w:sz w:val="20"/>
        <w:szCs w:val="20"/>
        <w:lang w:eastAsia="lv-LV"/>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0ACC" w:rsidP="006D126F" w14:paraId="7032E055" w14:textId="39A4F35B">
    <w:pPr>
      <w:spacing w:after="0" w:line="240" w:lineRule="auto"/>
      <w:ind w:left="-426" w:right="-483"/>
      <w:jc w:val="both"/>
      <w:rPr>
        <w:rFonts w:ascii="Times New Roman" w:eastAsia="Times New Roman" w:hAnsi="Times New Roman"/>
        <w:noProof/>
        <w:sz w:val="20"/>
        <w:szCs w:val="20"/>
        <w:lang w:eastAsia="lv-LV"/>
      </w:rPr>
    </w:pPr>
    <w:r w:rsidRPr="007563C2">
      <w:rPr>
        <w:rFonts w:ascii="Times New Roman" w:eastAsia="Times New Roman" w:hAnsi="Times New Roman"/>
        <w:sz w:val="20"/>
        <w:szCs w:val="20"/>
        <w:lang w:eastAsia="lv-LV"/>
      </w:rPr>
      <w:fldChar w:fldCharType="begin"/>
    </w:r>
    <w:r w:rsidRPr="007563C2">
      <w:rPr>
        <w:rFonts w:ascii="Times New Roman" w:eastAsia="Times New Roman" w:hAnsi="Times New Roman"/>
        <w:sz w:val="20"/>
        <w:szCs w:val="20"/>
        <w:lang w:eastAsia="lv-LV"/>
      </w:rPr>
      <w:instrText xml:space="preserve"> FILENAME   \* MERGEFORMAT </w:instrText>
    </w:r>
    <w:r w:rsidRPr="007563C2">
      <w:rPr>
        <w:rFonts w:ascii="Times New Roman" w:eastAsia="Times New Roman" w:hAnsi="Times New Roman"/>
        <w:sz w:val="20"/>
        <w:szCs w:val="20"/>
        <w:lang w:eastAsia="lv-LV"/>
      </w:rPr>
      <w:fldChar w:fldCharType="separate"/>
    </w:r>
    <w:r w:rsidRPr="007563C2">
      <w:rPr>
        <w:rFonts w:ascii="Times New Roman" w:eastAsia="Times New Roman" w:hAnsi="Times New Roman"/>
        <w:noProof/>
        <w:sz w:val="20"/>
        <w:szCs w:val="20"/>
        <w:lang w:eastAsia="lv-LV"/>
      </w:rPr>
      <w:fldChar w:fldCharType="end"/>
    </w:r>
  </w:p>
  <w:p w:rsidR="00F219A2" w:rsidRPr="002973CD" w:rsidP="00F219A2" w14:paraId="0818B9F9" w14:textId="77777777">
    <w:pPr>
      <w:spacing w:after="0" w:line="240" w:lineRule="auto"/>
      <w:ind w:right="-483"/>
      <w:jc w:val="both"/>
      <w:rPr>
        <w:rFonts w:ascii="Times New Roman" w:eastAsia="Times New Roman" w:hAnsi="Times New Roman"/>
        <w:sz w:val="20"/>
        <w:szCs w:val="20"/>
        <w:lang w:eastAsia="lv-LV"/>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0ACC" w:rsidRPr="00370273" w14:paraId="136E0F30" w14:textId="78F6160C">
    <w:pPr>
      <w:pStyle w:val="Header"/>
      <w:jc w:val="center"/>
      <w:rPr>
        <w:rFonts w:ascii="Times New Roman" w:hAnsi="Times New Roman"/>
      </w:rPr>
    </w:pPr>
    <w:r w:rsidRPr="00370273">
      <w:rPr>
        <w:rFonts w:ascii="Times New Roman" w:hAnsi="Times New Roman"/>
      </w:rPr>
      <w:fldChar w:fldCharType="begin"/>
    </w:r>
    <w:r w:rsidRPr="00370273">
      <w:rPr>
        <w:rFonts w:ascii="Times New Roman" w:hAnsi="Times New Roman"/>
      </w:rPr>
      <w:instrText xml:space="preserve"> PAGE   \* MERGEFORMAT </w:instrText>
    </w:r>
    <w:r w:rsidRPr="00370273">
      <w:rPr>
        <w:rFonts w:ascii="Times New Roman" w:hAnsi="Times New Roman"/>
      </w:rPr>
      <w:fldChar w:fldCharType="separate"/>
    </w:r>
    <w:r w:rsidR="00205C33">
      <w:rPr>
        <w:rFonts w:ascii="Times New Roman" w:hAnsi="Times New Roman"/>
        <w:noProof/>
      </w:rPr>
      <w:t>8</w:t>
    </w:r>
    <w:r w:rsidRPr="00370273">
      <w:rPr>
        <w:rFonts w:ascii="Times New Roman" w:hAnsi="Times New Roman"/>
        <w:noProof/>
      </w:rPr>
      <w:fldChar w:fldCharType="end"/>
    </w:r>
  </w:p>
  <w:p w:rsidR="00570ACC" w14:paraId="0049628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3A33947"/>
    <w:multiLevelType w:val="hybridMultilevel"/>
    <w:tmpl w:val="A0AC7F44"/>
    <w:lvl w:ilvl="0">
      <w:start w:val="1"/>
      <w:numFmt w:val="decimal"/>
      <w:lvlText w:val="%1)"/>
      <w:lvlJc w:val="left"/>
      <w:pPr>
        <w:ind w:left="725" w:hanging="360"/>
      </w:pPr>
      <w:rPr>
        <w:rFonts w:hint="default"/>
      </w:rPr>
    </w:lvl>
    <w:lvl w:ilvl="1" w:tentative="1">
      <w:start w:val="1"/>
      <w:numFmt w:val="lowerLetter"/>
      <w:lvlText w:val="%2."/>
      <w:lvlJc w:val="left"/>
      <w:pPr>
        <w:ind w:left="1445" w:hanging="360"/>
      </w:pPr>
    </w:lvl>
    <w:lvl w:ilvl="2" w:tentative="1">
      <w:start w:val="1"/>
      <w:numFmt w:val="lowerRoman"/>
      <w:lvlText w:val="%3."/>
      <w:lvlJc w:val="right"/>
      <w:pPr>
        <w:ind w:left="2165" w:hanging="180"/>
      </w:pPr>
    </w:lvl>
    <w:lvl w:ilvl="3" w:tentative="1">
      <w:start w:val="1"/>
      <w:numFmt w:val="decimal"/>
      <w:lvlText w:val="%4."/>
      <w:lvlJc w:val="left"/>
      <w:pPr>
        <w:ind w:left="2885" w:hanging="360"/>
      </w:pPr>
    </w:lvl>
    <w:lvl w:ilvl="4" w:tentative="1">
      <w:start w:val="1"/>
      <w:numFmt w:val="lowerLetter"/>
      <w:lvlText w:val="%5."/>
      <w:lvlJc w:val="left"/>
      <w:pPr>
        <w:ind w:left="3605" w:hanging="360"/>
      </w:pPr>
    </w:lvl>
    <w:lvl w:ilvl="5" w:tentative="1">
      <w:start w:val="1"/>
      <w:numFmt w:val="lowerRoman"/>
      <w:lvlText w:val="%6."/>
      <w:lvlJc w:val="right"/>
      <w:pPr>
        <w:ind w:left="4325" w:hanging="180"/>
      </w:pPr>
    </w:lvl>
    <w:lvl w:ilvl="6" w:tentative="1">
      <w:start w:val="1"/>
      <w:numFmt w:val="decimal"/>
      <w:lvlText w:val="%7."/>
      <w:lvlJc w:val="left"/>
      <w:pPr>
        <w:ind w:left="5045" w:hanging="360"/>
      </w:pPr>
    </w:lvl>
    <w:lvl w:ilvl="7" w:tentative="1">
      <w:start w:val="1"/>
      <w:numFmt w:val="lowerLetter"/>
      <w:lvlText w:val="%8."/>
      <w:lvlJc w:val="left"/>
      <w:pPr>
        <w:ind w:left="5765" w:hanging="360"/>
      </w:pPr>
    </w:lvl>
    <w:lvl w:ilvl="8" w:tentative="1">
      <w:start w:val="1"/>
      <w:numFmt w:val="lowerRoman"/>
      <w:lvlText w:val="%9."/>
      <w:lvlJc w:val="right"/>
      <w:pPr>
        <w:ind w:left="6485" w:hanging="180"/>
      </w:pPr>
    </w:lvl>
  </w:abstractNum>
  <w:abstractNum w:abstractNumId="1" w15:restartNumberingAfterBreak="1">
    <w:nsid w:val="06D84825"/>
    <w:multiLevelType w:val="hybridMultilevel"/>
    <w:tmpl w:val="10389AFA"/>
    <w:lvl w:ilvl="0">
      <w:start w:val="0"/>
      <w:numFmt w:val="bullet"/>
      <w:lvlText w:val="-"/>
      <w:lvlJc w:val="left"/>
      <w:pPr>
        <w:ind w:left="1008" w:hanging="360"/>
      </w:pPr>
      <w:rPr>
        <w:rFonts w:ascii="Times New Roman" w:eastAsia="Times New Roman" w:hAnsi="Times New Roman" w:cs="Times New Roman" w:hint="default"/>
      </w:rPr>
    </w:lvl>
    <w:lvl w:ilvl="1" w:tentative="1">
      <w:start w:val="1"/>
      <w:numFmt w:val="bullet"/>
      <w:lvlText w:val="o"/>
      <w:lvlJc w:val="left"/>
      <w:pPr>
        <w:ind w:left="1521" w:hanging="360"/>
      </w:pPr>
      <w:rPr>
        <w:rFonts w:ascii="Courier New" w:hAnsi="Courier New" w:cs="Courier New" w:hint="default"/>
      </w:rPr>
    </w:lvl>
    <w:lvl w:ilvl="2" w:tentative="1">
      <w:start w:val="1"/>
      <w:numFmt w:val="bullet"/>
      <w:lvlText w:val=""/>
      <w:lvlJc w:val="left"/>
      <w:pPr>
        <w:ind w:left="2241" w:hanging="360"/>
      </w:pPr>
      <w:rPr>
        <w:rFonts w:ascii="Wingdings" w:hAnsi="Wingdings" w:hint="default"/>
      </w:rPr>
    </w:lvl>
    <w:lvl w:ilvl="3" w:tentative="1">
      <w:start w:val="1"/>
      <w:numFmt w:val="bullet"/>
      <w:lvlText w:val=""/>
      <w:lvlJc w:val="left"/>
      <w:pPr>
        <w:ind w:left="2961" w:hanging="360"/>
      </w:pPr>
      <w:rPr>
        <w:rFonts w:ascii="Symbol" w:hAnsi="Symbol" w:hint="default"/>
      </w:rPr>
    </w:lvl>
    <w:lvl w:ilvl="4" w:tentative="1">
      <w:start w:val="1"/>
      <w:numFmt w:val="bullet"/>
      <w:lvlText w:val="o"/>
      <w:lvlJc w:val="left"/>
      <w:pPr>
        <w:ind w:left="3681" w:hanging="360"/>
      </w:pPr>
      <w:rPr>
        <w:rFonts w:ascii="Courier New" w:hAnsi="Courier New" w:cs="Courier New" w:hint="default"/>
      </w:rPr>
    </w:lvl>
    <w:lvl w:ilvl="5" w:tentative="1">
      <w:start w:val="1"/>
      <w:numFmt w:val="bullet"/>
      <w:lvlText w:val=""/>
      <w:lvlJc w:val="left"/>
      <w:pPr>
        <w:ind w:left="4401" w:hanging="360"/>
      </w:pPr>
      <w:rPr>
        <w:rFonts w:ascii="Wingdings" w:hAnsi="Wingdings" w:hint="default"/>
      </w:rPr>
    </w:lvl>
    <w:lvl w:ilvl="6" w:tentative="1">
      <w:start w:val="1"/>
      <w:numFmt w:val="bullet"/>
      <w:lvlText w:val=""/>
      <w:lvlJc w:val="left"/>
      <w:pPr>
        <w:ind w:left="5121" w:hanging="360"/>
      </w:pPr>
      <w:rPr>
        <w:rFonts w:ascii="Symbol" w:hAnsi="Symbol" w:hint="default"/>
      </w:rPr>
    </w:lvl>
    <w:lvl w:ilvl="7" w:tentative="1">
      <w:start w:val="1"/>
      <w:numFmt w:val="bullet"/>
      <w:lvlText w:val="o"/>
      <w:lvlJc w:val="left"/>
      <w:pPr>
        <w:ind w:left="5841" w:hanging="360"/>
      </w:pPr>
      <w:rPr>
        <w:rFonts w:ascii="Courier New" w:hAnsi="Courier New" w:cs="Courier New" w:hint="default"/>
      </w:rPr>
    </w:lvl>
    <w:lvl w:ilvl="8" w:tentative="1">
      <w:start w:val="1"/>
      <w:numFmt w:val="bullet"/>
      <w:lvlText w:val=""/>
      <w:lvlJc w:val="left"/>
      <w:pPr>
        <w:ind w:left="6561" w:hanging="360"/>
      </w:pPr>
      <w:rPr>
        <w:rFonts w:ascii="Wingdings" w:hAnsi="Wingdings" w:hint="default"/>
      </w:rPr>
    </w:lvl>
  </w:abstractNum>
  <w:abstractNum w:abstractNumId="2" w15:restartNumberingAfterBreak="1">
    <w:nsid w:val="0CE96F91"/>
    <w:multiLevelType w:val="hybridMultilevel"/>
    <w:tmpl w:val="DA00CA6E"/>
    <w:lvl w:ilvl="0">
      <w:start w:val="1"/>
      <w:numFmt w:val="decimal"/>
      <w:lvlText w:val="%1."/>
      <w:lvlJc w:val="left"/>
      <w:pPr>
        <w:ind w:left="1085" w:hanging="360"/>
      </w:pPr>
    </w:lvl>
    <w:lvl w:ilvl="1" w:tentative="1">
      <w:start w:val="1"/>
      <w:numFmt w:val="lowerLetter"/>
      <w:lvlText w:val="%2."/>
      <w:lvlJc w:val="left"/>
      <w:pPr>
        <w:ind w:left="1805" w:hanging="360"/>
      </w:pPr>
    </w:lvl>
    <w:lvl w:ilvl="2" w:tentative="1">
      <w:start w:val="1"/>
      <w:numFmt w:val="lowerRoman"/>
      <w:lvlText w:val="%3."/>
      <w:lvlJc w:val="right"/>
      <w:pPr>
        <w:ind w:left="2525" w:hanging="180"/>
      </w:pPr>
    </w:lvl>
    <w:lvl w:ilvl="3" w:tentative="1">
      <w:start w:val="1"/>
      <w:numFmt w:val="decimal"/>
      <w:lvlText w:val="%4."/>
      <w:lvlJc w:val="left"/>
      <w:pPr>
        <w:ind w:left="3245" w:hanging="360"/>
      </w:pPr>
    </w:lvl>
    <w:lvl w:ilvl="4" w:tentative="1">
      <w:start w:val="1"/>
      <w:numFmt w:val="lowerLetter"/>
      <w:lvlText w:val="%5."/>
      <w:lvlJc w:val="left"/>
      <w:pPr>
        <w:ind w:left="3965" w:hanging="360"/>
      </w:pPr>
    </w:lvl>
    <w:lvl w:ilvl="5" w:tentative="1">
      <w:start w:val="1"/>
      <w:numFmt w:val="lowerRoman"/>
      <w:lvlText w:val="%6."/>
      <w:lvlJc w:val="right"/>
      <w:pPr>
        <w:ind w:left="4685" w:hanging="180"/>
      </w:pPr>
    </w:lvl>
    <w:lvl w:ilvl="6" w:tentative="1">
      <w:start w:val="1"/>
      <w:numFmt w:val="decimal"/>
      <w:lvlText w:val="%7."/>
      <w:lvlJc w:val="left"/>
      <w:pPr>
        <w:ind w:left="5405" w:hanging="360"/>
      </w:pPr>
    </w:lvl>
    <w:lvl w:ilvl="7" w:tentative="1">
      <w:start w:val="1"/>
      <w:numFmt w:val="lowerLetter"/>
      <w:lvlText w:val="%8."/>
      <w:lvlJc w:val="left"/>
      <w:pPr>
        <w:ind w:left="6125" w:hanging="360"/>
      </w:pPr>
    </w:lvl>
    <w:lvl w:ilvl="8" w:tentative="1">
      <w:start w:val="1"/>
      <w:numFmt w:val="lowerRoman"/>
      <w:lvlText w:val="%9."/>
      <w:lvlJc w:val="right"/>
      <w:pPr>
        <w:ind w:left="6845" w:hanging="180"/>
      </w:pPr>
    </w:lvl>
  </w:abstractNum>
  <w:abstractNum w:abstractNumId="3" w15:restartNumberingAfterBreak="1">
    <w:nsid w:val="2343069D"/>
    <w:multiLevelType w:val="hybridMultilevel"/>
    <w:tmpl w:val="D902E1FA"/>
    <w:lvl w:ilvl="0">
      <w:start w:val="1"/>
      <w:numFmt w:val="bullet"/>
      <w:lvlText w:val=""/>
      <w:lvlJc w:val="left"/>
      <w:pPr>
        <w:ind w:left="1369" w:hanging="360"/>
      </w:pPr>
      <w:rPr>
        <w:rFonts w:ascii="Wingdings" w:hAnsi="Wingdings" w:hint="default"/>
      </w:rPr>
    </w:lvl>
    <w:lvl w:ilvl="1" w:tentative="1">
      <w:start w:val="1"/>
      <w:numFmt w:val="bullet"/>
      <w:lvlText w:val="o"/>
      <w:lvlJc w:val="left"/>
      <w:pPr>
        <w:ind w:left="2089" w:hanging="360"/>
      </w:pPr>
      <w:rPr>
        <w:rFonts w:ascii="Courier New" w:hAnsi="Courier New" w:cs="Courier New" w:hint="default"/>
      </w:rPr>
    </w:lvl>
    <w:lvl w:ilvl="2" w:tentative="1">
      <w:start w:val="1"/>
      <w:numFmt w:val="bullet"/>
      <w:lvlText w:val=""/>
      <w:lvlJc w:val="left"/>
      <w:pPr>
        <w:ind w:left="2809" w:hanging="360"/>
      </w:pPr>
      <w:rPr>
        <w:rFonts w:ascii="Wingdings" w:hAnsi="Wingdings" w:hint="default"/>
      </w:rPr>
    </w:lvl>
    <w:lvl w:ilvl="3" w:tentative="1">
      <w:start w:val="1"/>
      <w:numFmt w:val="bullet"/>
      <w:lvlText w:val=""/>
      <w:lvlJc w:val="left"/>
      <w:pPr>
        <w:ind w:left="3529" w:hanging="360"/>
      </w:pPr>
      <w:rPr>
        <w:rFonts w:ascii="Symbol" w:hAnsi="Symbol" w:hint="default"/>
      </w:rPr>
    </w:lvl>
    <w:lvl w:ilvl="4" w:tentative="1">
      <w:start w:val="1"/>
      <w:numFmt w:val="bullet"/>
      <w:lvlText w:val="o"/>
      <w:lvlJc w:val="left"/>
      <w:pPr>
        <w:ind w:left="4249" w:hanging="360"/>
      </w:pPr>
      <w:rPr>
        <w:rFonts w:ascii="Courier New" w:hAnsi="Courier New" w:cs="Courier New" w:hint="default"/>
      </w:rPr>
    </w:lvl>
    <w:lvl w:ilvl="5" w:tentative="1">
      <w:start w:val="1"/>
      <w:numFmt w:val="bullet"/>
      <w:lvlText w:val=""/>
      <w:lvlJc w:val="left"/>
      <w:pPr>
        <w:ind w:left="4969" w:hanging="360"/>
      </w:pPr>
      <w:rPr>
        <w:rFonts w:ascii="Wingdings" w:hAnsi="Wingdings" w:hint="default"/>
      </w:rPr>
    </w:lvl>
    <w:lvl w:ilvl="6" w:tentative="1">
      <w:start w:val="1"/>
      <w:numFmt w:val="bullet"/>
      <w:lvlText w:val=""/>
      <w:lvlJc w:val="left"/>
      <w:pPr>
        <w:ind w:left="5689" w:hanging="360"/>
      </w:pPr>
      <w:rPr>
        <w:rFonts w:ascii="Symbol" w:hAnsi="Symbol" w:hint="default"/>
      </w:rPr>
    </w:lvl>
    <w:lvl w:ilvl="7" w:tentative="1">
      <w:start w:val="1"/>
      <w:numFmt w:val="bullet"/>
      <w:lvlText w:val="o"/>
      <w:lvlJc w:val="left"/>
      <w:pPr>
        <w:ind w:left="6409" w:hanging="360"/>
      </w:pPr>
      <w:rPr>
        <w:rFonts w:ascii="Courier New" w:hAnsi="Courier New" w:cs="Courier New" w:hint="default"/>
      </w:rPr>
    </w:lvl>
    <w:lvl w:ilvl="8" w:tentative="1">
      <w:start w:val="1"/>
      <w:numFmt w:val="bullet"/>
      <w:lvlText w:val=""/>
      <w:lvlJc w:val="left"/>
      <w:pPr>
        <w:ind w:left="7129" w:hanging="360"/>
      </w:pPr>
      <w:rPr>
        <w:rFonts w:ascii="Wingdings" w:hAnsi="Wingdings" w:hint="default"/>
      </w:rPr>
    </w:lvl>
  </w:abstractNum>
  <w:abstractNum w:abstractNumId="4" w15:restartNumberingAfterBreak="1">
    <w:nsid w:val="2FE067BF"/>
    <w:multiLevelType w:val="hybridMultilevel"/>
    <w:tmpl w:val="B6F6A51A"/>
    <w:lvl w:ilvl="0">
      <w:start w:val="1"/>
      <w:numFmt w:val="decimal"/>
      <w:lvlText w:val="%1."/>
      <w:lvlJc w:val="left"/>
      <w:pPr>
        <w:ind w:left="720" w:hanging="360"/>
      </w:pPr>
      <w:rPr>
        <w:rFonts w:eastAsia="Calibr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1">
    <w:nsid w:val="40BC1EDF"/>
    <w:multiLevelType w:val="hybridMultilevel"/>
    <w:tmpl w:val="8CE473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4D737D58"/>
    <w:multiLevelType w:val="hybridMultilevel"/>
    <w:tmpl w:val="8C562F6C"/>
    <w:lvl w:ilvl="0">
      <w:start w:val="1"/>
      <w:numFmt w:val="decimal"/>
      <w:lvlText w:val="%1."/>
      <w:lvlJc w:val="left"/>
      <w:pPr>
        <w:ind w:left="720" w:hanging="360"/>
      </w:pPr>
      <w:rPr>
        <w:rFonts w:ascii="Times New Roman" w:hAnsi="Times New Roman" w:cs="Times New Roman" w:hint="default"/>
        <w:b/>
        <w:i/>
        <w:sz w:val="24"/>
        <w:szCs w:val="24"/>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1">
    <w:nsid w:val="66B15853"/>
    <w:multiLevelType w:val="hybridMultilevel"/>
    <w:tmpl w:val="B9EADDC0"/>
    <w:lvl w:ilvl="0">
      <w:start w:va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1">
    <w:nsid w:val="6A5474CA"/>
    <w:multiLevelType w:val="hybridMultilevel"/>
    <w:tmpl w:val="C6CE4754"/>
    <w:lvl w:ilvl="0">
      <w:start w:val="0"/>
      <w:numFmt w:val="bullet"/>
      <w:lvlText w:val="-"/>
      <w:lvlJc w:val="left"/>
      <w:pPr>
        <w:ind w:left="927" w:hanging="360"/>
      </w:pPr>
      <w:rPr>
        <w:rFonts w:ascii="Times New Roman" w:eastAsia="Times New Roman" w:hAnsi="Times New Roman" w:cs="Times New Roman" w:hint="default"/>
      </w:rPr>
    </w:lvl>
    <w:lvl w:ilvl="1" w:tentative="1">
      <w:start w:val="1"/>
      <w:numFmt w:val="bullet"/>
      <w:lvlText w:val="o"/>
      <w:lvlJc w:val="left"/>
      <w:pPr>
        <w:ind w:left="1647" w:hanging="360"/>
      </w:pPr>
      <w:rPr>
        <w:rFonts w:ascii="Courier New" w:hAnsi="Courier New" w:cs="Courier New" w:hint="default"/>
      </w:rPr>
    </w:lvl>
    <w:lvl w:ilvl="2" w:tentative="1">
      <w:start w:val="1"/>
      <w:numFmt w:val="bullet"/>
      <w:lvlText w:val=""/>
      <w:lvlJc w:val="left"/>
      <w:pPr>
        <w:ind w:left="2367" w:hanging="360"/>
      </w:pPr>
      <w:rPr>
        <w:rFonts w:ascii="Wingdings" w:hAnsi="Wingdings" w:hint="default"/>
      </w:rPr>
    </w:lvl>
    <w:lvl w:ilvl="3" w:tentative="1">
      <w:start w:val="1"/>
      <w:numFmt w:val="bullet"/>
      <w:lvlText w:val=""/>
      <w:lvlJc w:val="left"/>
      <w:pPr>
        <w:ind w:left="3087" w:hanging="360"/>
      </w:pPr>
      <w:rPr>
        <w:rFonts w:ascii="Symbol" w:hAnsi="Symbol" w:hint="default"/>
      </w:rPr>
    </w:lvl>
    <w:lvl w:ilvl="4" w:tentative="1">
      <w:start w:val="1"/>
      <w:numFmt w:val="bullet"/>
      <w:lvlText w:val="o"/>
      <w:lvlJc w:val="left"/>
      <w:pPr>
        <w:ind w:left="3807" w:hanging="360"/>
      </w:pPr>
      <w:rPr>
        <w:rFonts w:ascii="Courier New" w:hAnsi="Courier New" w:cs="Courier New" w:hint="default"/>
      </w:rPr>
    </w:lvl>
    <w:lvl w:ilvl="5" w:tentative="1">
      <w:start w:val="1"/>
      <w:numFmt w:val="bullet"/>
      <w:lvlText w:val=""/>
      <w:lvlJc w:val="left"/>
      <w:pPr>
        <w:ind w:left="4527" w:hanging="360"/>
      </w:pPr>
      <w:rPr>
        <w:rFonts w:ascii="Wingdings" w:hAnsi="Wingdings" w:hint="default"/>
      </w:rPr>
    </w:lvl>
    <w:lvl w:ilvl="6" w:tentative="1">
      <w:start w:val="1"/>
      <w:numFmt w:val="bullet"/>
      <w:lvlText w:val=""/>
      <w:lvlJc w:val="left"/>
      <w:pPr>
        <w:ind w:left="5247" w:hanging="360"/>
      </w:pPr>
      <w:rPr>
        <w:rFonts w:ascii="Symbol" w:hAnsi="Symbol" w:hint="default"/>
      </w:rPr>
    </w:lvl>
    <w:lvl w:ilvl="7" w:tentative="1">
      <w:start w:val="1"/>
      <w:numFmt w:val="bullet"/>
      <w:lvlText w:val="o"/>
      <w:lvlJc w:val="left"/>
      <w:pPr>
        <w:ind w:left="5967" w:hanging="360"/>
      </w:pPr>
      <w:rPr>
        <w:rFonts w:ascii="Courier New" w:hAnsi="Courier New" w:cs="Courier New" w:hint="default"/>
      </w:rPr>
    </w:lvl>
    <w:lvl w:ilvl="8" w:tentative="1">
      <w:start w:val="1"/>
      <w:numFmt w:val="bullet"/>
      <w:lvlText w:val=""/>
      <w:lvlJc w:val="left"/>
      <w:pPr>
        <w:ind w:left="6687" w:hanging="360"/>
      </w:pPr>
      <w:rPr>
        <w:rFonts w:ascii="Wingdings" w:hAnsi="Wingdings" w:hint="default"/>
      </w:rPr>
    </w:lvl>
  </w:abstractNum>
  <w:abstractNum w:abstractNumId="9" w15:restartNumberingAfterBreak="1">
    <w:nsid w:val="710464CD"/>
    <w:multiLevelType w:val="hybridMultilevel"/>
    <w:tmpl w:val="56206500"/>
    <w:lvl w:ilvl="0">
      <w:start w:val="1"/>
      <w:numFmt w:val="decimal"/>
      <w:lvlText w:val="%1)"/>
      <w:lvlJc w:val="left"/>
      <w:pPr>
        <w:ind w:left="732" w:hanging="360"/>
      </w:pPr>
      <w:rPr>
        <w:rFonts w:hint="default"/>
      </w:rPr>
    </w:lvl>
    <w:lvl w:ilvl="1" w:tentative="1">
      <w:start w:val="1"/>
      <w:numFmt w:val="lowerLetter"/>
      <w:lvlText w:val="%2."/>
      <w:lvlJc w:val="left"/>
      <w:pPr>
        <w:ind w:left="1452" w:hanging="360"/>
      </w:pPr>
    </w:lvl>
    <w:lvl w:ilvl="2" w:tentative="1">
      <w:start w:val="1"/>
      <w:numFmt w:val="lowerRoman"/>
      <w:lvlText w:val="%3."/>
      <w:lvlJc w:val="right"/>
      <w:pPr>
        <w:ind w:left="2172" w:hanging="180"/>
      </w:pPr>
    </w:lvl>
    <w:lvl w:ilvl="3" w:tentative="1">
      <w:start w:val="1"/>
      <w:numFmt w:val="decimal"/>
      <w:lvlText w:val="%4."/>
      <w:lvlJc w:val="left"/>
      <w:pPr>
        <w:ind w:left="2892" w:hanging="360"/>
      </w:pPr>
    </w:lvl>
    <w:lvl w:ilvl="4" w:tentative="1">
      <w:start w:val="1"/>
      <w:numFmt w:val="lowerLetter"/>
      <w:lvlText w:val="%5."/>
      <w:lvlJc w:val="left"/>
      <w:pPr>
        <w:ind w:left="3612" w:hanging="360"/>
      </w:pPr>
    </w:lvl>
    <w:lvl w:ilvl="5" w:tentative="1">
      <w:start w:val="1"/>
      <w:numFmt w:val="lowerRoman"/>
      <w:lvlText w:val="%6."/>
      <w:lvlJc w:val="right"/>
      <w:pPr>
        <w:ind w:left="4332" w:hanging="180"/>
      </w:pPr>
    </w:lvl>
    <w:lvl w:ilvl="6" w:tentative="1">
      <w:start w:val="1"/>
      <w:numFmt w:val="decimal"/>
      <w:lvlText w:val="%7."/>
      <w:lvlJc w:val="left"/>
      <w:pPr>
        <w:ind w:left="5052" w:hanging="360"/>
      </w:pPr>
    </w:lvl>
    <w:lvl w:ilvl="7" w:tentative="1">
      <w:start w:val="1"/>
      <w:numFmt w:val="lowerLetter"/>
      <w:lvlText w:val="%8."/>
      <w:lvlJc w:val="left"/>
      <w:pPr>
        <w:ind w:left="5772" w:hanging="360"/>
      </w:pPr>
    </w:lvl>
    <w:lvl w:ilvl="8" w:tentative="1">
      <w:start w:val="1"/>
      <w:numFmt w:val="lowerRoman"/>
      <w:lvlText w:val="%9."/>
      <w:lvlJc w:val="right"/>
      <w:pPr>
        <w:ind w:left="6492" w:hanging="180"/>
      </w:pPr>
    </w:lvl>
  </w:abstractNum>
  <w:abstractNum w:abstractNumId="10" w15:restartNumberingAfterBreak="1">
    <w:nsid w:val="7BB11309"/>
    <w:multiLevelType w:val="hybridMultilevel"/>
    <w:tmpl w:val="9E966C1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4"/>
  </w:num>
  <w:num w:numId="3">
    <w:abstractNumId w:val="5"/>
  </w:num>
  <w:num w:numId="4">
    <w:abstractNumId w:val="6"/>
  </w:num>
  <w:num w:numId="5">
    <w:abstractNumId w:val="3"/>
  </w:num>
  <w:num w:numId="6">
    <w:abstractNumId w:val="8"/>
  </w:num>
  <w:num w:numId="7">
    <w:abstractNumId w:val="1"/>
  </w:num>
  <w:num w:numId="8">
    <w:abstractNumId w:val="9"/>
  </w:num>
  <w:num w:numId="9">
    <w:abstractNumId w:val="2"/>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185"/>
    <w:rsid w:val="00000628"/>
    <w:rsid w:val="00005E1F"/>
    <w:rsid w:val="0002643A"/>
    <w:rsid w:val="00041096"/>
    <w:rsid w:val="000414BC"/>
    <w:rsid w:val="000562B0"/>
    <w:rsid w:val="00074692"/>
    <w:rsid w:val="000816E5"/>
    <w:rsid w:val="000A4459"/>
    <w:rsid w:val="000C73D6"/>
    <w:rsid w:val="000D0396"/>
    <w:rsid w:val="000D5010"/>
    <w:rsid w:val="000D6942"/>
    <w:rsid w:val="000E6C41"/>
    <w:rsid w:val="000F1BC1"/>
    <w:rsid w:val="000F72AE"/>
    <w:rsid w:val="00102534"/>
    <w:rsid w:val="00135AC3"/>
    <w:rsid w:val="0014239A"/>
    <w:rsid w:val="001511C0"/>
    <w:rsid w:val="00155AA9"/>
    <w:rsid w:val="00156BAD"/>
    <w:rsid w:val="001819E8"/>
    <w:rsid w:val="00182E53"/>
    <w:rsid w:val="001A08BC"/>
    <w:rsid w:val="001B5DC0"/>
    <w:rsid w:val="001B6D87"/>
    <w:rsid w:val="001D73DB"/>
    <w:rsid w:val="001F73BA"/>
    <w:rsid w:val="00205C33"/>
    <w:rsid w:val="0021286C"/>
    <w:rsid w:val="002166CC"/>
    <w:rsid w:val="0022338C"/>
    <w:rsid w:val="002438C8"/>
    <w:rsid w:val="00267ADB"/>
    <w:rsid w:val="00282C8F"/>
    <w:rsid w:val="00286E17"/>
    <w:rsid w:val="002973CD"/>
    <w:rsid w:val="002C1B10"/>
    <w:rsid w:val="002D22D1"/>
    <w:rsid w:val="002D2420"/>
    <w:rsid w:val="002E0857"/>
    <w:rsid w:val="0033488F"/>
    <w:rsid w:val="00347AA0"/>
    <w:rsid w:val="0036594C"/>
    <w:rsid w:val="00370273"/>
    <w:rsid w:val="00382FE8"/>
    <w:rsid w:val="00383ADE"/>
    <w:rsid w:val="003B6870"/>
    <w:rsid w:val="003C1AE6"/>
    <w:rsid w:val="003C27FD"/>
    <w:rsid w:val="003D6B42"/>
    <w:rsid w:val="003D6DA7"/>
    <w:rsid w:val="003F4ECE"/>
    <w:rsid w:val="004011B9"/>
    <w:rsid w:val="00427516"/>
    <w:rsid w:val="0045551B"/>
    <w:rsid w:val="00461648"/>
    <w:rsid w:val="00466DC2"/>
    <w:rsid w:val="00474FD4"/>
    <w:rsid w:val="00476695"/>
    <w:rsid w:val="00483510"/>
    <w:rsid w:val="00483F95"/>
    <w:rsid w:val="00485E82"/>
    <w:rsid w:val="004950F3"/>
    <w:rsid w:val="004D7956"/>
    <w:rsid w:val="004F10F1"/>
    <w:rsid w:val="004F3089"/>
    <w:rsid w:val="004F7E6A"/>
    <w:rsid w:val="0050563A"/>
    <w:rsid w:val="00525B8C"/>
    <w:rsid w:val="00531FB3"/>
    <w:rsid w:val="0053265E"/>
    <w:rsid w:val="0053627B"/>
    <w:rsid w:val="00554900"/>
    <w:rsid w:val="005554F5"/>
    <w:rsid w:val="00570ACC"/>
    <w:rsid w:val="00570D86"/>
    <w:rsid w:val="005947E0"/>
    <w:rsid w:val="00597BD2"/>
    <w:rsid w:val="005A0A03"/>
    <w:rsid w:val="005C4503"/>
    <w:rsid w:val="005C7D6B"/>
    <w:rsid w:val="005D1FF3"/>
    <w:rsid w:val="005D7C9C"/>
    <w:rsid w:val="005E1356"/>
    <w:rsid w:val="005E4D67"/>
    <w:rsid w:val="005F70E0"/>
    <w:rsid w:val="0060005D"/>
    <w:rsid w:val="0060376D"/>
    <w:rsid w:val="00605F95"/>
    <w:rsid w:val="00610A88"/>
    <w:rsid w:val="00616F47"/>
    <w:rsid w:val="00623398"/>
    <w:rsid w:val="006359DC"/>
    <w:rsid w:val="00642361"/>
    <w:rsid w:val="006525F1"/>
    <w:rsid w:val="00654580"/>
    <w:rsid w:val="00654F02"/>
    <w:rsid w:val="00657C66"/>
    <w:rsid w:val="00672D88"/>
    <w:rsid w:val="00674BB5"/>
    <w:rsid w:val="006768B7"/>
    <w:rsid w:val="00694A13"/>
    <w:rsid w:val="006B2223"/>
    <w:rsid w:val="006D126F"/>
    <w:rsid w:val="006E672C"/>
    <w:rsid w:val="006E7481"/>
    <w:rsid w:val="006F2006"/>
    <w:rsid w:val="006F446E"/>
    <w:rsid w:val="0071204A"/>
    <w:rsid w:val="007563C2"/>
    <w:rsid w:val="00772626"/>
    <w:rsid w:val="00782D98"/>
    <w:rsid w:val="00783AC0"/>
    <w:rsid w:val="007D05E1"/>
    <w:rsid w:val="007D2A5B"/>
    <w:rsid w:val="007D4120"/>
    <w:rsid w:val="007D6540"/>
    <w:rsid w:val="007E220A"/>
    <w:rsid w:val="007E2C7C"/>
    <w:rsid w:val="007E7116"/>
    <w:rsid w:val="007F21F5"/>
    <w:rsid w:val="007F4828"/>
    <w:rsid w:val="00815D79"/>
    <w:rsid w:val="00824193"/>
    <w:rsid w:val="00825D40"/>
    <w:rsid w:val="0083110D"/>
    <w:rsid w:val="00841417"/>
    <w:rsid w:val="00844FB7"/>
    <w:rsid w:val="0086279B"/>
    <w:rsid w:val="00865185"/>
    <w:rsid w:val="008B037C"/>
    <w:rsid w:val="008E2496"/>
    <w:rsid w:val="00907D09"/>
    <w:rsid w:val="00926E23"/>
    <w:rsid w:val="009347A7"/>
    <w:rsid w:val="00942664"/>
    <w:rsid w:val="00952E77"/>
    <w:rsid w:val="00957A2A"/>
    <w:rsid w:val="00980242"/>
    <w:rsid w:val="00983E57"/>
    <w:rsid w:val="00990C5E"/>
    <w:rsid w:val="009946B5"/>
    <w:rsid w:val="00997CFE"/>
    <w:rsid w:val="009A2BBA"/>
    <w:rsid w:val="009B21AD"/>
    <w:rsid w:val="009C1136"/>
    <w:rsid w:val="009D0195"/>
    <w:rsid w:val="009F3FBA"/>
    <w:rsid w:val="009F6769"/>
    <w:rsid w:val="00A1044A"/>
    <w:rsid w:val="00A308F9"/>
    <w:rsid w:val="00A33657"/>
    <w:rsid w:val="00A34896"/>
    <w:rsid w:val="00A43F3F"/>
    <w:rsid w:val="00A615E8"/>
    <w:rsid w:val="00A62442"/>
    <w:rsid w:val="00A6597F"/>
    <w:rsid w:val="00A65EBE"/>
    <w:rsid w:val="00A704EF"/>
    <w:rsid w:val="00A73EE8"/>
    <w:rsid w:val="00A94303"/>
    <w:rsid w:val="00AB01BC"/>
    <w:rsid w:val="00AB40E1"/>
    <w:rsid w:val="00AB7760"/>
    <w:rsid w:val="00AB7C7C"/>
    <w:rsid w:val="00AC6A00"/>
    <w:rsid w:val="00AD1E5A"/>
    <w:rsid w:val="00AD20FE"/>
    <w:rsid w:val="00AF577F"/>
    <w:rsid w:val="00AF6202"/>
    <w:rsid w:val="00B259AE"/>
    <w:rsid w:val="00B259F3"/>
    <w:rsid w:val="00B40EF9"/>
    <w:rsid w:val="00B50FC7"/>
    <w:rsid w:val="00B540FE"/>
    <w:rsid w:val="00B653A4"/>
    <w:rsid w:val="00B74783"/>
    <w:rsid w:val="00B823AB"/>
    <w:rsid w:val="00BA0937"/>
    <w:rsid w:val="00BD4372"/>
    <w:rsid w:val="00BD6B78"/>
    <w:rsid w:val="00BE28DE"/>
    <w:rsid w:val="00BF27B6"/>
    <w:rsid w:val="00BF7889"/>
    <w:rsid w:val="00C06547"/>
    <w:rsid w:val="00C160D0"/>
    <w:rsid w:val="00C23DE3"/>
    <w:rsid w:val="00C362EB"/>
    <w:rsid w:val="00C43C85"/>
    <w:rsid w:val="00C53FEE"/>
    <w:rsid w:val="00CA5CF5"/>
    <w:rsid w:val="00CB6DA8"/>
    <w:rsid w:val="00CC2368"/>
    <w:rsid w:val="00CC59EF"/>
    <w:rsid w:val="00CD024A"/>
    <w:rsid w:val="00CD50ED"/>
    <w:rsid w:val="00D00E88"/>
    <w:rsid w:val="00D03F0C"/>
    <w:rsid w:val="00D45DDC"/>
    <w:rsid w:val="00D50C45"/>
    <w:rsid w:val="00D57073"/>
    <w:rsid w:val="00D73326"/>
    <w:rsid w:val="00D82F39"/>
    <w:rsid w:val="00D86385"/>
    <w:rsid w:val="00DA622B"/>
    <w:rsid w:val="00DA6AC4"/>
    <w:rsid w:val="00DB035C"/>
    <w:rsid w:val="00DB0D12"/>
    <w:rsid w:val="00DC613D"/>
    <w:rsid w:val="00DC7843"/>
    <w:rsid w:val="00DD55F9"/>
    <w:rsid w:val="00DE1A77"/>
    <w:rsid w:val="00DE3FA8"/>
    <w:rsid w:val="00DE51B6"/>
    <w:rsid w:val="00DF744F"/>
    <w:rsid w:val="00E02D0D"/>
    <w:rsid w:val="00E33714"/>
    <w:rsid w:val="00E426A6"/>
    <w:rsid w:val="00E42A33"/>
    <w:rsid w:val="00E55B4A"/>
    <w:rsid w:val="00E61521"/>
    <w:rsid w:val="00E6165A"/>
    <w:rsid w:val="00E6370E"/>
    <w:rsid w:val="00E77AD9"/>
    <w:rsid w:val="00E84F7E"/>
    <w:rsid w:val="00E87DD5"/>
    <w:rsid w:val="00EC2D2E"/>
    <w:rsid w:val="00EE212E"/>
    <w:rsid w:val="00EE7F25"/>
    <w:rsid w:val="00EF17E8"/>
    <w:rsid w:val="00EF2D18"/>
    <w:rsid w:val="00F13C4D"/>
    <w:rsid w:val="00F14548"/>
    <w:rsid w:val="00F219A2"/>
    <w:rsid w:val="00F232D4"/>
    <w:rsid w:val="00F23A18"/>
    <w:rsid w:val="00F2712C"/>
    <w:rsid w:val="00F3679B"/>
    <w:rsid w:val="00F41458"/>
    <w:rsid w:val="00F431C6"/>
    <w:rsid w:val="00F70D74"/>
    <w:rsid w:val="00FA63FC"/>
    <w:rsid w:val="00FA72FB"/>
    <w:rsid w:val="00FB4AD1"/>
    <w:rsid w:val="00FB7501"/>
    <w:rsid w:val="00FE136C"/>
    <w:rsid w:val="00FF6690"/>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DE159F22-C6F9-4361-B4AF-CDF520567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18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185"/>
    <w:pPr>
      <w:tabs>
        <w:tab w:val="center" w:pos="4153"/>
        <w:tab w:val="right" w:pos="8306"/>
      </w:tabs>
      <w:spacing w:after="0" w:line="240" w:lineRule="auto"/>
    </w:pPr>
    <w:rPr>
      <w:sz w:val="20"/>
      <w:szCs w:val="20"/>
      <w:lang w:val="x-none" w:eastAsia="x-none"/>
    </w:rPr>
  </w:style>
  <w:style w:type="character" w:customStyle="1" w:styleId="HeaderChar">
    <w:name w:val="Header Char"/>
    <w:basedOn w:val="DefaultParagraphFont"/>
    <w:link w:val="Header"/>
    <w:uiPriority w:val="99"/>
    <w:rsid w:val="00865185"/>
    <w:rPr>
      <w:rFonts w:ascii="Calibri" w:eastAsia="Calibri" w:hAnsi="Calibri" w:cs="Times New Roman"/>
      <w:sz w:val="20"/>
      <w:szCs w:val="20"/>
      <w:lang w:val="x-none" w:eastAsia="x-none"/>
    </w:rPr>
  </w:style>
  <w:style w:type="paragraph" w:styleId="ListParagraph">
    <w:name w:val="List Paragraph"/>
    <w:basedOn w:val="Normal"/>
    <w:link w:val="ListParagraphChar"/>
    <w:uiPriority w:val="34"/>
    <w:qFormat/>
    <w:rsid w:val="00865185"/>
    <w:pPr>
      <w:ind w:left="720"/>
      <w:contextualSpacing/>
    </w:pPr>
    <w:rPr>
      <w:sz w:val="20"/>
      <w:szCs w:val="20"/>
      <w:lang w:val="x-none" w:eastAsia="x-none"/>
    </w:rPr>
  </w:style>
  <w:style w:type="character" w:customStyle="1" w:styleId="ListParagraphChar">
    <w:name w:val="List Paragraph Char"/>
    <w:link w:val="ListParagraph"/>
    <w:uiPriority w:val="34"/>
    <w:locked/>
    <w:rsid w:val="00865185"/>
    <w:rPr>
      <w:rFonts w:ascii="Calibri" w:eastAsia="Calibri" w:hAnsi="Calibri" w:cs="Times New Roman"/>
      <w:sz w:val="20"/>
      <w:szCs w:val="20"/>
      <w:lang w:val="x-none" w:eastAsia="x-none"/>
    </w:rPr>
  </w:style>
  <w:style w:type="paragraph" w:styleId="Footer">
    <w:name w:val="footer"/>
    <w:basedOn w:val="Normal"/>
    <w:link w:val="FooterChar"/>
    <w:uiPriority w:val="99"/>
    <w:unhideWhenUsed/>
    <w:rsid w:val="00AB7C7C"/>
    <w:pPr>
      <w:tabs>
        <w:tab w:val="center" w:pos="4153"/>
        <w:tab w:val="right" w:pos="8306"/>
      </w:tabs>
      <w:spacing w:after="0" w:line="240" w:lineRule="auto"/>
    </w:pPr>
  </w:style>
  <w:style w:type="character" w:customStyle="1" w:styleId="FooterChar">
    <w:name w:val="Footer Char"/>
    <w:basedOn w:val="DefaultParagraphFont"/>
    <w:link w:val="Footer"/>
    <w:uiPriority w:val="99"/>
    <w:rsid w:val="00AB7C7C"/>
    <w:rPr>
      <w:rFonts w:ascii="Calibri" w:eastAsia="Calibri" w:hAnsi="Calibri" w:cs="Times New Roman"/>
    </w:rPr>
  </w:style>
  <w:style w:type="paragraph" w:styleId="BalloonText">
    <w:name w:val="Balloon Text"/>
    <w:basedOn w:val="Normal"/>
    <w:link w:val="BalloonTextChar"/>
    <w:uiPriority w:val="99"/>
    <w:semiHidden/>
    <w:unhideWhenUsed/>
    <w:rsid w:val="00C362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2EB"/>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B50FC7"/>
    <w:rPr>
      <w:sz w:val="16"/>
      <w:szCs w:val="16"/>
    </w:rPr>
  </w:style>
  <w:style w:type="paragraph" w:styleId="CommentText">
    <w:name w:val="annotation text"/>
    <w:basedOn w:val="Normal"/>
    <w:link w:val="CommentTextChar"/>
    <w:uiPriority w:val="99"/>
    <w:semiHidden/>
    <w:unhideWhenUsed/>
    <w:rsid w:val="00B50FC7"/>
    <w:pPr>
      <w:spacing w:line="240" w:lineRule="auto"/>
    </w:pPr>
    <w:rPr>
      <w:sz w:val="20"/>
      <w:szCs w:val="20"/>
    </w:rPr>
  </w:style>
  <w:style w:type="character" w:customStyle="1" w:styleId="CommentTextChar">
    <w:name w:val="Comment Text Char"/>
    <w:basedOn w:val="DefaultParagraphFont"/>
    <w:link w:val="CommentText"/>
    <w:uiPriority w:val="99"/>
    <w:semiHidden/>
    <w:rsid w:val="00B50FC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50FC7"/>
    <w:rPr>
      <w:b/>
      <w:bCs/>
    </w:rPr>
  </w:style>
  <w:style w:type="character" w:customStyle="1" w:styleId="CommentSubjectChar">
    <w:name w:val="Comment Subject Char"/>
    <w:basedOn w:val="CommentTextChar"/>
    <w:link w:val="CommentSubject"/>
    <w:uiPriority w:val="99"/>
    <w:semiHidden/>
    <w:rsid w:val="00B50FC7"/>
    <w:rPr>
      <w:rFonts w:ascii="Calibri" w:eastAsia="Calibri" w:hAnsi="Calibri" w:cs="Times New Roman"/>
      <w:b/>
      <w:bCs/>
      <w:sz w:val="20"/>
      <w:szCs w:val="20"/>
    </w:rPr>
  </w:style>
  <w:style w:type="paragraph" w:customStyle="1" w:styleId="naisc">
    <w:name w:val="naisc"/>
    <w:basedOn w:val="Normal"/>
    <w:rsid w:val="00980242"/>
    <w:pPr>
      <w:spacing w:before="75" w:after="75" w:line="240" w:lineRule="auto"/>
      <w:jc w:val="center"/>
    </w:pPr>
    <w:rPr>
      <w:rFonts w:ascii="Times New Roman" w:eastAsia="Times New Roman" w:hAnsi="Times New Roman"/>
      <w:sz w:val="24"/>
      <w:szCs w:val="24"/>
      <w:lang w:eastAsia="lv-LV"/>
    </w:rPr>
  </w:style>
  <w:style w:type="paragraph" w:styleId="Revision">
    <w:name w:val="Revision"/>
    <w:hidden/>
    <w:uiPriority w:val="99"/>
    <w:semiHidden/>
    <w:rsid w:val="00CB6DA8"/>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0562B0"/>
    <w:rPr>
      <w:color w:val="0563C1" w:themeColor="hyperlink"/>
      <w:u w:val="single"/>
    </w:rPr>
  </w:style>
  <w:style w:type="character" w:customStyle="1" w:styleId="UnresolvedMention">
    <w:name w:val="Unresolved Mention"/>
    <w:basedOn w:val="DefaultParagraphFont"/>
    <w:uiPriority w:val="99"/>
    <w:semiHidden/>
    <w:unhideWhenUsed/>
    <w:rsid w:val="000562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9117</Words>
  <Characters>5197</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2009.gada 15.septembra noteikumos Nr.1065 „Noteikumi par aizdevumiem sīko (mikro), mazo un vidējo saimnieciskās darbības veicēju un lauksaimniecības pakalpojumu kooperatīvo sabiedrību attīs</vt:lpstr>
    </vt:vector>
  </TitlesOfParts>
  <Company>LR Ekonomikas ministrija</Company>
  <LinksUpToDate>false</LinksUpToDate>
  <CharactersWithSpaces>14286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15.septembra noteikumos Nr.1065 „Noteikumi par aizdevumiem sīko (mikro), mazo un vidējo saimnieciskās darbības veicēju un lauksaimniecības pakalpojumu kooperatīvo sabiedrību attīstības veicināšanai”” sākotnējās ietekmes novērtējuma ziņojums (anotācija)</dc:title>
  <dc:subject>Anotācija</dc:subject>
  <dc:creator>Zane Galinska</dc:creator>
  <dc:description>Zane.Galinska@em.gov.lv; 67013147</dc:description>
  <cp:lastModifiedBy>Madara Ambrēna</cp:lastModifiedBy>
  <cp:revision>3</cp:revision>
  <dcterms:created xsi:type="dcterms:W3CDTF">2018-07-16T13:59:00Z</dcterms:created>
  <dcterms:modified xsi:type="dcterms:W3CDTF">2018-07-16T13:59:00Z</dcterms:modified>
</cp:coreProperties>
</file>