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D5588" w:rsidRPr="001543AE" w:rsidP="00C12794" w14:paraId="0B606FC1" w14:textId="77777777">
      <w:pPr>
        <w:shd w:val="clear" w:color="auto" w:fill="FFFFFF"/>
        <w:contextualSpacing/>
        <w:jc w:val="center"/>
        <w:rPr>
          <w:b/>
          <w:bCs/>
        </w:rPr>
      </w:pPr>
      <w:r w:rsidRPr="001543AE">
        <w:rPr>
          <w:b/>
          <w:bCs/>
        </w:rPr>
        <w:t>Likumprojekta „Grozījumi Būvniecības likumā”</w:t>
      </w:r>
      <w:r w:rsidRPr="001543AE">
        <w:rPr>
          <w:b/>
          <w:bCs/>
        </w:rPr>
        <w:t xml:space="preserve"> sākotnējās ietekmes novērtējuma ziņojums (anotācija)</w:t>
      </w:r>
    </w:p>
    <w:p w:rsidR="00BD5588" w:rsidRPr="001543AE" w:rsidP="00C12794" w14:paraId="0DABEB10"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2999"/>
        <w:gridCol w:w="5297"/>
      </w:tblGrid>
      <w:tr w14:paraId="2AF3EE6C" w14:textId="77777777" w:rsidTr="00D824C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581" w:type="dxa"/>
            <w:gridSpan w:val="2"/>
            <w:shd w:val="clear" w:color="auto" w:fill="FFFFFF"/>
            <w:vAlign w:val="center"/>
            <w:hideMark/>
          </w:tcPr>
          <w:p w:rsidR="00BD5588" w:rsidRPr="001543AE" w:rsidP="00C12794" w14:paraId="17657987" w14:textId="77777777">
            <w:pPr>
              <w:contextualSpacing/>
              <w:jc w:val="center"/>
              <w:rPr>
                <w:b/>
                <w:iCs/>
                <w:lang w:eastAsia="en-US"/>
              </w:rPr>
            </w:pPr>
            <w:r w:rsidRPr="001543AE">
              <w:rPr>
                <w:b/>
                <w:iCs/>
                <w:lang w:eastAsia="en-US"/>
              </w:rPr>
              <w:t>Tiesību akta projekta anotācijas kopsavilkums</w:t>
            </w:r>
          </w:p>
        </w:tc>
      </w:tr>
      <w:tr w14:paraId="330DD2D4" w14:textId="77777777" w:rsidTr="00D824C2">
        <w:tblPrEx>
          <w:tblW w:w="5000" w:type="pct"/>
          <w:shd w:val="clear" w:color="auto" w:fill="FFFFFF"/>
          <w:tblCellMar>
            <w:top w:w="28" w:type="dxa"/>
            <w:left w:w="28" w:type="dxa"/>
            <w:bottom w:w="28" w:type="dxa"/>
            <w:right w:w="28" w:type="dxa"/>
          </w:tblCellMar>
          <w:tblLook w:val="04A0"/>
        </w:tblPrEx>
        <w:trPr>
          <w:cantSplit/>
        </w:trPr>
        <w:tc>
          <w:tcPr>
            <w:tcW w:w="3430" w:type="dxa"/>
            <w:shd w:val="clear" w:color="auto" w:fill="FFFFFF"/>
            <w:hideMark/>
          </w:tcPr>
          <w:p w:rsidR="00BD5588" w:rsidRPr="001543AE" w:rsidP="00C12794" w14:paraId="6B0E742B" w14:textId="77777777">
            <w:pPr>
              <w:contextualSpacing/>
              <w:rPr>
                <w:iCs/>
                <w:lang w:eastAsia="en-US"/>
              </w:rPr>
            </w:pPr>
            <w:r w:rsidRPr="001543AE">
              <w:rPr>
                <w:iCs/>
                <w:lang w:eastAsia="en-US"/>
              </w:rPr>
              <w:t>Mērķis, risinājums un projekta spēkā stāšanās laiks (500 zīmes bez atstarpēm)</w:t>
            </w:r>
          </w:p>
        </w:tc>
        <w:tc>
          <w:tcPr>
            <w:tcW w:w="6151" w:type="dxa"/>
            <w:shd w:val="clear" w:color="auto" w:fill="FFFFFF"/>
            <w:hideMark/>
          </w:tcPr>
          <w:p w:rsidR="00B9152A" w:rsidRPr="001543AE" w:rsidP="00C12794" w14:paraId="248B9065" w14:textId="77777777">
            <w:pPr>
              <w:contextualSpacing/>
              <w:jc w:val="both"/>
            </w:pPr>
            <w:r w:rsidRPr="001543AE">
              <w:t>Grozījumi Būvniecības likumā ir sagatavoti, lai:</w:t>
            </w:r>
          </w:p>
          <w:p w:rsidR="00B9152A" w:rsidRPr="001543AE" w:rsidP="00C12794" w14:paraId="7129E8DB" w14:textId="77C19D0E">
            <w:pPr>
              <w:contextualSpacing/>
              <w:jc w:val="both"/>
            </w:pPr>
            <w:r>
              <w:t>1</w:t>
            </w:r>
            <w:r w:rsidRPr="001543AE">
              <w:t>. novērstu būvspeciālistu trūkumu;</w:t>
            </w:r>
          </w:p>
          <w:p w:rsidR="00B9152A" w:rsidRPr="001543AE" w:rsidP="00C12794" w14:paraId="6FD6FF02" w14:textId="60A15E0E">
            <w:pPr>
              <w:contextualSpacing/>
              <w:jc w:val="both"/>
            </w:pPr>
            <w:r>
              <w:t>2</w:t>
            </w:r>
            <w:r w:rsidRPr="001543AE">
              <w:t>. uzlabotu būvniecības procesa reg</w:t>
            </w:r>
            <w:r w:rsidRPr="001543AE" w:rsidR="002912BB">
              <w:t>ulējumu, tai skaitā novēršot konstatētās neskaidrības Būvniecības likuma piemērošanā.</w:t>
            </w:r>
          </w:p>
          <w:p w:rsidR="00B9152A" w:rsidRPr="001543AE" w:rsidP="00C12794" w14:paraId="2601EDD5" w14:textId="08E31B63">
            <w:pPr>
              <w:contextualSpacing/>
              <w:jc w:val="both"/>
              <w:rPr>
                <w:i/>
                <w:iCs/>
                <w:lang w:eastAsia="en-US"/>
              </w:rPr>
            </w:pPr>
            <w:r>
              <w:t xml:space="preserve">Likumprojekts stāsies spēkā </w:t>
            </w:r>
            <w:r w:rsidRPr="00EC5F79">
              <w:t>četrpadsmit</w:t>
            </w:r>
            <w:r>
              <w:t>ajā dienā</w:t>
            </w:r>
            <w:r w:rsidRPr="00EC5F79">
              <w:t xml:space="preserve"> pēc </w:t>
            </w:r>
            <w:r>
              <w:t xml:space="preserve">tā </w:t>
            </w:r>
            <w:r w:rsidRPr="00EC5F79">
              <w:t>izsludināšanas</w:t>
            </w:r>
            <w:r>
              <w:t xml:space="preserve"> </w:t>
            </w:r>
            <w:r w:rsidRPr="00EC5F79">
              <w:t xml:space="preserve">Oficiālo publikāciju </w:t>
            </w:r>
            <w:r>
              <w:t xml:space="preserve">un tiesiskās informācijas likumā noteiktajā kārtībā </w:t>
            </w:r>
            <w:r w:rsidRPr="001543AE" w:rsidR="00457485">
              <w:t>.</w:t>
            </w:r>
          </w:p>
        </w:tc>
      </w:tr>
    </w:tbl>
    <w:p w:rsidR="00BD5588" w:rsidRPr="001543AE" w:rsidP="00C12794" w14:paraId="345DEFAD"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16"/>
        <w:gridCol w:w="2454"/>
        <w:gridCol w:w="5326"/>
      </w:tblGrid>
      <w:tr w14:paraId="7DE6B3DF" w14:textId="77777777" w:rsidTr="00D766C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5000" w:type="pct"/>
            <w:gridSpan w:val="3"/>
            <w:vAlign w:val="center"/>
            <w:hideMark/>
          </w:tcPr>
          <w:p w:rsidR="00BD5588" w:rsidRPr="001543AE" w:rsidP="00C12794" w14:paraId="12C07F77" w14:textId="77777777">
            <w:pPr>
              <w:contextualSpacing/>
              <w:jc w:val="center"/>
              <w:rPr>
                <w:b/>
                <w:bCs/>
              </w:rPr>
            </w:pPr>
            <w:r w:rsidRPr="001543AE">
              <w:rPr>
                <w:b/>
                <w:bCs/>
              </w:rPr>
              <w:t>I. Tiesību akta projekta izstrādes nepieciešamība</w:t>
            </w:r>
          </w:p>
        </w:tc>
      </w:tr>
      <w:tr w14:paraId="429E6D94" w14:textId="77777777" w:rsidTr="00EC5F79">
        <w:tblPrEx>
          <w:tblW w:w="5000" w:type="pct"/>
          <w:tblCellMar>
            <w:top w:w="30" w:type="dxa"/>
            <w:left w:w="30" w:type="dxa"/>
            <w:bottom w:w="30" w:type="dxa"/>
            <w:right w:w="30" w:type="dxa"/>
          </w:tblCellMar>
          <w:tblLook w:val="04A0"/>
        </w:tblPrEx>
        <w:tc>
          <w:tcPr>
            <w:tcW w:w="311" w:type="pct"/>
            <w:hideMark/>
          </w:tcPr>
          <w:p w:rsidR="00BD5588" w:rsidRPr="001543AE" w:rsidP="00C12794" w14:paraId="168F6255" w14:textId="77777777">
            <w:pPr>
              <w:contextualSpacing/>
              <w:jc w:val="center"/>
            </w:pPr>
            <w:r w:rsidRPr="001543AE">
              <w:t>1.</w:t>
            </w:r>
          </w:p>
        </w:tc>
        <w:tc>
          <w:tcPr>
            <w:tcW w:w="1479" w:type="pct"/>
            <w:hideMark/>
          </w:tcPr>
          <w:p w:rsidR="00BD5588" w:rsidRPr="001543AE" w:rsidP="00C12794" w14:paraId="15BC1526" w14:textId="77777777">
            <w:pPr>
              <w:contextualSpacing/>
            </w:pPr>
            <w:r w:rsidRPr="001543AE">
              <w:t>Pamatojums</w:t>
            </w:r>
          </w:p>
        </w:tc>
        <w:tc>
          <w:tcPr>
            <w:tcW w:w="3210" w:type="pct"/>
          </w:tcPr>
          <w:p w:rsidR="00040197" w:rsidRPr="001543AE" w:rsidP="00C12794" w14:paraId="6B84041B" w14:textId="107D45CC">
            <w:pPr>
              <w:contextualSpacing/>
              <w:jc w:val="both"/>
            </w:pPr>
            <w:r>
              <w:t>Ekonomikas ministrijas iniciatīva.</w:t>
            </w:r>
          </w:p>
        </w:tc>
      </w:tr>
      <w:tr w14:paraId="69F54EBF" w14:textId="77777777" w:rsidTr="00D766C6">
        <w:tblPrEx>
          <w:tblW w:w="5000" w:type="pct"/>
          <w:tblCellMar>
            <w:top w:w="30" w:type="dxa"/>
            <w:left w:w="30" w:type="dxa"/>
            <w:bottom w:w="30" w:type="dxa"/>
            <w:right w:w="30" w:type="dxa"/>
          </w:tblCellMar>
          <w:tblLook w:val="04A0"/>
        </w:tblPrEx>
        <w:tc>
          <w:tcPr>
            <w:tcW w:w="311" w:type="pct"/>
            <w:hideMark/>
          </w:tcPr>
          <w:p w:rsidR="00BD5588" w:rsidRPr="001543AE" w:rsidP="00C12794" w14:paraId="52DEA4A6" w14:textId="77777777">
            <w:pPr>
              <w:contextualSpacing/>
              <w:jc w:val="center"/>
            </w:pPr>
            <w:r w:rsidRPr="001543AE">
              <w:t>2.</w:t>
            </w:r>
          </w:p>
        </w:tc>
        <w:tc>
          <w:tcPr>
            <w:tcW w:w="1479" w:type="pct"/>
            <w:hideMark/>
          </w:tcPr>
          <w:p w:rsidR="00BD5588" w:rsidRPr="001543AE" w:rsidP="00C12794" w14:paraId="425F64FF" w14:textId="77777777">
            <w:pPr>
              <w:contextualSpacing/>
            </w:pPr>
            <w:r w:rsidRPr="001543AE">
              <w:t>Pašreizējā situācija un problēmas, kuru risināšanai tiesību akta projekts izstrādāts, tiesiskā regulējuma mērķis un būtība</w:t>
            </w:r>
          </w:p>
        </w:tc>
        <w:tc>
          <w:tcPr>
            <w:tcW w:w="3210" w:type="pct"/>
            <w:hideMark/>
          </w:tcPr>
          <w:p w:rsidR="00383B3A" w:rsidRPr="00C12794" w:rsidP="00C12794" w14:paraId="01902F37" w14:textId="45CD9C19">
            <w:pPr>
              <w:contextualSpacing/>
              <w:jc w:val="both"/>
              <w:rPr>
                <w:b/>
              </w:rPr>
            </w:pPr>
            <w:r>
              <w:rPr>
                <w:b/>
              </w:rPr>
              <w:t>[1] </w:t>
            </w:r>
            <w:r w:rsidR="000F4F68">
              <w:rPr>
                <w:b/>
              </w:rPr>
              <w:t>Būvspeciālistu trūkums</w:t>
            </w:r>
            <w:r w:rsidRPr="00C12794" w:rsidR="00C12794">
              <w:rPr>
                <w:b/>
              </w:rPr>
              <w:t>:</w:t>
            </w:r>
          </w:p>
          <w:p w:rsidR="00664E51" w:rsidRPr="001543AE" w:rsidP="00C12794" w14:paraId="6807317E" w14:textId="233FC511">
            <w:pPr>
              <w:contextualSpacing/>
              <w:jc w:val="both"/>
            </w:pPr>
            <w:r w:rsidRPr="001543AE">
              <w:t>Atbilstoši Latvijas Būvinženieru savienības sniegtajai informācijai ir paredzams, ka, ņemot vērā Būvniecības likuma pārejas noteikumu 3. un 4. punktā ietverto regulējumu, laika periodā līdz 2021. gadam ievērojami samaz</w:t>
            </w:r>
            <w:r w:rsidRPr="001543AE" w:rsidR="001D01BC">
              <w:t>ināsies to fizisko personu skai</w:t>
            </w:r>
            <w:r w:rsidRPr="001543AE">
              <w:t>ts, kas būs tiesīgas veikt inženierizpēti, būvdarbu vadīšanu un būvuzraudzību, piemēram, ēku būvdarbu vadīšanā no 2425 fiziskām personām uz 01.01.2015. līdz 569 fiziskām personām uz 01.01.2021. Laika periodā līdz 2021.gadam ir plāno</w:t>
            </w:r>
            <w:r w:rsidRPr="001543AE" w:rsidR="001D01BC">
              <w:t>t</w:t>
            </w:r>
            <w:r w:rsidRPr="001543AE">
              <w:t xml:space="preserve">s, ka Latvijai 2014.-2020.gada plānošanas periodā kopējais ES kohēzijas finansējums būvniecībai būs aptuveni 3,3 miljardi </w:t>
            </w:r>
            <w:r w:rsidRPr="001543AE">
              <w:t>euro</w:t>
            </w:r>
            <w:r w:rsidRPr="001543AE">
              <w:t>, kas veido apmēram divas trešdaļas no ES fondu ieviešanai paredzētā kopējā finansējuma. Tas rada risku, ka būvniecības nozarē, samazinoties fizisko personu skaistam, kuras būtu tiesīgas veikt inženierizpēti, būvdarbu vadīšanu un būvuzraudzību, radīsies darba spēka trūkums. Tas savukārt negatīvi ietekmē</w:t>
            </w:r>
            <w:r w:rsidRPr="001543AE" w:rsidR="00FA0475">
              <w:t>s</w:t>
            </w:r>
            <w:r w:rsidRPr="001543AE">
              <w:t xml:space="preserve"> būvniecības </w:t>
            </w:r>
            <w:r w:rsidRPr="001543AE" w:rsidR="00FA0475">
              <w:t>nozares kapacitāti</w:t>
            </w:r>
            <w:r w:rsidRPr="001543AE">
              <w:t xml:space="preserve">, proti, darba spēka trūkuma dēļ aizkavēties būvniecības ieceru realizācija, ne tikai publiskajā sektorā, bet arī privātajā sektorā. Lai novērstu iespējamo darba spēka trūkumu, ar likumprojekta </w:t>
            </w:r>
            <w:r w:rsidR="00086DD8">
              <w:t>6</w:t>
            </w:r>
            <w:r w:rsidRPr="001543AE">
              <w:t xml:space="preserve">. pantu tiek paredzēts, ka </w:t>
            </w:r>
            <w:r w:rsidR="00160B4A">
              <w:t>fiziskas personas, kuras līdz Būvniecības</w:t>
            </w:r>
            <w:r w:rsidRPr="001543AE">
              <w:t xml:space="preserve"> likuma spēkā stāšanās dienai </w:t>
            </w:r>
            <w:r w:rsidR="00160B4A">
              <w:t xml:space="preserve">(01.10.2014.) </w:t>
            </w:r>
            <w:r w:rsidRPr="001543AE">
              <w:t xml:space="preserve">ieguvušas patstāvīgās prakses tiesības būvniecības jomā </w:t>
            </w:r>
            <w:r w:rsidRPr="001543AE">
              <w:t>būvtehniķa</w:t>
            </w:r>
            <w:r w:rsidRPr="001543AE">
              <w:t xml:space="preserve"> profesijā, bet nav ieguvušas šā likuma 13.</w:t>
            </w:r>
            <w:r w:rsidRPr="001543AE" w:rsidR="00A108E3">
              <w:t> </w:t>
            </w:r>
            <w:r w:rsidRPr="001543AE">
              <w:t>pantā noteikto izglītību, ir tiesīgas turpināt patstāvīgu praksi inženierizpētē, būvdarbu vadīšanā vai būvuzr</w:t>
            </w:r>
            <w:r w:rsidR="00372D9B">
              <w:t>audzībā. Vienlaikus tiek ietverts regulējums</w:t>
            </w:r>
            <w:r w:rsidRPr="001543AE">
              <w:t xml:space="preserve">, ka fiziskās personas, kuras līdz </w:t>
            </w:r>
            <w:r w:rsidR="00160B4A">
              <w:t>Būvniecības</w:t>
            </w:r>
            <w:r w:rsidRPr="001543AE">
              <w:t xml:space="preserve"> likuma spēkā stāšanās dienai ieguvušas patstāvīgās prakses tiesības būvniecības jomā būvinženiera profesijā un kurām ir pirmā līmeņa </w:t>
            </w:r>
            <w:r w:rsidRPr="001543AE">
              <w:t>profesionālā augstākā izglītība būvniecības vai ar būvniecības jomu saistītā studiju programmā, ir tiesīgas turpināt patstāvīgu praksi inženierizpētē. Ciktāl tas attiecas uz projektēšanu un būvekspertīzi, regulējums attiecībā uz iepriekš minētajām fiziskajām personām netiek mainīts.</w:t>
            </w:r>
            <w:r w:rsidR="00160B4A">
              <w:t xml:space="preserve"> Plānotās izmaiņas fizisk</w:t>
            </w:r>
            <w:r w:rsidR="00B74AAC">
              <w:t>ām</w:t>
            </w:r>
            <w:r w:rsidR="00160B4A">
              <w:t xml:space="preserve"> personām</w:t>
            </w:r>
            <w:r w:rsidRPr="00160B4A" w:rsidR="00160B4A">
              <w:t xml:space="preserve">, kuras līdz </w:t>
            </w:r>
            <w:r w:rsidR="00160B4A">
              <w:t xml:space="preserve">Būvniecības </w:t>
            </w:r>
            <w:r w:rsidRPr="00160B4A" w:rsidR="00160B4A">
              <w:t xml:space="preserve">likuma spēkā stāšanās dienai </w:t>
            </w:r>
            <w:r w:rsidR="00160B4A">
              <w:t xml:space="preserve">bija </w:t>
            </w:r>
            <w:r w:rsidRPr="00160B4A" w:rsidR="00160B4A">
              <w:t xml:space="preserve">ieguvušas patstāvīgās prakses tiesības būvniecības jomā </w:t>
            </w:r>
            <w:r w:rsidRPr="00160B4A" w:rsidR="00160B4A">
              <w:t>būvtehniķa</w:t>
            </w:r>
            <w:r w:rsidRPr="00160B4A" w:rsidR="00160B4A">
              <w:t xml:space="preserve"> profesijā, bet nav ieguvušas šā likuma 13. pantā noteikto izglītību</w:t>
            </w:r>
            <w:r w:rsidR="00160B4A">
              <w:t>, un fiziskām personām</w:t>
            </w:r>
            <w:r w:rsidRPr="00160B4A" w:rsidR="00160B4A">
              <w:t xml:space="preserve">, kuras līdz Būvniecības likuma spēkā stāšanās dienai </w:t>
            </w:r>
            <w:r w:rsidR="00160B4A">
              <w:t xml:space="preserve">bija </w:t>
            </w:r>
            <w:r w:rsidRPr="00160B4A" w:rsidR="00160B4A">
              <w:t>ieguvušas patstāvīgās prakses tiesības būvniecības jomā būvinženiera profesijā un kurām ir pirmā līmeņa profesionālā augstākā izglītība būvniecības vai ar būvniecības jomu saistītā studiju programmā</w:t>
            </w:r>
            <w:r w:rsidR="00915EB5">
              <w:t>, nemaina</w:t>
            </w:r>
            <w:r w:rsidR="00160B4A">
              <w:t xml:space="preserve"> eso</w:t>
            </w:r>
            <w:r w:rsidR="00915EB5">
              <w:t>šo administratīvo slogu</w:t>
            </w:r>
            <w:r w:rsidR="00160B4A">
              <w:t xml:space="preserve">. Taču tiks samazināts paredzamais </w:t>
            </w:r>
            <w:r w:rsidR="00915EB5">
              <w:t xml:space="preserve">nākotnes </w:t>
            </w:r>
            <w:r w:rsidR="00160B4A">
              <w:t xml:space="preserve">administratīvas </w:t>
            </w:r>
            <w:r w:rsidR="00B74AAC">
              <w:t>s</w:t>
            </w:r>
            <w:r w:rsidR="00160B4A">
              <w:t>logs</w:t>
            </w:r>
            <w:r w:rsidR="00915EB5">
              <w:t xml:space="preserve"> – šīm personām nebūs nepieciešams iegūt papildus izglītību, lai turpinātu patstāvīgo praksi</w:t>
            </w:r>
            <w:r w:rsidR="00160B4A">
              <w:t xml:space="preserve">. </w:t>
            </w:r>
            <w:r w:rsidR="00915EB5">
              <w:t>P</w:t>
            </w:r>
            <w:r w:rsidR="00160B4A">
              <w:t>aredzamo administratīvo slogu dēļ dažādām iespējamajām izglītības programmām nav iespējams aprēķināt.</w:t>
            </w:r>
          </w:p>
          <w:p w:rsidR="00664E51" w:rsidRPr="001543AE" w:rsidP="00C12794" w14:paraId="770298F2" w14:textId="77777777">
            <w:pPr>
              <w:contextualSpacing/>
            </w:pPr>
          </w:p>
          <w:p w:rsidR="00664E51" w:rsidP="00160B4A" w14:paraId="2A97D717" w14:textId="55602ECD">
            <w:pPr>
              <w:contextualSpacing/>
              <w:jc w:val="both"/>
              <w:rPr>
                <w:b/>
              </w:rPr>
            </w:pPr>
            <w:r w:rsidRPr="00160B4A">
              <w:rPr>
                <w:b/>
              </w:rPr>
              <w:t>[2] Uzlabojumi būvniecības procesa regulējumā:</w:t>
            </w:r>
          </w:p>
          <w:p w:rsidR="0042799F" w:rsidRPr="0042799F" w:rsidP="00F2354B" w14:paraId="13658D94" w14:textId="78DD36E6">
            <w:pPr>
              <w:contextualSpacing/>
              <w:jc w:val="both"/>
              <w:rPr>
                <w:b/>
              </w:rPr>
            </w:pPr>
            <w:r w:rsidRPr="0042799F">
              <w:rPr>
                <w:b/>
              </w:rPr>
              <w:t>[2.1] </w:t>
            </w:r>
            <w:r w:rsidRPr="0042799F">
              <w:rPr>
                <w:b/>
              </w:rPr>
              <w:t>Amata meistariem, kuri veic vai vada būvamatniecības darbus:</w:t>
            </w:r>
          </w:p>
          <w:p w:rsidR="00160B4A" w:rsidP="00F2354B" w14:paraId="648AAFE6" w14:textId="1C3EAF36">
            <w:pPr>
              <w:contextualSpacing/>
              <w:jc w:val="both"/>
            </w:pPr>
            <w:r>
              <w:t>Būvniecības likuma 13.</w:t>
            </w:r>
            <w:r w:rsidR="00F2354B">
              <w:t> </w:t>
            </w:r>
            <w:r>
              <w:t xml:space="preserve">panta divpadsmitās daļas piemērošanas praksē ir radušās </w:t>
            </w:r>
            <w:r w:rsidR="00B74AAC">
              <w:t>situācija</w:t>
            </w:r>
            <w:r>
              <w:t>s, kurās fiziskas personas, uzskatot, ka viņas ir amata meistari, ir vēlējušās veikt un vadīt būvdarbus. Tomēr par amata meistariem, kuri atbilstoši spēkā esošajai Būvniecības likuma 13.panta divpadsmitajai daļai ir tiesīgi veikt un vadīt būvdarbus</w:t>
            </w:r>
            <w:r w:rsidR="00915EB5">
              <w:t>,</w:t>
            </w:r>
            <w:r>
              <w:t xml:space="preserve"> ir </w:t>
            </w:r>
            <w:r w:rsidR="00915EB5">
              <w:t xml:space="preserve">uzskatāmi </w:t>
            </w:r>
            <w:r>
              <w:t>tikai tādi amata meistari, kuri ir reģistrēti Amatniecības reģistrā (sk. likuma “</w:t>
            </w:r>
            <w:r w:rsidRPr="00160B4A">
              <w:t>Par amatniecību</w:t>
            </w:r>
            <w:r>
              <w:t>” 7.</w:t>
            </w:r>
            <w:r w:rsidR="00F2354B">
              <w:t> </w:t>
            </w:r>
            <w:r>
              <w:t>pant</w:t>
            </w:r>
            <w:r w:rsidR="00F2354B">
              <w:t>u</w:t>
            </w:r>
            <w:r>
              <w:t xml:space="preserve">). </w:t>
            </w:r>
            <w:r w:rsidR="00F2354B">
              <w:t xml:space="preserve">Amatnieku reģistrācija un kvalifikācijas piešķiršana </w:t>
            </w:r>
            <w:r w:rsidR="00BB01EF">
              <w:t>ietilpst</w:t>
            </w:r>
            <w:r w:rsidR="00F2354B">
              <w:t xml:space="preserve"> </w:t>
            </w:r>
            <w:r w:rsidRPr="00F2354B" w:rsidR="00F2354B">
              <w:t>Latvijas Amatniecības kamera</w:t>
            </w:r>
            <w:r w:rsidR="00F2354B">
              <w:t>s</w:t>
            </w:r>
            <w:r w:rsidRPr="00F2354B" w:rsidR="00F2354B">
              <w:t xml:space="preserve"> </w:t>
            </w:r>
            <w:r w:rsidR="00BB01EF">
              <w:t>kompetencē</w:t>
            </w:r>
            <w:r w:rsidR="00F2354B">
              <w:t xml:space="preserve"> (sk. likuma “</w:t>
            </w:r>
            <w:r w:rsidRPr="00160B4A" w:rsidR="00F2354B">
              <w:t>Par amatniecību</w:t>
            </w:r>
            <w:r w:rsidR="00F2354B">
              <w:t xml:space="preserve">” 6. pantu). Lai novērstu radušās neskaidrības tiek paredzēts, ka Būvniecības likuma 13. panta ceturtās daļas prasības par noteikta veida izglītību, pieredzi un sertifikācijas kārtību neattiecas uz Latvijas Amatniecības kamerā reģistrētiem amata meistariem, ja viņi veic vai vada būvamatniecības darbus atbilstoši likumam “Par amatniecību” (sk. likumprojekta 1. pantu). Plānotās izmaiņas nemaina administratīvo slogu amata meistariem, kuri veic </w:t>
            </w:r>
            <w:r w:rsidRPr="00F2354B" w:rsidR="00F2354B">
              <w:t>Ministru kabineta 14.07.2009.</w:t>
            </w:r>
            <w:r w:rsidR="00F2354B">
              <w:t xml:space="preserve"> noteikumu</w:t>
            </w:r>
            <w:r w:rsidRPr="00F2354B" w:rsidR="00F2354B">
              <w:t xml:space="preserve"> Nr.762</w:t>
            </w:r>
            <w:r w:rsidR="00F2354B">
              <w:t xml:space="preserve"> “</w:t>
            </w:r>
            <w:r w:rsidRPr="00F2354B" w:rsidR="00F2354B">
              <w:t>Noteikumi par amatiem, kuros personas profesionālā darbība ir uzskatāma par amatniecību</w:t>
            </w:r>
            <w:r w:rsidR="00F2354B">
              <w:t>” pielikuma pirmajā punktā noteikto arodu</w:t>
            </w:r>
            <w:r w:rsidR="00EA0366">
              <w:t>, kā arī nemaina līdzšinējās tiesības</w:t>
            </w:r>
            <w:r w:rsidR="00F2354B">
              <w:t>.</w:t>
            </w:r>
          </w:p>
          <w:p w:rsidR="00160B4A" w:rsidRPr="00793CD2" w:rsidP="00C12794" w14:paraId="5036896A" w14:textId="7F1B75B6">
            <w:pPr>
              <w:contextualSpacing/>
              <w:jc w:val="both"/>
              <w:rPr>
                <w:b/>
              </w:rPr>
            </w:pPr>
            <w:r w:rsidRPr="00793CD2">
              <w:rPr>
                <w:b/>
              </w:rPr>
              <w:t>[2.2] Restauratori:</w:t>
            </w:r>
          </w:p>
          <w:p w:rsidR="0042799F" w:rsidP="00C12794" w14:paraId="5B7FCB84" w14:textId="634889AF">
            <w:pPr>
              <w:contextualSpacing/>
              <w:jc w:val="both"/>
            </w:pPr>
            <w:r>
              <w:t>Likuma “</w:t>
            </w:r>
            <w:r w:rsidRPr="00B95524">
              <w:t>Par kultūras pieminekļu aizsardzību</w:t>
            </w:r>
            <w:r>
              <w:t>” 21.panta piektajā daļā ir noteikts, ka k</w:t>
            </w:r>
            <w:r w:rsidRPr="00B95524">
              <w:t>ultūras pieminekļu konservācijas un restaurācijas darbus veic atbilstošas kvalifikācijas speciālisti, restauratori un amatnieki</w:t>
            </w:r>
            <w:r w:rsidR="00852084">
              <w:t xml:space="preserve">. Līdzīgi tas noteikts arī </w:t>
            </w:r>
            <w:r w:rsidRPr="00852084" w:rsidR="00852084">
              <w:t xml:space="preserve">Ministru kabineta 26.08.2003. </w:t>
            </w:r>
            <w:r w:rsidR="00852084">
              <w:t>noteikumu</w:t>
            </w:r>
            <w:r w:rsidRPr="00852084" w:rsidR="00852084">
              <w:t xml:space="preserve"> Nr.474</w:t>
            </w:r>
            <w:r w:rsidR="00852084">
              <w:t xml:space="preserve"> “</w:t>
            </w:r>
            <w:r w:rsidRPr="00852084" w:rsidR="00852084">
              <w:t>Noteikumi par kultūras pieminekļu uzskaiti, aizsardzību, izmantošanu, restaurāciju un vidi degradējoša objekta statusa piešķiršanu</w:t>
            </w:r>
            <w:r w:rsidR="00852084">
              <w:t>” 56. punktā. Restauratori nav uzskatāmi par amatniekiem likuma “</w:t>
            </w:r>
            <w:r w:rsidRPr="00160B4A" w:rsidR="00852084">
              <w:t>Par amatniecību</w:t>
            </w:r>
            <w:r w:rsidR="00852084">
              <w:t>”</w:t>
            </w:r>
            <w:r w:rsidR="00A93AC3">
              <w:t xml:space="preserve"> izpratnē</w:t>
            </w:r>
            <w:r w:rsidR="00852084">
              <w:t xml:space="preserve"> un viņu kvalifikācija tiek pārbaudīta savādākā kārtībā (sk., piemēram, Valsts kultūras pieminekļu aizsardzības inspekcijas 18.05.2012. rīkojumu Nr.18 “Restaurācijas kvalifikācijas novērtēšanas kārtība Valsts kultūras pieminekļu aizsardzības inspekcijā”). Lai saskaņotu būvniecības jomas regulējumu ar kultūras pieminekļu aizsardzības regulējumu, likumprojektā tiek noteikts, ka </w:t>
            </w:r>
            <w:r w:rsidRPr="00852084" w:rsidR="00852084">
              <w:t>Būvniecības likuma 13. panta ceturtās daļas prasības par noteikta veida izglītību, pieredzi un sertifikācijas kārtību neattiecas uz</w:t>
            </w:r>
            <w:r w:rsidR="009D5B83">
              <w:t xml:space="preserve"> restauratoriem (meistariem vai vecmeistariem</w:t>
            </w:r>
            <w:r w:rsidRPr="009D5B83" w:rsidR="009D5B83">
              <w:t>), ja viņi veic vai vada kultūras pieminekļu (būvju) restaurāciju atbilstoši normatīvajiem aktiem kultūras pieminekļu aizsardzības jomā</w:t>
            </w:r>
            <w:r w:rsidR="009D5B83">
              <w:t xml:space="preserve"> (sk. likumprojekta 1. pantu). Plānotās izmaiņas nemaina administratīvo slogu restauratoriem</w:t>
            </w:r>
            <w:r w:rsidR="00EA0366">
              <w:t>, kā arī nemaina līdzšinējās tiesības.</w:t>
            </w:r>
          </w:p>
          <w:p w:rsidR="00FF128E" w:rsidRPr="00FF128E" w:rsidP="00C12794" w14:paraId="719718C0" w14:textId="46E33E1F">
            <w:pPr>
              <w:contextualSpacing/>
              <w:jc w:val="both"/>
              <w:rPr>
                <w:b/>
              </w:rPr>
            </w:pPr>
            <w:r w:rsidRPr="00FF128E">
              <w:rPr>
                <w:b/>
              </w:rPr>
              <w:t>[2.3] Būvakustikas speciālists:</w:t>
            </w:r>
          </w:p>
          <w:p w:rsidR="00FF128E" w:rsidP="00C12794" w14:paraId="7505235B" w14:textId="1F62D3C7">
            <w:pPr>
              <w:contextualSpacing/>
              <w:jc w:val="both"/>
            </w:pPr>
            <w:r>
              <w:t>Ņemot vērā plānotās izmaiņas Būvniecības likuma 13. panta divpadsmitajā daļā (precizējot izņēmumus no vispārīgās kārtības)</w:t>
            </w:r>
            <w:r w:rsidR="00A93AC3">
              <w:t>,</w:t>
            </w:r>
            <w:r>
              <w:t xml:space="preserve"> </w:t>
            </w:r>
            <w:r w:rsidRPr="00B6612C">
              <w:t>Latvijas būvnormatīv</w:t>
            </w:r>
            <w:r>
              <w:t>a LBN 016-15 “Būvakustika” (a</w:t>
            </w:r>
            <w:r w:rsidRPr="00B6612C">
              <w:t>pstiprināts ar</w:t>
            </w:r>
            <w:r>
              <w:t xml:space="preserve"> </w:t>
            </w:r>
            <w:r w:rsidRPr="00B6612C">
              <w:t>Ministru kabineta 16.06.2015. noteikumi</w:t>
            </w:r>
            <w:r>
              <w:t>em</w:t>
            </w:r>
            <w:r w:rsidRPr="00B6612C">
              <w:t xml:space="preserve"> Nr.312</w:t>
            </w:r>
            <w:r>
              <w:t xml:space="preserve"> “</w:t>
            </w:r>
            <w:r w:rsidRPr="00B6612C">
              <w:t>Noteikumi par Latvijas būvno</w:t>
            </w:r>
            <w:r>
              <w:t>rmatīvu LBN 016-15 “Būvakustika””) 10.punktā ietverts regulējums par būvakustikas speciālistu tiesībām būvniecības procesā</w:t>
            </w:r>
            <w:r w:rsidR="008924F3">
              <w:t xml:space="preserve"> (sk. likumprojekta 1. pantu)</w:t>
            </w:r>
            <w:r w:rsidR="00B74AAC">
              <w:t xml:space="preserve"> </w:t>
            </w:r>
            <w:r w:rsidR="00B74AAC">
              <w:t>tiek pārcelts uz Būvniecības likuma 13. pantu</w:t>
            </w:r>
            <w:r>
              <w:t>. Plānotās izmaiņas nemaina administratīvo slogu būvakustikas speci</w:t>
            </w:r>
            <w:r w:rsidR="00EA0366">
              <w:t>ālistiem, kā arī nemaina līdzšinējās tiesības. Vienlaikus jānorāda, ka tiesības veikt būvju akustisko aprēķinus attiecīgas gan uz</w:t>
            </w:r>
            <w:r w:rsidR="00A93AC3">
              <w:t xml:space="preserve"> esošām būvēm, gan uz tādām, kuras tiek projektētas</w:t>
            </w:r>
            <w:r w:rsidR="00EA0366">
              <w:t>.</w:t>
            </w:r>
          </w:p>
          <w:p w:rsidR="00EA0366" w:rsidRPr="008924F3" w:rsidP="00C12794" w14:paraId="43DE2D09" w14:textId="719FE34D">
            <w:pPr>
              <w:contextualSpacing/>
              <w:jc w:val="both"/>
              <w:rPr>
                <w:b/>
              </w:rPr>
            </w:pPr>
            <w:r w:rsidRPr="008924F3">
              <w:rPr>
                <w:b/>
              </w:rPr>
              <w:t>[2.4] Citas izmaiņas Būvniecības likuma 13. pantā:</w:t>
            </w:r>
          </w:p>
          <w:p w:rsidR="008924F3" w:rsidP="00C12794" w14:paraId="31FC5C37" w14:textId="64F8DA48">
            <w:pPr>
              <w:contextualSpacing/>
              <w:jc w:val="both"/>
            </w:pPr>
            <w:r>
              <w:t>Ņemot vērā plānotās izmaiņas Būvniecības likuma 13.</w:t>
            </w:r>
            <w:r w:rsidR="00B23EAB">
              <w:t> </w:t>
            </w:r>
            <w:r>
              <w:t>panta divpadsmitajā daļā, spēkā esošā Būvniecības likuma 13.</w:t>
            </w:r>
            <w:r w:rsidR="00B23EAB">
              <w:t> </w:t>
            </w:r>
            <w:r>
              <w:t>panta divpadsmitās daļas pēdējais teikums tiek pārcelts uz jaunu daļu šā paša panta ietvaros – Būvniecības likuma 13.panta 12.</w:t>
            </w:r>
            <w:r w:rsidRPr="008924F3">
              <w:rPr>
                <w:vertAlign w:val="superscript"/>
              </w:rPr>
              <w:t>1</w:t>
            </w:r>
            <w:r>
              <w:t xml:space="preserve"> daļa. Papildus, ņemot vērā, ka atsevišķos speciālajos būvnoteikumos ir noteikts, ka būvniecības ierosinātājs pats var sagatavot </w:t>
            </w:r>
            <w:r>
              <w:t>noteiktu būvniecības ieceres dokumentāciju</w:t>
            </w:r>
            <w:r w:rsidR="00E701B9">
              <w:t xml:space="preserve"> (sk., piemēram, Ministru kabineta </w:t>
            </w:r>
            <w:r w:rsidRPr="00E701B9" w:rsidR="00E701B9">
              <w:t xml:space="preserve">09.05.2017. </w:t>
            </w:r>
            <w:r w:rsidR="00E701B9">
              <w:t>noteikumu Nr.</w:t>
            </w:r>
            <w:r w:rsidRPr="00E701B9" w:rsidR="00E701B9">
              <w:t xml:space="preserve">253 </w:t>
            </w:r>
            <w:r w:rsidR="00E701B9">
              <w:t>“</w:t>
            </w:r>
            <w:r w:rsidRPr="00E701B9" w:rsidR="00E701B9">
              <w:t>Atsevišķu inženierbūvju būvnoteikumi</w:t>
            </w:r>
            <w:r w:rsidR="00E701B9">
              <w:t>” 9.</w:t>
            </w:r>
            <w:r w:rsidR="003235F6">
              <w:t> </w:t>
            </w:r>
            <w:r w:rsidR="00E701B9">
              <w:t>punktu)</w:t>
            </w:r>
            <w:r>
              <w:t>, līdzšinējais regulējums tiek precizēts, norādot, ka izņēmums var būt attiecināms arī uz projektēšanu.</w:t>
            </w:r>
          </w:p>
          <w:p w:rsidR="00160B4A" w:rsidRPr="00E701B9" w:rsidP="00C12794" w14:paraId="6664361F" w14:textId="66E006F8">
            <w:pPr>
              <w:contextualSpacing/>
              <w:jc w:val="both"/>
              <w:rPr>
                <w:b/>
              </w:rPr>
            </w:pPr>
            <w:r w:rsidRPr="00E701B9">
              <w:rPr>
                <w:b/>
              </w:rPr>
              <w:t>[2.5] Būves galvenā lietošanas veida maiņa:</w:t>
            </w:r>
          </w:p>
          <w:p w:rsidR="00E701B9" w:rsidP="00C12794" w14:paraId="3B7855D3" w14:textId="66B35C68">
            <w:pPr>
              <w:contextualSpacing/>
              <w:jc w:val="both"/>
            </w:pPr>
            <w:r>
              <w:t>Spēkā esošais būvniecības regulējums liedz pēc paskaidrojuma raksta un apliecinājuma kartes akceptēšanas, kā arī pēc būvatļaujas izdošanas, mainīt būves galveno lietošanas veidu. Ja būvniecības ierosinātājs vēlas mainīt būves galveno lietošanas veidu, tad būvniecības process ir jāuzsāk no jauna. Pie būvniecības procesa uzsākšanas no jauna ir jāsaņem arī visi saskaņojumi no jauna, pat gadījumā, ja paredzētās izmaiņas neskar attiecīgos</w:t>
            </w:r>
            <w:r w:rsidR="00A93AC3">
              <w:t xml:space="preserve"> saskaņojumus. Tāpat jāņem vērā, ka </w:t>
            </w:r>
            <w:r>
              <w:t>projektēšanas laikā un būvdarbu laikā var būt mainījušās būtiski piemērojamās tehniskās normas, piemēram, būvatļaujas izdošanas brīdi ēkas augstums varēja būt 30 metri, bet mainoties pašvaldības teritorijas izmantošanas un apbūves noteikumiem – 24 metri. Ja būvniecības ierosinātājs izvēlētos pabeigt ēku ar saskaņoto galveno lietošanas veidu, tad ēkas augstums nebūtu j</w:t>
            </w:r>
            <w:r w:rsidR="00DA4961">
              <w:t>āmaina - p</w:t>
            </w:r>
            <w:r>
              <w:t>at gadījumā, ja tiek main</w:t>
            </w:r>
            <w:r w:rsidR="00DA4961">
              <w:t xml:space="preserve">īti </w:t>
            </w:r>
            <w:r>
              <w:t>ēkas</w:t>
            </w:r>
            <w:r w:rsidR="00DA4961">
              <w:t xml:space="preserve"> telpu citi</w:t>
            </w:r>
            <w:r>
              <w:t xml:space="preserve"> lietošanas veidi un to savstarpējā attiecība. Savukārt uzsākot būvniecības procesu no jauna var būt nepieciešams, ne tikai </w:t>
            </w:r>
            <w:r w:rsidR="00A93AC3">
              <w:t>būvniecības ieceres dokumentācijā</w:t>
            </w:r>
            <w:r>
              <w:t xml:space="preserve"> mainīt ēkas augstumu, bet arī daļēji nojaukt jau uzbūvēto apjomu. </w:t>
            </w:r>
            <w:r w:rsidR="00DA4961">
              <w:t xml:space="preserve">Pietam gadījumā, ja ēku pieņem ekspluatācijā ar esošo galveno lietošanas veidu, to ir iespējams, noteiktos gadījumos, vienkāršotas procedūras ietvaros mainīt. Tādējādi spēkā esošajā regulējumā paredzētais risinājums nenodrošina samērīgu līdzsvaru starp sabiedrības un indivīda interesēm. Pieņemamāks risinājums, kurš nodrošina visu pušu intereses, būtu esošā būvniecības procesa turpināšana, ļaujot sabiedrībai atkārtoti izteikties par būvniecības ieceri. Ievērojot iepriekš minēto ir paredzētas izmaiņas Būvniecības likuma </w:t>
            </w:r>
            <w:r w:rsidR="00A93AC3">
              <w:t>16.pantā (sk. likumprojekta 2.p</w:t>
            </w:r>
            <w:r w:rsidR="00DA4961">
              <w:t xml:space="preserve">antu). </w:t>
            </w:r>
            <w:r w:rsidRPr="00DA4961" w:rsidR="00DA4961">
              <w:t xml:space="preserve">Ja paredzētas izmaiņas būves galvenajā lietošanas veidā, nodrošināma būvniecības ieceres izmaiņu publiska apspriešana. </w:t>
            </w:r>
            <w:r w:rsidR="00DA4961">
              <w:t xml:space="preserve">Būvniecības likuma 16.panta </w:t>
            </w:r>
            <w:r w:rsidRPr="00DA4961" w:rsidR="00DA4961">
              <w:t>2.</w:t>
            </w:r>
            <w:r w:rsidRPr="00DA4961" w:rsidR="00DA4961">
              <w:rPr>
                <w:vertAlign w:val="superscript"/>
              </w:rPr>
              <w:t>3</w:t>
            </w:r>
            <w:r w:rsidRPr="00DA4961" w:rsidR="00DA4961">
              <w:t xml:space="preserve"> daļā minēto lēmumu būvvalde vai institūcija, kuras pilda būvvaldes funkcijas, pieņem pēc būvniecības ieceres izmaiņu publiskas apspriešanas. Būvniecības ieceres izmaiņu publiskajai apspriešanai piemēro tādu pašu kārtībā kā būvniecības ieceres publiskajai apspriešanai.</w:t>
            </w:r>
            <w:r w:rsidR="00DA4961">
              <w:t xml:space="preserve"> Atbilstoši tiek grozīts Būvniecības likuma 17.pants. Tāpat Būvniecības likuma 16.panta 2.</w:t>
            </w:r>
            <w:r w:rsidRPr="00DA4961" w:rsidR="00DA4961">
              <w:rPr>
                <w:vertAlign w:val="superscript"/>
              </w:rPr>
              <w:t>2</w:t>
            </w:r>
            <w:r w:rsidR="00DA4961">
              <w:t xml:space="preserve"> daļā tiek precizēts, ka var mainīt </w:t>
            </w:r>
            <w:r w:rsidR="00DA4961">
              <w:t>jebkuru būves raksturlielumus, nevis tikai līdzšinējā tiesību normā norādītos.</w:t>
            </w:r>
          </w:p>
          <w:p w:rsidR="00C74EBA" w:rsidRPr="00C74EBA" w:rsidP="00C12794" w14:paraId="708A7798" w14:textId="7781C8E8">
            <w:pPr>
              <w:contextualSpacing/>
              <w:jc w:val="both"/>
              <w:rPr>
                <w:b/>
              </w:rPr>
            </w:pPr>
            <w:r w:rsidRPr="00C74EBA">
              <w:rPr>
                <w:b/>
              </w:rPr>
              <w:t>[</w:t>
            </w:r>
            <w:r w:rsidRPr="00C74EBA">
              <w:rPr>
                <w:b/>
              </w:rPr>
              <w:t>2.6</w:t>
            </w:r>
            <w:r w:rsidRPr="00C74EBA" w:rsidR="003B4BC8">
              <w:rPr>
                <w:b/>
              </w:rPr>
              <w:t>] </w:t>
            </w:r>
            <w:r w:rsidRPr="00C74EBA">
              <w:rPr>
                <w:b/>
              </w:rPr>
              <w:t>Būvkomersants un būvkomersantu reģistrs:</w:t>
            </w:r>
          </w:p>
          <w:p w:rsidR="003B4BC8" w:rsidRPr="001543AE" w:rsidP="00C12794" w14:paraId="1E2360FA" w14:textId="7934C0E0">
            <w:pPr>
              <w:contextualSpacing/>
              <w:jc w:val="both"/>
            </w:pPr>
            <w:r w:rsidRPr="001543AE">
              <w:t xml:space="preserve">Grozījumi Būvniecības likuma 22. pantā ir paredzēti, lai novērstu radušās neskaidrības saistībā ar nepieciešamību reģistrēties būvkomersantu reģistrā. Ja komersants vēlas sniegt jebkāda veida būvniecības pakalpojumus, neatkarīgi no tā vai plānoto būvdarbu veikšanai ir nepieciešama jebkāda veida būvvaldes atļauja, viņam ir jābūt reģistrētam būvkomersantu reģistrā. </w:t>
            </w:r>
            <w:r w:rsidRPr="001543AE" w:rsidR="004C7672">
              <w:t xml:space="preserve">Tikai attiecībā uz tādiem būvdarbiem, kuru veikšanai ir nepieciešama būvvaldes atļauja, būvkomersantam būs nepieciešams nodarbināt atbilstošus </w:t>
            </w:r>
            <w:r w:rsidRPr="001543AE" w:rsidR="004C7672">
              <w:t>būvspeciālistus</w:t>
            </w:r>
            <w:r w:rsidR="00C74EBA">
              <w:t xml:space="preserve"> vai viņiem pielīdzināmas personas (proti, amata meistari</w:t>
            </w:r>
            <w:r w:rsidRPr="00C74EBA" w:rsidR="00C74EBA">
              <w:t>, ja viņi veic vai vada būvamatniecības darbus atbilstoši likumam “Par amatniecību”</w:t>
            </w:r>
            <w:r w:rsidR="00C74EBA">
              <w:t>, restauratori un būvakustikas speciālisti)</w:t>
            </w:r>
            <w:r w:rsidRPr="001543AE" w:rsidR="004C7672">
              <w:t>.</w:t>
            </w:r>
            <w:r w:rsidR="00716361">
              <w:t xml:space="preserve"> Ņemot vērā Būvniecības likuma 22.panta tvērumu, ir precizēts arī šī panta nosaukums.</w:t>
            </w:r>
          </w:p>
          <w:p w:rsidR="00C74EBA" w:rsidRPr="00C74EBA" w:rsidP="00C12794" w14:paraId="56C688CE" w14:textId="77777777">
            <w:pPr>
              <w:contextualSpacing/>
              <w:jc w:val="both"/>
              <w:rPr>
                <w:b/>
              </w:rPr>
            </w:pPr>
            <w:r w:rsidRPr="00C74EBA">
              <w:rPr>
                <w:b/>
              </w:rPr>
              <w:t>[2.7</w:t>
            </w:r>
            <w:r w:rsidRPr="00C74EBA" w:rsidR="004C7672">
              <w:rPr>
                <w:b/>
              </w:rPr>
              <w:t>] </w:t>
            </w:r>
            <w:r w:rsidRPr="00C74EBA">
              <w:rPr>
                <w:b/>
              </w:rPr>
              <w:t>Būvkomersantu klasifikācija:</w:t>
            </w:r>
          </w:p>
          <w:p w:rsidR="003455EB" w:rsidRPr="001543AE" w:rsidP="00C12794" w14:paraId="5A4A2835" w14:textId="74A764D3">
            <w:pPr>
              <w:contextualSpacing/>
              <w:jc w:val="both"/>
            </w:pPr>
            <w:r w:rsidRPr="001543AE">
              <w:t xml:space="preserve">Grozījumi Būvniecības likuma 23. pantā ir paredzēti, lai novērstu radušās neskaidrības saistībā būvkomersantu klasifikācijas </w:t>
            </w:r>
            <w:r w:rsidR="00B74AAC">
              <w:t>piemērošanu</w:t>
            </w:r>
            <w:r w:rsidRPr="001543AE">
              <w:t xml:space="preserve">, proti, šī klasifikācija ir piemērojama </w:t>
            </w:r>
            <w:r w:rsidR="00C74EBA">
              <w:t xml:space="preserve">arī </w:t>
            </w:r>
            <w:r w:rsidRPr="00C74EBA" w:rsidR="00C74EBA">
              <w:t>atsevišķo būvdarbu veicējiem</w:t>
            </w:r>
            <w:r w:rsidRPr="001543AE">
              <w:t>.</w:t>
            </w:r>
            <w:r w:rsidR="00C74EBA">
              <w:t xml:space="preserve"> Vienlaikus tiek precizēta Būvniecības likuma 23.panta pirmā daļa, lai skaidri</w:t>
            </w:r>
            <w:bookmarkStart w:id="0" w:name="_GoBack"/>
            <w:bookmarkEnd w:id="0"/>
            <w:r w:rsidR="00C74EBA">
              <w:t xml:space="preserve"> norādītu, ka </w:t>
            </w:r>
            <w:r w:rsidRPr="00C74EBA" w:rsidR="00C74EBA">
              <w:t xml:space="preserve">publisko tiesību juridiskās personas līdzekļiem </w:t>
            </w:r>
            <w:r w:rsidR="00827A46">
              <w:t xml:space="preserve">un </w:t>
            </w:r>
            <w:r w:rsidRPr="00C74EBA" w:rsidR="00C74EBA">
              <w:t>Eiropas</w:t>
            </w:r>
            <w:r w:rsidR="00827A46">
              <w:t xml:space="preserve"> Savienības politiku instrumenti </w:t>
            </w:r>
            <w:r w:rsidR="00B74AAC">
              <w:t xml:space="preserve">ir </w:t>
            </w:r>
            <w:r w:rsidR="00827A46">
              <w:t>dažādi finansējuma avoti.</w:t>
            </w:r>
            <w:r w:rsidR="00067591">
              <w:t xml:space="preserve"> Plānotās izmaiņas nemaina administratīvo slogu.</w:t>
            </w:r>
          </w:p>
        </w:tc>
      </w:tr>
      <w:tr w14:paraId="049B18E6" w14:textId="77777777" w:rsidTr="00D766C6">
        <w:tblPrEx>
          <w:tblW w:w="5000" w:type="pct"/>
          <w:tblCellMar>
            <w:top w:w="30" w:type="dxa"/>
            <w:left w:w="30" w:type="dxa"/>
            <w:bottom w:w="30" w:type="dxa"/>
            <w:right w:w="30" w:type="dxa"/>
          </w:tblCellMar>
          <w:tblLook w:val="04A0"/>
        </w:tblPrEx>
        <w:tc>
          <w:tcPr>
            <w:tcW w:w="311" w:type="pct"/>
            <w:hideMark/>
          </w:tcPr>
          <w:p w:rsidR="00BD5588" w:rsidRPr="001543AE" w:rsidP="00C12794" w14:paraId="02DAD8E5" w14:textId="77777777">
            <w:pPr>
              <w:contextualSpacing/>
              <w:jc w:val="center"/>
            </w:pPr>
            <w:r w:rsidRPr="001543AE">
              <w:t>3.</w:t>
            </w:r>
          </w:p>
        </w:tc>
        <w:tc>
          <w:tcPr>
            <w:tcW w:w="1479" w:type="pct"/>
            <w:hideMark/>
          </w:tcPr>
          <w:p w:rsidR="00BD5588" w:rsidRPr="001543AE" w:rsidP="00C12794" w14:paraId="20BF8510" w14:textId="77777777">
            <w:pPr>
              <w:contextualSpacing/>
            </w:pPr>
            <w:r w:rsidRPr="001543AE">
              <w:t>Projekta izstrādē iesaistītās institūcijas un publiskas personas kapitālsabiedrības</w:t>
            </w:r>
          </w:p>
        </w:tc>
        <w:tc>
          <w:tcPr>
            <w:tcW w:w="3210" w:type="pct"/>
            <w:hideMark/>
          </w:tcPr>
          <w:p w:rsidR="0097782F" w:rsidRPr="001543AE" w:rsidP="00C12794" w14:paraId="6E606F4F" w14:textId="77777777">
            <w:pPr>
              <w:contextualSpacing/>
              <w:jc w:val="both"/>
            </w:pPr>
            <w:r w:rsidRPr="001543AE">
              <w:t>Likumprojekts tika izstrādāts Būvniecības likuma grozījumu darba grupā. Darba grupa tika izveidota ar Ekonomikas ministrijas 21.02.2017. rīkojumu Nr.44 un tajā tika ietverti pārstāvji no Latvijas Pašvaldību savienības, Latvijas Lielo pilsētu asociācijas, Latvijas Būvuzņēmēju partnerības, Latvijas Arhitektu savienības, Latvijas Būvniecības padomes, Latvijas Būvinženieru savienības, Vides aizsardzības un reģionālās attīstības ministrijas, Ārvalstu investoru padomes Latvijā, Inženierkomunikāciju turētāju sadarbības padomes, Aizsardzības ministrijas, Nacionālā nekustamo īpašumu attīstītāju alianses, Latvijas Būvkonstrukciju projektētāju asociācijas</w:t>
            </w:r>
            <w:r w:rsidRPr="001543AE" w:rsidR="004C3DF0">
              <w:t>, Valsts zemes dienesta</w:t>
            </w:r>
            <w:r w:rsidRPr="001543AE">
              <w:t>, Latvijas Apdrošinātāju asociācija</w:t>
            </w:r>
            <w:r w:rsidRPr="001543AE" w:rsidR="004C3DF0">
              <w:t>s</w:t>
            </w:r>
            <w:r w:rsidRPr="001543AE">
              <w:t xml:space="preserve"> valsts akciju sabiedrība</w:t>
            </w:r>
            <w:r w:rsidRPr="001543AE" w:rsidR="004C3DF0">
              <w:t>s</w:t>
            </w:r>
            <w:r w:rsidRPr="001543AE">
              <w:t xml:space="preserve"> “Valsts nekustamie īpašumi”.</w:t>
            </w:r>
          </w:p>
        </w:tc>
      </w:tr>
      <w:tr w14:paraId="489E7C9A" w14:textId="77777777" w:rsidTr="00D766C6">
        <w:tblPrEx>
          <w:tblW w:w="5000" w:type="pct"/>
          <w:tblCellMar>
            <w:top w:w="30" w:type="dxa"/>
            <w:left w:w="30" w:type="dxa"/>
            <w:bottom w:w="30" w:type="dxa"/>
            <w:right w:w="30" w:type="dxa"/>
          </w:tblCellMar>
          <w:tblLook w:val="04A0"/>
        </w:tblPrEx>
        <w:tc>
          <w:tcPr>
            <w:tcW w:w="311" w:type="pct"/>
            <w:hideMark/>
          </w:tcPr>
          <w:p w:rsidR="00BD5588" w:rsidRPr="001543AE" w:rsidP="00C12794" w14:paraId="4D16D1F2" w14:textId="77777777">
            <w:pPr>
              <w:contextualSpacing/>
              <w:jc w:val="center"/>
            </w:pPr>
            <w:r w:rsidRPr="001543AE">
              <w:t>4.</w:t>
            </w:r>
          </w:p>
        </w:tc>
        <w:tc>
          <w:tcPr>
            <w:tcW w:w="1479" w:type="pct"/>
            <w:hideMark/>
          </w:tcPr>
          <w:p w:rsidR="00BD5588" w:rsidRPr="001543AE" w:rsidP="00C12794" w14:paraId="7F811910" w14:textId="77777777">
            <w:pPr>
              <w:contextualSpacing/>
            </w:pPr>
            <w:r w:rsidRPr="001543AE">
              <w:t>Cita informācija</w:t>
            </w:r>
          </w:p>
        </w:tc>
        <w:tc>
          <w:tcPr>
            <w:tcW w:w="3210" w:type="pct"/>
            <w:hideMark/>
          </w:tcPr>
          <w:p w:rsidR="00BD5588" w:rsidRPr="001543AE" w:rsidP="00C12794" w14:paraId="16AB6716" w14:textId="77777777">
            <w:pPr>
              <w:contextualSpacing/>
            </w:pPr>
            <w:r w:rsidRPr="001543AE">
              <w:t>Nav</w:t>
            </w:r>
          </w:p>
        </w:tc>
      </w:tr>
    </w:tbl>
    <w:p w:rsidR="00BD5588" w:rsidRPr="001543AE" w:rsidP="00C12794" w14:paraId="031EEFF9"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16"/>
        <w:gridCol w:w="2454"/>
        <w:gridCol w:w="5326"/>
      </w:tblGrid>
      <w:tr w14:paraId="037EE105" w14:textId="77777777" w:rsidTr="00D824C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1543AE" w:rsidP="00C12794" w14:paraId="54E8D6A2" w14:textId="77777777">
            <w:pPr>
              <w:contextualSpacing/>
              <w:jc w:val="center"/>
              <w:rPr>
                <w:b/>
                <w:bCs/>
              </w:rPr>
            </w:pPr>
            <w:r w:rsidRPr="001543AE">
              <w:rPr>
                <w:b/>
                <w:bCs/>
              </w:rPr>
              <w:t>II. Tiesību akta projekta ietekme uz sabiedrību, tautsaimniecības attīstību un administratīvo slogu</w:t>
            </w:r>
          </w:p>
        </w:tc>
      </w:tr>
      <w:tr w14:paraId="0F1F96E5" w14:textId="77777777" w:rsidTr="00D824C2">
        <w:tblPrEx>
          <w:tblW w:w="5000" w:type="pct"/>
          <w:tblCellMar>
            <w:top w:w="30" w:type="dxa"/>
            <w:left w:w="30" w:type="dxa"/>
            <w:bottom w:w="30" w:type="dxa"/>
            <w:right w:w="30" w:type="dxa"/>
          </w:tblCellMar>
          <w:tblLook w:val="04A0"/>
        </w:tblPrEx>
        <w:trPr>
          <w:cantSplit/>
        </w:trPr>
        <w:tc>
          <w:tcPr>
            <w:tcW w:w="311" w:type="pct"/>
            <w:hideMark/>
          </w:tcPr>
          <w:p w:rsidR="00BD5588" w:rsidRPr="001543AE" w:rsidP="00C12794" w14:paraId="358B30F8" w14:textId="77777777">
            <w:pPr>
              <w:contextualSpacing/>
              <w:jc w:val="center"/>
            </w:pPr>
            <w:r w:rsidRPr="001543AE">
              <w:t>1.</w:t>
            </w:r>
          </w:p>
        </w:tc>
        <w:tc>
          <w:tcPr>
            <w:tcW w:w="1479" w:type="pct"/>
            <w:hideMark/>
          </w:tcPr>
          <w:p w:rsidR="00BD5588" w:rsidRPr="001543AE" w:rsidP="00C12794" w14:paraId="37E25DC1" w14:textId="77777777">
            <w:pPr>
              <w:contextualSpacing/>
            </w:pPr>
            <w:r w:rsidRPr="001543AE">
              <w:t xml:space="preserve">Sabiedrības </w:t>
            </w:r>
            <w:r w:rsidRPr="001543AE">
              <w:t>mērķgrupas</w:t>
            </w:r>
            <w:r w:rsidRPr="001543AE">
              <w:t>, kuras tiesiskais regulējums ietekmē vai varētu ietekmēt</w:t>
            </w:r>
          </w:p>
        </w:tc>
        <w:tc>
          <w:tcPr>
            <w:tcW w:w="3210" w:type="pct"/>
            <w:hideMark/>
          </w:tcPr>
          <w:p w:rsidR="00BD5588" w:rsidRPr="001543AE" w:rsidP="00C12794" w14:paraId="02338FC8" w14:textId="3E25A0AF">
            <w:pPr>
              <w:contextualSpacing/>
              <w:jc w:val="both"/>
            </w:pPr>
            <w:r w:rsidRPr="001543AE">
              <w:t>Plānotais tiesiskais regulējums ietekmēs visus būvniecības procesa dalībniekus, trešās personas, būvv</w:t>
            </w:r>
            <w:r w:rsidR="00A93AC3">
              <w:t xml:space="preserve">aldes </w:t>
            </w:r>
            <w:r w:rsidRPr="001543AE" w:rsidR="00CE3436">
              <w:t>un citas institūcija</w:t>
            </w:r>
            <w:r w:rsidRPr="001543AE">
              <w:t>s, kuras pilda būvvaldes funkcijas, kā arī šo personu darbiniekus.</w:t>
            </w:r>
          </w:p>
        </w:tc>
      </w:tr>
      <w:tr w14:paraId="3CC0594D" w14:textId="77777777" w:rsidTr="00D824C2">
        <w:tblPrEx>
          <w:tblW w:w="5000" w:type="pct"/>
          <w:tblCellMar>
            <w:top w:w="30" w:type="dxa"/>
            <w:left w:w="30" w:type="dxa"/>
            <w:bottom w:w="30" w:type="dxa"/>
            <w:right w:w="30" w:type="dxa"/>
          </w:tblCellMar>
          <w:tblLook w:val="04A0"/>
        </w:tblPrEx>
        <w:trPr>
          <w:cantSplit/>
        </w:trPr>
        <w:tc>
          <w:tcPr>
            <w:tcW w:w="311" w:type="pct"/>
            <w:hideMark/>
          </w:tcPr>
          <w:p w:rsidR="00BD5588" w:rsidRPr="001543AE" w:rsidP="00C12794" w14:paraId="49EC7B40" w14:textId="77777777">
            <w:pPr>
              <w:contextualSpacing/>
              <w:jc w:val="center"/>
            </w:pPr>
            <w:r w:rsidRPr="001543AE">
              <w:t>2.</w:t>
            </w:r>
          </w:p>
        </w:tc>
        <w:tc>
          <w:tcPr>
            <w:tcW w:w="1479" w:type="pct"/>
            <w:hideMark/>
          </w:tcPr>
          <w:p w:rsidR="00BD5588" w:rsidRPr="001543AE" w:rsidP="00C12794" w14:paraId="10412F9A" w14:textId="77777777">
            <w:pPr>
              <w:contextualSpacing/>
            </w:pPr>
            <w:r w:rsidRPr="001543AE">
              <w:t>Tiesiskā regulējuma ietekme uz tautsaimniecību un administratīvo slogu</w:t>
            </w:r>
          </w:p>
        </w:tc>
        <w:tc>
          <w:tcPr>
            <w:tcW w:w="3210" w:type="pct"/>
            <w:hideMark/>
          </w:tcPr>
          <w:p w:rsidR="00A93AC3" w:rsidP="00C12794" w14:paraId="66E19F0B" w14:textId="77777777">
            <w:pPr>
              <w:contextualSpacing/>
              <w:jc w:val="both"/>
            </w:pPr>
            <w:r w:rsidRPr="001543AE">
              <w:t xml:space="preserve">Administratīvais slogs </w:t>
            </w:r>
            <w:r>
              <w:t>samazināsies:</w:t>
            </w:r>
          </w:p>
          <w:p w:rsidR="00A93AC3" w:rsidP="00A93AC3" w14:paraId="79F495ED" w14:textId="35E2DDD1">
            <w:pPr>
              <w:jc w:val="both"/>
            </w:pPr>
            <w:r>
              <w:t>1</w:t>
            </w:r>
            <w:r>
              <w:t xml:space="preserve">. </w:t>
            </w:r>
            <w:r w:rsidR="00405610">
              <w:t>būvniecības ierosinātājam, ciktāl tas atteicas uz to, ka nebūs nepieciešams, mainot būves galveno lietošanas veidu, uzsākt būvniecības procesu no jauna</w:t>
            </w:r>
            <w:r>
              <w:t>;</w:t>
            </w:r>
          </w:p>
          <w:p w:rsidR="00BD5588" w:rsidRPr="001543AE" w:rsidP="00A93AC3" w14:paraId="2FCBE942" w14:textId="288BB238">
            <w:pPr>
              <w:jc w:val="both"/>
            </w:pPr>
            <w:r>
              <w:t>2</w:t>
            </w:r>
            <w:r w:rsidR="00A93AC3">
              <w:t xml:space="preserve">. </w:t>
            </w:r>
            <w:r w:rsidRPr="00A93AC3" w:rsidR="00A93AC3">
              <w:t>fizisk</w:t>
            </w:r>
            <w:r>
              <w:t>ām</w:t>
            </w:r>
            <w:r w:rsidRPr="00A93AC3" w:rsidR="00A93AC3">
              <w:t xml:space="preserve"> personām, kuras līdz Būvniecības likuma spēkā stāšanās dienai bija ieguvušas patstāvīgās prakses tiesības būvniecības jomā </w:t>
            </w:r>
            <w:r w:rsidRPr="00A93AC3" w:rsidR="00A93AC3">
              <w:t>būvtehniķa</w:t>
            </w:r>
            <w:r w:rsidRPr="00A93AC3" w:rsidR="00A93AC3">
              <w:t xml:space="preserve"> profesijā, bet nav ieguvušas šā likuma 13. pantā noteikto izglītību, un fiziskām personām, kuras līdz Būvniecības likuma spēkā stāšanās dienai bija ieguvušas patstāvīgās prakses tiesības būvniecības jomā būvinženiera profesijā un kurām ir pirmā līmeņa profesionālā augstākā izglītība būvniecības vai ar būvniecības jomu saistītā studiju programmā</w:t>
            </w:r>
            <w:r w:rsidR="00A93AC3">
              <w:t>.</w:t>
            </w:r>
          </w:p>
        </w:tc>
      </w:tr>
      <w:tr w14:paraId="31FC3A77" w14:textId="77777777" w:rsidTr="00D824C2">
        <w:tblPrEx>
          <w:tblW w:w="5000" w:type="pct"/>
          <w:tblCellMar>
            <w:top w:w="30" w:type="dxa"/>
            <w:left w:w="30" w:type="dxa"/>
            <w:bottom w:w="30" w:type="dxa"/>
            <w:right w:w="30" w:type="dxa"/>
          </w:tblCellMar>
          <w:tblLook w:val="04A0"/>
        </w:tblPrEx>
        <w:trPr>
          <w:cantSplit/>
        </w:trPr>
        <w:tc>
          <w:tcPr>
            <w:tcW w:w="311" w:type="pct"/>
            <w:hideMark/>
          </w:tcPr>
          <w:p w:rsidR="00BD5588" w:rsidRPr="001543AE" w:rsidP="000B463E" w14:paraId="3A2EAE06" w14:textId="77777777">
            <w:pPr>
              <w:contextualSpacing/>
              <w:jc w:val="both"/>
            </w:pPr>
            <w:r w:rsidRPr="001543AE">
              <w:t>3.</w:t>
            </w:r>
          </w:p>
        </w:tc>
        <w:tc>
          <w:tcPr>
            <w:tcW w:w="1479" w:type="pct"/>
            <w:hideMark/>
          </w:tcPr>
          <w:p w:rsidR="00BD5588" w:rsidRPr="001543AE" w:rsidP="000B463E" w14:paraId="2BD6E7DC" w14:textId="77777777">
            <w:pPr>
              <w:contextualSpacing/>
              <w:jc w:val="both"/>
            </w:pPr>
            <w:r w:rsidRPr="001543AE">
              <w:t>Administratīvo izmaksu monetārs novērtējums</w:t>
            </w:r>
          </w:p>
        </w:tc>
        <w:tc>
          <w:tcPr>
            <w:tcW w:w="3210" w:type="pct"/>
            <w:hideMark/>
          </w:tcPr>
          <w:p w:rsidR="00BD5588" w:rsidRPr="001543AE" w:rsidP="000B463E" w14:paraId="6E89A7EE" w14:textId="55B2D709">
            <w:pPr>
              <w:contextualSpacing/>
              <w:jc w:val="both"/>
            </w:pPr>
            <w:r>
              <w:t xml:space="preserve">Ņemot vērā būvniecības ieceru dažādību un izrietošu saskaņojumu skaita atšķirību, administratīvā sloga samazinājumu nav iespējams aprēķināt. </w:t>
            </w:r>
            <w:r w:rsidR="000B463E">
              <w:t xml:space="preserve">Administratīvā sloga samazinājumu dēļ dažādām iespējām izglītības programmām arī nav iespējams aprēķināt attiecībā uz </w:t>
            </w:r>
            <w:r w:rsidRPr="000B463E" w:rsidR="000B463E">
              <w:t>fizisk</w:t>
            </w:r>
            <w:r w:rsidR="000B463E">
              <w:t>ām</w:t>
            </w:r>
            <w:r w:rsidRPr="000B463E" w:rsidR="000B463E">
              <w:t xml:space="preserve"> personām, kuras līdz Būvniecības likuma spēkā stāšanās dienai bija ieguvušas patstāvīgās prakses tiesības būvniecības jomā </w:t>
            </w:r>
            <w:r w:rsidRPr="000B463E" w:rsidR="000B463E">
              <w:t>būvtehniķa</w:t>
            </w:r>
            <w:r w:rsidRPr="000B463E" w:rsidR="000B463E">
              <w:t xml:space="preserve"> profesijā, bet nav ieguvušas šā likuma 13. pantā noteikto izglītību, un fiziskām personām, kuras līdz Būvniecības likuma spēkā stāšanās dienai bija ieguvušas patstāvīgās prakses tiesības būvniecības jomā būvinženiera profesijā un kurām ir pirmā līmeņa profesionālā augstākā izglītība būvniecības vai ar būvniecības jomu saistītā studiju programmā.</w:t>
            </w:r>
          </w:p>
        </w:tc>
      </w:tr>
      <w:tr w14:paraId="09FC418C" w14:textId="77777777" w:rsidTr="00D824C2">
        <w:tblPrEx>
          <w:tblW w:w="5000" w:type="pct"/>
          <w:tblCellMar>
            <w:top w:w="30" w:type="dxa"/>
            <w:left w:w="30" w:type="dxa"/>
            <w:bottom w:w="30" w:type="dxa"/>
            <w:right w:w="30" w:type="dxa"/>
          </w:tblCellMar>
          <w:tblLook w:val="04A0"/>
        </w:tblPrEx>
        <w:trPr>
          <w:cantSplit/>
        </w:trPr>
        <w:tc>
          <w:tcPr>
            <w:tcW w:w="311" w:type="pct"/>
            <w:hideMark/>
          </w:tcPr>
          <w:p w:rsidR="00BD5588" w:rsidRPr="001543AE" w:rsidP="00C12794" w14:paraId="345BBB60" w14:textId="77777777">
            <w:pPr>
              <w:contextualSpacing/>
              <w:jc w:val="center"/>
            </w:pPr>
            <w:r w:rsidRPr="001543AE">
              <w:t>4.</w:t>
            </w:r>
          </w:p>
        </w:tc>
        <w:tc>
          <w:tcPr>
            <w:tcW w:w="1479" w:type="pct"/>
            <w:hideMark/>
          </w:tcPr>
          <w:p w:rsidR="00BD5588" w:rsidRPr="001543AE" w:rsidP="00C12794" w14:paraId="3E302B0A" w14:textId="77777777">
            <w:pPr>
              <w:contextualSpacing/>
            </w:pPr>
            <w:r w:rsidRPr="001543AE">
              <w:t>Atbilstības izmaksu monetārs novērtējums</w:t>
            </w:r>
          </w:p>
        </w:tc>
        <w:tc>
          <w:tcPr>
            <w:tcW w:w="3210" w:type="pct"/>
            <w:hideMark/>
          </w:tcPr>
          <w:p w:rsidR="00BD5588" w:rsidRPr="001543AE" w:rsidP="00C12794" w14:paraId="58EFFE51" w14:textId="77777777">
            <w:pPr>
              <w:contextualSpacing/>
            </w:pPr>
            <w:r w:rsidRPr="001543AE">
              <w:t>Projekts šo jomu neskar</w:t>
            </w:r>
          </w:p>
        </w:tc>
      </w:tr>
      <w:tr w14:paraId="18643BBB" w14:textId="77777777" w:rsidTr="00D824C2">
        <w:tblPrEx>
          <w:tblW w:w="5000" w:type="pct"/>
          <w:tblCellMar>
            <w:top w:w="30" w:type="dxa"/>
            <w:left w:w="30" w:type="dxa"/>
            <w:bottom w:w="30" w:type="dxa"/>
            <w:right w:w="30" w:type="dxa"/>
          </w:tblCellMar>
          <w:tblLook w:val="04A0"/>
        </w:tblPrEx>
        <w:trPr>
          <w:cantSplit/>
        </w:trPr>
        <w:tc>
          <w:tcPr>
            <w:tcW w:w="311" w:type="pct"/>
            <w:hideMark/>
          </w:tcPr>
          <w:p w:rsidR="00BD5588" w:rsidRPr="001543AE" w:rsidP="00C12794" w14:paraId="2D6B3C5A" w14:textId="77777777">
            <w:pPr>
              <w:contextualSpacing/>
              <w:jc w:val="center"/>
            </w:pPr>
            <w:r w:rsidRPr="001543AE">
              <w:t>5.</w:t>
            </w:r>
          </w:p>
        </w:tc>
        <w:tc>
          <w:tcPr>
            <w:tcW w:w="1479" w:type="pct"/>
            <w:hideMark/>
          </w:tcPr>
          <w:p w:rsidR="00BD5588" w:rsidRPr="001543AE" w:rsidP="00C12794" w14:paraId="05F70DC8" w14:textId="77777777">
            <w:pPr>
              <w:contextualSpacing/>
            </w:pPr>
            <w:r w:rsidRPr="001543AE">
              <w:t>Cita informācija</w:t>
            </w:r>
          </w:p>
        </w:tc>
        <w:tc>
          <w:tcPr>
            <w:tcW w:w="3210" w:type="pct"/>
            <w:hideMark/>
          </w:tcPr>
          <w:p w:rsidR="00BD5588" w:rsidRPr="001543AE" w:rsidP="00C12794" w14:paraId="71D87743" w14:textId="77777777">
            <w:pPr>
              <w:contextualSpacing/>
            </w:pPr>
            <w:r w:rsidRPr="001543AE">
              <w:t>Nav</w:t>
            </w:r>
          </w:p>
        </w:tc>
      </w:tr>
    </w:tbl>
    <w:p w:rsidR="00BD5588" w:rsidRPr="001543AE" w:rsidP="00C12794" w14:paraId="5854281C" w14:textId="77777777">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8299"/>
      </w:tblGrid>
      <w:tr w14:paraId="4BFB24C1" w14:textId="77777777" w:rsidTr="00BD5588">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8365" w:type="dxa"/>
            <w:shd w:val="clear" w:color="auto" w:fill="auto"/>
            <w:vAlign w:val="center"/>
            <w:hideMark/>
          </w:tcPr>
          <w:p w:rsidR="00BD5588" w:rsidRPr="001543AE" w:rsidP="00C12794" w14:paraId="2F939656" w14:textId="77777777">
            <w:pPr>
              <w:contextualSpacing/>
              <w:jc w:val="center"/>
              <w:rPr>
                <w:b/>
                <w:bCs/>
                <w:lang w:eastAsia="en-US"/>
              </w:rPr>
            </w:pPr>
            <w:r w:rsidRPr="001543AE">
              <w:rPr>
                <w:b/>
                <w:bCs/>
                <w:lang w:eastAsia="en-US"/>
              </w:rPr>
              <w:t>III. Tiesību akta projekta ietekme uz valsts budžetu un pašvaldību budžetiem</w:t>
            </w:r>
          </w:p>
        </w:tc>
      </w:tr>
      <w:tr w14:paraId="18682DF2" w14:textId="77777777" w:rsidTr="00FD6E15">
        <w:tblPrEx>
          <w:tblW w:w="5002" w:type="pct"/>
          <w:tblInd w:w="-2" w:type="dxa"/>
          <w:tblLayout w:type="fixed"/>
          <w:tblCellMar>
            <w:top w:w="28" w:type="dxa"/>
            <w:left w:w="28" w:type="dxa"/>
            <w:bottom w:w="28" w:type="dxa"/>
            <w:right w:w="28" w:type="dxa"/>
          </w:tblCellMar>
          <w:tblLook w:val="04A0"/>
        </w:tblPrEx>
        <w:trPr>
          <w:cantSplit/>
          <w:trHeight w:val="435"/>
        </w:trPr>
        <w:tc>
          <w:tcPr>
            <w:tcW w:w="8365" w:type="dxa"/>
            <w:shd w:val="clear" w:color="auto" w:fill="FFFFFF"/>
            <w:vAlign w:val="center"/>
          </w:tcPr>
          <w:p w:rsidR="00FD6E15" w:rsidRPr="001543AE" w:rsidP="00C12794" w14:paraId="7CBDCCD6" w14:textId="77777777">
            <w:pPr>
              <w:contextualSpacing/>
              <w:jc w:val="center"/>
              <w:rPr>
                <w:lang w:eastAsia="en-US"/>
              </w:rPr>
            </w:pPr>
            <w:r w:rsidRPr="001543AE">
              <w:t>Projekts šo jomu neskar</w:t>
            </w:r>
          </w:p>
        </w:tc>
      </w:tr>
    </w:tbl>
    <w:p w:rsidR="004E1BF0" w:rsidRPr="001543AE" w:rsidP="00C12794" w14:paraId="6FB76EA9" w14:textId="77777777">
      <w:pPr>
        <w:pStyle w:val="Title"/>
        <w:ind w:firstLine="539"/>
        <w:contextualSpacing/>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523"/>
        <w:gridCol w:w="2442"/>
        <w:gridCol w:w="5334"/>
      </w:tblGrid>
      <w:tr w14:paraId="58D79B5E" w14:textId="77777777" w:rsidTr="00A108E3">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c>
          <w:tcPr>
            <w:tcW w:w="8365" w:type="dxa"/>
            <w:gridSpan w:val="3"/>
            <w:vAlign w:val="center"/>
            <w:hideMark/>
          </w:tcPr>
          <w:p w:rsidR="004E1BF0" w:rsidRPr="001543AE" w:rsidP="00C12794" w14:paraId="6B1D29C0" w14:textId="77777777">
            <w:pPr>
              <w:contextualSpacing/>
              <w:jc w:val="center"/>
              <w:rPr>
                <w:b/>
                <w:bCs/>
              </w:rPr>
            </w:pPr>
            <w:r w:rsidRPr="001543AE">
              <w:rPr>
                <w:b/>
                <w:bCs/>
              </w:rPr>
              <w:t>IV. Tiesību akta projekta ietekme uz spēkā esošo tiesību normu sistēmu</w:t>
            </w:r>
          </w:p>
        </w:tc>
      </w:tr>
      <w:tr w14:paraId="474C5F5A" w14:textId="77777777" w:rsidTr="00A108E3">
        <w:tblPrEx>
          <w:tblW w:w="5002" w:type="pct"/>
          <w:tblInd w:w="-2" w:type="dxa"/>
          <w:tblLayout w:type="fixed"/>
          <w:tblCellMar>
            <w:top w:w="30" w:type="dxa"/>
            <w:left w:w="30" w:type="dxa"/>
            <w:bottom w:w="30" w:type="dxa"/>
            <w:right w:w="30" w:type="dxa"/>
          </w:tblCellMar>
          <w:tblLook w:val="04A0"/>
        </w:tblPrEx>
        <w:tc>
          <w:tcPr>
            <w:tcW w:w="527" w:type="dxa"/>
            <w:hideMark/>
          </w:tcPr>
          <w:p w:rsidR="004E1BF0" w:rsidRPr="001543AE" w:rsidP="00C12794" w14:paraId="62703F49" w14:textId="77777777">
            <w:pPr>
              <w:contextualSpacing/>
              <w:jc w:val="center"/>
            </w:pPr>
            <w:r w:rsidRPr="001543AE">
              <w:t>1.</w:t>
            </w:r>
          </w:p>
        </w:tc>
        <w:tc>
          <w:tcPr>
            <w:tcW w:w="2461" w:type="dxa"/>
            <w:hideMark/>
          </w:tcPr>
          <w:p w:rsidR="004E1BF0" w:rsidRPr="001543AE" w:rsidP="00C12794" w14:paraId="0738C112" w14:textId="77777777">
            <w:pPr>
              <w:contextualSpacing/>
            </w:pPr>
            <w:r w:rsidRPr="001543AE">
              <w:t>Saistītie tiesību aktu projekti</w:t>
            </w:r>
          </w:p>
        </w:tc>
        <w:tc>
          <w:tcPr>
            <w:tcW w:w="5377" w:type="dxa"/>
            <w:hideMark/>
          </w:tcPr>
          <w:p w:rsidR="004E1BF0" w:rsidRPr="001543AE" w:rsidP="00405610" w14:paraId="27537215" w14:textId="75B174CE">
            <w:pPr>
              <w:contextualSpacing/>
              <w:jc w:val="both"/>
            </w:pPr>
            <w:r w:rsidRPr="001543AE">
              <w:t xml:space="preserve">Ņemot vērā likumprojektā ietverto regulējumu attiecībā uz </w:t>
            </w:r>
            <w:r w:rsidR="00405610">
              <w:t>būvakustikas speciālistiem</w:t>
            </w:r>
            <w:r w:rsidR="000B463E">
              <w:t>,</w:t>
            </w:r>
            <w:r w:rsidR="00405610">
              <w:t xml:space="preserve"> līdz šim likumprojektā spēkā stāšanās dienai Ministru kabinetam ir jāpieņem grozījumi </w:t>
            </w:r>
            <w:r w:rsidRPr="00B6612C" w:rsidR="00405610">
              <w:t xml:space="preserve">Latvijas </w:t>
            </w:r>
            <w:r w:rsidRPr="00B6612C" w:rsidR="00405610">
              <w:t>būvnormatīv</w:t>
            </w:r>
            <w:r w:rsidR="00405610">
              <w:t>a LBN 016-15 “Būvakustika” (a</w:t>
            </w:r>
            <w:r w:rsidRPr="00B6612C" w:rsidR="00405610">
              <w:t>pstiprināts ar</w:t>
            </w:r>
            <w:r w:rsidR="00405610">
              <w:t xml:space="preserve"> </w:t>
            </w:r>
            <w:r w:rsidRPr="00B6612C" w:rsidR="00405610">
              <w:t>Ministru kabineta 16.06.2015. noteikumi</w:t>
            </w:r>
            <w:r w:rsidR="00405610">
              <w:t>em</w:t>
            </w:r>
            <w:r w:rsidRPr="00B6612C" w:rsidR="00405610">
              <w:t xml:space="preserve"> Nr.312</w:t>
            </w:r>
            <w:r w:rsidR="00405610">
              <w:t xml:space="preserve"> “</w:t>
            </w:r>
            <w:r w:rsidRPr="00B6612C" w:rsidR="00405610">
              <w:t>Noteikumi par Latvijas būvno</w:t>
            </w:r>
            <w:r w:rsidR="00405610">
              <w:t xml:space="preserve">rmatīvu LBN 016-15 “Būvakustika””) – svītrojot šī būvnormatīva 10.punktu. Papildus, ņemot vērā plānotās izmaiņas saistībā ar būves galveno lietošanas veida izmaiņu pieļaujamību, Ministru kabinetam ir jāpieņem grozījumi </w:t>
            </w:r>
            <w:r w:rsidRPr="001543AE" w:rsidR="00405610">
              <w:t>Ministru kabineta 19.08.2014.  noteikumos Nr.500 „Vispārīgie būvnoteikumi” –</w:t>
            </w:r>
            <w:r w:rsidR="00405610">
              <w:t xml:space="preserve"> svītrojot 60.punktu.</w:t>
            </w:r>
          </w:p>
        </w:tc>
      </w:tr>
      <w:tr w14:paraId="40541EDA" w14:textId="77777777" w:rsidTr="00A108E3">
        <w:tblPrEx>
          <w:tblW w:w="5002" w:type="pct"/>
          <w:tblInd w:w="-2" w:type="dxa"/>
          <w:tblLayout w:type="fixed"/>
          <w:tblCellMar>
            <w:top w:w="30" w:type="dxa"/>
            <w:left w:w="30" w:type="dxa"/>
            <w:bottom w:w="30" w:type="dxa"/>
            <w:right w:w="30" w:type="dxa"/>
          </w:tblCellMar>
          <w:tblLook w:val="04A0"/>
        </w:tblPrEx>
        <w:tc>
          <w:tcPr>
            <w:tcW w:w="527" w:type="dxa"/>
            <w:hideMark/>
          </w:tcPr>
          <w:p w:rsidR="004E1BF0" w:rsidRPr="001543AE" w:rsidP="00C12794" w14:paraId="57F2E3B9" w14:textId="77777777">
            <w:pPr>
              <w:contextualSpacing/>
              <w:jc w:val="center"/>
            </w:pPr>
            <w:r w:rsidRPr="001543AE">
              <w:t>2.</w:t>
            </w:r>
          </w:p>
        </w:tc>
        <w:tc>
          <w:tcPr>
            <w:tcW w:w="2461" w:type="dxa"/>
            <w:hideMark/>
          </w:tcPr>
          <w:p w:rsidR="004E1BF0" w:rsidRPr="001543AE" w:rsidP="00C12794" w14:paraId="1C171CDB" w14:textId="77777777">
            <w:pPr>
              <w:contextualSpacing/>
            </w:pPr>
            <w:r w:rsidRPr="001543AE">
              <w:t>Atbildīgā institūcija</w:t>
            </w:r>
          </w:p>
        </w:tc>
        <w:tc>
          <w:tcPr>
            <w:tcW w:w="5377" w:type="dxa"/>
            <w:hideMark/>
          </w:tcPr>
          <w:p w:rsidR="004E1BF0" w:rsidRPr="001543AE" w:rsidP="00C12794" w14:paraId="3DBABF92" w14:textId="455E3894">
            <w:pPr>
              <w:contextualSpacing/>
            </w:pPr>
            <w:r w:rsidRPr="001543AE">
              <w:t>Ekonomikas ministrija</w:t>
            </w:r>
            <w:r w:rsidRPr="001543AE" w:rsidR="00E376B2">
              <w:t>.</w:t>
            </w:r>
          </w:p>
        </w:tc>
      </w:tr>
      <w:tr w14:paraId="17D6E9EE" w14:textId="77777777" w:rsidTr="00A108E3">
        <w:tblPrEx>
          <w:tblW w:w="5002" w:type="pct"/>
          <w:tblInd w:w="-2" w:type="dxa"/>
          <w:tblLayout w:type="fixed"/>
          <w:tblCellMar>
            <w:top w:w="30" w:type="dxa"/>
            <w:left w:w="30" w:type="dxa"/>
            <w:bottom w:w="30" w:type="dxa"/>
            <w:right w:w="30" w:type="dxa"/>
          </w:tblCellMar>
          <w:tblLook w:val="04A0"/>
        </w:tblPrEx>
        <w:tc>
          <w:tcPr>
            <w:tcW w:w="527" w:type="dxa"/>
            <w:hideMark/>
          </w:tcPr>
          <w:p w:rsidR="004E1BF0" w:rsidRPr="001543AE" w:rsidP="00C12794" w14:paraId="763070BA" w14:textId="77777777">
            <w:pPr>
              <w:contextualSpacing/>
              <w:jc w:val="center"/>
            </w:pPr>
            <w:r w:rsidRPr="001543AE">
              <w:t>3.</w:t>
            </w:r>
          </w:p>
        </w:tc>
        <w:tc>
          <w:tcPr>
            <w:tcW w:w="2461" w:type="dxa"/>
            <w:hideMark/>
          </w:tcPr>
          <w:p w:rsidR="004E1BF0" w:rsidRPr="001543AE" w:rsidP="00C12794" w14:paraId="3B61801D" w14:textId="77777777">
            <w:pPr>
              <w:contextualSpacing/>
            </w:pPr>
            <w:r w:rsidRPr="001543AE">
              <w:t>Cita informācija</w:t>
            </w:r>
          </w:p>
        </w:tc>
        <w:tc>
          <w:tcPr>
            <w:tcW w:w="5377" w:type="dxa"/>
            <w:hideMark/>
          </w:tcPr>
          <w:p w:rsidR="004E1BF0" w:rsidRPr="001543AE" w:rsidP="00C12794" w14:paraId="267CABC8" w14:textId="77777777">
            <w:pPr>
              <w:contextualSpacing/>
            </w:pPr>
            <w:r w:rsidRPr="001543AE">
              <w:t>Nav</w:t>
            </w:r>
          </w:p>
        </w:tc>
      </w:tr>
    </w:tbl>
    <w:p w:rsidR="004E1BF0" w:rsidRPr="001543AE" w:rsidP="00C12794" w14:paraId="2AD913DF"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8296"/>
      </w:tblGrid>
      <w:tr w14:paraId="6C9C8699" w14:textId="77777777" w:rsidTr="00D824C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vAlign w:val="center"/>
            <w:hideMark/>
          </w:tcPr>
          <w:p w:rsidR="00BD5588" w:rsidRPr="001543AE" w:rsidP="00C12794" w14:paraId="64DC25A1" w14:textId="77777777">
            <w:pPr>
              <w:contextualSpacing/>
              <w:jc w:val="center"/>
              <w:rPr>
                <w:b/>
                <w:bCs/>
              </w:rPr>
            </w:pPr>
            <w:r w:rsidRPr="001543AE">
              <w:rPr>
                <w:b/>
                <w:bCs/>
              </w:rPr>
              <w:t>V. Tiesību akta projekta atbilstība Latvijas Republikas starptautiskajām saistībām</w:t>
            </w:r>
          </w:p>
        </w:tc>
      </w:tr>
      <w:tr w14:paraId="1BAC662E" w14:textId="77777777" w:rsidTr="00FD6E15">
        <w:tblPrEx>
          <w:tblW w:w="5000" w:type="pct"/>
          <w:tblCellMar>
            <w:top w:w="30" w:type="dxa"/>
            <w:left w:w="30" w:type="dxa"/>
            <w:bottom w:w="30" w:type="dxa"/>
            <w:right w:w="30" w:type="dxa"/>
          </w:tblCellMar>
          <w:tblLook w:val="04A0"/>
        </w:tblPrEx>
        <w:trPr>
          <w:cantSplit/>
          <w:trHeight w:val="556"/>
        </w:trPr>
        <w:tc>
          <w:tcPr>
            <w:tcW w:w="5000" w:type="pct"/>
          </w:tcPr>
          <w:p w:rsidR="00FD6E15" w:rsidRPr="001543AE" w:rsidP="00C12794" w14:paraId="4BE4981D" w14:textId="77777777">
            <w:pPr>
              <w:contextualSpacing/>
              <w:jc w:val="center"/>
            </w:pPr>
            <w:r w:rsidRPr="001543AE">
              <w:t>Projekts šo jomu neskar</w:t>
            </w:r>
          </w:p>
        </w:tc>
      </w:tr>
    </w:tbl>
    <w:p w:rsidR="00A3156A" w:rsidRPr="001543AE" w:rsidP="00C12794" w14:paraId="3FD8BDCA"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16"/>
        <w:gridCol w:w="2454"/>
        <w:gridCol w:w="5326"/>
      </w:tblGrid>
      <w:tr w14:paraId="0814C420" w14:textId="77777777" w:rsidTr="00D824C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1543AE" w:rsidP="00C12794" w14:paraId="78F5C85E" w14:textId="77777777">
            <w:pPr>
              <w:contextualSpacing/>
              <w:jc w:val="center"/>
              <w:rPr>
                <w:b/>
                <w:bCs/>
              </w:rPr>
            </w:pPr>
            <w:r w:rsidRPr="001543AE">
              <w:rPr>
                <w:b/>
                <w:bCs/>
              </w:rPr>
              <w:t>VI. Sabiedrības līdzdalība un komunikācijas aktivitātes</w:t>
            </w:r>
          </w:p>
        </w:tc>
      </w:tr>
      <w:tr w14:paraId="787AB3A9" w14:textId="77777777" w:rsidTr="00D824C2">
        <w:tblPrEx>
          <w:tblW w:w="5000" w:type="pct"/>
          <w:tblCellMar>
            <w:top w:w="30" w:type="dxa"/>
            <w:left w:w="30" w:type="dxa"/>
            <w:bottom w:w="30" w:type="dxa"/>
            <w:right w:w="30" w:type="dxa"/>
          </w:tblCellMar>
          <w:tblLook w:val="04A0"/>
        </w:tblPrEx>
        <w:trPr>
          <w:cantSplit/>
        </w:trPr>
        <w:tc>
          <w:tcPr>
            <w:tcW w:w="311" w:type="pct"/>
            <w:hideMark/>
          </w:tcPr>
          <w:p w:rsidR="00BD5588" w:rsidRPr="001543AE" w:rsidP="00C12794" w14:paraId="1FB4AA69" w14:textId="77777777">
            <w:pPr>
              <w:contextualSpacing/>
              <w:jc w:val="center"/>
            </w:pPr>
            <w:r w:rsidRPr="001543AE">
              <w:t>1.</w:t>
            </w:r>
          </w:p>
        </w:tc>
        <w:tc>
          <w:tcPr>
            <w:tcW w:w="1479" w:type="pct"/>
            <w:hideMark/>
          </w:tcPr>
          <w:p w:rsidR="00BD5588" w:rsidRPr="001543AE" w:rsidP="00C12794" w14:paraId="70FA4D1E" w14:textId="77777777">
            <w:pPr>
              <w:contextualSpacing/>
            </w:pPr>
            <w:r w:rsidRPr="001543AE">
              <w:t>Plānotās sabiedrības līdzdalības un komunikācijas aktivitātes saistībā ar projektu</w:t>
            </w:r>
          </w:p>
        </w:tc>
        <w:tc>
          <w:tcPr>
            <w:tcW w:w="3210" w:type="pct"/>
            <w:hideMark/>
          </w:tcPr>
          <w:p w:rsidR="00BD5588" w:rsidRPr="001543AE" w:rsidP="00C12794" w14:paraId="4D6D62F8" w14:textId="5785DAB5">
            <w:pPr>
              <w:contextualSpacing/>
              <w:jc w:val="both"/>
            </w:pPr>
            <w:r w:rsidRPr="00BE530E">
              <w:t xml:space="preserve">Saskaņā ar Ministru kabineta 25.08.2009. noteikumu Nr.970 “Sabiedrības līdzdalības kārtība attīstības plānošanas procesā” 5.punktu tika nodrošināta atbilstoša sabiedrības līdzdalība. Likumprojekts tika publicēts Ekonomikas ministrijas tīmekļa vietnē 05.01.2018. Vienlaikus par likumprojektu izstrādi ir informēta Latvijas Būvniecības padome, kā arī </w:t>
            </w:r>
            <w:r w:rsidR="000B463E">
              <w:t xml:space="preserve">par </w:t>
            </w:r>
            <w:r w:rsidRPr="00BE530E">
              <w:t>likumprojekta izstrādi ir informētas tās būvniecības jomas nevalstiskās organizācijas, kuras piedalījās atbilstošajā darba grupā.</w:t>
            </w:r>
            <w:r w:rsidR="00915585">
              <w:t xml:space="preserve"> Ņemot vērā sabiedrības līdzdalības rezultātus sākotnējais likumprojekts tika sadalīts divos likumprojektos. Likumprojekts “</w:t>
            </w:r>
            <w:r w:rsidRPr="00915585" w:rsidR="00915585">
              <w:t>Grozījumi Būvniecības likumā</w:t>
            </w:r>
            <w:r w:rsidR="00915585">
              <w:t xml:space="preserve">” (saistībā </w:t>
            </w:r>
            <w:r w:rsidR="000B463E">
              <w:t xml:space="preserve">ar </w:t>
            </w:r>
            <w:r w:rsidR="00915585">
              <w:t>būvvaldes kompetencei un būvniecības procesa dalībnieku atbildību, kā arī terminoloģiju) 12.07.2018. tika izsludināts Valsts sekretāru sanāksmē (VSS-698).</w:t>
            </w:r>
          </w:p>
        </w:tc>
      </w:tr>
      <w:tr w14:paraId="718E60D3" w14:textId="77777777" w:rsidTr="00D824C2">
        <w:tblPrEx>
          <w:tblW w:w="5000" w:type="pct"/>
          <w:tblCellMar>
            <w:top w:w="30" w:type="dxa"/>
            <w:left w:w="30" w:type="dxa"/>
            <w:bottom w:w="30" w:type="dxa"/>
            <w:right w:w="30" w:type="dxa"/>
          </w:tblCellMar>
          <w:tblLook w:val="04A0"/>
        </w:tblPrEx>
        <w:trPr>
          <w:cantSplit/>
        </w:trPr>
        <w:tc>
          <w:tcPr>
            <w:tcW w:w="311" w:type="pct"/>
            <w:hideMark/>
          </w:tcPr>
          <w:p w:rsidR="00BD5588" w:rsidRPr="001543AE" w:rsidP="00C12794" w14:paraId="164B45FF" w14:textId="77777777">
            <w:pPr>
              <w:contextualSpacing/>
              <w:jc w:val="center"/>
            </w:pPr>
            <w:r w:rsidRPr="001543AE">
              <w:t>2.</w:t>
            </w:r>
          </w:p>
        </w:tc>
        <w:tc>
          <w:tcPr>
            <w:tcW w:w="1479" w:type="pct"/>
            <w:hideMark/>
          </w:tcPr>
          <w:p w:rsidR="00BD5588" w:rsidRPr="001543AE" w:rsidP="00C12794" w14:paraId="60C8F4D1" w14:textId="77777777">
            <w:pPr>
              <w:contextualSpacing/>
            </w:pPr>
            <w:r w:rsidRPr="001543AE">
              <w:t>Sabiedrības līdzdalība projekta izstrādē</w:t>
            </w:r>
          </w:p>
        </w:tc>
        <w:tc>
          <w:tcPr>
            <w:tcW w:w="3210" w:type="pct"/>
            <w:hideMark/>
          </w:tcPr>
          <w:p w:rsidR="00BD5588" w:rsidRPr="001543AE" w:rsidP="0007171B" w14:paraId="1864E413" w14:textId="24D674F0">
            <w:pPr>
              <w:contextualSpacing/>
              <w:jc w:val="both"/>
            </w:pPr>
            <w:r>
              <w:t>Par likumprojektu bija saņemti priekšlikumi no būvniecības jomas nevalstiskajām organizācijām (piemēram, Latvijas restauratoru biedrības, Latvijas Amatniecības kameras) un atsevišķām fiziskām personām.</w:t>
            </w:r>
          </w:p>
        </w:tc>
      </w:tr>
      <w:tr w14:paraId="1ABFF10D" w14:textId="77777777" w:rsidTr="00D824C2">
        <w:tblPrEx>
          <w:tblW w:w="5000" w:type="pct"/>
          <w:tblCellMar>
            <w:top w:w="30" w:type="dxa"/>
            <w:left w:w="30" w:type="dxa"/>
            <w:bottom w:w="30" w:type="dxa"/>
            <w:right w:w="30" w:type="dxa"/>
          </w:tblCellMar>
          <w:tblLook w:val="04A0"/>
        </w:tblPrEx>
        <w:trPr>
          <w:cantSplit/>
        </w:trPr>
        <w:tc>
          <w:tcPr>
            <w:tcW w:w="311" w:type="pct"/>
            <w:hideMark/>
          </w:tcPr>
          <w:p w:rsidR="00BD5588" w:rsidRPr="001543AE" w:rsidP="00C12794" w14:paraId="7E257A21" w14:textId="77777777">
            <w:pPr>
              <w:contextualSpacing/>
              <w:jc w:val="center"/>
            </w:pPr>
            <w:r w:rsidRPr="001543AE">
              <w:t>3.</w:t>
            </w:r>
          </w:p>
        </w:tc>
        <w:tc>
          <w:tcPr>
            <w:tcW w:w="1479" w:type="pct"/>
            <w:hideMark/>
          </w:tcPr>
          <w:p w:rsidR="00BD5588" w:rsidRPr="001543AE" w:rsidP="00C12794" w14:paraId="7ECB5160" w14:textId="77777777">
            <w:pPr>
              <w:contextualSpacing/>
            </w:pPr>
            <w:r w:rsidRPr="001543AE">
              <w:t>Sabiedrības līdzdalības rezultāti</w:t>
            </w:r>
          </w:p>
        </w:tc>
        <w:tc>
          <w:tcPr>
            <w:tcW w:w="3210" w:type="pct"/>
            <w:hideMark/>
          </w:tcPr>
          <w:p w:rsidR="00BD5588" w:rsidRPr="001543AE" w:rsidP="0007171B" w14:paraId="58FDC6C9" w14:textId="5077A362">
            <w:pPr>
              <w:contextualSpacing/>
              <w:jc w:val="both"/>
            </w:pPr>
            <w:r w:rsidRPr="0007171B">
              <w:t xml:space="preserve">Ņemot vērā sabiedrības līdzdalības ietvaros izteiktos priekšlikumus, likumprojektā </w:t>
            </w:r>
            <w:r>
              <w:t>ietverts</w:t>
            </w:r>
            <w:r w:rsidRPr="0007171B">
              <w:t xml:space="preserve"> regulējums</w:t>
            </w:r>
            <w:r>
              <w:t xml:space="preserve"> par </w:t>
            </w:r>
            <w:r w:rsidRPr="0007171B">
              <w:t>amata meistari</w:t>
            </w:r>
            <w:r>
              <w:t>em</w:t>
            </w:r>
            <w:r w:rsidRPr="0007171B">
              <w:t>, ja viņi veic vai vada būvamatniecības darbus atbilstoši likumam “Par amatniecību”, restauratori</w:t>
            </w:r>
            <w:r>
              <w:t>em</w:t>
            </w:r>
            <w:r w:rsidRPr="0007171B">
              <w:t xml:space="preserve"> un būvakustikas speciālisti</w:t>
            </w:r>
            <w:r>
              <w:t>em. Tāpat likumprojekts ir papildināts ar regulējumu par būves galveno lietošanas veida maiņu.</w:t>
            </w:r>
            <w:r w:rsidR="00915585">
              <w:t xml:space="preserve"> </w:t>
            </w:r>
          </w:p>
        </w:tc>
      </w:tr>
      <w:tr w14:paraId="1BD4B67E" w14:textId="77777777" w:rsidTr="00D824C2">
        <w:tblPrEx>
          <w:tblW w:w="5000" w:type="pct"/>
          <w:tblCellMar>
            <w:top w:w="30" w:type="dxa"/>
            <w:left w:w="30" w:type="dxa"/>
            <w:bottom w:w="30" w:type="dxa"/>
            <w:right w:w="30" w:type="dxa"/>
          </w:tblCellMar>
          <w:tblLook w:val="04A0"/>
        </w:tblPrEx>
        <w:trPr>
          <w:cantSplit/>
        </w:trPr>
        <w:tc>
          <w:tcPr>
            <w:tcW w:w="311" w:type="pct"/>
            <w:hideMark/>
          </w:tcPr>
          <w:p w:rsidR="00BD5588" w:rsidRPr="001543AE" w:rsidP="00C12794" w14:paraId="508F4601" w14:textId="77777777">
            <w:pPr>
              <w:contextualSpacing/>
              <w:jc w:val="center"/>
            </w:pPr>
            <w:r w:rsidRPr="001543AE">
              <w:t>4.</w:t>
            </w:r>
          </w:p>
        </w:tc>
        <w:tc>
          <w:tcPr>
            <w:tcW w:w="1479" w:type="pct"/>
            <w:hideMark/>
          </w:tcPr>
          <w:p w:rsidR="00BD5588" w:rsidRPr="001543AE" w:rsidP="00C12794" w14:paraId="237D7CBE" w14:textId="77777777">
            <w:pPr>
              <w:contextualSpacing/>
            </w:pPr>
            <w:r w:rsidRPr="001543AE">
              <w:t>Cita informācija</w:t>
            </w:r>
          </w:p>
        </w:tc>
        <w:tc>
          <w:tcPr>
            <w:tcW w:w="3210" w:type="pct"/>
            <w:hideMark/>
          </w:tcPr>
          <w:p w:rsidR="00BD5588" w:rsidRPr="001543AE" w:rsidP="00C12794" w14:paraId="2027397A" w14:textId="3BD6F2ED">
            <w:pPr>
              <w:contextualSpacing/>
            </w:pPr>
            <w:r w:rsidRPr="001543AE">
              <w:t>Nav</w:t>
            </w:r>
          </w:p>
        </w:tc>
      </w:tr>
    </w:tbl>
    <w:p w:rsidR="00BD5588" w:rsidRPr="001543AE" w:rsidP="00C12794" w14:paraId="4A69C9F4"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16"/>
        <w:gridCol w:w="2454"/>
        <w:gridCol w:w="5326"/>
      </w:tblGrid>
      <w:tr w14:paraId="4E3FDEFF" w14:textId="77777777" w:rsidTr="00D824C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1543AE" w:rsidP="00C12794" w14:paraId="577568BC" w14:textId="77777777">
            <w:pPr>
              <w:contextualSpacing/>
              <w:jc w:val="center"/>
              <w:rPr>
                <w:b/>
                <w:bCs/>
              </w:rPr>
            </w:pPr>
            <w:r w:rsidRPr="001543AE">
              <w:rPr>
                <w:b/>
                <w:bCs/>
              </w:rPr>
              <w:t>VII. Tiesību akta projekta izpildes nodrošināšana un tās ietekme uz institūcijām</w:t>
            </w:r>
          </w:p>
        </w:tc>
      </w:tr>
      <w:tr w14:paraId="1F98F84C" w14:textId="77777777" w:rsidTr="00D824C2">
        <w:tblPrEx>
          <w:tblW w:w="5000" w:type="pct"/>
          <w:tblCellMar>
            <w:top w:w="30" w:type="dxa"/>
            <w:left w:w="30" w:type="dxa"/>
            <w:bottom w:w="30" w:type="dxa"/>
            <w:right w:w="30" w:type="dxa"/>
          </w:tblCellMar>
          <w:tblLook w:val="04A0"/>
        </w:tblPrEx>
        <w:trPr>
          <w:cantSplit/>
        </w:trPr>
        <w:tc>
          <w:tcPr>
            <w:tcW w:w="311" w:type="pct"/>
            <w:hideMark/>
          </w:tcPr>
          <w:p w:rsidR="00BD5588" w:rsidRPr="001543AE" w:rsidP="00C12794" w14:paraId="035AA94B" w14:textId="77777777">
            <w:pPr>
              <w:contextualSpacing/>
              <w:jc w:val="center"/>
            </w:pPr>
            <w:r w:rsidRPr="001543AE">
              <w:t>1.</w:t>
            </w:r>
          </w:p>
        </w:tc>
        <w:tc>
          <w:tcPr>
            <w:tcW w:w="1479" w:type="pct"/>
            <w:hideMark/>
          </w:tcPr>
          <w:p w:rsidR="00BD5588" w:rsidRPr="001543AE" w:rsidP="00C12794" w14:paraId="481D4EC1" w14:textId="77777777">
            <w:pPr>
              <w:contextualSpacing/>
            </w:pPr>
            <w:r w:rsidRPr="001543AE">
              <w:t>Projekta izpildē iesaistītās institūcijas</w:t>
            </w:r>
          </w:p>
        </w:tc>
        <w:tc>
          <w:tcPr>
            <w:tcW w:w="3210" w:type="pct"/>
            <w:hideMark/>
          </w:tcPr>
          <w:p w:rsidR="00BD5588" w:rsidRPr="001543AE" w:rsidP="00271A64" w14:paraId="276317E8" w14:textId="62B03FE9">
            <w:pPr>
              <w:contextualSpacing/>
              <w:jc w:val="both"/>
            </w:pPr>
            <w:r>
              <w:t>Būvvaldes</w:t>
            </w:r>
            <w:r w:rsidRPr="001543AE" w:rsidR="00E376B2">
              <w:t xml:space="preserve"> un institūcijas, kuras pilda būvvaldes funkcijas</w:t>
            </w:r>
            <w:r w:rsidRPr="001543AE" w:rsidR="002E49FE">
              <w:t xml:space="preserve"> (piemēram, </w:t>
            </w:r>
            <w:r>
              <w:t>Būvniecības valsts kontroles birojs</w:t>
            </w:r>
            <w:r w:rsidRPr="001543AE" w:rsidR="002E49FE">
              <w:t>)</w:t>
            </w:r>
            <w:r>
              <w:t xml:space="preserve">, </w:t>
            </w:r>
            <w:r w:rsidRPr="000B463E">
              <w:t>Latvijas Ama</w:t>
            </w:r>
            <w:r w:rsidR="005C38B8">
              <w:t xml:space="preserve">tniecības kamera, </w:t>
            </w:r>
            <w:r w:rsidRPr="005C38B8" w:rsidR="005C38B8">
              <w:t>Nacionālā kultūras mantojuma pārvalde</w:t>
            </w:r>
            <w:r w:rsidR="005C38B8">
              <w:t>.</w:t>
            </w:r>
          </w:p>
        </w:tc>
      </w:tr>
      <w:tr w14:paraId="4AE9E8F2" w14:textId="77777777" w:rsidTr="00D824C2">
        <w:tblPrEx>
          <w:tblW w:w="5000" w:type="pct"/>
          <w:tblCellMar>
            <w:top w:w="30" w:type="dxa"/>
            <w:left w:w="30" w:type="dxa"/>
            <w:bottom w:w="30" w:type="dxa"/>
            <w:right w:w="30" w:type="dxa"/>
          </w:tblCellMar>
          <w:tblLook w:val="04A0"/>
        </w:tblPrEx>
        <w:trPr>
          <w:cantSplit/>
        </w:trPr>
        <w:tc>
          <w:tcPr>
            <w:tcW w:w="311" w:type="pct"/>
            <w:hideMark/>
          </w:tcPr>
          <w:p w:rsidR="00BD5588" w:rsidRPr="001543AE" w:rsidP="00C12794" w14:paraId="4A7A4D5B" w14:textId="77777777">
            <w:pPr>
              <w:contextualSpacing/>
              <w:jc w:val="center"/>
            </w:pPr>
            <w:r w:rsidRPr="001543AE">
              <w:t>2.</w:t>
            </w:r>
          </w:p>
        </w:tc>
        <w:tc>
          <w:tcPr>
            <w:tcW w:w="1479" w:type="pct"/>
            <w:hideMark/>
          </w:tcPr>
          <w:p w:rsidR="00BD5588" w:rsidRPr="001543AE" w:rsidP="00C12794" w14:paraId="50F67C6A" w14:textId="77777777">
            <w:pPr>
              <w:contextualSpacing/>
            </w:pPr>
            <w:r w:rsidRPr="001543AE">
              <w:t>Projekta izpildes ietekme uz pārvaldes funkcijām un institucionālo struktūru.</w:t>
            </w:r>
            <w:r w:rsidRPr="001543AE">
              <w:br/>
              <w:t>Jaunu institūciju izveide, esošu institūciju likvidācija vai reorganizācija, to ietekme uz institūcijas cilvēkresursiem</w:t>
            </w:r>
          </w:p>
        </w:tc>
        <w:tc>
          <w:tcPr>
            <w:tcW w:w="3210" w:type="pct"/>
            <w:hideMark/>
          </w:tcPr>
          <w:p w:rsidR="00BD5588" w:rsidRPr="001543AE" w:rsidP="00C12794" w14:paraId="1B0FDEFA" w14:textId="4ABC4AEA">
            <w:pPr>
              <w:contextualSpacing/>
              <w:jc w:val="both"/>
            </w:pPr>
            <w:r>
              <w:t>J</w:t>
            </w:r>
            <w:r w:rsidRPr="001543AE" w:rsidR="002E49FE">
              <w:t xml:space="preserve">aunas institūcijas netiek veidotas, kā </w:t>
            </w:r>
            <w:r>
              <w:t>arī netiek likvidētas esošās un mainītas to funkcijas.</w:t>
            </w:r>
          </w:p>
        </w:tc>
      </w:tr>
      <w:tr w14:paraId="303AB925" w14:textId="77777777" w:rsidTr="00D824C2">
        <w:tblPrEx>
          <w:tblW w:w="5000" w:type="pct"/>
          <w:tblCellMar>
            <w:top w:w="30" w:type="dxa"/>
            <w:left w:w="30" w:type="dxa"/>
            <w:bottom w:w="30" w:type="dxa"/>
            <w:right w:w="30" w:type="dxa"/>
          </w:tblCellMar>
          <w:tblLook w:val="04A0"/>
        </w:tblPrEx>
        <w:trPr>
          <w:cantSplit/>
        </w:trPr>
        <w:tc>
          <w:tcPr>
            <w:tcW w:w="311" w:type="pct"/>
            <w:hideMark/>
          </w:tcPr>
          <w:p w:rsidR="00BD5588" w:rsidRPr="001543AE" w:rsidP="00C12794" w14:paraId="0A9A7ABD" w14:textId="77777777">
            <w:pPr>
              <w:contextualSpacing/>
              <w:jc w:val="center"/>
            </w:pPr>
            <w:r w:rsidRPr="001543AE">
              <w:t>3.</w:t>
            </w:r>
          </w:p>
        </w:tc>
        <w:tc>
          <w:tcPr>
            <w:tcW w:w="1479" w:type="pct"/>
            <w:hideMark/>
          </w:tcPr>
          <w:p w:rsidR="00BD5588" w:rsidRPr="001543AE" w:rsidP="00C12794" w14:paraId="63634A92" w14:textId="77777777">
            <w:pPr>
              <w:contextualSpacing/>
            </w:pPr>
            <w:r w:rsidRPr="001543AE">
              <w:t>Cita informācija</w:t>
            </w:r>
          </w:p>
        </w:tc>
        <w:tc>
          <w:tcPr>
            <w:tcW w:w="3210" w:type="pct"/>
            <w:hideMark/>
          </w:tcPr>
          <w:p w:rsidR="00BD5588" w:rsidRPr="001543AE" w:rsidP="00C12794" w14:paraId="7330BFCB" w14:textId="77777777">
            <w:pPr>
              <w:contextualSpacing/>
            </w:pPr>
            <w:r w:rsidRPr="001543AE">
              <w:t>Nav</w:t>
            </w:r>
          </w:p>
        </w:tc>
      </w:tr>
    </w:tbl>
    <w:p w:rsidR="00E44472" w:rsidRPr="001543AE" w:rsidP="00C12794" w14:paraId="57DD9795" w14:textId="77777777">
      <w:pPr>
        <w:contextualSpacing/>
      </w:pPr>
    </w:p>
    <w:p w:rsidR="0051655D" w:rsidRPr="001543AE" w:rsidP="00C12794" w14:paraId="6B0D127B" w14:textId="77777777">
      <w:pPr>
        <w:contextualSpacing/>
      </w:pPr>
    </w:p>
    <w:p w:rsidR="0051655D" w:rsidRPr="001543AE" w:rsidP="00C12794" w14:paraId="6F8AF357" w14:textId="77777777">
      <w:pPr>
        <w:contextualSpacing/>
        <w:jc w:val="both"/>
      </w:pPr>
      <w:r w:rsidRPr="001543AE">
        <w:t xml:space="preserve">Ministru prezidenta biedrs, </w:t>
      </w:r>
    </w:p>
    <w:p w:rsidR="0051655D" w:rsidRPr="001543AE" w:rsidP="00C12794" w14:paraId="40A637C8" w14:textId="45E927D0">
      <w:pPr>
        <w:contextualSpacing/>
        <w:jc w:val="both"/>
      </w:pPr>
      <w:r w:rsidRPr="001543AE">
        <w:t>ekonomikas ministrs</w:t>
      </w:r>
      <w:r w:rsidRPr="001543AE">
        <w:tab/>
      </w:r>
      <w:r w:rsidRPr="001543AE">
        <w:tab/>
      </w:r>
      <w:r w:rsidRPr="001543AE">
        <w:tab/>
      </w:r>
      <w:r w:rsidRPr="001543AE">
        <w:tab/>
      </w:r>
      <w:r w:rsidRPr="001543AE">
        <w:tab/>
      </w:r>
      <w:r w:rsidR="004F053A">
        <w:tab/>
      </w:r>
      <w:r w:rsidRPr="001543AE">
        <w:tab/>
      </w:r>
      <w:r w:rsidRPr="001543AE">
        <w:t>A.Ašeradens</w:t>
      </w:r>
    </w:p>
    <w:p w:rsidR="0051655D" w:rsidRPr="001543AE" w:rsidP="00C12794" w14:paraId="43B6D224" w14:textId="77777777">
      <w:pPr>
        <w:contextualSpacing/>
      </w:pPr>
    </w:p>
    <w:p w:rsidR="00386E6C" w:rsidRPr="001543AE" w:rsidP="00C12794" w14:paraId="57A88ACA" w14:textId="77777777">
      <w:pPr>
        <w:contextualSpacing/>
      </w:pPr>
    </w:p>
    <w:p w:rsidR="0051655D" w:rsidRPr="001543AE" w:rsidP="00C12794" w14:paraId="77E14DCF" w14:textId="4E59094A">
      <w:pPr>
        <w:contextualSpacing/>
        <w:jc w:val="both"/>
      </w:pPr>
      <w:r w:rsidRPr="001543AE">
        <w:t>Valsts sekretārs</w:t>
      </w:r>
      <w:r w:rsidRPr="001543AE">
        <w:tab/>
      </w:r>
      <w:r w:rsidRPr="001543AE">
        <w:tab/>
      </w:r>
      <w:r w:rsidRPr="001543AE">
        <w:tab/>
      </w:r>
      <w:r w:rsidRPr="001543AE">
        <w:tab/>
      </w:r>
      <w:r w:rsidRPr="001543AE">
        <w:tab/>
      </w:r>
      <w:r w:rsidRPr="001543AE">
        <w:tab/>
      </w:r>
      <w:r w:rsidRPr="001543AE">
        <w:tab/>
      </w:r>
      <w:r w:rsidRPr="001543AE">
        <w:tab/>
      </w:r>
      <w:r w:rsidR="004F053A">
        <w:t>Ē</w:t>
      </w:r>
      <w:r w:rsidRPr="001543AE">
        <w:t>.</w:t>
      </w:r>
      <w:r w:rsidR="004F053A">
        <w:t>Eglītis</w:t>
      </w:r>
    </w:p>
    <w:p w:rsidR="0051655D" w:rsidRPr="001543AE" w:rsidP="00C12794" w14:paraId="1972E3A8" w14:textId="77777777">
      <w:pPr>
        <w:ind w:firstLine="720"/>
        <w:contextualSpacing/>
      </w:pPr>
    </w:p>
    <w:p w:rsidR="00386E6C" w:rsidRPr="001543AE" w:rsidP="00C12794" w14:paraId="67945568" w14:textId="77777777">
      <w:pPr>
        <w:ind w:firstLine="720"/>
        <w:contextualSpacing/>
      </w:pPr>
    </w:p>
    <w:p w:rsidR="00386E6C" w:rsidRPr="001543AE" w:rsidP="00C12794" w14:paraId="409D6B85" w14:textId="77777777">
      <w:pPr>
        <w:ind w:firstLine="720"/>
        <w:contextualSpacing/>
      </w:pPr>
    </w:p>
    <w:p w:rsidR="00E04C2E" w:rsidRPr="001543AE" w:rsidP="00C12794" w14:paraId="6B62CBF4" w14:textId="1F9EE6CF">
      <w:pPr>
        <w:ind w:firstLine="720"/>
        <w:contextualSpacing/>
      </w:pPr>
    </w:p>
    <w:p w:rsidR="00E04C2E" w:rsidRPr="001543AE" w:rsidP="00C12794" w14:paraId="2E094A93" w14:textId="03AA0F87">
      <w:pPr>
        <w:ind w:firstLine="720"/>
        <w:contextualSpacing/>
      </w:pPr>
    </w:p>
    <w:p w:rsidR="00E04C2E" w:rsidRPr="001543AE" w:rsidP="00C12794" w14:paraId="2E225C20" w14:textId="48317CAC">
      <w:pPr>
        <w:ind w:firstLine="720"/>
        <w:contextualSpacing/>
      </w:pPr>
    </w:p>
    <w:p w:rsidR="00E04C2E" w:rsidRPr="001543AE" w:rsidP="00C12794" w14:paraId="2D88BC96" w14:textId="38926D5F">
      <w:pPr>
        <w:ind w:firstLine="720"/>
        <w:contextualSpacing/>
      </w:pPr>
    </w:p>
    <w:p w:rsidR="00E04C2E" w:rsidRPr="000671CB" w:rsidP="00C12794" w14:paraId="647AB245" w14:textId="77777777">
      <w:pPr>
        <w:ind w:firstLine="720"/>
        <w:contextualSpacing/>
        <w:rPr>
          <w:sz w:val="20"/>
          <w:szCs w:val="20"/>
        </w:rPr>
      </w:pPr>
    </w:p>
    <w:p w:rsidR="00386E6C" w:rsidRPr="000671CB" w:rsidP="00C12794" w14:paraId="074D7F81" w14:textId="77777777">
      <w:pPr>
        <w:ind w:firstLine="720"/>
        <w:contextualSpacing/>
        <w:rPr>
          <w:sz w:val="20"/>
          <w:szCs w:val="20"/>
        </w:rPr>
      </w:pPr>
    </w:p>
    <w:p w:rsidR="0051655D" w:rsidRPr="000671CB" w:rsidP="00C12794" w14:paraId="43211EFA" w14:textId="77777777">
      <w:pPr>
        <w:ind w:firstLine="720"/>
        <w:contextualSpacing/>
        <w:rPr>
          <w:sz w:val="20"/>
          <w:szCs w:val="20"/>
        </w:rPr>
      </w:pPr>
    </w:p>
    <w:p w:rsidR="0051655D" w:rsidRPr="000671CB" w:rsidP="00C12794" w14:paraId="68AE2F9D" w14:textId="59719E7A">
      <w:pPr>
        <w:contextualSpacing/>
        <w:jc w:val="both"/>
        <w:rPr>
          <w:sz w:val="20"/>
          <w:szCs w:val="20"/>
        </w:rPr>
      </w:pPr>
      <w:r w:rsidRPr="000671CB">
        <w:rPr>
          <w:sz w:val="20"/>
          <w:szCs w:val="20"/>
        </w:rPr>
        <w:fldChar w:fldCharType="begin"/>
      </w:r>
      <w:r w:rsidRPr="000671CB">
        <w:rPr>
          <w:sz w:val="20"/>
          <w:szCs w:val="20"/>
        </w:rPr>
        <w:instrText xml:space="preserve"> DATE  \@ "dd.MM.yyyy HH:mm"  \* MERGEFORMAT </w:instrText>
      </w:r>
      <w:r w:rsidRPr="000671CB">
        <w:rPr>
          <w:sz w:val="20"/>
          <w:szCs w:val="20"/>
        </w:rPr>
        <w:fldChar w:fldCharType="separate"/>
      </w:r>
      <w:r w:rsidR="00B74AAC">
        <w:rPr>
          <w:noProof/>
          <w:sz w:val="20"/>
          <w:szCs w:val="20"/>
        </w:rPr>
        <w:t>23.07.2018 18:08</w:t>
      </w:r>
      <w:r w:rsidRPr="000671CB">
        <w:rPr>
          <w:sz w:val="20"/>
          <w:szCs w:val="20"/>
        </w:rPr>
        <w:fldChar w:fldCharType="end"/>
      </w:r>
    </w:p>
    <w:p w:rsidR="0051655D" w:rsidRPr="000671CB" w:rsidP="00C12794" w14:paraId="7D658F38" w14:textId="3E7D1F07">
      <w:pPr>
        <w:contextualSpacing/>
        <w:jc w:val="both"/>
        <w:rPr>
          <w:sz w:val="20"/>
          <w:szCs w:val="20"/>
        </w:rPr>
      </w:pPr>
      <w:r w:rsidRPr="000671CB">
        <w:rPr>
          <w:sz w:val="20"/>
          <w:szCs w:val="20"/>
        </w:rPr>
        <w:fldChar w:fldCharType="begin"/>
      </w:r>
      <w:r w:rsidRPr="000671CB">
        <w:rPr>
          <w:sz w:val="20"/>
          <w:szCs w:val="20"/>
        </w:rPr>
        <w:instrText xml:space="preserve"> NUMWORDS   \* MERGEFORMAT </w:instrText>
      </w:r>
      <w:r w:rsidRPr="000671CB">
        <w:rPr>
          <w:sz w:val="20"/>
          <w:szCs w:val="20"/>
        </w:rPr>
        <w:fldChar w:fldCharType="separate"/>
      </w:r>
      <w:r w:rsidR="00A108C6">
        <w:rPr>
          <w:noProof/>
          <w:sz w:val="20"/>
          <w:szCs w:val="20"/>
        </w:rPr>
        <w:t>11392</w:t>
      </w:r>
      <w:r w:rsidRPr="000671CB">
        <w:rPr>
          <w:sz w:val="20"/>
          <w:szCs w:val="20"/>
        </w:rPr>
        <w:fldChar w:fldCharType="end"/>
      </w:r>
    </w:p>
    <w:p w:rsidR="0051655D" w:rsidRPr="000671CB" w:rsidP="00C12794" w14:paraId="3C345AD8" w14:textId="77777777">
      <w:pPr>
        <w:contextualSpacing/>
        <w:jc w:val="both"/>
        <w:rPr>
          <w:sz w:val="20"/>
          <w:szCs w:val="20"/>
        </w:rPr>
      </w:pPr>
      <w:r w:rsidRPr="000671CB">
        <w:rPr>
          <w:sz w:val="20"/>
          <w:szCs w:val="20"/>
        </w:rPr>
        <w:t>Lazarevs, 67013035</w:t>
      </w:r>
    </w:p>
    <w:p w:rsidR="0051655D" w:rsidRPr="000671CB" w:rsidP="00C12794" w14:paraId="3F8DE1EB" w14:textId="77777777">
      <w:pPr>
        <w:contextualSpacing/>
        <w:jc w:val="both"/>
        <w:rPr>
          <w:sz w:val="20"/>
          <w:szCs w:val="20"/>
        </w:rPr>
      </w:pPr>
      <w:r w:rsidRPr="000671CB">
        <w:rPr>
          <w:sz w:val="20"/>
          <w:szCs w:val="20"/>
        </w:rPr>
        <w:t>Andris.Lazarevs@em.gov.lv</w:t>
      </w:r>
    </w:p>
    <w:sectPr w:rsidSect="008B4858">
      <w:headerReference w:type="default" r:id="rId5"/>
      <w:footerReference w:type="defaul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961" w14:paraId="4890EAAE" w14:textId="72D42F62">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Pr="00501E99">
      <w:rPr>
        <w:sz w:val="20"/>
        <w:szCs w:val="20"/>
      </w:rPr>
      <w:fldChar w:fldCharType="end"/>
    </w:r>
    <w:r w:rsidRPr="00501E99">
      <w:rPr>
        <w:sz w:val="20"/>
        <w:szCs w:val="20"/>
      </w:rPr>
      <w:t>; Likumprojekta „Grozījumi Būvniecības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961" w:rsidRPr="00501E99" w14:paraId="495E14C0" w14:textId="4F34E576">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Pr="00501E99">
      <w:rPr>
        <w:sz w:val="20"/>
        <w:szCs w:val="20"/>
      </w:rPr>
      <w:fldChar w:fldCharType="end"/>
    </w:r>
    <w:r w:rsidRPr="00501E99">
      <w:rPr>
        <w:sz w:val="20"/>
        <w:szCs w:val="20"/>
      </w:rPr>
      <w:t>; Likumprojekta „Grozījumi Būvniecības likumā”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4470457"/>
      <w:docPartObj>
        <w:docPartGallery w:val="Page Numbers (Top of Page)"/>
        <w:docPartUnique/>
      </w:docPartObj>
    </w:sdtPr>
    <w:sdtEndPr>
      <w:rPr>
        <w:noProof/>
      </w:rPr>
    </w:sdtEndPr>
    <w:sdtContent>
      <w:p w:rsidR="00DA4961" w14:paraId="60AB8086" w14:textId="07D271F4">
        <w:pPr>
          <w:pStyle w:val="Header"/>
          <w:jc w:val="center"/>
        </w:pPr>
        <w:r>
          <w:fldChar w:fldCharType="begin"/>
        </w:r>
        <w:r>
          <w:instrText xml:space="preserve"> PAGE   \* MERGEFORMAT </w:instrText>
        </w:r>
        <w:r>
          <w:fldChar w:fldCharType="separate"/>
        </w:r>
        <w:r w:rsidR="00B74AAC">
          <w:rPr>
            <w:noProof/>
          </w:rPr>
          <w:t>8</w:t>
        </w:r>
        <w:r>
          <w:rPr>
            <w:noProof/>
          </w:rPr>
          <w:fldChar w:fldCharType="end"/>
        </w:r>
      </w:p>
    </w:sdtContent>
  </w:sdt>
  <w:p w:rsidR="00DA4961" w14:paraId="2E6E75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BD53345"/>
    <w:multiLevelType w:val="hybridMultilevel"/>
    <w:tmpl w:val="166CB3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6D6347F0"/>
    <w:multiLevelType w:val="hybridMultilevel"/>
    <w:tmpl w:val="C1600C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2DB0"/>
    <w:rsid w:val="00004315"/>
    <w:rsid w:val="0002058F"/>
    <w:rsid w:val="000225DE"/>
    <w:rsid w:val="0002290D"/>
    <w:rsid w:val="00025626"/>
    <w:rsid w:val="00025AB3"/>
    <w:rsid w:val="00040197"/>
    <w:rsid w:val="0005445F"/>
    <w:rsid w:val="0005644D"/>
    <w:rsid w:val="000575A6"/>
    <w:rsid w:val="000641EE"/>
    <w:rsid w:val="00064FBA"/>
    <w:rsid w:val="000671CB"/>
    <w:rsid w:val="00067591"/>
    <w:rsid w:val="00067E6B"/>
    <w:rsid w:val="000710C7"/>
    <w:rsid w:val="00071202"/>
    <w:rsid w:val="0007171B"/>
    <w:rsid w:val="000755F0"/>
    <w:rsid w:val="00081509"/>
    <w:rsid w:val="00081649"/>
    <w:rsid w:val="00086DD8"/>
    <w:rsid w:val="00087F90"/>
    <w:rsid w:val="000A2E20"/>
    <w:rsid w:val="000B463E"/>
    <w:rsid w:val="000E756E"/>
    <w:rsid w:val="000F4F68"/>
    <w:rsid w:val="00105029"/>
    <w:rsid w:val="0010728A"/>
    <w:rsid w:val="00116A5B"/>
    <w:rsid w:val="00120DA4"/>
    <w:rsid w:val="0012231F"/>
    <w:rsid w:val="00133A1D"/>
    <w:rsid w:val="00144D93"/>
    <w:rsid w:val="00154258"/>
    <w:rsid w:val="001543AE"/>
    <w:rsid w:val="00160610"/>
    <w:rsid w:val="00160B4A"/>
    <w:rsid w:val="001672EB"/>
    <w:rsid w:val="001677D2"/>
    <w:rsid w:val="00171872"/>
    <w:rsid w:val="00181AF7"/>
    <w:rsid w:val="00186F45"/>
    <w:rsid w:val="00187D69"/>
    <w:rsid w:val="001945A4"/>
    <w:rsid w:val="001B6373"/>
    <w:rsid w:val="001D01BC"/>
    <w:rsid w:val="001D4DDE"/>
    <w:rsid w:val="001D59B1"/>
    <w:rsid w:val="001D75F2"/>
    <w:rsid w:val="001E1CC8"/>
    <w:rsid w:val="00202CD6"/>
    <w:rsid w:val="002047FD"/>
    <w:rsid w:val="00204D75"/>
    <w:rsid w:val="0020616A"/>
    <w:rsid w:val="002138D4"/>
    <w:rsid w:val="00232A6B"/>
    <w:rsid w:val="00241CAC"/>
    <w:rsid w:val="00253127"/>
    <w:rsid w:val="00254A5F"/>
    <w:rsid w:val="002600BD"/>
    <w:rsid w:val="00260EB2"/>
    <w:rsid w:val="00267083"/>
    <w:rsid w:val="00271A64"/>
    <w:rsid w:val="00271E2D"/>
    <w:rsid w:val="00272D57"/>
    <w:rsid w:val="002801F0"/>
    <w:rsid w:val="002825E8"/>
    <w:rsid w:val="002912BB"/>
    <w:rsid w:val="00296137"/>
    <w:rsid w:val="002A307F"/>
    <w:rsid w:val="002C3A15"/>
    <w:rsid w:val="002C6FBE"/>
    <w:rsid w:val="002D014D"/>
    <w:rsid w:val="002D0822"/>
    <w:rsid w:val="002E24B0"/>
    <w:rsid w:val="002E373C"/>
    <w:rsid w:val="002E49FE"/>
    <w:rsid w:val="0030068E"/>
    <w:rsid w:val="00302B45"/>
    <w:rsid w:val="003211AC"/>
    <w:rsid w:val="003235F6"/>
    <w:rsid w:val="00342758"/>
    <w:rsid w:val="00343282"/>
    <w:rsid w:val="00343A12"/>
    <w:rsid w:val="003455EB"/>
    <w:rsid w:val="0034569F"/>
    <w:rsid w:val="00352137"/>
    <w:rsid w:val="0035569D"/>
    <w:rsid w:val="00355E8C"/>
    <w:rsid w:val="003652DB"/>
    <w:rsid w:val="003679B9"/>
    <w:rsid w:val="00367C3A"/>
    <w:rsid w:val="00367EF8"/>
    <w:rsid w:val="00372D9B"/>
    <w:rsid w:val="00377B09"/>
    <w:rsid w:val="00383B3A"/>
    <w:rsid w:val="00386E6C"/>
    <w:rsid w:val="0039533E"/>
    <w:rsid w:val="003A03D2"/>
    <w:rsid w:val="003B103D"/>
    <w:rsid w:val="003B4BC8"/>
    <w:rsid w:val="003B4FE3"/>
    <w:rsid w:val="003B6DE8"/>
    <w:rsid w:val="003C4099"/>
    <w:rsid w:val="003D01B9"/>
    <w:rsid w:val="003D3D27"/>
    <w:rsid w:val="003D5404"/>
    <w:rsid w:val="003D6EFF"/>
    <w:rsid w:val="003E1BEF"/>
    <w:rsid w:val="003F057F"/>
    <w:rsid w:val="00401047"/>
    <w:rsid w:val="00401F3B"/>
    <w:rsid w:val="00405610"/>
    <w:rsid w:val="0041161B"/>
    <w:rsid w:val="0041507D"/>
    <w:rsid w:val="00423868"/>
    <w:rsid w:val="004251AF"/>
    <w:rsid w:val="0042799F"/>
    <w:rsid w:val="0043294A"/>
    <w:rsid w:val="00433EA7"/>
    <w:rsid w:val="004370B7"/>
    <w:rsid w:val="0044518C"/>
    <w:rsid w:val="00457485"/>
    <w:rsid w:val="0046399A"/>
    <w:rsid w:val="004674CC"/>
    <w:rsid w:val="004849A5"/>
    <w:rsid w:val="00485567"/>
    <w:rsid w:val="00490ECB"/>
    <w:rsid w:val="004937DE"/>
    <w:rsid w:val="004B0BB7"/>
    <w:rsid w:val="004B5967"/>
    <w:rsid w:val="004C3DF0"/>
    <w:rsid w:val="004C6025"/>
    <w:rsid w:val="004C7672"/>
    <w:rsid w:val="004E1BF0"/>
    <w:rsid w:val="004F053A"/>
    <w:rsid w:val="004F3067"/>
    <w:rsid w:val="004F3AFB"/>
    <w:rsid w:val="00501E99"/>
    <w:rsid w:val="005100A7"/>
    <w:rsid w:val="00511D7B"/>
    <w:rsid w:val="00514E31"/>
    <w:rsid w:val="0051655D"/>
    <w:rsid w:val="005300AC"/>
    <w:rsid w:val="00534588"/>
    <w:rsid w:val="00535D2C"/>
    <w:rsid w:val="00556B1A"/>
    <w:rsid w:val="00565009"/>
    <w:rsid w:val="00565D86"/>
    <w:rsid w:val="00576490"/>
    <w:rsid w:val="00580C36"/>
    <w:rsid w:val="0058326E"/>
    <w:rsid w:val="00586A1F"/>
    <w:rsid w:val="005A4BB9"/>
    <w:rsid w:val="005A62F7"/>
    <w:rsid w:val="005C38B8"/>
    <w:rsid w:val="005D33F5"/>
    <w:rsid w:val="005D5166"/>
    <w:rsid w:val="005D6AF5"/>
    <w:rsid w:val="005F39EB"/>
    <w:rsid w:val="005F51EA"/>
    <w:rsid w:val="005F74AF"/>
    <w:rsid w:val="005F7CB3"/>
    <w:rsid w:val="00600752"/>
    <w:rsid w:val="00621D04"/>
    <w:rsid w:val="00622537"/>
    <w:rsid w:val="00631AED"/>
    <w:rsid w:val="00641B40"/>
    <w:rsid w:val="00642888"/>
    <w:rsid w:val="00660FA9"/>
    <w:rsid w:val="00664E51"/>
    <w:rsid w:val="00673DAA"/>
    <w:rsid w:val="0067798B"/>
    <w:rsid w:val="00686DDE"/>
    <w:rsid w:val="00690C0D"/>
    <w:rsid w:val="006A1FA9"/>
    <w:rsid w:val="006A5009"/>
    <w:rsid w:val="006A567C"/>
    <w:rsid w:val="006C08D6"/>
    <w:rsid w:val="006C2E99"/>
    <w:rsid w:val="006C412A"/>
    <w:rsid w:val="006D0955"/>
    <w:rsid w:val="006E4C50"/>
    <w:rsid w:val="006E685C"/>
    <w:rsid w:val="006F4455"/>
    <w:rsid w:val="006F5484"/>
    <w:rsid w:val="006F795D"/>
    <w:rsid w:val="00711D27"/>
    <w:rsid w:val="00716361"/>
    <w:rsid w:val="00724624"/>
    <w:rsid w:val="00727141"/>
    <w:rsid w:val="00727522"/>
    <w:rsid w:val="007368A6"/>
    <w:rsid w:val="007444EC"/>
    <w:rsid w:val="007645EF"/>
    <w:rsid w:val="00771ED5"/>
    <w:rsid w:val="00773C51"/>
    <w:rsid w:val="007766CD"/>
    <w:rsid w:val="00793CD2"/>
    <w:rsid w:val="00797763"/>
    <w:rsid w:val="007A0CE0"/>
    <w:rsid w:val="007A4AB5"/>
    <w:rsid w:val="007A527F"/>
    <w:rsid w:val="007A5EC2"/>
    <w:rsid w:val="007C69B6"/>
    <w:rsid w:val="007E0AB4"/>
    <w:rsid w:val="0081224A"/>
    <w:rsid w:val="008140C6"/>
    <w:rsid w:val="008166AA"/>
    <w:rsid w:val="00827A46"/>
    <w:rsid w:val="00831A46"/>
    <w:rsid w:val="00835885"/>
    <w:rsid w:val="008430D1"/>
    <w:rsid w:val="008442E5"/>
    <w:rsid w:val="00850762"/>
    <w:rsid w:val="00852084"/>
    <w:rsid w:val="008566E9"/>
    <w:rsid w:val="00861960"/>
    <w:rsid w:val="00891B0C"/>
    <w:rsid w:val="008924F3"/>
    <w:rsid w:val="008955D5"/>
    <w:rsid w:val="008A42A2"/>
    <w:rsid w:val="008A6C0E"/>
    <w:rsid w:val="008B27B4"/>
    <w:rsid w:val="008B2A86"/>
    <w:rsid w:val="008B4858"/>
    <w:rsid w:val="008B4FA2"/>
    <w:rsid w:val="008B57CE"/>
    <w:rsid w:val="008C4958"/>
    <w:rsid w:val="008D0793"/>
    <w:rsid w:val="008D5BA3"/>
    <w:rsid w:val="008E1BD5"/>
    <w:rsid w:val="008E26FC"/>
    <w:rsid w:val="008F3314"/>
    <w:rsid w:val="0090030A"/>
    <w:rsid w:val="00906046"/>
    <w:rsid w:val="00907848"/>
    <w:rsid w:val="00911FFB"/>
    <w:rsid w:val="00915585"/>
    <w:rsid w:val="00915C94"/>
    <w:rsid w:val="00915EB5"/>
    <w:rsid w:val="0092539A"/>
    <w:rsid w:val="009324C3"/>
    <w:rsid w:val="009607FD"/>
    <w:rsid w:val="0096265F"/>
    <w:rsid w:val="00964076"/>
    <w:rsid w:val="00973C6E"/>
    <w:rsid w:val="0097782F"/>
    <w:rsid w:val="009909D5"/>
    <w:rsid w:val="009A0A6C"/>
    <w:rsid w:val="009A1353"/>
    <w:rsid w:val="009C560A"/>
    <w:rsid w:val="009D5B83"/>
    <w:rsid w:val="00A108C6"/>
    <w:rsid w:val="00A108E3"/>
    <w:rsid w:val="00A26A9A"/>
    <w:rsid w:val="00A27BB5"/>
    <w:rsid w:val="00A3099F"/>
    <w:rsid w:val="00A3156A"/>
    <w:rsid w:val="00A33092"/>
    <w:rsid w:val="00A539D2"/>
    <w:rsid w:val="00A6566A"/>
    <w:rsid w:val="00A7108F"/>
    <w:rsid w:val="00A76789"/>
    <w:rsid w:val="00A77386"/>
    <w:rsid w:val="00A82BC9"/>
    <w:rsid w:val="00A84983"/>
    <w:rsid w:val="00A91206"/>
    <w:rsid w:val="00A93AC3"/>
    <w:rsid w:val="00AA0DFA"/>
    <w:rsid w:val="00AA4976"/>
    <w:rsid w:val="00AA733F"/>
    <w:rsid w:val="00AB2695"/>
    <w:rsid w:val="00AC0572"/>
    <w:rsid w:val="00AC76C8"/>
    <w:rsid w:val="00AD130F"/>
    <w:rsid w:val="00AE1F9D"/>
    <w:rsid w:val="00AF3119"/>
    <w:rsid w:val="00AF52EB"/>
    <w:rsid w:val="00AF7D9C"/>
    <w:rsid w:val="00B028B6"/>
    <w:rsid w:val="00B03DDE"/>
    <w:rsid w:val="00B04DA1"/>
    <w:rsid w:val="00B14DB0"/>
    <w:rsid w:val="00B1563C"/>
    <w:rsid w:val="00B17BA6"/>
    <w:rsid w:val="00B17CA8"/>
    <w:rsid w:val="00B23EAB"/>
    <w:rsid w:val="00B24B11"/>
    <w:rsid w:val="00B25FEA"/>
    <w:rsid w:val="00B3772E"/>
    <w:rsid w:val="00B42808"/>
    <w:rsid w:val="00B51B2E"/>
    <w:rsid w:val="00B6612C"/>
    <w:rsid w:val="00B70BB0"/>
    <w:rsid w:val="00B74AAC"/>
    <w:rsid w:val="00B8301F"/>
    <w:rsid w:val="00B9152A"/>
    <w:rsid w:val="00B94112"/>
    <w:rsid w:val="00B95524"/>
    <w:rsid w:val="00BA4586"/>
    <w:rsid w:val="00BA578F"/>
    <w:rsid w:val="00BA6B31"/>
    <w:rsid w:val="00BB01EF"/>
    <w:rsid w:val="00BB2DE4"/>
    <w:rsid w:val="00BC6BA8"/>
    <w:rsid w:val="00BD27B7"/>
    <w:rsid w:val="00BD5588"/>
    <w:rsid w:val="00BE30B3"/>
    <w:rsid w:val="00BE530E"/>
    <w:rsid w:val="00BF0441"/>
    <w:rsid w:val="00BF7248"/>
    <w:rsid w:val="00C01A36"/>
    <w:rsid w:val="00C04CD4"/>
    <w:rsid w:val="00C12794"/>
    <w:rsid w:val="00C164C4"/>
    <w:rsid w:val="00C1680A"/>
    <w:rsid w:val="00C23609"/>
    <w:rsid w:val="00C272EC"/>
    <w:rsid w:val="00C30A72"/>
    <w:rsid w:val="00C32848"/>
    <w:rsid w:val="00C32947"/>
    <w:rsid w:val="00C4205E"/>
    <w:rsid w:val="00C45BA2"/>
    <w:rsid w:val="00C474CE"/>
    <w:rsid w:val="00C510F6"/>
    <w:rsid w:val="00C6584D"/>
    <w:rsid w:val="00C73C70"/>
    <w:rsid w:val="00C740A4"/>
    <w:rsid w:val="00C74EBA"/>
    <w:rsid w:val="00C84304"/>
    <w:rsid w:val="00C86437"/>
    <w:rsid w:val="00CA7243"/>
    <w:rsid w:val="00CB4753"/>
    <w:rsid w:val="00CC1405"/>
    <w:rsid w:val="00CD346E"/>
    <w:rsid w:val="00CD44C1"/>
    <w:rsid w:val="00CE3436"/>
    <w:rsid w:val="00D02A22"/>
    <w:rsid w:val="00D03B76"/>
    <w:rsid w:val="00D13051"/>
    <w:rsid w:val="00D276E5"/>
    <w:rsid w:val="00D27E61"/>
    <w:rsid w:val="00D31C81"/>
    <w:rsid w:val="00D32273"/>
    <w:rsid w:val="00D40B48"/>
    <w:rsid w:val="00D71D8D"/>
    <w:rsid w:val="00D766C6"/>
    <w:rsid w:val="00D76C05"/>
    <w:rsid w:val="00D824C2"/>
    <w:rsid w:val="00D85A2F"/>
    <w:rsid w:val="00DA4961"/>
    <w:rsid w:val="00DA736A"/>
    <w:rsid w:val="00DA7D5A"/>
    <w:rsid w:val="00DC32AC"/>
    <w:rsid w:val="00DD20F3"/>
    <w:rsid w:val="00DD7E1C"/>
    <w:rsid w:val="00DE5AD5"/>
    <w:rsid w:val="00DF47D5"/>
    <w:rsid w:val="00E04C2E"/>
    <w:rsid w:val="00E07159"/>
    <w:rsid w:val="00E15CE3"/>
    <w:rsid w:val="00E176A3"/>
    <w:rsid w:val="00E21CFE"/>
    <w:rsid w:val="00E2364F"/>
    <w:rsid w:val="00E26B4B"/>
    <w:rsid w:val="00E30292"/>
    <w:rsid w:val="00E376B2"/>
    <w:rsid w:val="00E42AD7"/>
    <w:rsid w:val="00E44472"/>
    <w:rsid w:val="00E45771"/>
    <w:rsid w:val="00E52D43"/>
    <w:rsid w:val="00E6080B"/>
    <w:rsid w:val="00E701B9"/>
    <w:rsid w:val="00E70212"/>
    <w:rsid w:val="00E710E9"/>
    <w:rsid w:val="00E716D5"/>
    <w:rsid w:val="00E7321A"/>
    <w:rsid w:val="00E75F79"/>
    <w:rsid w:val="00EA0366"/>
    <w:rsid w:val="00EA39FC"/>
    <w:rsid w:val="00EB7A6D"/>
    <w:rsid w:val="00EC1BE5"/>
    <w:rsid w:val="00EC259F"/>
    <w:rsid w:val="00EC56B9"/>
    <w:rsid w:val="00EC5F79"/>
    <w:rsid w:val="00ED3872"/>
    <w:rsid w:val="00ED6182"/>
    <w:rsid w:val="00EE3261"/>
    <w:rsid w:val="00EE47A3"/>
    <w:rsid w:val="00EE7F79"/>
    <w:rsid w:val="00EF057B"/>
    <w:rsid w:val="00EF5DA8"/>
    <w:rsid w:val="00F02237"/>
    <w:rsid w:val="00F029EA"/>
    <w:rsid w:val="00F1201A"/>
    <w:rsid w:val="00F15DB3"/>
    <w:rsid w:val="00F160E7"/>
    <w:rsid w:val="00F2354B"/>
    <w:rsid w:val="00F314D2"/>
    <w:rsid w:val="00F37A4B"/>
    <w:rsid w:val="00F37C20"/>
    <w:rsid w:val="00F45629"/>
    <w:rsid w:val="00F51B1F"/>
    <w:rsid w:val="00F61C0B"/>
    <w:rsid w:val="00F663C4"/>
    <w:rsid w:val="00F74759"/>
    <w:rsid w:val="00F75E37"/>
    <w:rsid w:val="00F76F8E"/>
    <w:rsid w:val="00F807D6"/>
    <w:rsid w:val="00F9083A"/>
    <w:rsid w:val="00F97242"/>
    <w:rsid w:val="00F978F3"/>
    <w:rsid w:val="00FA0094"/>
    <w:rsid w:val="00FA0475"/>
    <w:rsid w:val="00FA4750"/>
    <w:rsid w:val="00FA59F2"/>
    <w:rsid w:val="00FA7790"/>
    <w:rsid w:val="00FA7DAC"/>
    <w:rsid w:val="00FC1864"/>
    <w:rsid w:val="00FC225B"/>
    <w:rsid w:val="00FD11EE"/>
    <w:rsid w:val="00FD3B7C"/>
    <w:rsid w:val="00FD5F92"/>
    <w:rsid w:val="00FD6E15"/>
    <w:rsid w:val="00FE76F4"/>
    <w:rsid w:val="00FF128E"/>
    <w:rsid w:val="00FF2538"/>
    <w:rsid w:val="00FF41FB"/>
    <w:rsid w:val="00FF5706"/>
    <w:rsid w:val="00FF666B"/>
    <w:rsid w:val="00FF785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AC1CE-0F3F-41F5-98B1-E8E1F4DB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11392</Words>
  <Characters>6495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Andris Lazarevs</cp:lastModifiedBy>
  <cp:revision>179</cp:revision>
  <dcterms:created xsi:type="dcterms:W3CDTF">2018-04-25T14:58:00Z</dcterms:created>
  <dcterms:modified xsi:type="dcterms:W3CDTF">2018-07-23T08:10:00Z</dcterms:modified>
</cp:coreProperties>
</file>