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4489B" w:rsidRPr="00201120" w:rsidP="0024489B" w14:paraId="329AF044" w14:textId="77777777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4.pielikums</w:t>
      </w:r>
    </w:p>
    <w:p w:rsidR="0024489B" w:rsidRPr="00201120" w:rsidP="0024489B" w14:paraId="7D002E40" w14:textId="77777777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Ministru kabineta</w:t>
      </w:r>
    </w:p>
    <w:p w:rsidR="0024489B" w:rsidRPr="00201120" w:rsidP="0024489B" w14:paraId="0AFB4D62" w14:textId="77777777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2018. gada “x”. “”x”</w:t>
      </w:r>
    </w:p>
    <w:p w:rsidR="00CE7617" w:rsidRPr="00201120" w:rsidP="0024489B" w14:paraId="65D44D17" w14:textId="77777777">
      <w:pPr>
        <w:pStyle w:val="naiskr"/>
        <w:spacing w:before="0" w:after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noteikumiem Nr. “x”</w:t>
      </w:r>
    </w:p>
    <w:p w:rsidR="0024489B" w:rsidRPr="00201120" w:rsidP="0024489B" w14:paraId="1C9E56CE" w14:textId="77777777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01120">
        <w:rPr>
          <w:rFonts w:eastAsia="Calibri"/>
          <w:b/>
          <w:bCs/>
          <w:color w:val="000000"/>
          <w:sz w:val="28"/>
          <w:szCs w:val="28"/>
        </w:rPr>
        <w:t xml:space="preserve">Degvielas piegādātāja </w:t>
      </w:r>
      <w:r w:rsidRPr="00201120">
        <w:rPr>
          <w:rFonts w:eastAsia="Calibri"/>
          <w:bCs/>
          <w:sz w:val="28"/>
          <w:szCs w:val="28"/>
          <w:u w:val="single"/>
        </w:rPr>
        <w:t>____</w:t>
      </w:r>
      <w:r w:rsidRPr="00201120">
        <w:rPr>
          <w:rFonts w:eastAsia="Calibri"/>
          <w:b/>
          <w:bCs/>
          <w:color w:val="000000"/>
          <w:sz w:val="28"/>
          <w:szCs w:val="28"/>
        </w:rPr>
        <w:t>. gada pārskats</w:t>
      </w:r>
      <w:r w:rsidRPr="00201120" w:rsidR="004F616D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24489B" w:rsidRPr="00201120" w:rsidP="0024489B" w14:paraId="0174E273" w14:textId="77777777">
      <w:pPr>
        <w:pStyle w:val="naislab"/>
        <w:spacing w:before="0" w:after="0"/>
        <w:jc w:val="both"/>
        <w:rPr>
          <w:color w:val="auto"/>
          <w:szCs w:val="28"/>
        </w:rPr>
      </w:pPr>
    </w:p>
    <w:p w:rsidR="0024489B" w:rsidRPr="00201120" w:rsidP="0024489B" w14:paraId="7C1FFF6F" w14:textId="77777777">
      <w:pPr>
        <w:pStyle w:val="naiskr"/>
        <w:spacing w:before="0" w:after="0"/>
        <w:jc w:val="center"/>
        <w:rPr>
          <w:b/>
          <w:bCs/>
          <w:color w:val="auto"/>
          <w:szCs w:val="28"/>
        </w:rPr>
      </w:pPr>
      <w:r w:rsidRPr="00201120">
        <w:rPr>
          <w:b/>
          <w:bCs/>
          <w:color w:val="auto"/>
          <w:szCs w:val="28"/>
        </w:rPr>
        <w:t>I. Vispārīga informācija par degvielas piegādātāju</w:t>
      </w:r>
    </w:p>
    <w:p w:rsidR="0024489B" w:rsidRPr="00201120" w:rsidP="0024489B" w14:paraId="7297453A" w14:textId="77777777">
      <w:pPr>
        <w:shd w:val="clear" w:color="auto" w:fill="FFFFFF"/>
        <w:rPr>
          <w:color w:val="00000A"/>
          <w:szCs w:val="22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9981"/>
      </w:tblGrid>
      <w:tr w14:paraId="1B2BCB5A" w14:textId="77777777" w:rsidTr="00CD24B3">
        <w:tblPrEx>
          <w:tblW w:w="13750" w:type="dxa"/>
          <w:tblInd w:w="2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1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9B" w:rsidRPr="00CD24B3" w:rsidP="000722BF" w14:paraId="3047A9D9" w14:textId="77777777">
            <w:pPr>
              <w:spacing w:line="276" w:lineRule="auto"/>
              <w:ind w:left="-57" w:right="-57"/>
              <w:rPr>
                <w:b/>
                <w:spacing w:val="-2"/>
              </w:rPr>
            </w:pPr>
            <w:r w:rsidRPr="00CD24B3">
              <w:rPr>
                <w:b/>
                <w:spacing w:val="-2"/>
              </w:rPr>
              <w:t>Komersants (nosaukums, juridiskā adrese, reģistrācijas numurs)</w:t>
            </w:r>
            <w:r w:rsidRPr="00CD24B3">
              <w:rPr>
                <w:b/>
                <w:spacing w:val="-2"/>
              </w:rPr>
              <w:tab/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B" w:rsidRPr="00201120" w:rsidP="000722BF" w14:paraId="484BB356" w14:textId="77777777">
            <w:pPr>
              <w:spacing w:line="276" w:lineRule="auto"/>
              <w:jc w:val="both"/>
            </w:pPr>
          </w:p>
        </w:tc>
      </w:tr>
      <w:tr w14:paraId="6871DBD4" w14:textId="77777777" w:rsidTr="00CD24B3">
        <w:tblPrEx>
          <w:tblW w:w="13750" w:type="dxa"/>
          <w:tblInd w:w="279" w:type="dxa"/>
          <w:tblLook w:val="04A0"/>
        </w:tblPrEx>
        <w:trPr>
          <w:trHeight w:val="112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9B" w:rsidRPr="00CD24B3" w:rsidP="000722BF" w14:paraId="7A24FEC1" w14:textId="77777777">
            <w:pPr>
              <w:spacing w:line="276" w:lineRule="auto"/>
              <w:ind w:left="-57" w:right="-57"/>
              <w:rPr>
                <w:b/>
                <w:spacing w:val="-2"/>
              </w:rPr>
            </w:pPr>
            <w:r w:rsidRPr="00CD24B3">
              <w:rPr>
                <w:b/>
                <w:spacing w:val="-2"/>
              </w:rPr>
              <w:t>Kontaktpersona (elektroniskā pasta adrese, tālruņa numurs), ar kuru var sazināties</w:t>
            </w:r>
            <w:r w:rsidRPr="00CD24B3">
              <w:rPr>
                <w:b/>
                <w:spacing w:val="-2"/>
              </w:rPr>
              <w:tab/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B" w:rsidRPr="00201120" w:rsidP="000722BF" w14:paraId="784E21C1" w14:textId="77777777">
            <w:pPr>
              <w:spacing w:line="276" w:lineRule="auto"/>
              <w:jc w:val="both"/>
            </w:pPr>
          </w:p>
        </w:tc>
      </w:tr>
    </w:tbl>
    <w:p w:rsidR="0024489B" w:rsidRPr="00201120" w:rsidP="0024489B" w14:paraId="730B3173" w14:textId="77777777">
      <w:pPr>
        <w:pStyle w:val="naiskr"/>
        <w:spacing w:before="0" w:after="0"/>
        <w:jc w:val="right"/>
        <w:rPr>
          <w:color w:val="auto"/>
          <w:sz w:val="28"/>
          <w:szCs w:val="28"/>
        </w:rPr>
      </w:pPr>
    </w:p>
    <w:p w:rsidR="00881B7E" w:rsidRPr="00201120" w:rsidP="00CE7617" w14:paraId="0F74F607" w14:textId="77777777">
      <w:pPr>
        <w:pStyle w:val="naiskr"/>
        <w:spacing w:before="0" w:after="0"/>
        <w:jc w:val="center"/>
        <w:rPr>
          <w:b/>
          <w:bCs/>
          <w:color w:val="auto"/>
          <w:szCs w:val="28"/>
        </w:rPr>
      </w:pPr>
      <w:r w:rsidRPr="00201120">
        <w:rPr>
          <w:b/>
          <w:bCs/>
          <w:color w:val="auto"/>
          <w:szCs w:val="28"/>
        </w:rPr>
        <w:t>II. </w:t>
      </w:r>
      <w:r>
        <w:rPr>
          <w:b/>
          <w:bCs/>
          <w:color w:val="auto"/>
          <w:szCs w:val="28"/>
        </w:rPr>
        <w:t>Informācija par realizēto transporta enerģiju veidu un apjomu</w:t>
      </w:r>
    </w:p>
    <w:p w:rsidR="00CE7617" w:rsidRPr="00201120" w:rsidP="00CE7617" w14:paraId="150F17BA" w14:textId="77777777">
      <w:pPr>
        <w:shd w:val="clear" w:color="auto" w:fill="FFFFFF"/>
        <w:rPr>
          <w:color w:val="00000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52" w:type="dxa"/>
          <w:bottom w:w="30" w:type="dxa"/>
          <w:right w:w="30" w:type="dxa"/>
        </w:tblCellMar>
        <w:tblLook w:val="04A0"/>
      </w:tblPr>
      <w:tblGrid>
        <w:gridCol w:w="5524"/>
        <w:gridCol w:w="4677"/>
      </w:tblGrid>
      <w:tr w14:paraId="740168BD" w14:textId="77777777" w:rsidTr="00CD24B3">
        <w:tblPrEx>
          <w:tblW w:w="102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6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069" w:rsidRPr="0067598F" w:rsidP="00151857" w14:paraId="7F0E0259" w14:textId="777777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Galapatēriņam</w:t>
            </w:r>
            <w:r>
              <w:rPr>
                <w:b/>
                <w:sz w:val="22"/>
                <w:szCs w:val="22"/>
              </w:rPr>
              <w:t xml:space="preserve"> transportā Latvijā nodotais</w:t>
            </w:r>
            <w:r w:rsidRPr="0067598F">
              <w:rPr>
                <w:b/>
                <w:sz w:val="22"/>
                <w:szCs w:val="22"/>
              </w:rPr>
              <w:t xml:space="preserve"> </w:t>
            </w:r>
            <w:r w:rsidRPr="0067598F">
              <w:rPr>
                <w:b/>
                <w:sz w:val="22"/>
                <w:szCs w:val="22"/>
              </w:rPr>
              <w:t>transporta enerģijas veids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069" w:rsidRPr="0067598F" w:rsidP="00151857" w14:paraId="577D10FC" w14:textId="777777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54EE3">
              <w:rPr>
                <w:b/>
                <w:sz w:val="22"/>
                <w:szCs w:val="22"/>
              </w:rPr>
              <w:t>Galapatēriņam</w:t>
            </w:r>
            <w:r w:rsidRPr="00A54EE3">
              <w:rPr>
                <w:b/>
                <w:sz w:val="22"/>
                <w:szCs w:val="22"/>
              </w:rPr>
              <w:t xml:space="preserve"> transportā Latvijā nodotais </w:t>
            </w:r>
            <w:r w:rsidRPr="0067598F">
              <w:rPr>
                <w:b/>
                <w:sz w:val="22"/>
                <w:szCs w:val="22"/>
              </w:rPr>
              <w:t xml:space="preserve">transporta enerģijas apjoms, tūkst. </w:t>
            </w:r>
            <w:r w:rsidRPr="0067598F">
              <w:rPr>
                <w:b/>
                <w:sz w:val="22"/>
                <w:szCs w:val="22"/>
              </w:rPr>
              <w:t>toe</w:t>
            </w:r>
          </w:p>
        </w:tc>
      </w:tr>
      <w:tr w14:paraId="37C74A0A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751C08A7" w14:textId="77777777">
            <w:pPr>
              <w:snapToGrid w:val="0"/>
              <w:spacing w:line="276" w:lineRule="auto"/>
              <w:rPr>
                <w:color w:val="00000A"/>
                <w:sz w:val="22"/>
                <w:szCs w:val="22"/>
              </w:rPr>
            </w:pPr>
            <w:r w:rsidRPr="0067598F">
              <w:rPr>
                <w:color w:val="00000A"/>
                <w:sz w:val="22"/>
                <w:szCs w:val="22"/>
              </w:rPr>
              <w:t xml:space="preserve">Auto un aviācijas benzīns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F84E162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158BED9E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73702883" w14:textId="77777777">
            <w:pPr>
              <w:snapToGrid w:val="0"/>
              <w:spacing w:line="276" w:lineRule="auto"/>
              <w:rPr>
                <w:color w:val="00000A"/>
                <w:sz w:val="22"/>
                <w:szCs w:val="22"/>
              </w:rPr>
            </w:pPr>
            <w:r w:rsidRPr="0067598F">
              <w:rPr>
                <w:color w:val="00000A"/>
                <w:sz w:val="22"/>
                <w:szCs w:val="22"/>
              </w:rPr>
              <w:t>Dīzeļdegviela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30CF2359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36A10E6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34278989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Bioetanols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6BD41D04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51B1BC9B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57171781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Biodīzeļdegviela (FAME)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2BED8270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7D378BDB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2A9D6FCF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Hidrogenēta</w:t>
            </w:r>
            <w:r w:rsidRPr="0067598F">
              <w:rPr>
                <w:sz w:val="22"/>
                <w:szCs w:val="22"/>
              </w:rPr>
              <w:t xml:space="preserve"> augu eļļa (HVO)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74D72872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5B8A3348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56FD46DF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Biometāns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D94ABA8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069F4541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5FDE3688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Fischer-Tropsch</w:t>
            </w:r>
            <w:r w:rsidRPr="0067598F">
              <w:rPr>
                <w:sz w:val="22"/>
                <w:szCs w:val="22"/>
              </w:rPr>
              <w:t xml:space="preserve"> sintēzes dīzeļdegviela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6ADEF664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39B9B090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273089E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</w:t>
            </w:r>
            <w:r w:rsidRPr="0067598F">
              <w:rPr>
                <w:sz w:val="22"/>
                <w:szCs w:val="22"/>
              </w:rPr>
              <w:t>-ETBE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0C267095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70FA7691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23B75324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</w:t>
            </w:r>
            <w:r w:rsidRPr="0067598F">
              <w:rPr>
                <w:sz w:val="22"/>
                <w:szCs w:val="22"/>
              </w:rPr>
              <w:t xml:space="preserve"> MTBE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AFD42DA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6A0F37BB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53A37C8E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</w:t>
            </w:r>
            <w:r w:rsidRPr="0067598F">
              <w:rPr>
                <w:sz w:val="22"/>
                <w:szCs w:val="22"/>
              </w:rPr>
              <w:t>-DME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1EE325F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19A5C60B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64D9FD3D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</w:t>
            </w:r>
            <w:r w:rsidRPr="0067598F">
              <w:rPr>
                <w:sz w:val="22"/>
                <w:szCs w:val="22"/>
              </w:rPr>
              <w:t>-TAEE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19D4F41D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8091F46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07AB4EBE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Biobutanols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51F89215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7B6755F2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21018CA2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Biometanols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537CF246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005AA1A8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4659220B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Tīra augu eļļa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647BE705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26A5FBD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D" w:rsidRPr="0067598F" w:rsidP="001D1C3D" w14:paraId="2FF860A8" w14:textId="77777777">
            <w:pPr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No tām: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3D" w:rsidRPr="0067598F" w:rsidP="00463119" w14:paraId="66A0D077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15551F5C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1D1C3D" w14:paraId="05E7AED4" w14:textId="77777777">
            <w:pPr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Biodegvielas, kas ražotas no </w:t>
            </w:r>
            <w:r w:rsidRPr="0067598F" w:rsidR="00881B7E">
              <w:rPr>
                <w:sz w:val="22"/>
                <w:szCs w:val="22"/>
              </w:rPr>
              <w:t xml:space="preserve">normatīvajos aktos par pienākumu realizēt atjaunojamos energoresursus x. pielikuma A daļā </w:t>
            </w:r>
            <w:r w:rsidRPr="0067598F">
              <w:rPr>
                <w:sz w:val="22"/>
                <w:szCs w:val="22"/>
              </w:rPr>
              <w:t>uzskaitītajām izejvielām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242AB456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3723147F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1D1C3D" w14:paraId="7DA0D746" w14:textId="77777777">
            <w:pPr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Biodegvielas, kas ražotas no normatīvajos aktos par pienākumu realizēt atjaunojamos energoresursus x. pielikuma B daļā uzskaitītajām izejvielām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1E6F83E1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FA8B026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1D1C3D" w14:paraId="57D62A18" w14:textId="77777777">
            <w:pPr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Biodegvielas, kas ražotas no normatīvajos aktos par pienākumu realizēt atjaunojamos energoresursus x. pielikuma C daļā uzskaitītajām izejvielām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E19D261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A65154E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1D1C3D" w14:paraId="157A84A3" w14:textId="77777777">
            <w:pPr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Biodegvielas, uz kurām attiecas </w:t>
            </w:r>
            <w:r w:rsidRPr="0067598F" w:rsidR="00881B7E">
              <w:rPr>
                <w:sz w:val="22"/>
                <w:szCs w:val="22"/>
              </w:rPr>
              <w:t>Transporta Enerģijas likumā</w:t>
            </w:r>
            <w:r w:rsidRPr="0067598F">
              <w:rPr>
                <w:sz w:val="22"/>
                <w:szCs w:val="22"/>
              </w:rPr>
              <w:t xml:space="preserve"> noteiktais ierobežojums saistībā ar atjaunojamās enerģijas </w:t>
            </w:r>
            <w:r w:rsidRPr="0067598F">
              <w:rPr>
                <w:sz w:val="22"/>
                <w:szCs w:val="22"/>
              </w:rPr>
              <w:t>mērķrādītāju</w:t>
            </w:r>
            <w:r w:rsidRPr="0067598F">
              <w:rPr>
                <w:sz w:val="22"/>
                <w:szCs w:val="22"/>
              </w:rPr>
              <w:t xml:space="preserve"> sasniegšanu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183F2B19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11A2F589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881B7E" w14:paraId="22EF2628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Imports no </w:t>
            </w:r>
            <w:r w:rsidRPr="0067598F">
              <w:rPr>
                <w:sz w:val="22"/>
                <w:szCs w:val="22"/>
              </w:rPr>
              <w:t>trešām</w:t>
            </w:r>
            <w:r w:rsidRPr="0067598F">
              <w:rPr>
                <w:sz w:val="22"/>
                <w:szCs w:val="22"/>
              </w:rPr>
              <w:t xml:space="preserve"> valstīm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4B9797AF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2B4E76EF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33B23DE5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Ūdeņradis no atjaunojamajiem energoresursiem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57FD4BB6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4837BF58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9" w:rsidRPr="0067598F" w:rsidP="00463119" w14:paraId="7C35854A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Elektroenerģija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69" w:rsidRPr="0067598F" w:rsidP="00463119" w14:paraId="2C475940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  <w:tr w14:paraId="0226DFCE" w14:textId="77777777" w:rsidTr="00881B7E">
        <w:tblPrEx>
          <w:tblW w:w="10201" w:type="dxa"/>
          <w:jc w:val="center"/>
          <w:tblLayout w:type="fixed"/>
          <w:tblCellMar>
            <w:top w:w="30" w:type="dxa"/>
            <w:left w:w="52" w:type="dxa"/>
            <w:bottom w:w="30" w:type="dxa"/>
            <w:right w:w="30" w:type="dxa"/>
          </w:tblCellMar>
          <w:tblLook w:val="04A0"/>
        </w:tblPrEx>
        <w:trPr>
          <w:trHeight w:val="3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D9" w:rsidRPr="0067598F" w:rsidP="00463119" w14:paraId="1DB47DAB" w14:textId="77777777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Citi (precizēt)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9" w:rsidRPr="0067598F" w:rsidP="00463119" w14:paraId="3045D5C6" w14:textId="77777777">
            <w:pPr>
              <w:spacing w:line="276" w:lineRule="auto"/>
              <w:rPr>
                <w:rFonts w:eastAsia="Calibri" w:cs="DejaVu Sans"/>
                <w:sz w:val="22"/>
                <w:szCs w:val="22"/>
                <w:lang w:eastAsia="en-US"/>
              </w:rPr>
            </w:pPr>
          </w:p>
        </w:tc>
      </w:tr>
    </w:tbl>
    <w:p w:rsidR="00881B7E" w:rsidP="00881B7E" w14:paraId="28649144" w14:textId="77777777">
      <w:pPr>
        <w:jc w:val="center"/>
        <w:rPr>
          <w:b/>
          <w:spacing w:val="-3"/>
        </w:rPr>
      </w:pPr>
    </w:p>
    <w:p w:rsidR="00881B7E" w:rsidRPr="00881B7E" w:rsidP="00881B7E" w14:paraId="3525B6B9" w14:textId="77777777">
      <w:pPr>
        <w:jc w:val="center"/>
        <w:rPr>
          <w:b/>
          <w:spacing w:val="-3"/>
        </w:rPr>
      </w:pPr>
      <w:r>
        <w:rPr>
          <w:b/>
          <w:spacing w:val="-3"/>
        </w:rPr>
        <w:t xml:space="preserve">III. </w:t>
      </w:r>
      <w:r w:rsidRPr="00881B7E">
        <w:rPr>
          <w:b/>
          <w:spacing w:val="-3"/>
        </w:rPr>
        <w:t xml:space="preserve">Informācija par realizēto </w:t>
      </w:r>
      <w:r>
        <w:rPr>
          <w:b/>
          <w:spacing w:val="-3"/>
        </w:rPr>
        <w:t xml:space="preserve">biodegvielu iedalījumu </w:t>
      </w:r>
      <w:r w:rsidR="0067598F">
        <w:rPr>
          <w:b/>
          <w:spacing w:val="-3"/>
        </w:rPr>
        <w:t>izejvielu grupās</w:t>
      </w:r>
    </w:p>
    <w:p w:rsidR="00881B7E" w:rsidRPr="00881B7E" w:rsidP="00881B7E" w14:paraId="02DF9999" w14:textId="77777777">
      <w:pPr>
        <w:jc w:val="center"/>
        <w:rPr>
          <w:b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3267"/>
      </w:tblGrid>
      <w:tr w14:paraId="1B731860" w14:textId="77777777" w:rsidTr="00881B7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0" w:type="auto"/>
            <w:shd w:val="clear" w:color="auto" w:fill="E6E6E6"/>
            <w:noWrap/>
          </w:tcPr>
          <w:p w:rsidR="00881B7E" w:rsidRPr="0067598F" w:rsidP="00881B7E" w14:paraId="57143382" w14:textId="77777777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7598F">
              <w:rPr>
                <w:b/>
                <w:sz w:val="22"/>
                <w:szCs w:val="22"/>
              </w:rPr>
              <w:t>Izejvielu grupa</w:t>
            </w:r>
          </w:p>
        </w:tc>
        <w:tc>
          <w:tcPr>
            <w:tcW w:w="0" w:type="auto"/>
            <w:shd w:val="clear" w:color="auto" w:fill="E6E6E6"/>
            <w:noWrap/>
          </w:tcPr>
          <w:p w:rsidR="00881B7E" w:rsidRPr="0067598F" w:rsidP="00881B7E" w14:paraId="3D08F385" w14:textId="77777777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67598F">
              <w:rPr>
                <w:b/>
                <w:sz w:val="22"/>
                <w:szCs w:val="22"/>
              </w:rPr>
              <w:t xml:space="preserve">Apjoms, tūkst. tonnu naftas </w:t>
            </w:r>
            <w:r w:rsidRPr="0067598F">
              <w:rPr>
                <w:b/>
                <w:sz w:val="22"/>
                <w:szCs w:val="22"/>
              </w:rPr>
              <w:t>ekv</w:t>
            </w:r>
            <w:r w:rsidRPr="0067598F">
              <w:rPr>
                <w:b/>
                <w:sz w:val="22"/>
                <w:szCs w:val="22"/>
              </w:rPr>
              <w:t>.</w:t>
            </w:r>
          </w:p>
        </w:tc>
      </w:tr>
      <w:tr w14:paraId="36E65053" w14:textId="77777777" w:rsidTr="00881B7E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881B7E" w:rsidRPr="0067598F" w:rsidP="00881B7E" w14:paraId="297AD34C" w14:textId="77777777">
            <w:pPr>
              <w:spacing w:before="40" w:after="40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Labība un citi cieti saturoši augi</w:t>
            </w:r>
          </w:p>
        </w:tc>
        <w:tc>
          <w:tcPr>
            <w:tcW w:w="0" w:type="auto"/>
            <w:shd w:val="clear" w:color="auto" w:fill="auto"/>
            <w:noWrap/>
          </w:tcPr>
          <w:p w:rsidR="00881B7E" w:rsidRPr="0067598F" w:rsidP="00881B7E" w14:paraId="6808DBD4" w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14:paraId="39205627" w14:textId="77777777" w:rsidTr="00881B7E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881B7E" w:rsidRPr="0067598F" w:rsidP="00881B7E" w14:paraId="3CA440BE" w14:textId="77777777">
            <w:pPr>
              <w:spacing w:before="40" w:after="40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Cukuri</w:t>
            </w:r>
          </w:p>
        </w:tc>
        <w:tc>
          <w:tcPr>
            <w:tcW w:w="0" w:type="auto"/>
            <w:shd w:val="clear" w:color="auto" w:fill="auto"/>
            <w:noWrap/>
          </w:tcPr>
          <w:p w:rsidR="00881B7E" w:rsidRPr="0067598F" w:rsidP="00881B7E" w14:paraId="04548288" w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14:paraId="0D9FB9B0" w14:textId="77777777" w:rsidTr="00881B7E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881B7E" w:rsidRPr="0067598F" w:rsidP="00881B7E" w14:paraId="2895D93B" w14:textId="77777777">
            <w:pPr>
              <w:spacing w:before="40" w:after="40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Eļļas augi</w:t>
            </w:r>
          </w:p>
        </w:tc>
        <w:tc>
          <w:tcPr>
            <w:tcW w:w="0" w:type="auto"/>
            <w:shd w:val="clear" w:color="auto" w:fill="auto"/>
            <w:noWrap/>
          </w:tcPr>
          <w:p w:rsidR="00881B7E" w:rsidRPr="0067598F" w:rsidP="00881B7E" w14:paraId="17BB75B7" w14:textId="777777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867529" w:rsidP="00CB72BB" w14:paraId="43A33E00" w14:textId="77777777">
      <w:pPr>
        <w:jc w:val="center"/>
        <w:rPr>
          <w:b/>
          <w:spacing w:val="-3"/>
        </w:rPr>
      </w:pPr>
    </w:p>
    <w:p w:rsidR="00881B7E" w:rsidP="00CB72BB" w14:paraId="688E4E27" w14:textId="77777777">
      <w:pPr>
        <w:jc w:val="center"/>
        <w:rPr>
          <w:b/>
          <w:spacing w:val="-3"/>
        </w:rPr>
      </w:pPr>
      <w:r>
        <w:rPr>
          <w:b/>
          <w:spacing w:val="-3"/>
        </w:rPr>
        <w:t xml:space="preserve">IV. </w:t>
      </w:r>
      <w:r w:rsidR="0067598F">
        <w:rPr>
          <w:b/>
          <w:spacing w:val="-3"/>
        </w:rPr>
        <w:t xml:space="preserve">Informācija par </w:t>
      </w:r>
      <w:r w:rsidR="00A54EE3">
        <w:rPr>
          <w:b/>
          <w:spacing w:val="-3"/>
        </w:rPr>
        <w:t>g</w:t>
      </w:r>
      <w:r w:rsidRPr="00A54EE3" w:rsidR="00A54EE3">
        <w:rPr>
          <w:b/>
          <w:spacing w:val="-3"/>
        </w:rPr>
        <w:t>alapatēriņam</w:t>
      </w:r>
      <w:r w:rsidRPr="00A54EE3" w:rsidR="00A54EE3">
        <w:rPr>
          <w:b/>
          <w:spacing w:val="-3"/>
        </w:rPr>
        <w:t xml:space="preserve"> transportā Latvijā nodot</w:t>
      </w:r>
      <w:r w:rsidR="00A54EE3">
        <w:rPr>
          <w:b/>
          <w:spacing w:val="-3"/>
        </w:rPr>
        <w:t>o</w:t>
      </w:r>
      <w:r w:rsidR="00D8338C">
        <w:rPr>
          <w:b/>
          <w:spacing w:val="-3"/>
        </w:rPr>
        <w:t xml:space="preserve"> </w:t>
      </w:r>
      <w:r w:rsidRPr="00881B7E">
        <w:rPr>
          <w:b/>
          <w:spacing w:val="-3"/>
        </w:rPr>
        <w:t xml:space="preserve">biodegvielu </w:t>
      </w:r>
      <w:r w:rsidR="0067598F">
        <w:rPr>
          <w:b/>
          <w:spacing w:val="-3"/>
        </w:rPr>
        <w:t>apjomu</w:t>
      </w:r>
      <w:r w:rsidRPr="00881B7E">
        <w:rPr>
          <w:b/>
          <w:spacing w:val="-3"/>
        </w:rPr>
        <w:t xml:space="preserve">, kuras ražotas no atkritumiem, atlikumiem, nepārtikas celulozes materiāla un </w:t>
      </w:r>
      <w:r w:rsidRPr="00881B7E">
        <w:rPr>
          <w:b/>
          <w:spacing w:val="-3"/>
        </w:rPr>
        <w:t>lignocelulozes</w:t>
      </w:r>
      <w:r w:rsidRPr="00881B7E">
        <w:rPr>
          <w:b/>
          <w:spacing w:val="-3"/>
        </w:rPr>
        <w:t xml:space="preserve"> materiāla</w:t>
      </w:r>
    </w:p>
    <w:p w:rsidR="00881B7E" w:rsidP="00CB72BB" w14:paraId="36592B4D" w14:textId="77777777">
      <w:pPr>
        <w:jc w:val="center"/>
        <w:rPr>
          <w:b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6"/>
        <w:gridCol w:w="2326"/>
      </w:tblGrid>
      <w:tr w14:paraId="37398325" w14:textId="77777777" w:rsidTr="0067598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15"/>
          <w:jc w:val="center"/>
        </w:trPr>
        <w:tc>
          <w:tcPr>
            <w:tcW w:w="7656" w:type="dxa"/>
            <w:shd w:val="clear" w:color="auto" w:fill="D9D9D9" w:themeFill="background1" w:themeFillShade="D9"/>
          </w:tcPr>
          <w:p w:rsidR="0067598F" w:rsidRPr="0067598F" w:rsidP="00881B7E" w14:paraId="15DEE97D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ind w:left="271" w:hanging="27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598F">
              <w:rPr>
                <w:rFonts w:ascii="Times New Roman" w:hAnsi="Times New Roman"/>
                <w:b/>
                <w:sz w:val="22"/>
                <w:szCs w:val="22"/>
              </w:rPr>
              <w:t>Izejvielu veids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67598F" w:rsidRPr="0067598F" w:rsidP="00881B7E" w14:paraId="23B022F3" w14:textId="77777777">
            <w:pPr>
              <w:pStyle w:val="CM4"/>
              <w:suppressAutoHyphens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598F">
              <w:rPr>
                <w:rFonts w:ascii="Times New Roman" w:hAnsi="Times New Roman"/>
                <w:b/>
                <w:sz w:val="22"/>
                <w:szCs w:val="22"/>
              </w:rPr>
              <w:t xml:space="preserve">Apjoms, tūkst. tonnu naftas </w:t>
            </w:r>
            <w:r w:rsidRPr="0067598F">
              <w:rPr>
                <w:rFonts w:ascii="Times New Roman" w:hAnsi="Times New Roman"/>
                <w:b/>
                <w:sz w:val="22"/>
                <w:szCs w:val="22"/>
              </w:rPr>
              <w:t>ekv</w:t>
            </w:r>
            <w:r w:rsidRPr="006759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14:paraId="053DF932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3468E521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98F">
              <w:rPr>
                <w:rFonts w:ascii="Times New Roman" w:hAnsi="Times New Roman"/>
                <w:sz w:val="22"/>
                <w:szCs w:val="22"/>
              </w:rPr>
              <w:t xml:space="preserve">Aļģes, ja tās audzētas uz zemes dīķos vai </w:t>
            </w:r>
            <w:r w:rsidRPr="0067598F">
              <w:rPr>
                <w:rFonts w:ascii="Times New Roman" w:hAnsi="Times New Roman"/>
                <w:sz w:val="22"/>
                <w:szCs w:val="22"/>
              </w:rPr>
              <w:t>fotobioreaktoros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372AEFCA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14:paraId="5953A192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585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358D9A5A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598F">
              <w:rPr>
                <w:rFonts w:ascii="Times New Roman" w:hAnsi="Times New Roman"/>
                <w:sz w:val="22"/>
                <w:szCs w:val="22"/>
              </w:rPr>
              <w:t>Jauktu sadzīves atkritumu biomasas frakcija (neattiecas uz dalītiem sadzīves atkritumiem)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14674876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7DD4CE3F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585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786A3B8C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Bioloģiski atkritumi, kuru izcelsme ir privātas mājsaimniecības, uz kurām attiecas dalīta savākšana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1E7B5E13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538DCAAA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1435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67F954CC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Rūpniecības atkritumu biomasas frakcija, ko nevar izmantot pārtikas vai barības ķēdē, tostarp materiāli no mazumtirdzniecības un vairumtirdzniecības un lauksaimniecības pārtikas ražošanas, un zvejniecības un akvakultūras nozares, izņemot </w:t>
            </w:r>
            <w:r>
              <w:rPr>
                <w:sz w:val="22"/>
                <w:szCs w:val="22"/>
              </w:rPr>
              <w:t>l</w:t>
            </w:r>
            <w:r w:rsidRPr="0067598F">
              <w:rPr>
                <w:sz w:val="22"/>
                <w:szCs w:val="22"/>
              </w:rPr>
              <w:t>ietot</w:t>
            </w:r>
            <w:r>
              <w:rPr>
                <w:sz w:val="22"/>
                <w:szCs w:val="22"/>
              </w:rPr>
              <w:t>u</w:t>
            </w:r>
            <w:r w:rsidRPr="0067598F">
              <w:rPr>
                <w:sz w:val="22"/>
                <w:szCs w:val="22"/>
              </w:rPr>
              <w:t xml:space="preserve"> cepam</w:t>
            </w:r>
            <w:r>
              <w:rPr>
                <w:sz w:val="22"/>
                <w:szCs w:val="22"/>
              </w:rPr>
              <w:t>o eļļu un d</w:t>
            </w:r>
            <w:r w:rsidRPr="0067598F">
              <w:rPr>
                <w:sz w:val="22"/>
                <w:szCs w:val="22"/>
              </w:rPr>
              <w:t>zīvnieku tauki, ko klasificē 1. un 2. kategorijā saskaņā ar Eiropas Parlamenta un Padomes Regulu (EK) Nr. 1069/2009</w:t>
            </w:r>
            <w:r w:rsidRPr="00CD24B3" w:rsidR="00CD24B3">
              <w:rPr>
                <w:sz w:val="22"/>
                <w:szCs w:val="22"/>
              </w:rPr>
              <w:t>, ar ko nosaka veselības aizsardzības noteikumus attiecībā uz dzīvnieku izcelsmes blakusproduktiem un atvasinātajiem produktiem, kuri nav paredzēti cilvēku patēriņam, un ar ko atceļ Regulu (EK) Nr. 1774/2002 (Dzīvnieku izcelsmes blakusproduktu regula)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63371782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26552BEB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01A4BFF1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rFonts w:ascii="Times New Roman" w:hAnsi="Times New Roman"/>
                <w:sz w:val="22"/>
                <w:szCs w:val="22"/>
              </w:rPr>
              <w:t>Salmi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28642E69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458AFEF4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2C829713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Kūtsmēsli un notekūdeņu dūņas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28EA74AE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24717FD3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0063C0A2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Palmu eļļas ražošanas šķidrās atliekas un tukši palmu augļu ķekari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0DE1A487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2C7EF167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15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31418D03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Taleļļas</w:t>
            </w:r>
            <w:r w:rsidRPr="0067598F">
              <w:rPr>
                <w:sz w:val="22"/>
                <w:szCs w:val="22"/>
              </w:rPr>
              <w:t xml:space="preserve"> darva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3ACB8375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2D63A4D4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1CFFC45A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Neattīrīts glicerīns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1B1C728F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62F15177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62B71A6D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rFonts w:ascii="Times New Roman" w:hAnsi="Times New Roman"/>
                <w:sz w:val="22"/>
                <w:szCs w:val="22"/>
              </w:rPr>
              <w:t>Cukurniedru rauši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257DB765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43EFAA40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5ECF2FC6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Vīnogu čagas un vīna nogulsnes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4D68AE33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4300E610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5C633D47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Riekstu čaumalas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6632B970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45ACB093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1486CEA1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rFonts w:ascii="Times New Roman" w:hAnsi="Times New Roman"/>
                <w:sz w:val="22"/>
                <w:szCs w:val="22"/>
              </w:rPr>
              <w:t>Sēnalas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12B1AFA9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38E26265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0CFECA80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Kaceni, kas attīrīti no kukurūzas graudiem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25AB54D6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091DADD4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109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5FE58F8F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Mežsaimniecības un uz mežsaimniecību balstītu nozaru atkritumu un atlikumu biomasas frakcija, t. i., mizas, zari, pirms tirgū laišanas veiktas </w:t>
            </w:r>
            <w:r w:rsidRPr="0067598F">
              <w:rPr>
                <w:sz w:val="22"/>
                <w:szCs w:val="22"/>
              </w:rPr>
              <w:t>starpcirtes</w:t>
            </w:r>
            <w:r w:rsidRPr="0067598F">
              <w:rPr>
                <w:sz w:val="22"/>
                <w:szCs w:val="22"/>
              </w:rPr>
              <w:t xml:space="preserve"> produkti, lapas, skujas, koku galotnes, zāģskaidas, ēveļskaidas, melnais </w:t>
            </w:r>
            <w:r w:rsidRPr="0067598F">
              <w:rPr>
                <w:sz w:val="22"/>
                <w:szCs w:val="22"/>
              </w:rPr>
              <w:t>atsārms</w:t>
            </w:r>
            <w:r w:rsidRPr="0067598F">
              <w:rPr>
                <w:sz w:val="22"/>
                <w:szCs w:val="22"/>
              </w:rPr>
              <w:t xml:space="preserve">, brūnais </w:t>
            </w:r>
            <w:r w:rsidRPr="0067598F">
              <w:rPr>
                <w:sz w:val="22"/>
                <w:szCs w:val="22"/>
              </w:rPr>
              <w:t>atsārms</w:t>
            </w:r>
            <w:r w:rsidRPr="0067598F">
              <w:rPr>
                <w:sz w:val="22"/>
                <w:szCs w:val="22"/>
              </w:rPr>
              <w:t xml:space="preserve">, šķiedru nogulsnes, lignīns un </w:t>
            </w:r>
            <w:r w:rsidRPr="0067598F">
              <w:rPr>
                <w:sz w:val="22"/>
                <w:szCs w:val="22"/>
              </w:rPr>
              <w:t>taleļļa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04C15D1C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4ABDE29D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52A24966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Cits nepārtikas celulozes materiāls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36E6AE6A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67F9B4D5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47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71AB6D29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 xml:space="preserve">Cits </w:t>
            </w:r>
            <w:r w:rsidRPr="0067598F">
              <w:rPr>
                <w:sz w:val="22"/>
                <w:szCs w:val="22"/>
              </w:rPr>
              <w:t>lignocelulozes</w:t>
            </w:r>
            <w:r w:rsidRPr="0067598F">
              <w:rPr>
                <w:sz w:val="22"/>
                <w:szCs w:val="22"/>
              </w:rPr>
              <w:t xml:space="preserve"> materiāls, izņemot zāģbaļķus un finierklučus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5887ACB6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2DCBB2C8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33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719B2CBD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Lietota cepamā eļļa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691034EF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14:paraId="0668D6BC" w14:textId="77777777" w:rsidTr="0067598F">
        <w:tblPrEx>
          <w:tblW w:w="0" w:type="auto"/>
          <w:jc w:val="center"/>
          <w:tblLayout w:type="fixed"/>
          <w:tblLook w:val="01E0"/>
        </w:tblPrEx>
        <w:trPr>
          <w:trHeight w:val="570"/>
          <w:jc w:val="center"/>
        </w:trPr>
        <w:tc>
          <w:tcPr>
            <w:tcW w:w="7656" w:type="dxa"/>
            <w:shd w:val="clear" w:color="auto" w:fill="auto"/>
          </w:tcPr>
          <w:p w:rsidR="0067598F" w:rsidRPr="0067598F" w:rsidP="00CD24B3" w14:paraId="7A966317" w14:textId="77777777">
            <w:pPr>
              <w:pStyle w:val="CM4"/>
              <w:tabs>
                <w:tab w:val="left" w:pos="271"/>
              </w:tabs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67598F">
              <w:rPr>
                <w:sz w:val="22"/>
                <w:szCs w:val="22"/>
              </w:rPr>
              <w:t>Dzīvnieku tauki, ko klasificē 1. un 2. kategorijā saskaņā ar Eiropas Parlamenta un Padomes Regulu (EK) Nr. 1069/2009</w:t>
            </w:r>
            <w:r w:rsidRPr="00CD24B3" w:rsidR="00CD24B3">
              <w:rPr>
                <w:sz w:val="22"/>
                <w:szCs w:val="22"/>
              </w:rPr>
              <w:t>, ar ko nosaka veselības aizsardzības noteikumus attiecībā uz dzīvnieku izcelsmes blakusproduktiem un atvasinātajiem produktiem, kuri nav paredzēti cilvēku patēriņam, un ar ko atceļ Regulu (EK) Nr. 1774/2002 (Dzīvnieku izcelsmes blakusproduktu regula)</w:t>
            </w:r>
          </w:p>
        </w:tc>
        <w:tc>
          <w:tcPr>
            <w:tcW w:w="2326" w:type="dxa"/>
            <w:shd w:val="clear" w:color="auto" w:fill="auto"/>
          </w:tcPr>
          <w:p w:rsidR="0067598F" w:rsidRPr="0067598F" w:rsidP="00881B7E" w14:paraId="766471A6" w14:textId="77777777">
            <w:pPr>
              <w:pStyle w:val="CM4"/>
              <w:suppressAutoHyphens/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81B7E" w:rsidP="00CD24B3" w14:paraId="7F028D49" w14:textId="77777777">
      <w:pPr>
        <w:rPr>
          <w:b/>
          <w:spacing w:val="-3"/>
        </w:rPr>
      </w:pPr>
    </w:p>
    <w:p w:rsidR="00CB72BB" w:rsidRPr="00201120" w:rsidP="00CB72BB" w14:paraId="1FF3230E" w14:textId="77777777">
      <w:pPr>
        <w:jc w:val="center"/>
        <w:rPr>
          <w:b/>
          <w:spacing w:val="-3"/>
        </w:rPr>
      </w:pPr>
      <w:r>
        <w:rPr>
          <w:b/>
          <w:spacing w:val="-3"/>
        </w:rPr>
        <w:t>V</w:t>
      </w:r>
      <w:r w:rsidRPr="00201120" w:rsidR="00881B7E">
        <w:rPr>
          <w:b/>
          <w:spacing w:val="-3"/>
        </w:rPr>
        <w:t>. Informācija par</w:t>
      </w:r>
      <w:r w:rsidRPr="00201120" w:rsidR="00881B7E">
        <w:t xml:space="preserve"> </w:t>
      </w:r>
      <w:r w:rsidR="00A54EE3">
        <w:rPr>
          <w:b/>
          <w:spacing w:val="-3"/>
        </w:rPr>
        <w:t>g</w:t>
      </w:r>
      <w:r w:rsidRPr="00A54EE3" w:rsidR="00A54EE3">
        <w:rPr>
          <w:b/>
          <w:spacing w:val="-3"/>
        </w:rPr>
        <w:t>alapatēriņam</w:t>
      </w:r>
      <w:r w:rsidRPr="00A54EE3" w:rsidR="00A54EE3">
        <w:rPr>
          <w:b/>
          <w:spacing w:val="-3"/>
        </w:rPr>
        <w:t xml:space="preserve"> transportā Latvijā nodot</w:t>
      </w:r>
      <w:r w:rsidR="00A54EE3">
        <w:rPr>
          <w:b/>
          <w:spacing w:val="-3"/>
        </w:rPr>
        <w:t>ās</w:t>
      </w:r>
      <w:r w:rsidRPr="00A54EE3" w:rsidR="00A54EE3">
        <w:rPr>
          <w:b/>
          <w:spacing w:val="-3"/>
        </w:rPr>
        <w:t xml:space="preserve"> </w:t>
      </w:r>
      <w:r w:rsidRPr="00201120" w:rsidR="00881B7E">
        <w:rPr>
          <w:b/>
          <w:spacing w:val="-3"/>
        </w:rPr>
        <w:t xml:space="preserve">transporta enerģijas siltumnīcefekta gāzu emisiju intensitāti </w:t>
      </w:r>
    </w:p>
    <w:p w:rsidR="00CB72BB" w:rsidP="00CB72BB" w14:paraId="4D949B8A" w14:textId="77777777">
      <w:pPr>
        <w:jc w:val="center"/>
        <w:rPr>
          <w:b/>
          <w:spacing w:val="-3"/>
        </w:rPr>
      </w:pPr>
    </w:p>
    <w:p w:rsidR="00B70540" w:rsidRPr="00B70540" w:rsidP="00867529" w14:paraId="591FD399" w14:textId="304C8BE8">
      <w:pPr>
        <w:jc w:val="both"/>
        <w:rPr>
          <w:spacing w:val="-3"/>
        </w:rPr>
      </w:pPr>
      <w:r>
        <w:rPr>
          <w:spacing w:val="-3"/>
        </w:rPr>
        <w:t>Iekļauj i</w:t>
      </w:r>
      <w:r>
        <w:rPr>
          <w:spacing w:val="-3"/>
        </w:rPr>
        <w:t>nformācij</w:t>
      </w:r>
      <w:r>
        <w:rPr>
          <w:spacing w:val="-3"/>
        </w:rPr>
        <w:t>u</w:t>
      </w:r>
      <w:r w:rsidRPr="00B70540">
        <w:rPr>
          <w:spacing w:val="-3"/>
        </w:rPr>
        <w:t xml:space="preserve">, kas </w:t>
      </w:r>
      <w:r>
        <w:rPr>
          <w:spacing w:val="-3"/>
        </w:rPr>
        <w:t>sniedzama saskaņā ar normatīvajiem aktiem par t</w:t>
      </w:r>
      <w:r w:rsidRPr="00B70540">
        <w:rPr>
          <w:spacing w:val="-3"/>
        </w:rPr>
        <w:t>ransporta enerģijas aprites cikla siltumnīcefekta gāzu emisiju daudzuma un tā samazinājuma aprēķināšan</w:t>
      </w:r>
      <w:r>
        <w:rPr>
          <w:spacing w:val="-3"/>
        </w:rPr>
        <w:t>u</w:t>
      </w:r>
      <w:r>
        <w:rPr>
          <w:spacing w:val="-3"/>
        </w:rPr>
        <w:t>.</w:t>
      </w:r>
      <w:r>
        <w:rPr>
          <w:spacing w:val="-3"/>
        </w:rPr>
        <w:t xml:space="preserve"> </w:t>
      </w:r>
    </w:p>
    <w:p w:rsidR="00B70540" w:rsidRPr="00201120" w:rsidP="00867529" w14:paraId="350585F3" w14:textId="77777777">
      <w:pPr>
        <w:rPr>
          <w:b/>
          <w:spacing w:val="-3"/>
        </w:rPr>
      </w:pPr>
    </w:p>
    <w:p w:rsidR="00CB72BB" w:rsidRPr="00201120" w:rsidP="00CB72BB" w14:paraId="2FF08E4D" w14:textId="77777777">
      <w:pPr>
        <w:jc w:val="center"/>
        <w:rPr>
          <w:b/>
        </w:rPr>
      </w:pPr>
      <w:r w:rsidRPr="00201120">
        <w:rPr>
          <w:b/>
        </w:rPr>
        <w:t>V</w:t>
      </w:r>
      <w:r w:rsidR="00CD24B3">
        <w:rPr>
          <w:b/>
        </w:rPr>
        <w:t>I</w:t>
      </w:r>
      <w:r w:rsidRPr="00201120">
        <w:rPr>
          <w:b/>
        </w:rPr>
        <w:t xml:space="preserve">. Informācija par atjaunojamo energoresursu daļu </w:t>
      </w:r>
      <w:r w:rsidR="00A54EE3">
        <w:rPr>
          <w:b/>
        </w:rPr>
        <w:t>g</w:t>
      </w:r>
      <w:r w:rsidRPr="00A54EE3" w:rsidR="00A54EE3">
        <w:rPr>
          <w:b/>
        </w:rPr>
        <w:t>alapatēriņam</w:t>
      </w:r>
      <w:r w:rsidRPr="00A54EE3" w:rsidR="00A54EE3">
        <w:rPr>
          <w:b/>
        </w:rPr>
        <w:t xml:space="preserve"> transportā Latvijā nodot</w:t>
      </w:r>
      <w:r w:rsidR="00A54EE3">
        <w:rPr>
          <w:b/>
        </w:rPr>
        <w:t xml:space="preserve">ajā </w:t>
      </w:r>
      <w:r w:rsidRPr="00201120">
        <w:rPr>
          <w:b/>
        </w:rPr>
        <w:t>produkcijā</w:t>
      </w:r>
    </w:p>
    <w:p w:rsidR="0024489B" w:rsidP="00067DFE" w14:paraId="3A8FDD57" w14:textId="77777777">
      <w:pPr>
        <w:rPr>
          <w:rFonts w:eastAsia="Calibri" w:cs="DejaVu Sans"/>
          <w:color w:val="00000A"/>
          <w:sz w:val="28"/>
          <w:szCs w:val="22"/>
          <w:lang w:eastAsia="en-US"/>
        </w:rPr>
      </w:pPr>
    </w:p>
    <w:p w:rsidR="00B70540" w:rsidP="00867529" w14:paraId="3C2B2361" w14:textId="044DB229">
      <w:pPr>
        <w:jc w:val="both"/>
        <w:rPr>
          <w:rFonts w:eastAsia="Calibri"/>
          <w:lang w:eastAsia="en-US"/>
        </w:rPr>
      </w:pPr>
      <w:r>
        <w:rPr>
          <w:spacing w:val="-3"/>
        </w:rPr>
        <w:t xml:space="preserve">Iekļauj </w:t>
      </w:r>
      <w:r>
        <w:rPr>
          <w:rFonts w:eastAsia="Calibri"/>
          <w:lang w:eastAsia="en-US"/>
        </w:rPr>
        <w:t>a</w:t>
      </w:r>
      <w:r w:rsidR="00867529">
        <w:rPr>
          <w:rFonts w:eastAsia="Calibri"/>
          <w:lang w:eastAsia="en-US"/>
        </w:rPr>
        <w:t>prēķin</w:t>
      </w:r>
      <w:r>
        <w:rPr>
          <w:rFonts w:eastAsia="Calibri"/>
          <w:lang w:eastAsia="en-US"/>
        </w:rPr>
        <w:t>u</w:t>
      </w:r>
      <w:r w:rsidR="00867529">
        <w:rPr>
          <w:rFonts w:eastAsia="Calibri"/>
          <w:lang w:eastAsia="en-US"/>
        </w:rPr>
        <w:t xml:space="preserve"> par </w:t>
      </w:r>
      <w:r w:rsidRPr="00867529" w:rsidR="00867529">
        <w:rPr>
          <w:rFonts w:eastAsia="Calibri"/>
          <w:lang w:eastAsia="en-US"/>
        </w:rPr>
        <w:t>atjaunojamo energoresursu daļu realizētajā produkcijā</w:t>
      </w:r>
      <w:r w:rsidR="00867529">
        <w:rPr>
          <w:rFonts w:eastAsia="Calibri"/>
          <w:lang w:eastAsia="en-US"/>
        </w:rPr>
        <w:t xml:space="preserve"> saskaņā ar normatīvajiem aktiem par pienākumu realizēt atjaunojamos energoresursus (atbilstošais normatīvais akts šobrīd ir izstrādes stadijā). </w:t>
      </w:r>
    </w:p>
    <w:p w:rsidR="00867529" w:rsidP="00867529" w14:paraId="5DF912BC" w14:textId="77777777">
      <w:pPr>
        <w:rPr>
          <w:rFonts w:eastAsia="Calibri"/>
          <w:lang w:eastAsia="en-US"/>
        </w:rPr>
      </w:pPr>
    </w:p>
    <w:p w:rsidR="00CD24B3" w:rsidP="00067DFE" w14:paraId="37508F9D" w14:textId="77777777">
      <w:pPr>
        <w:rPr>
          <w:rFonts w:eastAsia="Calibri" w:cs="DejaVu Sans"/>
          <w:color w:val="00000A"/>
          <w:sz w:val="28"/>
          <w:szCs w:val="22"/>
          <w:lang w:eastAsia="en-US"/>
        </w:rPr>
      </w:pPr>
    </w:p>
    <w:p w:rsidR="00067DFE" w:rsidRPr="00201120" w:rsidP="00CD24B3" w14:paraId="28A2414B" w14:textId="77777777">
      <w:pPr>
        <w:rPr>
          <w:sz w:val="20"/>
        </w:rPr>
      </w:pPr>
      <w:r>
        <w:rPr>
          <w:rFonts w:eastAsia="Calibri" w:cs="DejaVu Sans"/>
          <w:color w:val="00000A"/>
          <w:sz w:val="28"/>
          <w:szCs w:val="22"/>
          <w:lang w:eastAsia="en-US"/>
        </w:rPr>
        <w:br w:type="page"/>
      </w:r>
      <w:r w:rsidRPr="00201120" w:rsidR="00881B7E">
        <w:rPr>
          <w:b/>
          <w:spacing w:val="-3"/>
        </w:rPr>
        <w:t>V</w:t>
      </w:r>
      <w:r>
        <w:rPr>
          <w:b/>
          <w:spacing w:val="-3"/>
        </w:rPr>
        <w:t>II</w:t>
      </w:r>
      <w:r w:rsidRPr="00201120" w:rsidR="003E02C5">
        <w:rPr>
          <w:b/>
          <w:spacing w:val="-3"/>
        </w:rPr>
        <w:t xml:space="preserve">. </w:t>
      </w:r>
      <w:r w:rsidRPr="00201120" w:rsidR="00881B7E">
        <w:rPr>
          <w:b/>
          <w:spacing w:val="-3"/>
        </w:rPr>
        <w:t>Neatkarīga</w:t>
      </w:r>
      <w:r w:rsidR="006072E4">
        <w:rPr>
          <w:b/>
          <w:spacing w:val="-3"/>
        </w:rPr>
        <w:t>s</w:t>
      </w:r>
      <w:r w:rsidRPr="00201120" w:rsidR="00881B7E">
        <w:rPr>
          <w:b/>
          <w:spacing w:val="-3"/>
        </w:rPr>
        <w:t xml:space="preserve"> </w:t>
      </w:r>
      <w:r w:rsidRPr="006072E4" w:rsidR="00881B7E">
        <w:rPr>
          <w:b/>
          <w:spacing w:val="-3"/>
        </w:rPr>
        <w:t>akreditēta</w:t>
      </w:r>
      <w:r w:rsidRPr="006072E4" w:rsidR="006072E4">
        <w:rPr>
          <w:b/>
          <w:spacing w:val="-3"/>
        </w:rPr>
        <w:t>s</w:t>
      </w:r>
      <w:r w:rsidRPr="006072E4" w:rsidR="00881B7E">
        <w:rPr>
          <w:b/>
          <w:spacing w:val="-3"/>
        </w:rPr>
        <w:t xml:space="preserve"> </w:t>
      </w:r>
      <w:r w:rsidRPr="006072E4" w:rsidR="006072E4">
        <w:rPr>
          <w:b/>
        </w:rPr>
        <w:t>atbilstības novērtēšanas institūcijas</w:t>
      </w:r>
      <w:r w:rsidRPr="006072E4" w:rsidR="00881B7E">
        <w:rPr>
          <w:b/>
          <w:spacing w:val="-3"/>
        </w:rPr>
        <w:t xml:space="preserve"> atzinums</w:t>
      </w:r>
      <w:r w:rsidRPr="00201120" w:rsidR="00881B7E">
        <w:rPr>
          <w:b/>
          <w:spacing w:val="-3"/>
        </w:rPr>
        <w:t xml:space="preserve"> par </w:t>
      </w:r>
      <w:r w:rsidRPr="00201120" w:rsidR="003E02C5">
        <w:rPr>
          <w:b/>
          <w:spacing w:val="-3"/>
        </w:rPr>
        <w:t>degvielas piegādātāja sniegtās informācijas</w:t>
      </w:r>
      <w:r w:rsidRPr="00201120" w:rsidR="00881B7E">
        <w:rPr>
          <w:b/>
          <w:spacing w:val="-3"/>
        </w:rPr>
        <w:t xml:space="preserve"> atbilstību</w:t>
      </w:r>
      <w:r w:rsidRPr="00201120" w:rsidR="00881B7E">
        <w:rPr>
          <w:spacing w:val="-3"/>
        </w:rPr>
        <w:t xml:space="preserve"> </w:t>
      </w:r>
      <w:r w:rsidRPr="00201120" w:rsidR="00881B7E">
        <w:rPr>
          <w:sz w:val="20"/>
        </w:rPr>
        <w:t>(atzīmēt ar X, ja attiecas)</w:t>
      </w:r>
    </w:p>
    <w:p w:rsidR="00067DFE" w:rsidRPr="00201120" w:rsidP="00067DFE" w14:paraId="73AFAA1E" w14:textId="77777777">
      <w:pPr>
        <w:ind w:firstLine="284"/>
        <w:jc w:val="both"/>
        <w:rPr>
          <w:sz w:val="20"/>
        </w:rPr>
      </w:pPr>
    </w:p>
    <w:p w:rsidR="00067DFE" w:rsidRPr="006072E4" w:rsidP="00067DFE" w14:paraId="351E32DE" w14:textId="77777777">
      <w:pPr>
        <w:tabs>
          <w:tab w:val="left" w:pos="6379"/>
        </w:tabs>
        <w:ind w:firstLine="426"/>
        <w:jc w:val="both"/>
        <w:rPr>
          <w:u w:val="single"/>
        </w:rPr>
      </w:pPr>
      <w:r w:rsidRPr="00201120">
        <w:t>Neatkarīg</w:t>
      </w:r>
      <w:r w:rsidR="006072E4">
        <w:t>a</w:t>
      </w:r>
      <w:r w:rsidRPr="00201120">
        <w:t xml:space="preserve"> </w:t>
      </w:r>
      <w:r w:rsidRPr="006072E4">
        <w:t>akreditēt</w:t>
      </w:r>
      <w:r w:rsidRPr="006072E4" w:rsidR="006072E4">
        <w:t>a</w:t>
      </w:r>
      <w:r w:rsidRPr="006072E4">
        <w:t xml:space="preserve"> </w:t>
      </w:r>
      <w:r w:rsidRPr="006072E4" w:rsidR="006072E4">
        <w:t>atbilstības novērtēšanas institūcija</w:t>
      </w:r>
      <w:r w:rsidRPr="006072E4">
        <w:t>:</w:t>
      </w:r>
    </w:p>
    <w:p w:rsidR="00067DFE" w:rsidRPr="00201120" w:rsidP="00067DFE" w14:paraId="62922CC3" w14:textId="77777777">
      <w:pPr>
        <w:tabs>
          <w:tab w:val="left" w:pos="6379"/>
        </w:tabs>
        <w:rPr>
          <w:spacing w:val="-3"/>
          <w:sz w:val="10"/>
          <w:szCs w:val="10"/>
        </w:rPr>
      </w:pPr>
    </w:p>
    <w:tbl>
      <w:tblPr>
        <w:tblpPr w:leftFromText="180" w:rightFromText="180" w:bottomFromText="200" w:vertAnchor="text" w:horzAnchor="page" w:tblpX="1823" w:tblpY="7"/>
        <w:tblW w:w="0" w:type="auto"/>
        <w:tblLayout w:type="fixed"/>
        <w:tblLook w:val="04A0"/>
      </w:tblPr>
      <w:tblGrid>
        <w:gridCol w:w="284"/>
      </w:tblGrid>
      <w:tr w14:paraId="5EB1B479" w14:textId="77777777" w:rsidTr="00067DFE">
        <w:tblPrEx>
          <w:tblW w:w="0" w:type="auto"/>
          <w:tblLayout w:type="fixed"/>
          <w:tblLook w:val="04A0"/>
        </w:tblPrEx>
        <w:trPr>
          <w:trHeight w:val="2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DFE" w:rsidRPr="006072E4" w14:paraId="1CCC24EF" w14:textId="77777777">
            <w:pPr>
              <w:pStyle w:val="Default"/>
              <w:snapToGrid w:val="0"/>
              <w:spacing w:line="276" w:lineRule="auto"/>
              <w:rPr>
                <w:i/>
                <w:iCs/>
                <w:sz w:val="23"/>
                <w:szCs w:val="23"/>
                <w:lang w:val="lv-LV"/>
              </w:rPr>
            </w:pPr>
          </w:p>
        </w:tc>
      </w:tr>
    </w:tbl>
    <w:p w:rsidR="00067DFE" w:rsidRPr="00201120" w:rsidP="00067DFE" w14:paraId="62656304" w14:textId="77777777">
      <w:pPr>
        <w:tabs>
          <w:tab w:val="left" w:pos="7371"/>
        </w:tabs>
        <w:jc w:val="both"/>
        <w:rPr>
          <w:rFonts w:eastAsia="Calibri" w:cs="DejaVu Sans"/>
          <w:iCs/>
          <w:color w:val="00000A"/>
          <w:lang w:eastAsia="en-US"/>
        </w:rPr>
      </w:pPr>
      <w:r w:rsidRPr="00201120">
        <w:t xml:space="preserve">apliecina, ka komersanta </w:t>
      </w:r>
      <w:r w:rsidRPr="00201120">
        <w:rPr>
          <w:u w:val="single"/>
        </w:rPr>
        <w:tab/>
      </w:r>
      <w:r w:rsidRPr="00201120">
        <w:t xml:space="preserve"> gada pārskatā norādītie dati par </w:t>
      </w:r>
      <w:r w:rsidRPr="00201120" w:rsidR="003E02C5">
        <w:rPr>
          <w:iCs/>
        </w:rPr>
        <w:t>realizēto transporta enerģij</w:t>
      </w:r>
      <w:r w:rsidRPr="00201120" w:rsidR="00CB72BB">
        <w:rPr>
          <w:iCs/>
        </w:rPr>
        <w:t>as</w:t>
      </w:r>
      <w:r w:rsidRPr="00201120" w:rsidR="0024489B">
        <w:rPr>
          <w:iCs/>
        </w:rPr>
        <w:t xml:space="preserve"> apjom</w:t>
      </w:r>
      <w:r w:rsidRPr="00201120" w:rsidR="00CB72BB">
        <w:rPr>
          <w:iCs/>
        </w:rPr>
        <w:t>u</w:t>
      </w:r>
      <w:r w:rsidRPr="00201120" w:rsidR="003E02C5">
        <w:rPr>
          <w:iCs/>
        </w:rPr>
        <w:t xml:space="preserve">,  </w:t>
      </w:r>
      <w:r w:rsidRPr="00201120">
        <w:rPr>
          <w:iCs/>
        </w:rPr>
        <w:t xml:space="preserve"> </w:t>
      </w:r>
    </w:p>
    <w:p w:rsidR="00067DFE" w:rsidRPr="00201120" w:rsidP="00067DFE" w14:paraId="66948138" w14:textId="77777777">
      <w:pPr>
        <w:ind w:firstLine="4395"/>
        <w:jc w:val="both"/>
        <w:rPr>
          <w:iCs/>
          <w:sz w:val="20"/>
        </w:rPr>
      </w:pPr>
      <w:r w:rsidRPr="00201120">
        <w:rPr>
          <w:spacing w:val="-2"/>
          <w:sz w:val="20"/>
        </w:rPr>
        <w:t>(nosaukums)</w:t>
      </w:r>
    </w:p>
    <w:p w:rsidR="00067DFE" w:rsidRPr="00201120" w:rsidP="00067DFE" w14:paraId="6A2E2958" w14:textId="77777777">
      <w:pPr>
        <w:ind w:left="1077"/>
        <w:jc w:val="both"/>
      </w:pPr>
      <w:r w:rsidRPr="00201120">
        <w:rPr>
          <w:iCs/>
          <w:szCs w:val="23"/>
        </w:rPr>
        <w:t>biodegvielas atbilstību ilgtspējas kritērijiem, uzrādīto siltumnīcefekta gāzu emisiju samazinājumu un atjaunojamo energoresursu daļu realizētajā produkcijā ir korekti un nav pamatojuma to apšaubīšanai</w:t>
      </w:r>
      <w:r w:rsidRPr="00201120">
        <w:rPr>
          <w:iCs/>
        </w:rPr>
        <w:t xml:space="preserve">. Gada pārskats ir sagatavots atbilstoši Ministru kabineta </w:t>
      </w:r>
      <w:r w:rsidRPr="00201120">
        <w:rPr>
          <w:iCs/>
          <w:szCs w:val="23"/>
        </w:rPr>
        <w:t xml:space="preserve">“x”. gada “x”. marta noteikumiem Nr. “x” "Noteikumi par transporta enerģijas kvalitātes prasībām, atbilstības novērtēšanu, tirgus uzraudzību, patērētājiem sniedzamo informāciju un </w:t>
      </w:r>
      <w:r w:rsidR="00CD24B3">
        <w:rPr>
          <w:iCs/>
          <w:szCs w:val="23"/>
        </w:rPr>
        <w:t xml:space="preserve">vispārīgajām </w:t>
      </w:r>
      <w:r w:rsidRPr="00201120">
        <w:rPr>
          <w:iCs/>
          <w:szCs w:val="23"/>
        </w:rPr>
        <w:t>ziņošanas prasībām degvielas piegādātājiem"</w:t>
      </w:r>
      <w:r w:rsidRPr="00201120">
        <w:rPr>
          <w:iCs/>
        </w:rPr>
        <w:t xml:space="preserve"> </w:t>
      </w:r>
    </w:p>
    <w:p w:rsidR="00067DFE" w:rsidRPr="00201120" w:rsidP="00067DFE" w14:paraId="07F4F34F" w14:textId="77777777">
      <w:pPr>
        <w:rPr>
          <w:sz w:val="10"/>
          <w:szCs w:val="10"/>
        </w:rPr>
      </w:pPr>
    </w:p>
    <w:tbl>
      <w:tblPr>
        <w:tblpPr w:leftFromText="180" w:rightFromText="180" w:bottomFromText="200" w:vertAnchor="text" w:horzAnchor="page" w:tblpX="1823" w:tblpY="7"/>
        <w:tblW w:w="0" w:type="auto"/>
        <w:tblLayout w:type="fixed"/>
        <w:tblLook w:val="04A0"/>
      </w:tblPr>
      <w:tblGrid>
        <w:gridCol w:w="284"/>
      </w:tblGrid>
      <w:tr w14:paraId="7964B1D6" w14:textId="77777777" w:rsidTr="00067DFE">
        <w:tblPrEx>
          <w:tblW w:w="0" w:type="auto"/>
          <w:tblLayout w:type="fixed"/>
          <w:tblLook w:val="04A0"/>
        </w:tblPrEx>
        <w:trPr>
          <w:trHeight w:val="2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DFE" w:rsidRPr="00FD2065" w14:paraId="5B26C51C" w14:textId="77777777">
            <w:pPr>
              <w:pStyle w:val="Default"/>
              <w:snapToGrid w:val="0"/>
              <w:spacing w:line="276" w:lineRule="auto"/>
              <w:rPr>
                <w:i/>
                <w:iCs/>
                <w:sz w:val="23"/>
                <w:szCs w:val="23"/>
                <w:lang w:val="lv-LV"/>
              </w:rPr>
            </w:pPr>
          </w:p>
        </w:tc>
      </w:tr>
    </w:tbl>
    <w:p w:rsidR="00067DFE" w:rsidRPr="00201120" w:rsidP="00067DFE" w14:paraId="270769D0" w14:textId="77777777">
      <w:pPr>
        <w:tabs>
          <w:tab w:val="left" w:pos="8789"/>
        </w:tabs>
        <w:rPr>
          <w:rFonts w:eastAsia="Calibri" w:cs="DejaVu Sans"/>
          <w:color w:val="00000A"/>
          <w:lang w:eastAsia="en-US"/>
        </w:rPr>
      </w:pPr>
      <w:r w:rsidRPr="00201120">
        <w:rPr>
          <w:rFonts w:eastAsia="Calibri" w:cs="DejaVu Sans"/>
          <w:noProof/>
          <w:color w:val="00000A"/>
          <w:sz w:val="28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2540</wp:posOffset>
                </wp:positionV>
                <wp:extent cx="233680" cy="1797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B7E" w:rsidP="00067DFE" w14:paraId="3E84D679" w14:textId="777777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8.4pt;height:14.15pt;margin-top:0.2pt;margin-left:-5.65pt;mso-height-percent:0;mso-height-relative:page;mso-position-horizontal-relative:margin;mso-width-percent:0;mso-width-relative:page;mso-wrap-distance-bottom:0;mso-wrap-distance-left:9.05pt;mso-wrap-distance-right:9.05pt;mso-wrap-distance-top:0;mso-wrap-style:square;position:absolute;visibility:visible;v-text-anchor:top;z-index:251659264" stroked="f">
                <v:textbox inset="0.05pt,0.05pt,0.05pt,0.05pt">
                  <w:txbxContent>
                    <w:p w:rsidR="00881B7E" w:rsidP="00067DF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1120">
        <w:t xml:space="preserve">ir konstatējis neatbilstības komersanta </w:t>
      </w:r>
      <w:r w:rsidRPr="00201120">
        <w:rPr>
          <w:u w:val="single"/>
        </w:rPr>
        <w:tab/>
      </w:r>
      <w:r w:rsidRPr="00201120">
        <w:t xml:space="preserve"> gada pārskatā</w:t>
      </w:r>
    </w:p>
    <w:p w:rsidR="00067DFE" w:rsidRPr="00201120" w:rsidP="00067DFE" w14:paraId="627308D5" w14:textId="77777777">
      <w:pPr>
        <w:tabs>
          <w:tab w:val="left" w:pos="4820"/>
        </w:tabs>
        <w:ind w:firstLine="5812"/>
        <w:jc w:val="both"/>
        <w:rPr>
          <w:iCs/>
          <w:sz w:val="20"/>
        </w:rPr>
      </w:pPr>
      <w:r w:rsidRPr="00201120">
        <w:rPr>
          <w:spacing w:val="-2"/>
          <w:sz w:val="20"/>
        </w:rPr>
        <w:t>(nosaukums)</w:t>
      </w:r>
    </w:p>
    <w:p w:rsidR="00067DFE" w:rsidRPr="00201120" w:rsidP="00067DFE" w14:paraId="7226BD06" w14:textId="77777777">
      <w:pPr>
        <w:rPr>
          <w:sz w:val="10"/>
          <w:szCs w:val="10"/>
        </w:rPr>
      </w:pPr>
    </w:p>
    <w:p w:rsidR="00067DFE" w:rsidRPr="00201120" w:rsidP="00067DFE" w14:paraId="532E93BA" w14:textId="77777777">
      <w:pPr>
        <w:tabs>
          <w:tab w:val="left" w:pos="6237"/>
          <w:tab w:val="left" w:pos="6804"/>
          <w:tab w:val="left" w:pos="9072"/>
        </w:tabs>
        <w:ind w:firstLine="426"/>
        <w:rPr>
          <w:szCs w:val="22"/>
        </w:rPr>
      </w:pPr>
      <w:r w:rsidRPr="00201120">
        <w:t>Neatkarīg</w:t>
      </w:r>
      <w:r>
        <w:t>a</w:t>
      </w:r>
      <w:r w:rsidRPr="00201120">
        <w:t xml:space="preserve"> </w:t>
      </w:r>
      <w:r w:rsidRPr="006072E4">
        <w:t>akreditēta atbilstības novērtēšanas institūcija</w:t>
      </w:r>
      <w:r w:rsidRPr="00201120" w:rsidR="00881B7E">
        <w:t xml:space="preserve"> </w:t>
      </w:r>
    </w:p>
    <w:p w:rsidR="00067DFE" w:rsidRPr="00201120" w:rsidP="00067DFE" w14:paraId="3CE62CD9" w14:textId="77777777">
      <w:pPr>
        <w:shd w:val="clear" w:color="auto" w:fill="FFFFFF"/>
        <w:ind w:firstLine="426"/>
        <w:rPr>
          <w:sz w:val="18"/>
          <w:szCs w:val="20"/>
        </w:rPr>
      </w:pPr>
    </w:p>
    <w:p w:rsidR="00067DFE" w:rsidRPr="00201120" w:rsidP="00067DFE" w14:paraId="65535859" w14:textId="77777777">
      <w:pPr>
        <w:shd w:val="clear" w:color="auto" w:fill="FFFFFF"/>
        <w:tabs>
          <w:tab w:val="left" w:pos="14286"/>
        </w:tabs>
        <w:ind w:firstLine="426"/>
        <w:rPr>
          <w:sz w:val="20"/>
          <w:szCs w:val="20"/>
          <w:u w:val="single"/>
        </w:rPr>
      </w:pPr>
      <w:r w:rsidRPr="00201120">
        <w:rPr>
          <w:sz w:val="20"/>
          <w:szCs w:val="20"/>
          <w:u w:val="single"/>
        </w:rPr>
        <w:tab/>
      </w:r>
    </w:p>
    <w:p w:rsidR="00067DFE" w:rsidRPr="00201120" w:rsidP="00067DFE" w14:paraId="49712E2A" w14:textId="77777777">
      <w:pPr>
        <w:shd w:val="clear" w:color="auto" w:fill="FFFFFF"/>
        <w:tabs>
          <w:tab w:val="left" w:pos="8080"/>
          <w:tab w:val="left" w:pos="12333"/>
        </w:tabs>
        <w:ind w:firstLine="426"/>
        <w:jc w:val="center"/>
        <w:rPr>
          <w:sz w:val="20"/>
          <w:szCs w:val="20"/>
        </w:rPr>
      </w:pPr>
      <w:r w:rsidRPr="00201120">
        <w:rPr>
          <w:sz w:val="20"/>
          <w:szCs w:val="20"/>
        </w:rPr>
        <w:t>(amats, vārds, uzvārds, paraksts</w:t>
      </w:r>
      <w:r w:rsidRPr="00201120">
        <w:rPr>
          <w:sz w:val="20"/>
          <w:szCs w:val="20"/>
          <w:vertAlign w:val="superscript"/>
        </w:rPr>
        <w:t>4</w:t>
      </w:r>
      <w:r w:rsidRPr="00201120">
        <w:rPr>
          <w:sz w:val="20"/>
          <w:szCs w:val="20"/>
        </w:rPr>
        <w:t>)</w:t>
      </w:r>
    </w:p>
    <w:p w:rsidR="00067DFE" w:rsidRPr="00201120" w:rsidP="00067DFE" w14:paraId="1604E750" w14:textId="77777777">
      <w:pPr>
        <w:shd w:val="clear" w:color="auto" w:fill="FFFFFF"/>
        <w:ind w:firstLine="426"/>
        <w:rPr>
          <w:sz w:val="4"/>
          <w:szCs w:val="4"/>
        </w:rPr>
      </w:pPr>
    </w:p>
    <w:p w:rsidR="00067DFE" w:rsidRPr="00201120" w:rsidP="00067DFE" w14:paraId="552AAAAC" w14:textId="77777777">
      <w:pPr>
        <w:shd w:val="clear" w:color="auto" w:fill="FFFFFF"/>
        <w:tabs>
          <w:tab w:val="left" w:pos="2694"/>
          <w:tab w:val="left" w:pos="6521"/>
          <w:tab w:val="left" w:pos="10773"/>
          <w:tab w:val="left" w:pos="11340"/>
          <w:tab w:val="left" w:pos="14286"/>
        </w:tabs>
        <w:ind w:firstLine="426"/>
        <w:rPr>
          <w:sz w:val="20"/>
          <w:szCs w:val="20"/>
          <w:u w:val="single"/>
        </w:rPr>
      </w:pPr>
      <w:r w:rsidRPr="00201120">
        <w:rPr>
          <w:sz w:val="20"/>
          <w:szCs w:val="20"/>
          <w:u w:val="single"/>
        </w:rPr>
        <w:tab/>
      </w:r>
    </w:p>
    <w:p w:rsidR="00067DFE" w:rsidRPr="00201120" w:rsidP="00067DFE" w14:paraId="60E274AE" w14:textId="77777777">
      <w:pPr>
        <w:shd w:val="clear" w:color="auto" w:fill="FFFFFF"/>
        <w:ind w:firstLine="1134"/>
        <w:rPr>
          <w:sz w:val="20"/>
          <w:szCs w:val="20"/>
        </w:rPr>
      </w:pPr>
      <w:r w:rsidRPr="00201120">
        <w:rPr>
          <w:sz w:val="20"/>
          <w:szCs w:val="20"/>
        </w:rPr>
        <w:t>(datums)</w:t>
      </w:r>
    </w:p>
    <w:p w:rsidR="00067DFE" w:rsidRPr="00201120" w:rsidP="00067DFE" w14:paraId="6AA31C23" w14:textId="77777777">
      <w:pPr>
        <w:shd w:val="clear" w:color="auto" w:fill="FFFFFF"/>
        <w:ind w:firstLine="1134"/>
        <w:rPr>
          <w:sz w:val="20"/>
          <w:szCs w:val="20"/>
        </w:rPr>
      </w:pPr>
    </w:p>
    <w:p w:rsidR="00067DFE" w:rsidRPr="00201120" w:rsidP="00067DFE" w14:paraId="0E7B5E42" w14:textId="77777777">
      <w:pPr>
        <w:shd w:val="clear" w:color="auto" w:fill="FFFFFF"/>
        <w:ind w:firstLine="1134"/>
        <w:rPr>
          <w:rFonts w:eastAsia="Calibri" w:cs="DejaVu Sans"/>
          <w:szCs w:val="22"/>
          <w:lang w:eastAsia="en-US"/>
        </w:rPr>
      </w:pPr>
      <w:r w:rsidRPr="00201120">
        <w:rPr>
          <w:szCs w:val="28"/>
        </w:rPr>
        <w:t>Komersanta pilnvarotā amatpersona</w:t>
      </w:r>
    </w:p>
    <w:p w:rsidR="00067DFE" w:rsidRPr="00201120" w:rsidP="00067DFE" w14:paraId="2DDBC0E7" w14:textId="77777777">
      <w:pPr>
        <w:shd w:val="clear" w:color="auto" w:fill="FFFFFF"/>
        <w:rPr>
          <w:sz w:val="18"/>
          <w:szCs w:val="20"/>
        </w:rPr>
      </w:pPr>
    </w:p>
    <w:p w:rsidR="00067DFE" w:rsidRPr="00201120" w:rsidP="00067DFE" w14:paraId="628416DD" w14:textId="77777777">
      <w:pPr>
        <w:shd w:val="clear" w:color="auto" w:fill="FFFFFF"/>
        <w:tabs>
          <w:tab w:val="left" w:pos="14286"/>
        </w:tabs>
        <w:rPr>
          <w:sz w:val="20"/>
          <w:szCs w:val="20"/>
          <w:u w:val="single"/>
        </w:rPr>
      </w:pPr>
      <w:r w:rsidRPr="00201120">
        <w:rPr>
          <w:sz w:val="20"/>
          <w:szCs w:val="20"/>
          <w:u w:val="single"/>
        </w:rPr>
        <w:tab/>
      </w:r>
    </w:p>
    <w:p w:rsidR="00067DFE" w:rsidRPr="00201120" w:rsidP="00067DFE" w14:paraId="006DF7ED" w14:textId="77777777">
      <w:pPr>
        <w:shd w:val="clear" w:color="auto" w:fill="FFFFFF"/>
        <w:tabs>
          <w:tab w:val="left" w:pos="8080"/>
          <w:tab w:val="left" w:pos="12333"/>
        </w:tabs>
        <w:jc w:val="center"/>
        <w:rPr>
          <w:sz w:val="20"/>
          <w:szCs w:val="20"/>
        </w:rPr>
      </w:pPr>
      <w:r w:rsidRPr="00201120">
        <w:rPr>
          <w:sz w:val="20"/>
          <w:szCs w:val="20"/>
        </w:rPr>
        <w:t>(amats, vārds, uzvārds, paraksts</w:t>
      </w:r>
      <w:r w:rsidRPr="00201120">
        <w:rPr>
          <w:sz w:val="20"/>
          <w:szCs w:val="20"/>
          <w:vertAlign w:val="superscript"/>
        </w:rPr>
        <w:t>4</w:t>
      </w:r>
      <w:r w:rsidRPr="00201120">
        <w:rPr>
          <w:sz w:val="20"/>
          <w:szCs w:val="20"/>
        </w:rPr>
        <w:t>)</w:t>
      </w:r>
    </w:p>
    <w:p w:rsidR="00067DFE" w:rsidRPr="00201120" w:rsidP="00067DFE" w14:paraId="15CCF832" w14:textId="77777777">
      <w:pPr>
        <w:shd w:val="clear" w:color="auto" w:fill="FFFFFF"/>
        <w:rPr>
          <w:sz w:val="4"/>
          <w:szCs w:val="4"/>
        </w:rPr>
      </w:pPr>
    </w:p>
    <w:p w:rsidR="00067DFE" w:rsidRPr="00201120" w:rsidP="00067DFE" w14:paraId="735A5960" w14:textId="77777777">
      <w:pPr>
        <w:shd w:val="clear" w:color="auto" w:fill="FFFFFF"/>
        <w:tabs>
          <w:tab w:val="left" w:pos="2268"/>
          <w:tab w:val="left" w:pos="6521"/>
          <w:tab w:val="left" w:pos="10773"/>
          <w:tab w:val="left" w:pos="11340"/>
          <w:tab w:val="left" w:pos="14286"/>
        </w:tabs>
        <w:rPr>
          <w:sz w:val="20"/>
          <w:szCs w:val="20"/>
          <w:u w:val="single"/>
        </w:rPr>
      </w:pPr>
      <w:r w:rsidRPr="00201120">
        <w:rPr>
          <w:sz w:val="20"/>
          <w:szCs w:val="20"/>
          <w:u w:val="single"/>
        </w:rPr>
        <w:tab/>
      </w:r>
    </w:p>
    <w:p w:rsidR="00067DFE" w:rsidRPr="00201120" w:rsidP="00067DFE" w14:paraId="6C239A97" w14:textId="77777777">
      <w:pPr>
        <w:shd w:val="clear" w:color="auto" w:fill="FFFFFF"/>
        <w:ind w:firstLine="709"/>
        <w:rPr>
          <w:rFonts w:eastAsia="Calibri" w:cs="DejaVu Sans"/>
          <w:szCs w:val="28"/>
          <w:vertAlign w:val="superscript"/>
          <w:lang w:eastAsia="en-US"/>
        </w:rPr>
      </w:pPr>
      <w:r w:rsidRPr="00201120">
        <w:rPr>
          <w:sz w:val="20"/>
          <w:szCs w:val="20"/>
        </w:rPr>
        <w:t>(datums)</w:t>
      </w:r>
    </w:p>
    <w:p w:rsidR="00067DFE" w:rsidRPr="00201120" w:rsidP="00067DFE" w14:paraId="2CEE8BDE" w14:textId="77777777">
      <w:pPr>
        <w:shd w:val="clear" w:color="auto" w:fill="FFFFFF"/>
        <w:rPr>
          <w:szCs w:val="28"/>
        </w:rPr>
      </w:pPr>
    </w:p>
    <w:p w:rsidR="00067DFE" w:rsidRPr="00201120" w:rsidP="00067DFE" w14:paraId="5678849C" w14:textId="77777777">
      <w:pPr>
        <w:shd w:val="clear" w:color="auto" w:fill="FFFFFF"/>
        <w:rPr>
          <w:sz w:val="22"/>
          <w:szCs w:val="22"/>
        </w:rPr>
      </w:pPr>
      <w:r w:rsidRPr="00201120">
        <w:rPr>
          <w:szCs w:val="20"/>
        </w:rPr>
        <w:t>Sagatavotājs</w:t>
      </w:r>
    </w:p>
    <w:p w:rsidR="00067DFE" w:rsidRPr="00201120" w:rsidP="00067DFE" w14:paraId="68844104" w14:textId="77777777">
      <w:pPr>
        <w:shd w:val="clear" w:color="auto" w:fill="FFFFFF"/>
        <w:rPr>
          <w:sz w:val="18"/>
          <w:szCs w:val="20"/>
        </w:rPr>
      </w:pPr>
    </w:p>
    <w:p w:rsidR="00067DFE" w:rsidRPr="00201120" w:rsidP="00067DFE" w14:paraId="34BF2952" w14:textId="77777777">
      <w:pPr>
        <w:shd w:val="clear" w:color="auto" w:fill="FFFFFF"/>
        <w:tabs>
          <w:tab w:val="left" w:pos="4395"/>
          <w:tab w:val="left" w:pos="5103"/>
          <w:tab w:val="left" w:pos="8505"/>
          <w:tab w:val="left" w:pos="9214"/>
          <w:tab w:val="left" w:pos="14286"/>
        </w:tabs>
        <w:rPr>
          <w:sz w:val="20"/>
          <w:szCs w:val="20"/>
          <w:u w:val="single"/>
        </w:rPr>
      </w:pPr>
      <w:r w:rsidRPr="00201120">
        <w:rPr>
          <w:sz w:val="20"/>
          <w:szCs w:val="20"/>
          <w:u w:val="single"/>
        </w:rPr>
        <w:tab/>
      </w:r>
      <w:r w:rsidRPr="00201120">
        <w:rPr>
          <w:sz w:val="20"/>
          <w:szCs w:val="20"/>
        </w:rPr>
        <w:tab/>
      </w:r>
      <w:r w:rsidRPr="00201120">
        <w:rPr>
          <w:sz w:val="20"/>
          <w:szCs w:val="20"/>
          <w:u w:val="single"/>
        </w:rPr>
        <w:tab/>
      </w:r>
      <w:r w:rsidRPr="00201120">
        <w:rPr>
          <w:sz w:val="20"/>
          <w:szCs w:val="20"/>
        </w:rPr>
        <w:tab/>
      </w:r>
      <w:r w:rsidRPr="00201120">
        <w:rPr>
          <w:sz w:val="20"/>
          <w:szCs w:val="20"/>
          <w:u w:val="single"/>
        </w:rPr>
        <w:tab/>
      </w:r>
    </w:p>
    <w:p w:rsidR="00067DFE" w:rsidP="0024489B" w14:paraId="24A0F3BA" w14:textId="77777777">
      <w:pPr>
        <w:shd w:val="clear" w:color="auto" w:fill="FFFFFF"/>
        <w:tabs>
          <w:tab w:val="left" w:pos="6521"/>
          <w:tab w:val="left" w:pos="11482"/>
        </w:tabs>
        <w:ind w:firstLine="1560"/>
        <w:rPr>
          <w:sz w:val="20"/>
          <w:szCs w:val="20"/>
        </w:rPr>
      </w:pPr>
      <w:bookmarkStart w:id="0" w:name="_GoBack"/>
      <w:bookmarkEnd w:id="0"/>
      <w:r w:rsidRPr="00201120">
        <w:rPr>
          <w:sz w:val="20"/>
          <w:szCs w:val="20"/>
        </w:rPr>
        <w:t>(vārds, uzvārds)</w:t>
      </w:r>
      <w:r w:rsidRPr="00201120">
        <w:rPr>
          <w:sz w:val="20"/>
          <w:szCs w:val="20"/>
        </w:rPr>
        <w:tab/>
        <w:t>(tālrunis)</w:t>
      </w:r>
      <w:r w:rsidRPr="00201120">
        <w:rPr>
          <w:sz w:val="20"/>
          <w:szCs w:val="20"/>
        </w:rPr>
        <w:tab/>
        <w:t>(e-pasts)</w:t>
      </w:r>
    </w:p>
    <w:sectPr w:rsidSect="00E56CE1">
      <w:headerReference w:type="default" r:id="rId5"/>
      <w:footerReference w:type="default" r:id="rId6"/>
      <w:footerReference w:type="first" r:id="rId7"/>
      <w:pgSz w:w="16838" w:h="11906" w:orient="landscape" w:code="9"/>
      <w:pgMar w:top="1276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BA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B1A" w:rsidP="00EA5B1A" w14:paraId="6295AE90" w14:textId="77777777">
    <w:pPr>
      <w:pStyle w:val="Footer"/>
      <w:rPr>
        <w:sz w:val="20"/>
        <w:szCs w:val="20"/>
      </w:rPr>
    </w:pPr>
  </w:p>
  <w:p w:rsidR="00EA5B1A" w:rsidRPr="00EA5B1A" w:rsidP="00EA5B1A" w14:paraId="2356B324" w14:textId="4B1764B5">
    <w:pPr>
      <w:pStyle w:val="Footer"/>
    </w:pPr>
    <w:r>
      <w:rPr>
        <w:sz w:val="20"/>
        <w:szCs w:val="20"/>
      </w:rPr>
      <w:t>EMnot</w:t>
    </w:r>
    <w:r w:rsidR="00763924">
      <w:rPr>
        <w:sz w:val="20"/>
        <w:szCs w:val="20"/>
      </w:rPr>
      <w:t>p4</w:t>
    </w:r>
    <w:r w:rsidR="002D7BED">
      <w:rPr>
        <w:sz w:val="20"/>
        <w:szCs w:val="20"/>
      </w:rPr>
      <w:t>_</w:t>
    </w:r>
    <w:r w:rsidR="00620749">
      <w:rPr>
        <w:sz w:val="20"/>
        <w:szCs w:val="20"/>
      </w:rPr>
      <w:t>1</w:t>
    </w:r>
    <w:r w:rsidR="00F65B4A">
      <w:rPr>
        <w:sz w:val="20"/>
        <w:szCs w:val="20"/>
      </w:rPr>
      <w:t>8</w:t>
    </w:r>
    <w:r w:rsidR="00620749">
      <w:rPr>
        <w:sz w:val="20"/>
        <w:szCs w:val="20"/>
      </w:rPr>
      <w:t>0718</w:t>
    </w:r>
    <w:r>
      <w:rPr>
        <w:sz w:val="20"/>
        <w:szCs w:val="20"/>
      </w:rPr>
      <w:t xml:space="preserve">_transp_ener_kval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B1A" w14:paraId="6F27F4A0" w14:textId="6157E8B5">
    <w:pPr>
      <w:pStyle w:val="Footer"/>
    </w:pPr>
    <w:r>
      <w:rPr>
        <w:sz w:val="20"/>
        <w:szCs w:val="20"/>
      </w:rPr>
      <w:t>EMnot_</w:t>
    </w:r>
    <w:r w:rsidR="00620749">
      <w:rPr>
        <w:sz w:val="20"/>
        <w:szCs w:val="20"/>
      </w:rPr>
      <w:t>1</w:t>
    </w:r>
    <w:r w:rsidR="00687621">
      <w:rPr>
        <w:sz w:val="20"/>
        <w:szCs w:val="20"/>
      </w:rPr>
      <w:t>7</w:t>
    </w:r>
    <w:r w:rsidR="007419C4">
      <w:rPr>
        <w:sz w:val="20"/>
        <w:szCs w:val="20"/>
      </w:rPr>
      <w:t>0718</w:t>
    </w:r>
    <w:r>
      <w:rPr>
        <w:sz w:val="20"/>
        <w:szCs w:val="20"/>
      </w:rPr>
      <w:t xml:space="preserve">_transp_ener_kval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2371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1B7E" w14:paraId="20445726" w14:textId="473447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E406782"/>
    <w:multiLevelType w:val="hybridMultilevel"/>
    <w:tmpl w:val="45FAED7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1B4976D0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723367"/>
    <w:multiLevelType w:val="hybridMultilevel"/>
    <w:tmpl w:val="48320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9847BA"/>
    <w:multiLevelType w:val="multilevel"/>
    <w:tmpl w:val="953A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5" w15:restartNumberingAfterBreak="1">
    <w:nsid w:val="422B2ABC"/>
    <w:multiLevelType w:val="hybridMultilevel"/>
    <w:tmpl w:val="DF52F492"/>
    <w:lvl w:ilvl="0">
      <w:start w:val="32"/>
      <w:numFmt w:val="decimal"/>
      <w:lvlText w:val="%1."/>
      <w:lvlJc w:val="left"/>
      <w:pPr>
        <w:ind w:left="179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569F"/>
    <w:rsid w:val="00041005"/>
    <w:rsid w:val="000459A8"/>
    <w:rsid w:val="00064A65"/>
    <w:rsid w:val="00065417"/>
    <w:rsid w:val="00067DFE"/>
    <w:rsid w:val="000722BF"/>
    <w:rsid w:val="00082F4C"/>
    <w:rsid w:val="000861B3"/>
    <w:rsid w:val="00091263"/>
    <w:rsid w:val="00091BD1"/>
    <w:rsid w:val="00094C42"/>
    <w:rsid w:val="00097A3F"/>
    <w:rsid w:val="000A5426"/>
    <w:rsid w:val="000A64F4"/>
    <w:rsid w:val="000A7D69"/>
    <w:rsid w:val="000B4EA2"/>
    <w:rsid w:val="000B5288"/>
    <w:rsid w:val="000C3321"/>
    <w:rsid w:val="000D0BD6"/>
    <w:rsid w:val="000E3936"/>
    <w:rsid w:val="000E46CA"/>
    <w:rsid w:val="000F2D8F"/>
    <w:rsid w:val="001213EF"/>
    <w:rsid w:val="00122824"/>
    <w:rsid w:val="00122A47"/>
    <w:rsid w:val="00123719"/>
    <w:rsid w:val="001254CA"/>
    <w:rsid w:val="00132522"/>
    <w:rsid w:val="00137AC9"/>
    <w:rsid w:val="00143392"/>
    <w:rsid w:val="00143694"/>
    <w:rsid w:val="00144D7B"/>
    <w:rsid w:val="001458FE"/>
    <w:rsid w:val="00151857"/>
    <w:rsid w:val="0015597C"/>
    <w:rsid w:val="00162B07"/>
    <w:rsid w:val="00166916"/>
    <w:rsid w:val="00166FCA"/>
    <w:rsid w:val="0016761B"/>
    <w:rsid w:val="0017020E"/>
    <w:rsid w:val="0017478B"/>
    <w:rsid w:val="00181AD6"/>
    <w:rsid w:val="00190B2B"/>
    <w:rsid w:val="001920E1"/>
    <w:rsid w:val="00196238"/>
    <w:rsid w:val="001A62A8"/>
    <w:rsid w:val="001A790C"/>
    <w:rsid w:val="001C2481"/>
    <w:rsid w:val="001C406A"/>
    <w:rsid w:val="001C4AB6"/>
    <w:rsid w:val="001C54BD"/>
    <w:rsid w:val="001D1C3D"/>
    <w:rsid w:val="001D31F3"/>
    <w:rsid w:val="001D7F58"/>
    <w:rsid w:val="00201120"/>
    <w:rsid w:val="002040C5"/>
    <w:rsid w:val="00204C76"/>
    <w:rsid w:val="00215BEC"/>
    <w:rsid w:val="00216C6D"/>
    <w:rsid w:val="0022527B"/>
    <w:rsid w:val="002316A8"/>
    <w:rsid w:val="002324E9"/>
    <w:rsid w:val="00235571"/>
    <w:rsid w:val="00235800"/>
    <w:rsid w:val="00240843"/>
    <w:rsid w:val="00242C98"/>
    <w:rsid w:val="0024489B"/>
    <w:rsid w:val="002527F0"/>
    <w:rsid w:val="00263500"/>
    <w:rsid w:val="00270111"/>
    <w:rsid w:val="00294ED1"/>
    <w:rsid w:val="00296B5E"/>
    <w:rsid w:val="002A72A1"/>
    <w:rsid w:val="002B1439"/>
    <w:rsid w:val="002B17D6"/>
    <w:rsid w:val="002B4F52"/>
    <w:rsid w:val="002B57C7"/>
    <w:rsid w:val="002B5F22"/>
    <w:rsid w:val="002C2123"/>
    <w:rsid w:val="002C51C0"/>
    <w:rsid w:val="002D4437"/>
    <w:rsid w:val="002D5D3B"/>
    <w:rsid w:val="002D5FC0"/>
    <w:rsid w:val="002D7BED"/>
    <w:rsid w:val="002E2FAD"/>
    <w:rsid w:val="002F09CE"/>
    <w:rsid w:val="002F352A"/>
    <w:rsid w:val="002F71E6"/>
    <w:rsid w:val="00311E49"/>
    <w:rsid w:val="003130E9"/>
    <w:rsid w:val="00331A1D"/>
    <w:rsid w:val="00334DBB"/>
    <w:rsid w:val="003460CE"/>
    <w:rsid w:val="003461B0"/>
    <w:rsid w:val="00352CDF"/>
    <w:rsid w:val="00356A39"/>
    <w:rsid w:val="00365211"/>
    <w:rsid w:val="003657FB"/>
    <w:rsid w:val="00370725"/>
    <w:rsid w:val="003712DA"/>
    <w:rsid w:val="00376128"/>
    <w:rsid w:val="00376CF7"/>
    <w:rsid w:val="0037734D"/>
    <w:rsid w:val="00390C59"/>
    <w:rsid w:val="00394279"/>
    <w:rsid w:val="00395BC5"/>
    <w:rsid w:val="003A0B2F"/>
    <w:rsid w:val="003B0372"/>
    <w:rsid w:val="003B6775"/>
    <w:rsid w:val="003C03AE"/>
    <w:rsid w:val="003C3013"/>
    <w:rsid w:val="003C368A"/>
    <w:rsid w:val="003C48F4"/>
    <w:rsid w:val="003D3166"/>
    <w:rsid w:val="003D7DF6"/>
    <w:rsid w:val="003E02C5"/>
    <w:rsid w:val="003E1992"/>
    <w:rsid w:val="003E496D"/>
    <w:rsid w:val="003F24CD"/>
    <w:rsid w:val="003F2AFD"/>
    <w:rsid w:val="00401E92"/>
    <w:rsid w:val="00404CAA"/>
    <w:rsid w:val="004203E7"/>
    <w:rsid w:val="00421793"/>
    <w:rsid w:val="00422559"/>
    <w:rsid w:val="00432D46"/>
    <w:rsid w:val="00433DAD"/>
    <w:rsid w:val="0044510A"/>
    <w:rsid w:val="004466A0"/>
    <w:rsid w:val="00452998"/>
    <w:rsid w:val="004614BD"/>
    <w:rsid w:val="0046246D"/>
    <w:rsid w:val="00463119"/>
    <w:rsid w:val="004632BB"/>
    <w:rsid w:val="00464975"/>
    <w:rsid w:val="0047351D"/>
    <w:rsid w:val="0047768F"/>
    <w:rsid w:val="00480443"/>
    <w:rsid w:val="00482603"/>
    <w:rsid w:val="004944D5"/>
    <w:rsid w:val="00497C20"/>
    <w:rsid w:val="004A044A"/>
    <w:rsid w:val="004A2ABD"/>
    <w:rsid w:val="004A33AE"/>
    <w:rsid w:val="004A56B3"/>
    <w:rsid w:val="004B19B6"/>
    <w:rsid w:val="004B6E00"/>
    <w:rsid w:val="004C0159"/>
    <w:rsid w:val="004C4B79"/>
    <w:rsid w:val="004C60C4"/>
    <w:rsid w:val="004C789C"/>
    <w:rsid w:val="004D4846"/>
    <w:rsid w:val="004E3119"/>
    <w:rsid w:val="004E5A1D"/>
    <w:rsid w:val="004E74DA"/>
    <w:rsid w:val="004F616D"/>
    <w:rsid w:val="005003A0"/>
    <w:rsid w:val="00501805"/>
    <w:rsid w:val="0051452D"/>
    <w:rsid w:val="00523B02"/>
    <w:rsid w:val="00524BFD"/>
    <w:rsid w:val="005256C0"/>
    <w:rsid w:val="00537199"/>
    <w:rsid w:val="00541FD2"/>
    <w:rsid w:val="005446CA"/>
    <w:rsid w:val="0055503E"/>
    <w:rsid w:val="00561CD0"/>
    <w:rsid w:val="00567EA6"/>
    <w:rsid w:val="00572852"/>
    <w:rsid w:val="00573A6E"/>
    <w:rsid w:val="00574B34"/>
    <w:rsid w:val="0058034F"/>
    <w:rsid w:val="00584394"/>
    <w:rsid w:val="0058678E"/>
    <w:rsid w:val="00594797"/>
    <w:rsid w:val="005966AB"/>
    <w:rsid w:val="0059785F"/>
    <w:rsid w:val="005A2632"/>
    <w:rsid w:val="005A2684"/>
    <w:rsid w:val="005A6234"/>
    <w:rsid w:val="005C2A8B"/>
    <w:rsid w:val="005C2E05"/>
    <w:rsid w:val="005C78D9"/>
    <w:rsid w:val="005C7F82"/>
    <w:rsid w:val="005D285F"/>
    <w:rsid w:val="005D534B"/>
    <w:rsid w:val="005E2B87"/>
    <w:rsid w:val="005E53E5"/>
    <w:rsid w:val="005F5401"/>
    <w:rsid w:val="00600472"/>
    <w:rsid w:val="0060088B"/>
    <w:rsid w:val="006072E4"/>
    <w:rsid w:val="006078AC"/>
    <w:rsid w:val="006126CC"/>
    <w:rsid w:val="00614A9C"/>
    <w:rsid w:val="00615BB4"/>
    <w:rsid w:val="00620749"/>
    <w:rsid w:val="00623DF2"/>
    <w:rsid w:val="0064093A"/>
    <w:rsid w:val="00645478"/>
    <w:rsid w:val="006457F2"/>
    <w:rsid w:val="00651934"/>
    <w:rsid w:val="006529F7"/>
    <w:rsid w:val="00654CF0"/>
    <w:rsid w:val="00664357"/>
    <w:rsid w:val="00665111"/>
    <w:rsid w:val="00671D14"/>
    <w:rsid w:val="0067598F"/>
    <w:rsid w:val="00681497"/>
    <w:rsid w:val="00681F12"/>
    <w:rsid w:val="00684B30"/>
    <w:rsid w:val="0068514E"/>
    <w:rsid w:val="00687621"/>
    <w:rsid w:val="00692104"/>
    <w:rsid w:val="00695B9B"/>
    <w:rsid w:val="00696F7F"/>
    <w:rsid w:val="006A0D35"/>
    <w:rsid w:val="006A1DCD"/>
    <w:rsid w:val="006A4F8B"/>
    <w:rsid w:val="006A792B"/>
    <w:rsid w:val="006B4EDF"/>
    <w:rsid w:val="006B60F9"/>
    <w:rsid w:val="006C4B76"/>
    <w:rsid w:val="006C7DFF"/>
    <w:rsid w:val="006D3BF2"/>
    <w:rsid w:val="006E32F5"/>
    <w:rsid w:val="006E5D5F"/>
    <w:rsid w:val="006E5FE2"/>
    <w:rsid w:val="006E6314"/>
    <w:rsid w:val="006E7A9B"/>
    <w:rsid w:val="006F58B8"/>
    <w:rsid w:val="00705126"/>
    <w:rsid w:val="00713037"/>
    <w:rsid w:val="007135D6"/>
    <w:rsid w:val="00721036"/>
    <w:rsid w:val="00724EB6"/>
    <w:rsid w:val="00736E51"/>
    <w:rsid w:val="00737466"/>
    <w:rsid w:val="007419C4"/>
    <w:rsid w:val="00746861"/>
    <w:rsid w:val="00746F4F"/>
    <w:rsid w:val="00750EE3"/>
    <w:rsid w:val="007551E3"/>
    <w:rsid w:val="00760F07"/>
    <w:rsid w:val="00763924"/>
    <w:rsid w:val="00774A4B"/>
    <w:rsid w:val="00775F74"/>
    <w:rsid w:val="007821F1"/>
    <w:rsid w:val="00787DA8"/>
    <w:rsid w:val="007947CC"/>
    <w:rsid w:val="00796BFD"/>
    <w:rsid w:val="007A3AFD"/>
    <w:rsid w:val="007A79C3"/>
    <w:rsid w:val="007B5DBD"/>
    <w:rsid w:val="007B733C"/>
    <w:rsid w:val="007C63F0"/>
    <w:rsid w:val="007E14DA"/>
    <w:rsid w:val="007E4F07"/>
    <w:rsid w:val="007E55DE"/>
    <w:rsid w:val="007E6756"/>
    <w:rsid w:val="007F161A"/>
    <w:rsid w:val="007F30B7"/>
    <w:rsid w:val="007F7F31"/>
    <w:rsid w:val="0080189A"/>
    <w:rsid w:val="00812AFA"/>
    <w:rsid w:val="00816862"/>
    <w:rsid w:val="00820674"/>
    <w:rsid w:val="008234C4"/>
    <w:rsid w:val="008357E2"/>
    <w:rsid w:val="00837BBE"/>
    <w:rsid w:val="008441C8"/>
    <w:rsid w:val="008467C5"/>
    <w:rsid w:val="00856498"/>
    <w:rsid w:val="00857069"/>
    <w:rsid w:val="00861DB0"/>
    <w:rsid w:val="0086399E"/>
    <w:rsid w:val="008644A0"/>
    <w:rsid w:val="00864D00"/>
    <w:rsid w:val="00867529"/>
    <w:rsid w:val="008678E7"/>
    <w:rsid w:val="00871391"/>
    <w:rsid w:val="008769BC"/>
    <w:rsid w:val="00881B7E"/>
    <w:rsid w:val="00881D2A"/>
    <w:rsid w:val="00891A82"/>
    <w:rsid w:val="00891C91"/>
    <w:rsid w:val="008A0D22"/>
    <w:rsid w:val="008A7539"/>
    <w:rsid w:val="008B426E"/>
    <w:rsid w:val="008C1B4C"/>
    <w:rsid w:val="008C62FE"/>
    <w:rsid w:val="008C7A3B"/>
    <w:rsid w:val="008D1606"/>
    <w:rsid w:val="008D1FB9"/>
    <w:rsid w:val="008D5CC2"/>
    <w:rsid w:val="008E7807"/>
    <w:rsid w:val="008E7E28"/>
    <w:rsid w:val="008F7E38"/>
    <w:rsid w:val="00900023"/>
    <w:rsid w:val="00902ABB"/>
    <w:rsid w:val="00906B1F"/>
    <w:rsid w:val="00907025"/>
    <w:rsid w:val="009079D9"/>
    <w:rsid w:val="00910156"/>
    <w:rsid w:val="00910CAA"/>
    <w:rsid w:val="009172AE"/>
    <w:rsid w:val="009208D8"/>
    <w:rsid w:val="00924466"/>
    <w:rsid w:val="00930AB0"/>
    <w:rsid w:val="00932D89"/>
    <w:rsid w:val="009331F0"/>
    <w:rsid w:val="0093324E"/>
    <w:rsid w:val="00936749"/>
    <w:rsid w:val="0094670D"/>
    <w:rsid w:val="00947B4D"/>
    <w:rsid w:val="00950826"/>
    <w:rsid w:val="0096348D"/>
    <w:rsid w:val="0096630E"/>
    <w:rsid w:val="0096683F"/>
    <w:rsid w:val="009724F6"/>
    <w:rsid w:val="00973F21"/>
    <w:rsid w:val="00980D1E"/>
    <w:rsid w:val="0098226E"/>
    <w:rsid w:val="0098390C"/>
    <w:rsid w:val="00984E8C"/>
    <w:rsid w:val="00993B6A"/>
    <w:rsid w:val="00996711"/>
    <w:rsid w:val="009A0991"/>
    <w:rsid w:val="009A3AE3"/>
    <w:rsid w:val="009A74FC"/>
    <w:rsid w:val="009A7A12"/>
    <w:rsid w:val="009A7C91"/>
    <w:rsid w:val="009C5A63"/>
    <w:rsid w:val="009C76ED"/>
    <w:rsid w:val="009D1238"/>
    <w:rsid w:val="009D20C4"/>
    <w:rsid w:val="009D5C92"/>
    <w:rsid w:val="009E4B96"/>
    <w:rsid w:val="009F1E4B"/>
    <w:rsid w:val="009F2D49"/>
    <w:rsid w:val="009F3EFB"/>
    <w:rsid w:val="00A02F96"/>
    <w:rsid w:val="00A076E3"/>
    <w:rsid w:val="00A122D7"/>
    <w:rsid w:val="00A16CE2"/>
    <w:rsid w:val="00A179A1"/>
    <w:rsid w:val="00A23D2F"/>
    <w:rsid w:val="00A37863"/>
    <w:rsid w:val="00A442F3"/>
    <w:rsid w:val="00A4465D"/>
    <w:rsid w:val="00A51AFE"/>
    <w:rsid w:val="00A51F3F"/>
    <w:rsid w:val="00A54EE3"/>
    <w:rsid w:val="00A63C3C"/>
    <w:rsid w:val="00A6794B"/>
    <w:rsid w:val="00A75F12"/>
    <w:rsid w:val="00A816A6"/>
    <w:rsid w:val="00A81C8B"/>
    <w:rsid w:val="00A87952"/>
    <w:rsid w:val="00A92C59"/>
    <w:rsid w:val="00A938A1"/>
    <w:rsid w:val="00A94F3A"/>
    <w:rsid w:val="00A96236"/>
    <w:rsid w:val="00A97155"/>
    <w:rsid w:val="00AA7595"/>
    <w:rsid w:val="00AB0AC9"/>
    <w:rsid w:val="00AB36F7"/>
    <w:rsid w:val="00AC21BE"/>
    <w:rsid w:val="00AC23DE"/>
    <w:rsid w:val="00AC4C7A"/>
    <w:rsid w:val="00AC5DF2"/>
    <w:rsid w:val="00AD28A5"/>
    <w:rsid w:val="00AF1FE1"/>
    <w:rsid w:val="00AF5AB5"/>
    <w:rsid w:val="00AF70DB"/>
    <w:rsid w:val="00B12F17"/>
    <w:rsid w:val="00B1583A"/>
    <w:rsid w:val="00B16A5E"/>
    <w:rsid w:val="00B215D9"/>
    <w:rsid w:val="00B216AB"/>
    <w:rsid w:val="00B23C55"/>
    <w:rsid w:val="00B249E8"/>
    <w:rsid w:val="00B30445"/>
    <w:rsid w:val="00B30D1A"/>
    <w:rsid w:val="00B34F20"/>
    <w:rsid w:val="00B46A65"/>
    <w:rsid w:val="00B53CA5"/>
    <w:rsid w:val="00B57ACD"/>
    <w:rsid w:val="00B60DB3"/>
    <w:rsid w:val="00B663D0"/>
    <w:rsid w:val="00B70540"/>
    <w:rsid w:val="00B734C3"/>
    <w:rsid w:val="00B75B02"/>
    <w:rsid w:val="00B77A0F"/>
    <w:rsid w:val="00B81177"/>
    <w:rsid w:val="00B83E78"/>
    <w:rsid w:val="00B9584F"/>
    <w:rsid w:val="00BA506B"/>
    <w:rsid w:val="00BB03D9"/>
    <w:rsid w:val="00BB487A"/>
    <w:rsid w:val="00BC4543"/>
    <w:rsid w:val="00BD4537"/>
    <w:rsid w:val="00BD688C"/>
    <w:rsid w:val="00BE03BD"/>
    <w:rsid w:val="00BE066C"/>
    <w:rsid w:val="00C00364"/>
    <w:rsid w:val="00C00A8E"/>
    <w:rsid w:val="00C24443"/>
    <w:rsid w:val="00C27AF9"/>
    <w:rsid w:val="00C30ADE"/>
    <w:rsid w:val="00C31E7D"/>
    <w:rsid w:val="00C320E9"/>
    <w:rsid w:val="00C406ED"/>
    <w:rsid w:val="00C44DE9"/>
    <w:rsid w:val="00C53AD0"/>
    <w:rsid w:val="00C56725"/>
    <w:rsid w:val="00C60B40"/>
    <w:rsid w:val="00C76BBC"/>
    <w:rsid w:val="00C83D97"/>
    <w:rsid w:val="00C903DE"/>
    <w:rsid w:val="00C93126"/>
    <w:rsid w:val="00C9710C"/>
    <w:rsid w:val="00CA30A6"/>
    <w:rsid w:val="00CA7A60"/>
    <w:rsid w:val="00CB52E7"/>
    <w:rsid w:val="00CB5849"/>
    <w:rsid w:val="00CB6776"/>
    <w:rsid w:val="00CB72BB"/>
    <w:rsid w:val="00CD0DA2"/>
    <w:rsid w:val="00CD24B3"/>
    <w:rsid w:val="00CD5C02"/>
    <w:rsid w:val="00CD6A11"/>
    <w:rsid w:val="00CD7421"/>
    <w:rsid w:val="00CE04CC"/>
    <w:rsid w:val="00CE4361"/>
    <w:rsid w:val="00CE7617"/>
    <w:rsid w:val="00CF14BD"/>
    <w:rsid w:val="00CF1D8F"/>
    <w:rsid w:val="00CF7104"/>
    <w:rsid w:val="00D02AA6"/>
    <w:rsid w:val="00D10076"/>
    <w:rsid w:val="00D1431D"/>
    <w:rsid w:val="00D14B43"/>
    <w:rsid w:val="00D26CA4"/>
    <w:rsid w:val="00D30A37"/>
    <w:rsid w:val="00D34E8D"/>
    <w:rsid w:val="00D436D1"/>
    <w:rsid w:val="00D45E8D"/>
    <w:rsid w:val="00D46149"/>
    <w:rsid w:val="00D53187"/>
    <w:rsid w:val="00D57D70"/>
    <w:rsid w:val="00D607F6"/>
    <w:rsid w:val="00D64586"/>
    <w:rsid w:val="00D651B6"/>
    <w:rsid w:val="00D657A5"/>
    <w:rsid w:val="00D65840"/>
    <w:rsid w:val="00D74953"/>
    <w:rsid w:val="00D76D68"/>
    <w:rsid w:val="00D81E23"/>
    <w:rsid w:val="00D8338C"/>
    <w:rsid w:val="00D854AB"/>
    <w:rsid w:val="00D92529"/>
    <w:rsid w:val="00D96022"/>
    <w:rsid w:val="00D962ED"/>
    <w:rsid w:val="00D96749"/>
    <w:rsid w:val="00DA4BAA"/>
    <w:rsid w:val="00DA4DBB"/>
    <w:rsid w:val="00DB09A4"/>
    <w:rsid w:val="00DC25B2"/>
    <w:rsid w:val="00DC75CE"/>
    <w:rsid w:val="00DF5D52"/>
    <w:rsid w:val="00E14873"/>
    <w:rsid w:val="00E15A78"/>
    <w:rsid w:val="00E25C04"/>
    <w:rsid w:val="00E368BA"/>
    <w:rsid w:val="00E36A1B"/>
    <w:rsid w:val="00E43197"/>
    <w:rsid w:val="00E555E7"/>
    <w:rsid w:val="00E56CE1"/>
    <w:rsid w:val="00E6461F"/>
    <w:rsid w:val="00E723D0"/>
    <w:rsid w:val="00E87DFB"/>
    <w:rsid w:val="00E94494"/>
    <w:rsid w:val="00E958DA"/>
    <w:rsid w:val="00EA0D87"/>
    <w:rsid w:val="00EA34A4"/>
    <w:rsid w:val="00EA43C2"/>
    <w:rsid w:val="00EA441A"/>
    <w:rsid w:val="00EA5B1A"/>
    <w:rsid w:val="00EA7235"/>
    <w:rsid w:val="00EA7694"/>
    <w:rsid w:val="00EB0545"/>
    <w:rsid w:val="00EB16AA"/>
    <w:rsid w:val="00EC0F1F"/>
    <w:rsid w:val="00EC173D"/>
    <w:rsid w:val="00EC68AE"/>
    <w:rsid w:val="00EC7F10"/>
    <w:rsid w:val="00ED586E"/>
    <w:rsid w:val="00EF258D"/>
    <w:rsid w:val="00EF286B"/>
    <w:rsid w:val="00F00F1F"/>
    <w:rsid w:val="00F015B1"/>
    <w:rsid w:val="00F04334"/>
    <w:rsid w:val="00F0572A"/>
    <w:rsid w:val="00F06479"/>
    <w:rsid w:val="00F076DA"/>
    <w:rsid w:val="00F104BD"/>
    <w:rsid w:val="00F10DFC"/>
    <w:rsid w:val="00F12337"/>
    <w:rsid w:val="00F14001"/>
    <w:rsid w:val="00F1436B"/>
    <w:rsid w:val="00F156A3"/>
    <w:rsid w:val="00F16D93"/>
    <w:rsid w:val="00F23BB8"/>
    <w:rsid w:val="00F2734A"/>
    <w:rsid w:val="00F36324"/>
    <w:rsid w:val="00F416E7"/>
    <w:rsid w:val="00F42842"/>
    <w:rsid w:val="00F42ABF"/>
    <w:rsid w:val="00F43C28"/>
    <w:rsid w:val="00F62C80"/>
    <w:rsid w:val="00F65B4A"/>
    <w:rsid w:val="00F71FAB"/>
    <w:rsid w:val="00F749DB"/>
    <w:rsid w:val="00F77E25"/>
    <w:rsid w:val="00F801B9"/>
    <w:rsid w:val="00F844B6"/>
    <w:rsid w:val="00F85B78"/>
    <w:rsid w:val="00F86875"/>
    <w:rsid w:val="00F900BC"/>
    <w:rsid w:val="00F9065E"/>
    <w:rsid w:val="00F91226"/>
    <w:rsid w:val="00F92639"/>
    <w:rsid w:val="00F96900"/>
    <w:rsid w:val="00FA08B2"/>
    <w:rsid w:val="00FA52A6"/>
    <w:rsid w:val="00FB16E8"/>
    <w:rsid w:val="00FB47BE"/>
    <w:rsid w:val="00FC1CBC"/>
    <w:rsid w:val="00FC7C96"/>
    <w:rsid w:val="00FD2065"/>
    <w:rsid w:val="00FD34BC"/>
    <w:rsid w:val="00FD54F8"/>
    <w:rsid w:val="00FF0B30"/>
    <w:rsid w:val="00FF401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F71FAB"/>
    <w:pPr>
      <w:spacing w:before="100" w:beforeAutospacing="1" w:after="100" w:afterAutospacing="1"/>
    </w:pPr>
  </w:style>
  <w:style w:type="paragraph" w:customStyle="1" w:styleId="Default">
    <w:name w:val="Default"/>
    <w:rsid w:val="004624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C4C7A"/>
    <w:rPr>
      <w:i/>
      <w:iCs/>
    </w:rPr>
  </w:style>
  <w:style w:type="paragraph" w:customStyle="1" w:styleId="norm">
    <w:name w:val="norm"/>
    <w:basedOn w:val="Normal"/>
    <w:rsid w:val="00E15A78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E15A78"/>
  </w:style>
  <w:style w:type="paragraph" w:customStyle="1" w:styleId="labojumupamats">
    <w:name w:val="labojumu_pamats"/>
    <w:basedOn w:val="Normal"/>
    <w:rsid w:val="009D5C9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9D5C92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CE7617"/>
    <w:pPr>
      <w:suppressAutoHyphens/>
      <w:spacing w:before="63" w:after="63"/>
      <w:jc w:val="right"/>
    </w:pPr>
    <w:rPr>
      <w:color w:val="00000A"/>
    </w:rPr>
  </w:style>
  <w:style w:type="paragraph" w:customStyle="1" w:styleId="naiskr">
    <w:name w:val="naiskr"/>
    <w:basedOn w:val="Normal"/>
    <w:rsid w:val="00CE7617"/>
    <w:pPr>
      <w:suppressAutoHyphens/>
      <w:spacing w:before="75" w:after="75"/>
    </w:pPr>
    <w:rPr>
      <w:color w:val="00000A"/>
    </w:rPr>
  </w:style>
  <w:style w:type="paragraph" w:customStyle="1" w:styleId="CM4">
    <w:name w:val="CM4"/>
    <w:basedOn w:val="Normal"/>
    <w:next w:val="Normal"/>
    <w:rsid w:val="00881B7E"/>
    <w:pPr>
      <w:autoSpaceDE w:val="0"/>
      <w:autoSpaceDN w:val="0"/>
      <w:adjustRightInd w:val="0"/>
    </w:pPr>
    <w:rPr>
      <w:rFonts w:ascii="EUAlbertina" w:hAnsi="EUAlbertina"/>
      <w:lang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E8F7-1D7F-431C-BC69-2590F2A2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Mikus Ramanis</cp:lastModifiedBy>
  <cp:revision>5</cp:revision>
  <cp:lastPrinted>2016-04-15T08:44:00Z</cp:lastPrinted>
  <dcterms:created xsi:type="dcterms:W3CDTF">2018-07-12T11:16:00Z</dcterms:created>
  <dcterms:modified xsi:type="dcterms:W3CDTF">2018-07-17T15:03:00Z</dcterms:modified>
</cp:coreProperties>
</file>