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B6" w:rsidRPr="000A02C9" w:rsidRDefault="00AD37B6" w:rsidP="00866E20">
      <w:pPr>
        <w:shd w:val="clear" w:color="auto" w:fill="FFFFFF"/>
        <w:spacing w:line="260" w:lineRule="exact"/>
        <w:jc w:val="center"/>
        <w:rPr>
          <w:b/>
          <w:bCs/>
        </w:rPr>
      </w:pPr>
      <w:r w:rsidRPr="000A02C9">
        <w:rPr>
          <w:b/>
        </w:rPr>
        <w:t>Ministru kabineta noteikumu projekta “</w:t>
      </w:r>
      <w:r w:rsidRPr="000A02C9">
        <w:rPr>
          <w:b/>
          <w:bCs/>
        </w:rPr>
        <w:t>Noteikumi par Otrā pasaules kara dalībnieka apliecības un piemiņas</w:t>
      </w:r>
      <w:r w:rsidR="00246744" w:rsidRPr="000A02C9">
        <w:rPr>
          <w:b/>
          <w:bCs/>
        </w:rPr>
        <w:t xml:space="preserve"> krūšu nozīmes paraugu</w:t>
      </w:r>
      <w:r w:rsidR="00C36D0E" w:rsidRPr="000A02C9">
        <w:rPr>
          <w:b/>
          <w:bCs/>
        </w:rPr>
        <w:t>,</w:t>
      </w:r>
      <w:r w:rsidR="00246744" w:rsidRPr="000A02C9">
        <w:rPr>
          <w:b/>
          <w:bCs/>
        </w:rPr>
        <w:t xml:space="preserve"> izsniegšanas</w:t>
      </w:r>
      <w:r w:rsidR="00C36D0E" w:rsidRPr="000A02C9">
        <w:rPr>
          <w:b/>
          <w:bCs/>
        </w:rPr>
        <w:t>, uzskaites un izmantošanas</w:t>
      </w:r>
      <w:r w:rsidR="00246744" w:rsidRPr="000A02C9">
        <w:rPr>
          <w:b/>
          <w:bCs/>
        </w:rPr>
        <w:t xml:space="preserve"> </w:t>
      </w:r>
      <w:r w:rsidRPr="000A02C9">
        <w:rPr>
          <w:b/>
          <w:bCs/>
        </w:rPr>
        <w:t>kārtību” sākotnējās ietekmes novērtējuma ziņojums (anotācija)</w:t>
      </w:r>
    </w:p>
    <w:p w:rsidR="00AD37B6" w:rsidRPr="000A02C9" w:rsidRDefault="00AD37B6" w:rsidP="00866E20">
      <w:pPr>
        <w:pStyle w:val="Title"/>
        <w:ind w:firstLine="53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33"/>
        <w:gridCol w:w="5954"/>
      </w:tblGrid>
      <w:tr w:rsidR="00AD37B6" w:rsidRPr="000A02C9" w:rsidTr="003B2AF3">
        <w:trPr>
          <w:cantSplit/>
        </w:trPr>
        <w:tc>
          <w:tcPr>
            <w:tcW w:w="9581" w:type="dxa"/>
            <w:gridSpan w:val="2"/>
            <w:shd w:val="clear" w:color="auto" w:fill="FFFFFF"/>
            <w:vAlign w:val="center"/>
            <w:hideMark/>
          </w:tcPr>
          <w:p w:rsidR="00AD37B6" w:rsidRPr="000A02C9" w:rsidRDefault="00AD37B6" w:rsidP="003B2AF3">
            <w:pPr>
              <w:jc w:val="center"/>
              <w:rPr>
                <w:b/>
                <w:iCs/>
                <w:lang w:eastAsia="en-US"/>
              </w:rPr>
            </w:pPr>
            <w:r w:rsidRPr="000A02C9">
              <w:rPr>
                <w:b/>
                <w:iCs/>
                <w:lang w:eastAsia="en-US"/>
              </w:rPr>
              <w:t>Tiesību akta projekta anotācijas kopsavilkums</w:t>
            </w:r>
          </w:p>
        </w:tc>
      </w:tr>
      <w:tr w:rsidR="00AD37B6" w:rsidRPr="000A02C9" w:rsidTr="00AB5A47">
        <w:trPr>
          <w:cantSplit/>
          <w:trHeight w:val="1765"/>
        </w:trPr>
        <w:tc>
          <w:tcPr>
            <w:tcW w:w="3430" w:type="dxa"/>
            <w:shd w:val="clear" w:color="auto" w:fill="FFFFFF"/>
            <w:hideMark/>
          </w:tcPr>
          <w:p w:rsidR="00AD37B6" w:rsidRPr="000A02C9" w:rsidRDefault="00AD37B6" w:rsidP="003B2AF3">
            <w:pPr>
              <w:rPr>
                <w:iCs/>
                <w:lang w:eastAsia="en-US"/>
              </w:rPr>
            </w:pPr>
            <w:r w:rsidRPr="000A02C9">
              <w:rPr>
                <w:iCs/>
                <w:lang w:eastAsia="en-US"/>
              </w:rPr>
              <w:t>Mērķis, risinājums un projekta spēkā stāšanās laiks (500 zīmes bez atstarpēm)</w:t>
            </w:r>
          </w:p>
        </w:tc>
        <w:tc>
          <w:tcPr>
            <w:tcW w:w="6151" w:type="dxa"/>
            <w:shd w:val="clear" w:color="auto" w:fill="FFFFFF"/>
            <w:hideMark/>
          </w:tcPr>
          <w:p w:rsidR="00AD37B6" w:rsidRPr="000A02C9" w:rsidRDefault="000A6873" w:rsidP="000A6873">
            <w:pPr>
              <w:jc w:val="both"/>
            </w:pPr>
            <w:r w:rsidRPr="000A02C9">
              <w:t xml:space="preserve">Projekta mērķis ir noteikt Otrā pasaules kara dalībnieka apliecības un Otrā pasaules kara dalībnieka piemiņas krūšu nozīmes </w:t>
            </w:r>
            <w:r w:rsidR="00E93CDC" w:rsidRPr="000A02C9">
              <w:t>paraugu</w:t>
            </w:r>
            <w:r w:rsidR="00C36D0E" w:rsidRPr="000A02C9">
              <w:t>,</w:t>
            </w:r>
            <w:r w:rsidR="00E93CDC" w:rsidRPr="000A02C9">
              <w:t xml:space="preserve"> </w:t>
            </w:r>
            <w:r w:rsidR="00C36D0E" w:rsidRPr="000A02C9">
              <w:t xml:space="preserve">izsniegšanas, uzskaites un izmantošanas </w:t>
            </w:r>
            <w:r w:rsidRPr="000A02C9">
              <w:t>kārtību.</w:t>
            </w:r>
          </w:p>
          <w:p w:rsidR="000A6873" w:rsidRPr="000A02C9" w:rsidRDefault="00A226F2" w:rsidP="00AB5A47">
            <w:pPr>
              <w:jc w:val="both"/>
              <w:rPr>
                <w:iCs/>
                <w:lang w:eastAsia="en-US"/>
              </w:rPr>
            </w:pPr>
            <w:r w:rsidRPr="000A02C9">
              <w:rPr>
                <w:iCs/>
                <w:lang w:eastAsia="en-US"/>
              </w:rPr>
              <w:t>Projektam noteikts spēkā stāšanās termiņš</w:t>
            </w:r>
            <w:r w:rsidR="00AB5A47" w:rsidRPr="000A02C9">
              <w:rPr>
                <w:iCs/>
                <w:lang w:eastAsia="en-US"/>
              </w:rPr>
              <w:t xml:space="preserve"> – </w:t>
            </w:r>
            <w:proofErr w:type="gramStart"/>
            <w:r w:rsidR="00AB5A47" w:rsidRPr="000A02C9">
              <w:rPr>
                <w:iCs/>
                <w:lang w:eastAsia="en-US"/>
              </w:rPr>
              <w:t>2018.gada</w:t>
            </w:r>
            <w:proofErr w:type="gramEnd"/>
            <w:r w:rsidR="00AB5A47" w:rsidRPr="000A02C9">
              <w:rPr>
                <w:iCs/>
                <w:lang w:eastAsia="en-US"/>
              </w:rPr>
              <w:t xml:space="preserve"> 1.augusts</w:t>
            </w:r>
            <w:r w:rsidRPr="000A02C9">
              <w:rPr>
                <w:iCs/>
                <w:lang w:eastAsia="en-US"/>
              </w:rPr>
              <w:t>.</w:t>
            </w:r>
          </w:p>
        </w:tc>
      </w:tr>
    </w:tbl>
    <w:p w:rsidR="00AD37B6" w:rsidRPr="000A02C9" w:rsidRDefault="00AD37B6" w:rsidP="00866E20">
      <w:pPr>
        <w:pStyle w:val="Title"/>
        <w:spacing w:line="260" w:lineRule="exact"/>
        <w:ind w:firstLine="539"/>
        <w:jc w:val="both"/>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8"/>
        <w:gridCol w:w="2747"/>
        <w:gridCol w:w="5962"/>
      </w:tblGrid>
      <w:tr w:rsidR="00AD37B6" w:rsidRPr="000A02C9" w:rsidTr="00F93619">
        <w:tc>
          <w:tcPr>
            <w:tcW w:w="5000" w:type="pct"/>
            <w:gridSpan w:val="3"/>
            <w:vAlign w:val="center"/>
            <w:hideMark/>
          </w:tcPr>
          <w:p w:rsidR="00AD37B6" w:rsidRPr="000A02C9" w:rsidRDefault="00AD37B6" w:rsidP="003B2AF3">
            <w:pPr>
              <w:jc w:val="center"/>
              <w:rPr>
                <w:b/>
                <w:bCs/>
              </w:rPr>
            </w:pPr>
            <w:r w:rsidRPr="000A02C9">
              <w:rPr>
                <w:b/>
                <w:bCs/>
              </w:rPr>
              <w:t>I. Tiesību akta projekta izstrādes nepieciešamība</w:t>
            </w:r>
          </w:p>
        </w:tc>
      </w:tr>
      <w:tr w:rsidR="00AD37B6" w:rsidRPr="000A02C9" w:rsidTr="00F93619">
        <w:tc>
          <w:tcPr>
            <w:tcW w:w="311" w:type="pct"/>
            <w:hideMark/>
          </w:tcPr>
          <w:p w:rsidR="00AD37B6" w:rsidRPr="000A02C9" w:rsidRDefault="00AD37B6" w:rsidP="003B2AF3">
            <w:pPr>
              <w:jc w:val="center"/>
            </w:pPr>
            <w:r w:rsidRPr="000A02C9">
              <w:t>1.</w:t>
            </w:r>
          </w:p>
        </w:tc>
        <w:tc>
          <w:tcPr>
            <w:tcW w:w="1479" w:type="pct"/>
            <w:hideMark/>
          </w:tcPr>
          <w:p w:rsidR="00AD37B6" w:rsidRPr="000A02C9" w:rsidRDefault="00AD37B6" w:rsidP="003B2AF3">
            <w:r w:rsidRPr="000A02C9">
              <w:t>Pamatojums</w:t>
            </w:r>
          </w:p>
        </w:tc>
        <w:tc>
          <w:tcPr>
            <w:tcW w:w="3210" w:type="pct"/>
            <w:hideMark/>
          </w:tcPr>
          <w:p w:rsidR="00AD37B6" w:rsidRPr="000A02C9" w:rsidRDefault="003B3529" w:rsidP="003B3529">
            <w:pPr>
              <w:jc w:val="both"/>
              <w:rPr>
                <w:rFonts w:eastAsiaTheme="minorHAnsi"/>
                <w:lang w:eastAsia="en-US"/>
              </w:rPr>
            </w:pPr>
            <w:r w:rsidRPr="000A02C9">
              <w:rPr>
                <w:rFonts w:eastAsiaTheme="minorHAnsi"/>
                <w:lang w:eastAsia="en-US"/>
              </w:rPr>
              <w:t xml:space="preserve">Likuma “Par Otrā pasaules kara dalībnieka statusu” </w:t>
            </w:r>
            <w:proofErr w:type="gramStart"/>
            <w:r w:rsidRPr="000A02C9">
              <w:rPr>
                <w:rFonts w:eastAsiaTheme="minorHAnsi"/>
                <w:lang w:eastAsia="en-US"/>
              </w:rPr>
              <w:t>5.pants</w:t>
            </w:r>
            <w:proofErr w:type="gramEnd"/>
            <w:r w:rsidRPr="000A02C9">
              <w:rPr>
                <w:rFonts w:eastAsiaTheme="minorHAnsi"/>
                <w:lang w:eastAsia="en-US"/>
              </w:rPr>
              <w:t xml:space="preserve"> un pārejas </w:t>
            </w:r>
            <w:r w:rsidR="00C36D0E" w:rsidRPr="000A02C9">
              <w:rPr>
                <w:rFonts w:eastAsiaTheme="minorHAnsi"/>
                <w:lang w:eastAsia="en-US"/>
              </w:rPr>
              <w:t>noteikumu</w:t>
            </w:r>
            <w:r w:rsidRPr="000A02C9">
              <w:rPr>
                <w:rFonts w:eastAsiaTheme="minorHAnsi"/>
                <w:lang w:eastAsia="en-US"/>
              </w:rPr>
              <w:t xml:space="preserve"> 1.punkts.</w:t>
            </w:r>
          </w:p>
          <w:p w:rsidR="003D3FC5" w:rsidRPr="000A02C9" w:rsidRDefault="003D3FC5" w:rsidP="003B3529">
            <w:pPr>
              <w:jc w:val="both"/>
            </w:pPr>
            <w:r w:rsidRPr="000A02C9">
              <w:rPr>
                <w:rFonts w:eastAsiaTheme="minorHAnsi"/>
                <w:lang w:eastAsia="en-US"/>
              </w:rPr>
              <w:t>Uzdevums Nr.2018-UZD-125.</w:t>
            </w:r>
          </w:p>
        </w:tc>
      </w:tr>
      <w:tr w:rsidR="00AD37B6" w:rsidRPr="000A02C9" w:rsidTr="00F93619">
        <w:tc>
          <w:tcPr>
            <w:tcW w:w="311" w:type="pct"/>
            <w:hideMark/>
          </w:tcPr>
          <w:p w:rsidR="00AD37B6" w:rsidRPr="000A02C9" w:rsidRDefault="00AD37B6" w:rsidP="003B2AF3">
            <w:pPr>
              <w:jc w:val="center"/>
            </w:pPr>
            <w:r w:rsidRPr="000A02C9">
              <w:t>2.</w:t>
            </w:r>
          </w:p>
        </w:tc>
        <w:tc>
          <w:tcPr>
            <w:tcW w:w="1479" w:type="pct"/>
            <w:hideMark/>
          </w:tcPr>
          <w:p w:rsidR="00AD37B6" w:rsidRPr="000A02C9" w:rsidRDefault="00AD37B6" w:rsidP="003B2AF3">
            <w:r w:rsidRPr="000A02C9">
              <w:t>Pašreizējā situācija un problēmas, kuru risināšanai tiesību akta projekts izstrādāts, tiesiskā regulējuma mērķis un būtība</w:t>
            </w:r>
          </w:p>
        </w:tc>
        <w:tc>
          <w:tcPr>
            <w:tcW w:w="3210" w:type="pct"/>
            <w:hideMark/>
          </w:tcPr>
          <w:p w:rsidR="00C36D0E" w:rsidRPr="000A02C9" w:rsidRDefault="00C36D0E" w:rsidP="00C36D0E">
            <w:pPr>
              <w:jc w:val="both"/>
              <w:rPr>
                <w:bCs/>
              </w:rPr>
            </w:pPr>
            <w:proofErr w:type="gramStart"/>
            <w:r w:rsidRPr="000A02C9">
              <w:t>2018.gada</w:t>
            </w:r>
            <w:proofErr w:type="gramEnd"/>
            <w:r w:rsidRPr="000A02C9">
              <w:t xml:space="preserve"> 1.februārī stājas spēkā </w:t>
            </w:r>
            <w:r w:rsidRPr="000A02C9">
              <w:rPr>
                <w:bCs/>
              </w:rPr>
              <w:t xml:space="preserve">likums “Par Otrā pasaules kara dalībnieka statusu”. Minētā likuma </w:t>
            </w:r>
            <w:proofErr w:type="gramStart"/>
            <w:r w:rsidRPr="000A02C9">
              <w:rPr>
                <w:bCs/>
              </w:rPr>
              <w:t>5.pantā</w:t>
            </w:r>
            <w:proofErr w:type="gramEnd"/>
            <w:r w:rsidRPr="000A02C9">
              <w:rPr>
                <w:bCs/>
              </w:rPr>
              <w:t xml:space="preserve"> noteikts, ka Otrā pasaules kara dalībniekiem tiek izsniegta noteikta parauga apliecība un piemiņas krūšu nozīme un ka Ministru kabinets nosaka apliecības un</w:t>
            </w:r>
            <w:r w:rsidR="00463DD9" w:rsidRPr="000A02C9">
              <w:rPr>
                <w:bCs/>
              </w:rPr>
              <w:t xml:space="preserve"> piemiņas</w:t>
            </w:r>
            <w:r w:rsidRPr="000A02C9">
              <w:rPr>
                <w:bCs/>
              </w:rPr>
              <w:t xml:space="preserve"> krūšu nozīmes paraugu, izsniegšanas, uzskaites un izmantošanas kārtību. </w:t>
            </w:r>
          </w:p>
          <w:p w:rsidR="00C36D0E" w:rsidRPr="000A02C9" w:rsidRDefault="00C36D0E" w:rsidP="00C36D0E">
            <w:pPr>
              <w:jc w:val="both"/>
            </w:pPr>
            <w:r w:rsidRPr="000A02C9">
              <w:rPr>
                <w:bCs/>
              </w:rPr>
              <w:t xml:space="preserve">Ievērojot minēto, izstrādāts Ministru kabineta noteikumu projekts “Noteikumi par Otrā pasaules kara dalībnieka apliecības un piemiņas krūšu nozīmes paraugu, izsniegšanas, uzskaites un izmantošanas kārtību”, kas </w:t>
            </w:r>
            <w:r w:rsidR="006E140A" w:rsidRPr="000A02C9">
              <w:rPr>
                <w:bCs/>
              </w:rPr>
              <w:t>nosaka</w:t>
            </w:r>
            <w:r w:rsidRPr="000A02C9">
              <w:rPr>
                <w:bCs/>
              </w:rPr>
              <w:t xml:space="preserve"> </w:t>
            </w:r>
            <w:r w:rsidRPr="000A02C9">
              <w:t>Otrā pasaules kara dalībnieka apliecības un Otrā pasaules kara dalībnieka</w:t>
            </w:r>
            <w:r w:rsidR="00463DD9" w:rsidRPr="000A02C9">
              <w:t xml:space="preserve"> piemiņas</w:t>
            </w:r>
            <w:r w:rsidRPr="000A02C9">
              <w:t xml:space="preserve"> krūšu nozīmes paraugu, izsniegšanas, uzskaites un izmantošanas kārtību.</w:t>
            </w:r>
          </w:p>
          <w:p w:rsidR="00AD37B6" w:rsidRPr="000A02C9" w:rsidRDefault="00C36D0E" w:rsidP="00C36D0E">
            <w:pPr>
              <w:jc w:val="both"/>
            </w:pPr>
            <w:r w:rsidRPr="000A02C9">
              <w:t xml:space="preserve">Ministru kabineta noteikumu projekts izstrādāts, paredzot līdzīgu kārtību, kādā Pilsonības un migrācijas lietu pārvalde izsniedz politiski represēto personu apliecības (Ministru kabineta </w:t>
            </w:r>
            <w:proofErr w:type="gramStart"/>
            <w:r w:rsidRPr="000A02C9">
              <w:t>2011.gada</w:t>
            </w:r>
            <w:proofErr w:type="gramEnd"/>
            <w:r w:rsidRPr="000A02C9">
              <w:t xml:space="preserve"> 28.jūnija noteikumi Nr.504 “Politiski represēto personu apliecību izsniegšanas, uzskaites un izmantošanas kārtība”) un nacionālās pretošanās kustības dalībnieku apliecības un krūšu nozīmes (Ministru kabineta 1997.gada 13.maija noteikumi Nr.178 “Noteikumi par nacionālās pretošanās kustības dalībnieku uzskaiti un nacionālās pretošanās kustības dalībnieka apliecības un krūšu nozīmes izsniegšanu un uzskaiti”).</w:t>
            </w:r>
          </w:p>
          <w:p w:rsidR="00DC2105" w:rsidRPr="000A02C9" w:rsidRDefault="00DC2105" w:rsidP="003314E9">
            <w:pPr>
              <w:jc w:val="both"/>
            </w:pPr>
            <w:r w:rsidRPr="000A02C9">
              <w:t>Projekts paredz, ka persona var iesniegt vai nosūtīt pa pastu Pilsonības un migrācijas lietu pārvaldei iesniegumu ar lūgumu izsniegt apliecību un</w:t>
            </w:r>
            <w:r w:rsidR="003314E9" w:rsidRPr="000A02C9">
              <w:t xml:space="preserve"> piemiņas</w:t>
            </w:r>
            <w:r w:rsidRPr="000A02C9">
              <w:t xml:space="preserve"> krūšu nozīmi. </w:t>
            </w:r>
            <w:r w:rsidR="009A2045" w:rsidRPr="000A02C9">
              <w:t>Lai nodrošinātu administratīvā sloga mazināšanu privātpersonai, projekts paredz, ka</w:t>
            </w:r>
            <w:r w:rsidRPr="000A02C9">
              <w:t xml:space="preserve"> </w:t>
            </w:r>
            <w:r w:rsidR="003314E9" w:rsidRPr="000A02C9">
              <w:t>persona iesniegumu ar lūgumu izsniegt apliecību un piemiņas krūšu nozīmi var iesniegt kopā ar iesniegumu par Otrā pasaules kara dalībnieka statusa piešķiršanu.</w:t>
            </w:r>
          </w:p>
          <w:p w:rsidR="007F1E19" w:rsidRPr="000A02C9" w:rsidRDefault="00E81185" w:rsidP="003314E9">
            <w:pPr>
              <w:jc w:val="both"/>
            </w:pPr>
            <w:r w:rsidRPr="000A02C9">
              <w:t>Tāpat</w:t>
            </w:r>
            <w:r w:rsidR="003F273A" w:rsidRPr="000A02C9">
              <w:t xml:space="preserve">, </w:t>
            </w:r>
            <w:proofErr w:type="gramStart"/>
            <w:r w:rsidR="003F273A" w:rsidRPr="000A02C9">
              <w:t>ņemot vērā subjektu</w:t>
            </w:r>
            <w:proofErr w:type="gramEnd"/>
            <w:r w:rsidR="003F273A" w:rsidRPr="000A02C9">
              <w:t xml:space="preserve"> loka cienījamo vecumu,</w:t>
            </w:r>
            <w:r w:rsidR="007F1E19" w:rsidRPr="000A02C9">
              <w:t xml:space="preserve"> projekts:</w:t>
            </w:r>
          </w:p>
          <w:p w:rsidR="00197EBB" w:rsidRPr="000A02C9" w:rsidRDefault="007F1E19" w:rsidP="003314E9">
            <w:pPr>
              <w:jc w:val="both"/>
            </w:pPr>
            <w:r w:rsidRPr="000A02C9">
              <w:lastRenderedPageBreak/>
              <w:t>-</w:t>
            </w:r>
            <w:r w:rsidR="00E81185" w:rsidRPr="000A02C9">
              <w:t xml:space="preserve"> </w:t>
            </w:r>
            <w:r w:rsidR="00197EBB" w:rsidRPr="000A02C9">
              <w:t>neparedz, ka iesniegt iesniegumu un saņemt</w:t>
            </w:r>
            <w:r w:rsidR="00E81185" w:rsidRPr="000A02C9">
              <w:t xml:space="preserve"> apliecību un piemiņas krūšu nozīmi var </w:t>
            </w:r>
            <w:r w:rsidR="00197EBB" w:rsidRPr="000A02C9">
              <w:t>tikai</w:t>
            </w:r>
            <w:r w:rsidR="00E81185" w:rsidRPr="000A02C9">
              <w:t xml:space="preserve"> </w:t>
            </w:r>
            <w:r w:rsidR="003F273A" w:rsidRPr="000A02C9">
              <w:t>person</w:t>
            </w:r>
            <w:r w:rsidR="00197EBB" w:rsidRPr="000A02C9">
              <w:t>īgi, līdz ar to iesniegt iesniegumu un saņemt apliecību un piemiņas krūšu nozīmi varēs arī pilnvarotā persona;</w:t>
            </w:r>
          </w:p>
          <w:p w:rsidR="00E81185" w:rsidRPr="000A02C9" w:rsidRDefault="00197EBB" w:rsidP="003314E9">
            <w:pPr>
              <w:jc w:val="both"/>
            </w:pPr>
            <w:r w:rsidRPr="000A02C9">
              <w:t>- paredz, ka</w:t>
            </w:r>
            <w:r w:rsidR="003F273A" w:rsidRPr="000A02C9">
              <w:t xml:space="preserve"> gadījumos, ja persona veselības stāvokļa dēļ nevar ierasties Pilsonības un migrācijas lietu pārvaldē, tad persona apliecību un piemiņas krūšu nozīmi var saņemt atrašanās vietā</w:t>
            </w:r>
            <w:r w:rsidR="0040270A" w:rsidRPr="000A02C9">
              <w:t xml:space="preserve"> Latvijā</w:t>
            </w:r>
            <w:r w:rsidR="00144DF6" w:rsidRPr="000A02C9">
              <w:t>. Līdzīgi kā politiski represētās personas apliecību vai personu apliecinošu dokumentu</w:t>
            </w:r>
            <w:r w:rsidR="0040270A" w:rsidRPr="000A02C9">
              <w:t xml:space="preserve"> var saņemt atrašanās vietā</w:t>
            </w:r>
            <w:r w:rsidR="004A7644" w:rsidRPr="000A02C9">
              <w:t>, par ko persona informē savā iesniegumā, norādot arī atrašanās vietas adresi</w:t>
            </w:r>
            <w:r w:rsidR="00144DF6" w:rsidRPr="000A02C9">
              <w:t>. Minēto veiks Pilsonības un migrācijas lietu pārvaldes nodarbinātais.</w:t>
            </w:r>
            <w:r w:rsidR="004A7644" w:rsidRPr="000A02C9">
              <w:t>;</w:t>
            </w:r>
          </w:p>
          <w:p w:rsidR="007F1E19" w:rsidRPr="000A02C9" w:rsidRDefault="007F1E19" w:rsidP="003314E9">
            <w:pPr>
              <w:jc w:val="both"/>
            </w:pPr>
            <w:r w:rsidRPr="000A02C9">
              <w:t>-</w:t>
            </w:r>
            <w:r w:rsidR="00197EBB" w:rsidRPr="000A02C9">
              <w:t xml:space="preserve"> </w:t>
            </w:r>
            <w:proofErr w:type="gramStart"/>
            <w:r w:rsidR="00197EBB" w:rsidRPr="000A02C9">
              <w:t>paredz</w:t>
            </w:r>
            <w:r w:rsidRPr="000A02C9">
              <w:t xml:space="preserve"> ka</w:t>
            </w:r>
            <w:proofErr w:type="gramEnd"/>
            <w:r w:rsidRPr="000A02C9">
              <w:t>, gadījumos, kad persona mirusi pēc lēmuma par Otrā pasaules kara dalībnieka statusa piešķiršanu spēkā stāšanās</w:t>
            </w:r>
            <w:r w:rsidR="009A2045" w:rsidRPr="000A02C9">
              <w:t xml:space="preserve"> un nav saņēmusi piemiņas krūšu nozīmi</w:t>
            </w:r>
            <w:r w:rsidRPr="000A02C9">
              <w:t>, personas piemiņas krūšu nozīmi varēs izsniegt personas laulātajam vai lejupējam radiniekam, bet, ja to nav</w:t>
            </w:r>
            <w:r w:rsidR="00701EC8">
              <w:t>,</w:t>
            </w:r>
            <w:r w:rsidRPr="000A02C9">
              <w:t xml:space="preserve"> tad brālim vai māsai. Lai nodrošinātu savlaicīgu piemiņas krūšu nozīmju saņemšanu, projekts paredz noteikt termiņu, kādā piederīgajiem jāvēršas Pilsonības un migrācijas lietu pārvaldē, tāpat, lai novērstu strīdus par to, kuram no piederīgajiem piemiņas krūšu nozīme izsniedzama, projekts paredz noteikt, ka to izsniedz tam piederīgajam, kurš pirmais iesniedz Pilsonības un migrācijas lietu pārvaldei iesniegumu ar lūgumu izsniegt piemiņas krūšu nozīmi.</w:t>
            </w:r>
          </w:p>
          <w:p w:rsidR="00760CD9" w:rsidRPr="000A02C9" w:rsidRDefault="00760CD9" w:rsidP="003314E9">
            <w:pPr>
              <w:jc w:val="both"/>
            </w:pPr>
            <w:r w:rsidRPr="000A02C9">
              <w:t xml:space="preserve">Projekts paredz, ka piemiņas krūšu nozīmi personas piederīgajam izsniedz </w:t>
            </w:r>
            <w:r w:rsidR="00945CB1" w:rsidRPr="000A02C9">
              <w:t>gada</w:t>
            </w:r>
            <w:r w:rsidRPr="000A02C9">
              <w:t xml:space="preserve"> laikā pēc personas nāves.</w:t>
            </w:r>
            <w:r w:rsidR="00E80777" w:rsidRPr="000A02C9">
              <w:t xml:space="preserve"> Šāds termiņš izvēlēts</w:t>
            </w:r>
            <w:r w:rsidR="00945CB1" w:rsidRPr="000A02C9">
              <w:t>,</w:t>
            </w:r>
            <w:r w:rsidR="00E80777" w:rsidRPr="000A02C9">
              <w:t xml:space="preserve"> ņemot vērā</w:t>
            </w:r>
            <w:r w:rsidR="00945CB1" w:rsidRPr="000A02C9">
              <w:t>, ka mantojuma tiesībās ir noteikts, ka mantiniekam jāizsaka sava griba pieņemt mantojumu gada laikā.</w:t>
            </w:r>
          </w:p>
          <w:p w:rsidR="003314E9" w:rsidRPr="000A02C9" w:rsidRDefault="00AF33FE" w:rsidP="003314E9">
            <w:pPr>
              <w:jc w:val="both"/>
            </w:pPr>
            <w:r w:rsidRPr="000A02C9">
              <w:t xml:space="preserve">Projekts paredz, ka </w:t>
            </w:r>
            <w:r w:rsidR="003314E9" w:rsidRPr="000A02C9">
              <w:t>piemiņas krūšu noz</w:t>
            </w:r>
            <w:r w:rsidRPr="000A02C9">
              <w:t>īmi piešķir vienu reizi, tādējādi veicinot gādīgu attieksmi pret piemiņas krūšu nozīmes glabāšanu un izmantošanu.</w:t>
            </w:r>
            <w:r w:rsidR="003314E9" w:rsidRPr="000A02C9">
              <w:t xml:space="preserve"> </w:t>
            </w:r>
          </w:p>
          <w:p w:rsidR="001574C9" w:rsidRPr="000A02C9" w:rsidRDefault="001574C9" w:rsidP="001574C9">
            <w:pPr>
              <w:jc w:val="both"/>
            </w:pPr>
            <w:r w:rsidRPr="000A02C9">
              <w:t>Attiecībā uz apliecību un piemiņas krūšu nozīmju uzskaitīšanu, lai neradītu papildu slogu un veicinātu elektronisko datu apriti, uzskaite netiks veikta izmantojot</w:t>
            </w:r>
            <w:r w:rsidR="0040270A" w:rsidRPr="000A02C9">
              <w:t xml:space="preserve"> papīra</w:t>
            </w:r>
            <w:r w:rsidRPr="000A02C9">
              <w:t xml:space="preserve"> žurnālus, bet gan apliecības tiks uzskaitītas, ziņas par tām iekļaujot Iedzīvotāju reģistrā atbilstoši normatīvajiem aktiem par </w:t>
            </w:r>
            <w:r w:rsidR="00AB5A47" w:rsidRPr="000A02C9">
              <w:t>Iedzīvotāju reģistrā iekļaujamo ziņu apjomu</w:t>
            </w:r>
            <w:r w:rsidRPr="000A02C9">
              <w:t>.</w:t>
            </w:r>
            <w:r w:rsidR="00AB5A47" w:rsidRPr="000A02C9">
              <w:t xml:space="preserve"> Proti, saskaņā ar Ministru kabineta</w:t>
            </w:r>
            <w:r w:rsidR="00C31871" w:rsidRPr="000A02C9">
              <w:t xml:space="preserve"> </w:t>
            </w:r>
            <w:proofErr w:type="gramStart"/>
            <w:r w:rsidR="00C31871" w:rsidRPr="000A02C9">
              <w:t>2013.gada</w:t>
            </w:r>
            <w:proofErr w:type="gramEnd"/>
            <w:r w:rsidR="00C31871" w:rsidRPr="000A02C9">
              <w:t xml:space="preserve"> 9.jūlija noteikumu Nr.378</w:t>
            </w:r>
            <w:r w:rsidR="00AB5A47" w:rsidRPr="000A02C9">
              <w:t xml:space="preserve"> </w:t>
            </w:r>
            <w:r w:rsidR="00C31871" w:rsidRPr="000A02C9">
              <w:t>“Noteikumi par Iedzīvotāju reģistrā iekļaujamo ziņu apjomu” 2.26.apakšpunktu Iedzīvotāju reģistrā tiks iekļautas ziņas par lēmumu, ar kuru personai piešķirts Otrā pasaules kara dalībnieka statuss (pieņemšanas datums, numurs, izdevējiestāde)</w:t>
            </w:r>
            <w:r w:rsidR="006105EA" w:rsidRPr="000A02C9">
              <w:t>,</w:t>
            </w:r>
            <w:r w:rsidR="00C31871" w:rsidRPr="000A02C9">
              <w:t xml:space="preserve"> un </w:t>
            </w:r>
            <w:r w:rsidR="006105EA" w:rsidRPr="000A02C9">
              <w:t>ziņas par izsniegto apliecību (izdošanas datums, numurs, izdevējiestāde).</w:t>
            </w:r>
            <w:r w:rsidRPr="000A02C9">
              <w:t xml:space="preserve"> </w:t>
            </w:r>
            <w:r w:rsidR="00E900D6" w:rsidRPr="000A02C9">
              <w:t xml:space="preserve">Ievērojot to, ka likumā </w:t>
            </w:r>
            <w:r w:rsidR="00E900D6" w:rsidRPr="000A02C9">
              <w:rPr>
                <w:bCs/>
              </w:rPr>
              <w:t>“Par Otrā pasaules kara dalībnieka statusu” ietvertais deleģējums paredz noteikt arī</w:t>
            </w:r>
            <w:r w:rsidRPr="000A02C9">
              <w:t xml:space="preserve"> piemiņas krūšu nozīmes</w:t>
            </w:r>
            <w:r w:rsidR="00E900D6" w:rsidRPr="000A02C9">
              <w:t xml:space="preserve"> uzskaites kārtību, tad, lai neveicinātu lieku datu apstrādi,</w:t>
            </w:r>
            <w:r w:rsidR="00824092" w:rsidRPr="000A02C9">
              <w:t xml:space="preserve"> žurnālā</w:t>
            </w:r>
            <w:r w:rsidR="00E900D6" w:rsidRPr="000A02C9">
              <w:t xml:space="preserve"> uzskaitot</w:t>
            </w:r>
            <w:r w:rsidR="00824092" w:rsidRPr="000A02C9">
              <w:t xml:space="preserve"> konkrētai personai (vārds, uzvārds, personas kods)</w:t>
            </w:r>
            <w:r w:rsidR="00E900D6" w:rsidRPr="000A02C9">
              <w:t xml:space="preserve"> izsniegtās krūšu nozīmes</w:t>
            </w:r>
            <w:r w:rsidR="00824092" w:rsidRPr="000A02C9">
              <w:t xml:space="preserve"> numuru</w:t>
            </w:r>
            <w:r w:rsidR="00E900D6" w:rsidRPr="000A02C9">
              <w:t xml:space="preserve"> </w:t>
            </w:r>
            <w:r w:rsidR="00824092" w:rsidRPr="000A02C9">
              <w:t>un</w:t>
            </w:r>
            <w:r w:rsidR="00E900D6" w:rsidRPr="000A02C9">
              <w:t xml:space="preserve"> neradītu papildu administratīvo slogu Pilsonības un </w:t>
            </w:r>
            <w:r w:rsidR="00E900D6" w:rsidRPr="000A02C9">
              <w:lastRenderedPageBreak/>
              <w:t xml:space="preserve">migrācijas lietu pārvaldei </w:t>
            </w:r>
            <w:r w:rsidR="00824092" w:rsidRPr="000A02C9">
              <w:t>nodrošinot šo uzskaiti</w:t>
            </w:r>
            <w:r w:rsidR="00E900D6" w:rsidRPr="000A02C9">
              <w:t>, tad</w:t>
            </w:r>
            <w:r w:rsidR="00733430" w:rsidRPr="000A02C9">
              <w:t xml:space="preserve"> </w:t>
            </w:r>
            <w:r w:rsidR="00551BC5" w:rsidRPr="000A02C9">
              <w:t xml:space="preserve">projekts </w:t>
            </w:r>
            <w:r w:rsidR="00551BC5" w:rsidRPr="000A02C9">
              <w:rPr>
                <w:lang w:eastAsia="en-US"/>
              </w:rPr>
              <w:t>paredz, ka apliecības numura pēdējie četri cipari saturēs piemiņas krūšu nozīmes numuru. Tādējādi personai izsniegtās piemiņas krūšu nozīmes uzskaite tiks veikta, iekļaujot piemiņas krūšu nozīmes numuru apliecības numurā un ziņas par izsniegtās apliecības numuru, iekļaujot Iedzīvotāju reģistrā. Šāda uzskaite arī nodrošinās savlaicīgu ziņu pārbaudi par to, kuram pieder piemiņas krūšu nozīme gadījumos, kad Pilsonības un migrācijas lietu pārvaldei tiks atnesta atrastā piemiņas krūšu nozīme.</w:t>
            </w:r>
          </w:p>
          <w:p w:rsidR="00E22365" w:rsidRPr="000A02C9" w:rsidRDefault="005A1FC6" w:rsidP="001574C9">
            <w:pPr>
              <w:jc w:val="both"/>
            </w:pPr>
            <w:r w:rsidRPr="000A02C9">
              <w:t xml:space="preserve">Lai nodrošinātu projekta izpildi, tas ir, izsniegtu Otrā pasaules kara dalībnieka apliecību un piemiņas krūšu nozīmi, tiks </w:t>
            </w:r>
            <w:r w:rsidR="00701EC8">
              <w:t>apstrādāti personas dati</w:t>
            </w:r>
            <w:r w:rsidRPr="000A02C9">
              <w:t xml:space="preserve"> un saņemtas no Iedzīvotāju reģistra</w:t>
            </w:r>
            <w:r w:rsidR="00E22365" w:rsidRPr="000A02C9">
              <w:t xml:space="preserve"> personu identificējošas</w:t>
            </w:r>
            <w:r w:rsidRPr="000A02C9">
              <w:t xml:space="preserve"> ziņas </w:t>
            </w:r>
            <w:r w:rsidR="00E22365" w:rsidRPr="000A02C9">
              <w:t>– vārds, uzvārds, personas kods.</w:t>
            </w:r>
          </w:p>
          <w:p w:rsidR="003B2AF3" w:rsidRPr="000A02C9" w:rsidRDefault="003B2AF3" w:rsidP="001574C9">
            <w:pPr>
              <w:jc w:val="both"/>
            </w:pPr>
            <w:r w:rsidRPr="000A02C9">
              <w:t>Tā kā projekts paredz, ka apliecības izmantos Latvijas Republikas teritorijā un uzrādīs, ja vēlēsies izmantot normatīvajos aktos noteiktās Otrā pasaules kara dalībnieka tiesības, tad nepieciešams nodrošināt precīzu un nepārprotamu personas identifikāciju, ko var nodrošināt vārds, uzvārds, personas kods (kas ir individuāls) un personas fotogrāfija</w:t>
            </w:r>
            <w:r w:rsidR="00F72F72" w:rsidRPr="000A02C9">
              <w:t>.</w:t>
            </w:r>
            <w:r w:rsidRPr="000A02C9">
              <w:t xml:space="preserve"> </w:t>
            </w:r>
            <w:r w:rsidR="00F72F72" w:rsidRPr="000A02C9">
              <w:t>Dati tiks apstrādāti līdzīgi</w:t>
            </w:r>
            <w:proofErr w:type="gramStart"/>
            <w:r w:rsidR="00F72F72" w:rsidRPr="000A02C9">
              <w:t xml:space="preserve"> kā tie tiek apstrādāti</w:t>
            </w:r>
            <w:r w:rsidRPr="000A02C9">
              <w:t xml:space="preserve"> politiski represētās personas apliecība</w:t>
            </w:r>
            <w:r w:rsidR="00F72F72" w:rsidRPr="000A02C9">
              <w:t>s</w:t>
            </w:r>
            <w:r w:rsidRPr="000A02C9">
              <w:t>, nacionālās pretošanās kustības dalībnieka apliecība</w:t>
            </w:r>
            <w:r w:rsidR="00F72F72" w:rsidRPr="000A02C9">
              <w:t>s</w:t>
            </w:r>
            <w:r w:rsidRPr="000A02C9">
              <w:t>, pensionāra apliecība</w:t>
            </w:r>
            <w:r w:rsidR="00F72F72" w:rsidRPr="000A02C9">
              <w:t>s</w:t>
            </w:r>
            <w:proofErr w:type="gramEnd"/>
            <w:r w:rsidRPr="000A02C9">
              <w:t>, studenta, skolēna apliecība</w:t>
            </w:r>
            <w:r w:rsidR="00F72F72" w:rsidRPr="000A02C9">
              <w:t>s u.tml.</w:t>
            </w:r>
            <w:r w:rsidR="0062398B" w:rsidRPr="000A02C9">
              <w:t xml:space="preserve"> apliecību</w:t>
            </w:r>
            <w:r w:rsidR="00F72F72" w:rsidRPr="000A02C9">
              <w:t xml:space="preserve"> izsniegšanā, lai nodrošinātu</w:t>
            </w:r>
            <w:r w:rsidR="0062398B" w:rsidRPr="000A02C9">
              <w:t xml:space="preserve"> precīzu</w:t>
            </w:r>
            <w:r w:rsidR="00F72F72" w:rsidRPr="000A02C9">
              <w:t xml:space="preserve"> personas identifikāciju</w:t>
            </w:r>
            <w:r w:rsidR="0062398B" w:rsidRPr="000A02C9">
              <w:t>,</w:t>
            </w:r>
            <w:r w:rsidR="00F72F72" w:rsidRPr="000A02C9">
              <w:t xml:space="preserve"> kāda pakalpojuma saņem</w:t>
            </w:r>
            <w:r w:rsidR="0062398B" w:rsidRPr="000A02C9">
              <w:t>šanā</w:t>
            </w:r>
            <w:r w:rsidR="00F72F72" w:rsidRPr="000A02C9">
              <w:t>, piemēram, braukšanas maksas atvieglojumi sabiedriskajā transportā</w:t>
            </w:r>
            <w:r w:rsidRPr="000A02C9">
              <w:t xml:space="preserve">. </w:t>
            </w:r>
            <w:r w:rsidR="00E900D6" w:rsidRPr="000A02C9">
              <w:t>Norādāms, ka</w:t>
            </w:r>
            <w:r w:rsidRPr="000A02C9">
              <w:t xml:space="preserve"> likuma</w:t>
            </w:r>
            <w:r w:rsidR="00760CD9" w:rsidRPr="000A02C9">
              <w:t xml:space="preserve"> </w:t>
            </w:r>
            <w:r w:rsidR="00760CD9" w:rsidRPr="000A02C9">
              <w:rPr>
                <w:bCs/>
              </w:rPr>
              <w:t>“Par Otrā pasaules kara dalībnieka statusu”</w:t>
            </w:r>
            <w:r w:rsidR="00E900D6" w:rsidRPr="000A02C9">
              <w:t xml:space="preserve"> pieņemšanas procesā </w:t>
            </w:r>
            <w:r w:rsidRPr="000A02C9">
              <w:t xml:space="preserve">Saeimas </w:t>
            </w:r>
            <w:r w:rsidR="00E900D6" w:rsidRPr="000A02C9">
              <w:t>Cilvēktiesību un sabiedrisko lietu</w:t>
            </w:r>
            <w:r w:rsidRPr="000A02C9">
              <w:t xml:space="preserve"> komisijā izskanēja viedoklis, ka pašvaldības savos saistošajos noteikumos varētu noteikt kādus atvieglojumus Otrā pasaules kara dalībniekiem. Ievērojot minēto un to, ka galvenokārt visi personai piemērojamie atvieglojumi ir saistīti ar finanšu līdzekļu izlietojumu, ir nepieciešama nepārprotama personas identifikācija, ko var nodrošināt apliecīb</w:t>
            </w:r>
            <w:r w:rsidR="00F72F72" w:rsidRPr="000A02C9">
              <w:t>ā iekļaujamā informācija.</w:t>
            </w:r>
            <w:r w:rsidR="00A7236C" w:rsidRPr="000A02C9">
              <w:t xml:space="preserve"> Tādējādi personas datu apstrāde ir samērīga ar apliecības izmantošanas mērķi – izmantot normatīvajos aktos noteiktās Otrā pasaules kara dalībnieka tiesības. </w:t>
            </w:r>
            <w:r w:rsidR="00C97C85">
              <w:t xml:space="preserve"> Papildus norādāms, ka apliecību dizains</w:t>
            </w:r>
            <w:r w:rsidR="00F72F72" w:rsidRPr="000A02C9">
              <w:t xml:space="preserve"> veidot</w:t>
            </w:r>
            <w:r w:rsidR="00C97C85">
              <w:t>s</w:t>
            </w:r>
            <w:r w:rsidR="00F72F72" w:rsidRPr="000A02C9">
              <w:t xml:space="preserve"> līdzīgi politiski represētās personas apliecībai un nacionālās pretošanās kustības dalībnieka apliecībai, lai saprātīgi izmantotu valsts budžeta līdzekļus, tas ir, izmantojot jau esošo risinājumu </w:t>
            </w:r>
            <w:r w:rsidR="00760CD9" w:rsidRPr="000A02C9">
              <w:t xml:space="preserve">apliecību </w:t>
            </w:r>
            <w:r w:rsidR="00F72F72" w:rsidRPr="000A02C9">
              <w:t>izgatavošan</w:t>
            </w:r>
            <w:r w:rsidR="00C67EF5" w:rsidRPr="000A02C9">
              <w:t>ā</w:t>
            </w:r>
            <w:r w:rsidR="00760CD9" w:rsidRPr="000A02C9">
              <w:t>, pielāgojot to Otrā pasaules kara dalībnieka apliec</w:t>
            </w:r>
            <w:r w:rsidR="00C67EF5" w:rsidRPr="000A02C9">
              <w:t>ībām</w:t>
            </w:r>
            <w:r w:rsidR="00F72F72" w:rsidRPr="000A02C9">
              <w:t>, nevis veidojot pilnīgi jaunu tehnisko risinājumu</w:t>
            </w:r>
            <w:r w:rsidR="00410FC9" w:rsidRPr="000A02C9">
              <w:t>, paredzot citu ziņu iekļaušanu vai to izkārtojumu</w:t>
            </w:r>
            <w:r w:rsidR="00F72F72" w:rsidRPr="000A02C9">
              <w:t>.</w:t>
            </w:r>
            <w:r w:rsidR="00C97C85">
              <w:t xml:space="preserve"> Līdz ar to visām trim minētajām apliecībām būs vienāds formāts.</w:t>
            </w:r>
            <w:r w:rsidR="00410FC9" w:rsidRPr="000A02C9">
              <w:t xml:space="preserve"> Turklāt gan politiski represētās personas apliecība, gan nacionālās pretošanās kustības dalībnieka apliecība, tāpat kā Otrā pasaules kara dalībnieka </w:t>
            </w:r>
            <w:r w:rsidR="00410FC9" w:rsidRPr="000A02C9">
              <w:lastRenderedPageBreak/>
              <w:t>apliecība izmantojama, lai izmantotu normatīvajos aktos noteiktās tiesības.</w:t>
            </w:r>
          </w:p>
          <w:p w:rsidR="00E22365" w:rsidRPr="000A02C9" w:rsidRDefault="00E22365" w:rsidP="001574C9">
            <w:pPr>
              <w:jc w:val="both"/>
            </w:pPr>
            <w:r w:rsidRPr="000A02C9">
              <w:t>Tāpat kā jebkuram dokumentam apliecībā tiks iekļautas ziņas par apliecības numuru, izdošanas datumu un izdevējiestādi, kā arī no Iedzīvotāju reģistra tiks saņemtas un apliecībā iekļautas ziņas par apliecības izdošanas pamatojumu</w:t>
            </w:r>
            <w:r w:rsidR="003B2AF3" w:rsidRPr="000A02C9">
              <w:t xml:space="preserve"> – Pilsonības un migrācijas lietu pārvaldes lēmuma </w:t>
            </w:r>
            <w:r w:rsidR="00760CD9" w:rsidRPr="000A02C9">
              <w:t>numuru</w:t>
            </w:r>
            <w:r w:rsidR="003B2AF3" w:rsidRPr="000A02C9">
              <w:t xml:space="preserve"> </w:t>
            </w:r>
            <w:proofErr w:type="gramStart"/>
            <w:r w:rsidR="003B2AF3" w:rsidRPr="000A02C9">
              <w:t>(atbilstoši projekta 1.pielikumam</w:t>
            </w:r>
            <w:proofErr w:type="gramEnd"/>
            <w:r w:rsidR="003B2AF3" w:rsidRPr="000A02C9">
              <w:t>)</w:t>
            </w:r>
            <w:r w:rsidRPr="000A02C9">
              <w:t>.</w:t>
            </w:r>
          </w:p>
          <w:p w:rsidR="007C414B" w:rsidRPr="000A02C9" w:rsidRDefault="007C414B" w:rsidP="001574C9">
            <w:pPr>
              <w:jc w:val="both"/>
            </w:pPr>
            <w:r w:rsidRPr="000A02C9">
              <w:t>Apliecībā iekļaujamās ziņas tiks saņemtas</w:t>
            </w:r>
            <w:r w:rsidR="00701EC8">
              <w:t xml:space="preserve"> no Iedzīvotāju reģistra</w:t>
            </w:r>
            <w:r w:rsidRPr="000A02C9">
              <w:t xml:space="preserve"> un atsevišķas ziņas, </w:t>
            </w:r>
            <w:proofErr w:type="gramStart"/>
            <w:r w:rsidRPr="000A02C9">
              <w:t>kā piemēram</w:t>
            </w:r>
            <w:proofErr w:type="gramEnd"/>
            <w:r w:rsidRPr="000A02C9">
              <w:t>, apliecības numurs tiks iekļautas Iedzīvotāju reģistrā. Šīs ziņas tiks apstrādātas un glabātas saskaņā ar Iedzīvotāju reģistra likuma nosacījumiem.</w:t>
            </w:r>
          </w:p>
          <w:p w:rsidR="005A1FC6" w:rsidRPr="000A02C9" w:rsidRDefault="00E22365" w:rsidP="001574C9">
            <w:pPr>
              <w:jc w:val="both"/>
            </w:pPr>
            <w:r w:rsidRPr="000A02C9">
              <w:t>Ņemot vērā, ka Otrā pasaules kara dalībnieka statuss nav terminēts un statusa saņēmēju cienījamo vecumu, apliecībām netiek noteikts derīguma termiņš.</w:t>
            </w:r>
            <w:r w:rsidR="005A1FC6" w:rsidRPr="000A02C9">
              <w:t xml:space="preserve"> </w:t>
            </w:r>
          </w:p>
          <w:p w:rsidR="0016469C" w:rsidRPr="000A02C9" w:rsidRDefault="0016469C" w:rsidP="001574C9">
            <w:pPr>
              <w:jc w:val="both"/>
            </w:pPr>
            <w:r w:rsidRPr="000A02C9">
              <w:t>Mākslinieces izstrādāto piemiņas krūšu nozīmes dizainu izvēlējās darba grupa, kuras sastāvā bija pārstāvji no Iekšlietu ministrijas, Saeimas, Aizsardzības ministrijas, Ārlietu ministrijas, Latvijas Valsts prezidenta izveidotās Vēsturnieku komisijas, Latvijas nacionālo karavīru biedrības, Latviešu Strēlnieku apvienības</w:t>
            </w:r>
            <w:r w:rsidR="0017652B" w:rsidRPr="000A02C9">
              <w:t xml:space="preserve"> (Darba grupa izveidota ar Iekšlietu ministrijas </w:t>
            </w:r>
            <w:proofErr w:type="gramStart"/>
            <w:r w:rsidR="0017652B" w:rsidRPr="000A02C9">
              <w:t>2018.gada</w:t>
            </w:r>
            <w:proofErr w:type="gramEnd"/>
            <w:r w:rsidR="0017652B" w:rsidRPr="000A02C9">
              <w:t xml:space="preserve"> 1.februāra rīkojumu Nr.1-12/128)</w:t>
            </w:r>
            <w:r w:rsidRPr="000A02C9">
              <w:t>.</w:t>
            </w:r>
          </w:p>
          <w:p w:rsidR="00AF33FE" w:rsidRPr="000A02C9" w:rsidRDefault="00260381" w:rsidP="00866E20">
            <w:pPr>
              <w:jc w:val="both"/>
            </w:pPr>
            <w:r w:rsidRPr="000A02C9">
              <w:t xml:space="preserve">Projekts </w:t>
            </w:r>
            <w:proofErr w:type="gramStart"/>
            <w:r w:rsidRPr="000A02C9">
              <w:t>paredz jauna</w:t>
            </w:r>
            <w:proofErr w:type="gramEnd"/>
            <w:r w:rsidRPr="000A02C9">
              <w:t xml:space="preserve"> pakalpojuma – Otrā pasaules kara dalībnieka apliecības un piemiņas krūšu nozīme</w:t>
            </w:r>
            <w:r w:rsidR="00701EC8">
              <w:t>s</w:t>
            </w:r>
            <w:r w:rsidRPr="000A02C9">
              <w:t xml:space="preserve"> izsniegšana – izveidi. Pakalpojumu varēs pieprasīt klātienē persona vai tās pilnvarotais pārstāvis, kā arī</w:t>
            </w:r>
            <w:r w:rsidR="006E140A" w:rsidRPr="000A02C9">
              <w:t xml:space="preserve"> attālināti,</w:t>
            </w:r>
            <w:r w:rsidRPr="000A02C9">
              <w:t xml:space="preserve"> nosūt</w:t>
            </w:r>
            <w:r w:rsidR="006E140A" w:rsidRPr="000A02C9">
              <w:t>ot</w:t>
            </w:r>
            <w:r w:rsidRPr="000A02C9">
              <w:t xml:space="preserve"> iesniegumu pa pastu. Savukārt saņemt varēs klātienē vai atrašanās vietā, ja persona nevarēs ierasties Pilsonības un migrācijas lietu pārvaldē veselības stāvokļa dēļ. Ievērojot to, ka iesniegumam nepieciešams pievienot personas</w:t>
            </w:r>
            <w:r w:rsidR="00701EC8">
              <w:t xml:space="preserve"> sejas</w:t>
            </w:r>
            <w:r w:rsidRPr="000A02C9">
              <w:t xml:space="preserve"> fotogrāfiju, kā arī pakalpojuma izpildes rezultāts ir apliecība un piemiņas krūšu nozīme, tad nav paredzēts izveidot elektronisko pakalpojumu.</w:t>
            </w:r>
          </w:p>
          <w:p w:rsidR="00651E5A" w:rsidRPr="000A02C9" w:rsidRDefault="00651E5A" w:rsidP="00651E5A">
            <w:pPr>
              <w:jc w:val="both"/>
            </w:pPr>
            <w:r w:rsidRPr="000A02C9">
              <w:t>Likums “Par Otrā pasaules kara dalībnieka statusu” neparedz valsts nodevas iekasēšanu par apliecības un piemiņas krūšu nozīmes izsniegšanu, līdz ar to apliecība un piemiņas krūšu nozīme personām izsniedzama bez maksas.</w:t>
            </w:r>
          </w:p>
          <w:p w:rsidR="009C4309" w:rsidRPr="000A02C9" w:rsidRDefault="009C4309" w:rsidP="00651E5A">
            <w:pPr>
              <w:jc w:val="both"/>
            </w:pPr>
            <w:r w:rsidRPr="000A02C9">
              <w:t xml:space="preserve">Ievērojot to, ka piemiņas krūšu nozīmes izgatavošanai ir nepieciešams vidēji 2 mēneši un </w:t>
            </w:r>
            <w:proofErr w:type="gramStart"/>
            <w:r w:rsidRPr="000A02C9">
              <w:t>2017.gada</w:t>
            </w:r>
            <w:proofErr w:type="gramEnd"/>
            <w:r w:rsidRPr="000A02C9">
              <w:t xml:space="preserve"> 14.decembra likums “Grozījumi Iedzīvotāju reģistra likumā”</w:t>
            </w:r>
            <w:r w:rsidR="00995FCE" w:rsidRPr="000A02C9">
              <w:t xml:space="preserve"> un Ministru kabineta 2013.gada 9.jūlija noteikumu Nr.378 “Noteikumi par Iedzīvotāju reģistrā iekļaujamo ziņu apjomu” 4.punkts</w:t>
            </w:r>
            <w:r w:rsidRPr="000A02C9">
              <w:t xml:space="preserve"> paredz, ka Iedzīvotāju reģistrā ziņas par Otrā pasaules kara dalībnieka statusu Iedzīvotāju reģistrā tiks iekļautas ar 2018.gada 1.augustu, projektam noteikts spēkā stāšanās datums – 2018.gada 1.augusts.</w:t>
            </w:r>
          </w:p>
        </w:tc>
      </w:tr>
      <w:tr w:rsidR="00AD37B6" w:rsidRPr="000A02C9" w:rsidTr="00F93619">
        <w:tc>
          <w:tcPr>
            <w:tcW w:w="311" w:type="pct"/>
            <w:hideMark/>
          </w:tcPr>
          <w:p w:rsidR="00AD37B6" w:rsidRPr="000A02C9" w:rsidRDefault="00AD37B6" w:rsidP="003B2AF3">
            <w:pPr>
              <w:jc w:val="center"/>
            </w:pPr>
            <w:r w:rsidRPr="000A02C9">
              <w:lastRenderedPageBreak/>
              <w:t>3.</w:t>
            </w:r>
          </w:p>
        </w:tc>
        <w:tc>
          <w:tcPr>
            <w:tcW w:w="1479" w:type="pct"/>
            <w:hideMark/>
          </w:tcPr>
          <w:p w:rsidR="00AD37B6" w:rsidRPr="000A02C9" w:rsidRDefault="00AD37B6" w:rsidP="003B2AF3">
            <w:r w:rsidRPr="000A02C9">
              <w:t xml:space="preserve">Projekta izstrādē iesaistītās institūcijas un publiskas </w:t>
            </w:r>
            <w:r w:rsidRPr="000A02C9">
              <w:lastRenderedPageBreak/>
              <w:t>personas kapitālsabiedrības</w:t>
            </w:r>
          </w:p>
        </w:tc>
        <w:tc>
          <w:tcPr>
            <w:tcW w:w="3210" w:type="pct"/>
            <w:hideMark/>
          </w:tcPr>
          <w:p w:rsidR="00AD37B6" w:rsidRPr="000A02C9" w:rsidRDefault="00C36D0E" w:rsidP="003B2AF3">
            <w:r w:rsidRPr="000A02C9">
              <w:lastRenderedPageBreak/>
              <w:t>Pilsonības un migrācijas lietu pārvalde.</w:t>
            </w:r>
          </w:p>
        </w:tc>
      </w:tr>
      <w:tr w:rsidR="00AD37B6" w:rsidRPr="000A02C9" w:rsidTr="00F93619">
        <w:tc>
          <w:tcPr>
            <w:tcW w:w="311" w:type="pct"/>
            <w:hideMark/>
          </w:tcPr>
          <w:p w:rsidR="00AD37B6" w:rsidRPr="000A02C9" w:rsidRDefault="00AD37B6" w:rsidP="003B2AF3">
            <w:pPr>
              <w:jc w:val="center"/>
            </w:pPr>
            <w:r w:rsidRPr="000A02C9">
              <w:lastRenderedPageBreak/>
              <w:t>4.</w:t>
            </w:r>
          </w:p>
        </w:tc>
        <w:tc>
          <w:tcPr>
            <w:tcW w:w="1479" w:type="pct"/>
            <w:hideMark/>
          </w:tcPr>
          <w:p w:rsidR="00AD37B6" w:rsidRPr="000A02C9" w:rsidRDefault="00AD37B6" w:rsidP="003B2AF3">
            <w:r w:rsidRPr="000A02C9">
              <w:t>Cita informācija</w:t>
            </w:r>
          </w:p>
        </w:tc>
        <w:tc>
          <w:tcPr>
            <w:tcW w:w="3210" w:type="pct"/>
            <w:hideMark/>
          </w:tcPr>
          <w:p w:rsidR="00AD37B6" w:rsidRPr="000A02C9" w:rsidRDefault="00417D7A" w:rsidP="004F28B9">
            <w:pPr>
              <w:jc w:val="both"/>
            </w:pPr>
            <w:r w:rsidRPr="000A02C9">
              <w:t>Nav.</w:t>
            </w:r>
          </w:p>
        </w:tc>
      </w:tr>
    </w:tbl>
    <w:p w:rsidR="00AF33FE" w:rsidRPr="000A02C9" w:rsidRDefault="00AF33FE" w:rsidP="00AD37B6">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8"/>
        <w:gridCol w:w="2747"/>
        <w:gridCol w:w="5962"/>
      </w:tblGrid>
      <w:tr w:rsidR="00AD37B6" w:rsidRPr="000A02C9" w:rsidTr="003B2AF3">
        <w:trPr>
          <w:cantSplit/>
        </w:trPr>
        <w:tc>
          <w:tcPr>
            <w:tcW w:w="5000" w:type="pct"/>
            <w:gridSpan w:val="3"/>
            <w:vAlign w:val="center"/>
            <w:hideMark/>
          </w:tcPr>
          <w:p w:rsidR="00AD37B6" w:rsidRPr="000A02C9" w:rsidRDefault="00AD37B6" w:rsidP="003B2AF3">
            <w:pPr>
              <w:jc w:val="center"/>
              <w:rPr>
                <w:b/>
                <w:bCs/>
              </w:rPr>
            </w:pPr>
            <w:r w:rsidRPr="000A02C9">
              <w:rPr>
                <w:b/>
                <w:bCs/>
              </w:rPr>
              <w:t>II. Tiesību akta projekta ietekme uz sabiedrību, tautsaimniecības attīstību un administratīvo slogu</w:t>
            </w:r>
          </w:p>
        </w:tc>
      </w:tr>
      <w:tr w:rsidR="00AD37B6" w:rsidRPr="000A02C9" w:rsidTr="003B2AF3">
        <w:trPr>
          <w:cantSplit/>
        </w:trPr>
        <w:tc>
          <w:tcPr>
            <w:tcW w:w="311" w:type="pct"/>
            <w:hideMark/>
          </w:tcPr>
          <w:p w:rsidR="00AD37B6" w:rsidRPr="000A02C9" w:rsidRDefault="00AD37B6" w:rsidP="003B2AF3">
            <w:pPr>
              <w:jc w:val="center"/>
            </w:pPr>
            <w:r w:rsidRPr="000A02C9">
              <w:t>1.</w:t>
            </w:r>
          </w:p>
        </w:tc>
        <w:tc>
          <w:tcPr>
            <w:tcW w:w="1479" w:type="pct"/>
            <w:hideMark/>
          </w:tcPr>
          <w:p w:rsidR="00AD37B6" w:rsidRPr="000A02C9" w:rsidRDefault="00AD37B6" w:rsidP="003B2AF3">
            <w:r w:rsidRPr="000A02C9">
              <w:t>Sabiedrības mērķgrupas, kuras tiesiskais regulējums ietekmē vai varētu ietekmēt</w:t>
            </w:r>
          </w:p>
        </w:tc>
        <w:tc>
          <w:tcPr>
            <w:tcW w:w="3210" w:type="pct"/>
            <w:hideMark/>
          </w:tcPr>
          <w:p w:rsidR="001231CD" w:rsidRPr="000A02C9" w:rsidRDefault="001231CD" w:rsidP="001231CD">
            <w:pPr>
              <w:jc w:val="both"/>
            </w:pPr>
            <w:r w:rsidRPr="000A02C9">
              <w:t xml:space="preserve">Mērķgrupas aptuvenais skaitliskais lielums, </w:t>
            </w:r>
            <w:proofErr w:type="gramStart"/>
            <w:r w:rsidR="0081356D" w:rsidRPr="000A02C9">
              <w:t>kas minēts Saeimas komisijas</w:t>
            </w:r>
            <w:r w:rsidRPr="000A02C9">
              <w:t xml:space="preserve"> sēdēs</w:t>
            </w:r>
            <w:proofErr w:type="gramEnd"/>
            <w:r w:rsidRPr="000A02C9">
              <w:t xml:space="preserve"> ir 800</w:t>
            </w:r>
            <w:r w:rsidR="004F28B9" w:rsidRPr="000A02C9">
              <w:t xml:space="preserve"> personas</w:t>
            </w:r>
            <w:r w:rsidRPr="000A02C9">
              <w:t xml:space="preserve">. </w:t>
            </w:r>
          </w:p>
          <w:p w:rsidR="00AD37B6" w:rsidRPr="000A02C9" w:rsidRDefault="001231CD" w:rsidP="001231CD">
            <w:r w:rsidRPr="000A02C9">
              <w:t>Pilsonības un migrācijas lietu pārvalde.</w:t>
            </w:r>
          </w:p>
        </w:tc>
      </w:tr>
      <w:tr w:rsidR="00AD37B6" w:rsidRPr="000A02C9" w:rsidTr="003B2AF3">
        <w:trPr>
          <w:cantSplit/>
        </w:trPr>
        <w:tc>
          <w:tcPr>
            <w:tcW w:w="311" w:type="pct"/>
            <w:hideMark/>
          </w:tcPr>
          <w:p w:rsidR="00AD37B6" w:rsidRPr="000A02C9" w:rsidRDefault="00AD37B6" w:rsidP="003B2AF3">
            <w:pPr>
              <w:jc w:val="center"/>
            </w:pPr>
            <w:r w:rsidRPr="000A02C9">
              <w:t>2.</w:t>
            </w:r>
          </w:p>
        </w:tc>
        <w:tc>
          <w:tcPr>
            <w:tcW w:w="1479" w:type="pct"/>
            <w:hideMark/>
          </w:tcPr>
          <w:p w:rsidR="00AD37B6" w:rsidRPr="000A02C9" w:rsidRDefault="00AD37B6" w:rsidP="003B2AF3">
            <w:r w:rsidRPr="000A02C9">
              <w:t>Tiesiskā regulējuma ietekme uz tautsaimniecību un administratīvo slogu</w:t>
            </w:r>
          </w:p>
        </w:tc>
        <w:tc>
          <w:tcPr>
            <w:tcW w:w="3210" w:type="pct"/>
            <w:hideMark/>
          </w:tcPr>
          <w:p w:rsidR="00652033" w:rsidRPr="000A02C9" w:rsidRDefault="00652033" w:rsidP="00652033">
            <w:pPr>
              <w:jc w:val="both"/>
            </w:pPr>
            <w:r w:rsidRPr="000A02C9">
              <w:t xml:space="preserve">Personām, kuras vēlēsies saņemt Otrā pasaules kara dalībnieka apliecību un piemiņas krūšu nozīmi radīsies administratīvais slogs apliecības un krūšu nozīmes </w:t>
            </w:r>
            <w:r w:rsidR="0081356D" w:rsidRPr="000A02C9">
              <w:t xml:space="preserve">pieprasīšanai un </w:t>
            </w:r>
            <w:r w:rsidRPr="000A02C9">
              <w:t>saņemšanai.</w:t>
            </w:r>
          </w:p>
          <w:p w:rsidR="00AD37B6" w:rsidRPr="000A02C9" w:rsidRDefault="00652033" w:rsidP="00652033">
            <w:pPr>
              <w:jc w:val="both"/>
            </w:pPr>
            <w:r w:rsidRPr="000A02C9">
              <w:t>Pilsonības un migrācijas lietu pārvaldei palielināsies administratīvais slogs, jo papildu esošajām funkcijām būs jāpieņem, jāizskata iesniegumi par Otrā pasaules kara dalībnieka statusa apliecības un piemiņas krūšu nozīmes izsniegšanu, kā arī jāsagatavo un jāizsniedz apliecība un piemiņas krūšu nozīme.</w:t>
            </w:r>
          </w:p>
        </w:tc>
      </w:tr>
      <w:tr w:rsidR="00AD37B6" w:rsidRPr="000A02C9" w:rsidTr="003B2AF3">
        <w:trPr>
          <w:cantSplit/>
        </w:trPr>
        <w:tc>
          <w:tcPr>
            <w:tcW w:w="311" w:type="pct"/>
            <w:hideMark/>
          </w:tcPr>
          <w:p w:rsidR="00AD37B6" w:rsidRPr="000A02C9" w:rsidRDefault="00AD37B6" w:rsidP="003B2AF3">
            <w:pPr>
              <w:jc w:val="center"/>
            </w:pPr>
            <w:r w:rsidRPr="000A02C9">
              <w:lastRenderedPageBreak/>
              <w:t>3.</w:t>
            </w:r>
          </w:p>
        </w:tc>
        <w:tc>
          <w:tcPr>
            <w:tcW w:w="1479" w:type="pct"/>
            <w:hideMark/>
          </w:tcPr>
          <w:p w:rsidR="00AD37B6" w:rsidRPr="000A02C9" w:rsidRDefault="00AD37B6" w:rsidP="003B2AF3">
            <w:r w:rsidRPr="000A02C9">
              <w:t>Administratīvo izmaksu monetārs novērtējums</w:t>
            </w:r>
          </w:p>
        </w:tc>
        <w:tc>
          <w:tcPr>
            <w:tcW w:w="3210" w:type="pct"/>
            <w:hideMark/>
          </w:tcPr>
          <w:p w:rsidR="00652033" w:rsidRPr="000A02C9" w:rsidRDefault="00652033" w:rsidP="00652033">
            <w:pPr>
              <w:jc w:val="both"/>
              <w:rPr>
                <w:iCs/>
              </w:rPr>
            </w:pPr>
            <w:r w:rsidRPr="000A02C9">
              <w:rPr>
                <w:iCs/>
              </w:rPr>
              <w:t>Patērētais laiks vidēji 0,5h (ņemot vērā, ka iesniegumu var iesniegt ne tikai personīgi klātienē, bet arī</w:t>
            </w:r>
            <w:proofErr w:type="gramStart"/>
            <w:r w:rsidRPr="000A02C9">
              <w:rPr>
                <w:iCs/>
              </w:rPr>
              <w:t xml:space="preserve"> nosūtot pa pastu</w:t>
            </w:r>
            <w:proofErr w:type="gramEnd"/>
            <w:r w:rsidRPr="000A02C9">
              <w:rPr>
                <w:iCs/>
              </w:rPr>
              <w:t>, kā arī saņemt ne tikai Pilsonības un migrācijas lietu pārvaldē, bet arī atrašanās vietā).</w:t>
            </w:r>
          </w:p>
          <w:p w:rsidR="000D2844" w:rsidRPr="000A02C9" w:rsidRDefault="007B3519" w:rsidP="00652033">
            <w:pPr>
              <w:jc w:val="both"/>
              <w:rPr>
                <w:i/>
                <w:iCs/>
              </w:rPr>
            </w:pPr>
            <w:r w:rsidRPr="000A02C9">
              <w:rPr>
                <w:iCs/>
              </w:rPr>
              <w:t xml:space="preserve">Izmaksas personai 1 stundā – </w:t>
            </w:r>
            <w:r w:rsidR="00694F9E" w:rsidRPr="000A02C9">
              <w:rPr>
                <w:iCs/>
              </w:rPr>
              <w:t xml:space="preserve">1,80 </w:t>
            </w:r>
            <w:proofErr w:type="spellStart"/>
            <w:r w:rsidR="00694F9E" w:rsidRPr="000A02C9">
              <w:rPr>
                <w:i/>
                <w:iCs/>
              </w:rPr>
              <w:t>euro</w:t>
            </w:r>
            <w:proofErr w:type="spellEnd"/>
            <w:r w:rsidRPr="000A02C9">
              <w:rPr>
                <w:iCs/>
              </w:rPr>
              <w:t>, ņemot vērā mērķgrupas cienījamo vecumu aprēķinā izmantots vidējais p</w:t>
            </w:r>
            <w:r w:rsidRPr="000A02C9">
              <w:rPr>
                <w:bCs/>
              </w:rPr>
              <w:t xml:space="preserve">ensionāru vecuma pensiju apmērs </w:t>
            </w:r>
            <w:proofErr w:type="gramStart"/>
            <w:r w:rsidRPr="000A02C9">
              <w:rPr>
                <w:bCs/>
              </w:rPr>
              <w:t>2017.gadā</w:t>
            </w:r>
            <w:proofErr w:type="gramEnd"/>
            <w:r w:rsidRPr="000A02C9">
              <w:rPr>
                <w:bCs/>
              </w:rPr>
              <w:t xml:space="preserve">, tas ir, 289 </w:t>
            </w:r>
            <w:proofErr w:type="spellStart"/>
            <w:r w:rsidRPr="000A02C9">
              <w:rPr>
                <w:bCs/>
                <w:i/>
              </w:rPr>
              <w:t>euro</w:t>
            </w:r>
            <w:proofErr w:type="spellEnd"/>
            <w:r w:rsidR="001842F0" w:rsidRPr="000A02C9">
              <w:rPr>
                <w:rStyle w:val="FootnoteReference"/>
                <w:bCs/>
                <w:i/>
              </w:rPr>
              <w:footnoteReference w:id="1"/>
            </w:r>
            <w:r w:rsidRPr="000A02C9">
              <w:rPr>
                <w:bCs/>
                <w:i/>
              </w:rPr>
              <w:t>.</w:t>
            </w:r>
          </w:p>
          <w:p w:rsidR="000D2844" w:rsidRPr="000A02C9" w:rsidRDefault="000D2844" w:rsidP="000D2844">
            <w:pPr>
              <w:jc w:val="both"/>
              <w:rPr>
                <w:iCs/>
              </w:rPr>
            </w:pPr>
            <w:r w:rsidRPr="000A02C9">
              <w:rPr>
                <w:iCs/>
              </w:rPr>
              <w:t>Personai:</w:t>
            </w:r>
          </w:p>
          <w:p w:rsidR="00652033" w:rsidRPr="000A02C9" w:rsidRDefault="00652033" w:rsidP="00652033">
            <w:pPr>
              <w:jc w:val="both"/>
              <w:rPr>
                <w:i/>
                <w:iCs/>
              </w:rPr>
            </w:pPr>
            <w:r w:rsidRPr="000A02C9">
              <w:t>C</w:t>
            </w:r>
            <w:r w:rsidRPr="000A02C9">
              <w:rPr>
                <w:vertAlign w:val="subscript"/>
              </w:rPr>
              <w:t>1</w:t>
            </w:r>
            <w:r w:rsidRPr="000A02C9">
              <w:t xml:space="preserve"> (iesnieguma iesniegšana) = </w:t>
            </w:r>
            <w:proofErr w:type="gramStart"/>
            <w:r w:rsidRPr="000A02C9">
              <w:t>(</w:t>
            </w:r>
            <w:proofErr w:type="gramEnd"/>
            <w:r w:rsidRPr="000A02C9">
              <w:t xml:space="preserve">atalgojums </w:t>
            </w:r>
            <w:r w:rsidR="00FE4E9B" w:rsidRPr="000A02C9">
              <w:t>1,80</w:t>
            </w:r>
            <w:r w:rsidRPr="000A02C9">
              <w:t xml:space="preserve"> </w:t>
            </w:r>
            <w:proofErr w:type="spellStart"/>
            <w:r w:rsidRPr="000A02C9">
              <w:rPr>
                <w:i/>
                <w:iCs/>
              </w:rPr>
              <w:t>euro</w:t>
            </w:r>
            <w:proofErr w:type="spellEnd"/>
            <w:r w:rsidRPr="000A02C9">
              <w:t xml:space="preserve">/h x 0,5 h) x 800 = </w:t>
            </w:r>
            <w:r w:rsidR="00FE4E9B" w:rsidRPr="000A02C9">
              <w:t>720</w:t>
            </w:r>
            <w:r w:rsidRPr="000A02C9">
              <w:t xml:space="preserve"> </w:t>
            </w:r>
            <w:proofErr w:type="spellStart"/>
            <w:r w:rsidRPr="000A02C9">
              <w:rPr>
                <w:i/>
                <w:iCs/>
              </w:rPr>
              <w:t>euro</w:t>
            </w:r>
            <w:proofErr w:type="spellEnd"/>
          </w:p>
          <w:p w:rsidR="00652033" w:rsidRPr="000A02C9" w:rsidRDefault="00652033" w:rsidP="00652033">
            <w:pPr>
              <w:jc w:val="both"/>
              <w:rPr>
                <w:i/>
                <w:iCs/>
              </w:rPr>
            </w:pPr>
          </w:p>
          <w:p w:rsidR="00652033" w:rsidRPr="000A02C9" w:rsidRDefault="00652033" w:rsidP="00652033">
            <w:pPr>
              <w:jc w:val="both"/>
              <w:rPr>
                <w:iCs/>
              </w:rPr>
            </w:pPr>
            <w:r w:rsidRPr="000A02C9">
              <w:t>C</w:t>
            </w:r>
            <w:r w:rsidRPr="000A02C9">
              <w:rPr>
                <w:vertAlign w:val="subscript"/>
              </w:rPr>
              <w:t>2</w:t>
            </w:r>
            <w:r w:rsidRPr="000A02C9">
              <w:t xml:space="preserve"> (apliecības un</w:t>
            </w:r>
            <w:r w:rsidR="0081356D" w:rsidRPr="000A02C9">
              <w:t xml:space="preserve"> piemiņas</w:t>
            </w:r>
            <w:r w:rsidRPr="000A02C9">
              <w:t xml:space="preserve"> krūšu nozīmes saņemšana) = </w:t>
            </w:r>
            <w:proofErr w:type="gramStart"/>
            <w:r w:rsidRPr="000A02C9">
              <w:t>(</w:t>
            </w:r>
            <w:proofErr w:type="gramEnd"/>
            <w:r w:rsidRPr="000A02C9">
              <w:t xml:space="preserve">atalgojums </w:t>
            </w:r>
            <w:r w:rsidR="00FE4E9B" w:rsidRPr="000A02C9">
              <w:t>1,80</w:t>
            </w:r>
            <w:r w:rsidRPr="000A02C9">
              <w:t xml:space="preserve"> </w:t>
            </w:r>
            <w:proofErr w:type="spellStart"/>
            <w:r w:rsidRPr="000A02C9">
              <w:rPr>
                <w:i/>
                <w:iCs/>
              </w:rPr>
              <w:t>euro</w:t>
            </w:r>
            <w:proofErr w:type="spellEnd"/>
            <w:r w:rsidRPr="000A02C9">
              <w:t xml:space="preserve">/h x 0,5 h) x 800 = </w:t>
            </w:r>
            <w:r w:rsidR="00FE4E9B" w:rsidRPr="000A02C9">
              <w:t>720</w:t>
            </w:r>
            <w:r w:rsidRPr="000A02C9">
              <w:t xml:space="preserve"> </w:t>
            </w:r>
            <w:proofErr w:type="spellStart"/>
            <w:r w:rsidRPr="000A02C9">
              <w:rPr>
                <w:i/>
                <w:iCs/>
              </w:rPr>
              <w:t>euro</w:t>
            </w:r>
            <w:proofErr w:type="spellEnd"/>
          </w:p>
          <w:p w:rsidR="00652033" w:rsidRPr="000A02C9" w:rsidRDefault="00652033" w:rsidP="00652033">
            <w:pPr>
              <w:jc w:val="both"/>
              <w:rPr>
                <w:iCs/>
              </w:rPr>
            </w:pPr>
          </w:p>
          <w:p w:rsidR="00652033" w:rsidRPr="000A02C9" w:rsidRDefault="00652033" w:rsidP="00652033">
            <w:pPr>
              <w:jc w:val="both"/>
              <w:rPr>
                <w:i/>
                <w:iCs/>
              </w:rPr>
            </w:pPr>
            <w:r w:rsidRPr="000A02C9">
              <w:rPr>
                <w:iCs/>
              </w:rPr>
              <w:t xml:space="preserve">C (personai kopā) = </w:t>
            </w:r>
            <w:r w:rsidRPr="000A02C9">
              <w:t>C</w:t>
            </w:r>
            <w:r w:rsidRPr="000A02C9">
              <w:rPr>
                <w:vertAlign w:val="subscript"/>
              </w:rPr>
              <w:t xml:space="preserve">1 </w:t>
            </w:r>
            <w:r w:rsidRPr="000A02C9">
              <w:t>+ C</w:t>
            </w:r>
            <w:r w:rsidRPr="000A02C9">
              <w:rPr>
                <w:vertAlign w:val="subscript"/>
              </w:rPr>
              <w:t>2</w:t>
            </w:r>
            <w:r w:rsidRPr="000A02C9">
              <w:t xml:space="preserve"> = </w:t>
            </w:r>
            <w:r w:rsidR="00FE4E9B" w:rsidRPr="000A02C9">
              <w:t>720</w:t>
            </w:r>
            <w:r w:rsidRPr="000A02C9">
              <w:t xml:space="preserve"> + </w:t>
            </w:r>
            <w:r w:rsidR="00FE4E9B" w:rsidRPr="000A02C9">
              <w:t>720</w:t>
            </w:r>
            <w:r w:rsidRPr="000A02C9">
              <w:t xml:space="preserve"> = </w:t>
            </w:r>
            <w:r w:rsidR="00FE4E9B" w:rsidRPr="000A02C9">
              <w:t>1 440</w:t>
            </w:r>
            <w:r w:rsidRPr="000A02C9">
              <w:t xml:space="preserve"> </w:t>
            </w:r>
            <w:proofErr w:type="spellStart"/>
            <w:r w:rsidRPr="000A02C9">
              <w:rPr>
                <w:i/>
                <w:iCs/>
              </w:rPr>
              <w:t>euro</w:t>
            </w:r>
            <w:proofErr w:type="spellEnd"/>
          </w:p>
          <w:p w:rsidR="00652033" w:rsidRPr="000A02C9" w:rsidRDefault="00652033" w:rsidP="00652033">
            <w:pPr>
              <w:jc w:val="both"/>
              <w:rPr>
                <w:iCs/>
              </w:rPr>
            </w:pPr>
          </w:p>
          <w:p w:rsidR="00652033" w:rsidRPr="000A02C9" w:rsidRDefault="00652033" w:rsidP="00652033">
            <w:pPr>
              <w:jc w:val="both"/>
              <w:rPr>
                <w:iCs/>
              </w:rPr>
            </w:pPr>
            <w:r w:rsidRPr="000A02C9">
              <w:rPr>
                <w:iCs/>
              </w:rPr>
              <w:t>Pilsonības un migrācijas lietu pārvaldei:</w:t>
            </w:r>
          </w:p>
          <w:p w:rsidR="00652033" w:rsidRPr="000A02C9" w:rsidRDefault="00652033" w:rsidP="00652033">
            <w:pPr>
              <w:jc w:val="both"/>
              <w:rPr>
                <w:iCs/>
              </w:rPr>
            </w:pPr>
            <w:r w:rsidRPr="000A02C9">
              <w:rPr>
                <w:iCs/>
              </w:rPr>
              <w:t>Saistībā ar Otrā pasaules kara dalībnieka statusa apliecības sagatavošanu, apliecības un piemiņas krūšu nozīmes izsniegšanu:</w:t>
            </w:r>
          </w:p>
          <w:p w:rsidR="00652033" w:rsidRPr="000A02C9" w:rsidRDefault="00652033" w:rsidP="00652033">
            <w:pPr>
              <w:pStyle w:val="Heading3"/>
              <w:spacing w:before="0" w:beforeAutospacing="0" w:after="0" w:afterAutospacing="0"/>
              <w:jc w:val="both"/>
              <w:rPr>
                <w:b w:val="0"/>
                <w:i/>
                <w:iCs/>
                <w:sz w:val="24"/>
                <w:szCs w:val="24"/>
              </w:rPr>
            </w:pPr>
            <w:r w:rsidRPr="000A02C9">
              <w:rPr>
                <w:b w:val="0"/>
                <w:sz w:val="24"/>
                <w:szCs w:val="24"/>
              </w:rPr>
              <w:t>C</w:t>
            </w:r>
            <w:r w:rsidRPr="000A02C9">
              <w:rPr>
                <w:b w:val="0"/>
                <w:sz w:val="24"/>
                <w:szCs w:val="24"/>
                <w:vertAlign w:val="subscript"/>
              </w:rPr>
              <w:t>1</w:t>
            </w:r>
            <w:r w:rsidRPr="000A02C9">
              <w:rPr>
                <w:b w:val="0"/>
                <w:sz w:val="24"/>
                <w:szCs w:val="24"/>
              </w:rPr>
              <w:t xml:space="preserve"> (iesnieguma pieņemšana, iereģistrēšana, apstrāde) = </w:t>
            </w:r>
            <w:proofErr w:type="gramStart"/>
            <w:r w:rsidRPr="000A02C9">
              <w:rPr>
                <w:b w:val="0"/>
                <w:sz w:val="24"/>
                <w:szCs w:val="24"/>
              </w:rPr>
              <w:t>(</w:t>
            </w:r>
            <w:proofErr w:type="gramEnd"/>
            <w:r w:rsidRPr="000A02C9">
              <w:rPr>
                <w:b w:val="0"/>
                <w:sz w:val="24"/>
                <w:szCs w:val="24"/>
              </w:rPr>
              <w:t xml:space="preserve">atalgojums 5,11 </w:t>
            </w:r>
            <w:r w:rsidRPr="000A02C9">
              <w:rPr>
                <w:b w:val="0"/>
                <w:i/>
                <w:iCs/>
                <w:sz w:val="24"/>
                <w:szCs w:val="24"/>
              </w:rPr>
              <w:t>euro</w:t>
            </w:r>
            <w:r w:rsidRPr="000A02C9">
              <w:rPr>
                <w:b w:val="0"/>
                <w:sz w:val="24"/>
                <w:szCs w:val="24"/>
              </w:rPr>
              <w:t xml:space="preserve">/h x 0,5 h) x 800 = 2 044 </w:t>
            </w:r>
            <w:proofErr w:type="spellStart"/>
            <w:r w:rsidRPr="000A02C9">
              <w:rPr>
                <w:b w:val="0"/>
                <w:i/>
                <w:iCs/>
                <w:sz w:val="24"/>
                <w:szCs w:val="24"/>
              </w:rPr>
              <w:t>euro</w:t>
            </w:r>
            <w:proofErr w:type="spellEnd"/>
          </w:p>
          <w:p w:rsidR="00652033" w:rsidRPr="000A02C9" w:rsidRDefault="00652033" w:rsidP="00652033">
            <w:pPr>
              <w:pStyle w:val="Heading3"/>
              <w:spacing w:before="0" w:beforeAutospacing="0" w:after="0" w:afterAutospacing="0"/>
              <w:jc w:val="both"/>
              <w:rPr>
                <w:b w:val="0"/>
                <w:i/>
                <w:iCs/>
                <w:sz w:val="24"/>
                <w:szCs w:val="24"/>
              </w:rPr>
            </w:pPr>
          </w:p>
          <w:p w:rsidR="00652033" w:rsidRPr="000A02C9" w:rsidRDefault="00652033" w:rsidP="00652033">
            <w:pPr>
              <w:pStyle w:val="Heading3"/>
              <w:spacing w:before="0" w:beforeAutospacing="0" w:after="0" w:afterAutospacing="0"/>
              <w:jc w:val="both"/>
              <w:rPr>
                <w:b w:val="0"/>
                <w:i/>
                <w:iCs/>
                <w:sz w:val="24"/>
                <w:szCs w:val="24"/>
              </w:rPr>
            </w:pPr>
            <w:r w:rsidRPr="000A02C9">
              <w:rPr>
                <w:b w:val="0"/>
                <w:sz w:val="24"/>
                <w:szCs w:val="24"/>
              </w:rPr>
              <w:t>C</w:t>
            </w:r>
            <w:r w:rsidRPr="000A02C9">
              <w:rPr>
                <w:b w:val="0"/>
                <w:sz w:val="24"/>
                <w:szCs w:val="24"/>
                <w:vertAlign w:val="subscript"/>
              </w:rPr>
              <w:t>2</w:t>
            </w:r>
            <w:r w:rsidRPr="000A02C9">
              <w:rPr>
                <w:b w:val="0"/>
                <w:sz w:val="24"/>
                <w:szCs w:val="24"/>
              </w:rPr>
              <w:t xml:space="preserve"> (apliecības sagat</w:t>
            </w:r>
            <w:r w:rsidR="0064006A" w:rsidRPr="000A02C9">
              <w:rPr>
                <w:b w:val="0"/>
                <w:sz w:val="24"/>
                <w:szCs w:val="24"/>
              </w:rPr>
              <w:t>a</w:t>
            </w:r>
            <w:r w:rsidRPr="000A02C9">
              <w:rPr>
                <w:b w:val="0"/>
                <w:sz w:val="24"/>
                <w:szCs w:val="24"/>
              </w:rPr>
              <w:t xml:space="preserve">vošana) = </w:t>
            </w:r>
            <w:proofErr w:type="gramStart"/>
            <w:r w:rsidRPr="000A02C9">
              <w:rPr>
                <w:b w:val="0"/>
                <w:sz w:val="24"/>
                <w:szCs w:val="24"/>
              </w:rPr>
              <w:t>(</w:t>
            </w:r>
            <w:proofErr w:type="gramEnd"/>
            <w:r w:rsidRPr="000A02C9">
              <w:rPr>
                <w:b w:val="0"/>
                <w:sz w:val="24"/>
                <w:szCs w:val="24"/>
              </w:rPr>
              <w:t xml:space="preserve">atalgojums 5,11 </w:t>
            </w:r>
            <w:r w:rsidRPr="000A02C9">
              <w:rPr>
                <w:b w:val="0"/>
                <w:i/>
                <w:iCs/>
                <w:sz w:val="24"/>
                <w:szCs w:val="24"/>
              </w:rPr>
              <w:t>euro</w:t>
            </w:r>
            <w:r w:rsidR="00543BB3" w:rsidRPr="000A02C9">
              <w:rPr>
                <w:b w:val="0"/>
                <w:sz w:val="24"/>
                <w:szCs w:val="24"/>
              </w:rPr>
              <w:t xml:space="preserve">/h x 0,5 h) x 800 = 2 044 </w:t>
            </w:r>
            <w:proofErr w:type="spellStart"/>
            <w:r w:rsidRPr="000A02C9">
              <w:rPr>
                <w:b w:val="0"/>
                <w:i/>
                <w:iCs/>
                <w:sz w:val="24"/>
                <w:szCs w:val="24"/>
              </w:rPr>
              <w:t>euro</w:t>
            </w:r>
            <w:proofErr w:type="spellEnd"/>
          </w:p>
          <w:p w:rsidR="00652033" w:rsidRPr="000A02C9" w:rsidRDefault="00652033" w:rsidP="00652033">
            <w:pPr>
              <w:pStyle w:val="Heading3"/>
              <w:spacing w:before="0" w:beforeAutospacing="0" w:after="0" w:afterAutospacing="0"/>
              <w:jc w:val="both"/>
              <w:rPr>
                <w:b w:val="0"/>
                <w:sz w:val="24"/>
                <w:szCs w:val="24"/>
              </w:rPr>
            </w:pPr>
          </w:p>
          <w:p w:rsidR="00652033" w:rsidRPr="000A02C9" w:rsidRDefault="00652033" w:rsidP="00652033">
            <w:pPr>
              <w:pStyle w:val="Heading3"/>
              <w:spacing w:before="0" w:beforeAutospacing="0" w:after="0" w:afterAutospacing="0"/>
              <w:jc w:val="both"/>
              <w:rPr>
                <w:b w:val="0"/>
                <w:i/>
                <w:iCs/>
                <w:sz w:val="24"/>
                <w:szCs w:val="24"/>
              </w:rPr>
            </w:pPr>
            <w:r w:rsidRPr="000A02C9">
              <w:rPr>
                <w:b w:val="0"/>
                <w:sz w:val="24"/>
                <w:szCs w:val="24"/>
              </w:rPr>
              <w:t>C</w:t>
            </w:r>
            <w:r w:rsidRPr="000A02C9">
              <w:rPr>
                <w:b w:val="0"/>
                <w:sz w:val="24"/>
                <w:szCs w:val="24"/>
                <w:vertAlign w:val="subscript"/>
              </w:rPr>
              <w:t>3</w:t>
            </w:r>
            <w:r w:rsidRPr="000A02C9">
              <w:rPr>
                <w:b w:val="0"/>
                <w:sz w:val="24"/>
                <w:szCs w:val="24"/>
              </w:rPr>
              <w:t xml:space="preserve"> (apliecības un piemiņas krūšu nozīmes izsniegšana) = </w:t>
            </w:r>
            <w:proofErr w:type="gramStart"/>
            <w:r w:rsidRPr="000A02C9">
              <w:rPr>
                <w:b w:val="0"/>
                <w:sz w:val="24"/>
                <w:szCs w:val="24"/>
              </w:rPr>
              <w:t>(</w:t>
            </w:r>
            <w:proofErr w:type="gramEnd"/>
            <w:r w:rsidRPr="000A02C9">
              <w:rPr>
                <w:b w:val="0"/>
                <w:sz w:val="24"/>
                <w:szCs w:val="24"/>
              </w:rPr>
              <w:t xml:space="preserve">atalgojums 5,11 </w:t>
            </w:r>
            <w:r w:rsidRPr="000A02C9">
              <w:rPr>
                <w:b w:val="0"/>
                <w:i/>
                <w:iCs/>
                <w:sz w:val="24"/>
                <w:szCs w:val="24"/>
              </w:rPr>
              <w:t>euro</w:t>
            </w:r>
            <w:r w:rsidRPr="000A02C9">
              <w:rPr>
                <w:b w:val="0"/>
                <w:sz w:val="24"/>
                <w:szCs w:val="24"/>
              </w:rPr>
              <w:t xml:space="preserve">/h x 0,5 h) x 800 = 2 044 </w:t>
            </w:r>
            <w:proofErr w:type="spellStart"/>
            <w:r w:rsidRPr="000A02C9">
              <w:rPr>
                <w:b w:val="0"/>
                <w:i/>
                <w:iCs/>
                <w:sz w:val="24"/>
                <w:szCs w:val="24"/>
              </w:rPr>
              <w:t>euro</w:t>
            </w:r>
            <w:proofErr w:type="spellEnd"/>
          </w:p>
          <w:p w:rsidR="00652033" w:rsidRPr="000A02C9" w:rsidRDefault="00652033" w:rsidP="00652033">
            <w:pPr>
              <w:pStyle w:val="Heading3"/>
              <w:spacing w:before="0" w:beforeAutospacing="0" w:after="0" w:afterAutospacing="0"/>
              <w:jc w:val="both"/>
              <w:rPr>
                <w:b w:val="0"/>
                <w:sz w:val="24"/>
                <w:szCs w:val="24"/>
              </w:rPr>
            </w:pPr>
          </w:p>
          <w:p w:rsidR="00AD37B6" w:rsidRPr="000A02C9" w:rsidRDefault="00652033" w:rsidP="00652033">
            <w:r w:rsidRPr="000A02C9">
              <w:rPr>
                <w:iCs/>
              </w:rPr>
              <w:t xml:space="preserve">C (Pilsonības un migrācijas lietu pārvaldei kopā) = </w:t>
            </w:r>
            <w:r w:rsidRPr="000A02C9">
              <w:t>C</w:t>
            </w:r>
            <w:r w:rsidRPr="000A02C9">
              <w:rPr>
                <w:vertAlign w:val="subscript"/>
              </w:rPr>
              <w:t xml:space="preserve">1 </w:t>
            </w:r>
            <w:r w:rsidRPr="000A02C9">
              <w:t>+ C</w:t>
            </w:r>
            <w:r w:rsidRPr="000A02C9">
              <w:rPr>
                <w:vertAlign w:val="subscript"/>
              </w:rPr>
              <w:t>2</w:t>
            </w:r>
            <w:proofErr w:type="gramStart"/>
            <w:r w:rsidRPr="000A02C9">
              <w:rPr>
                <w:vertAlign w:val="subscript"/>
              </w:rPr>
              <w:t xml:space="preserve"> </w:t>
            </w:r>
            <w:r w:rsidRPr="000A02C9">
              <w:t xml:space="preserve"> </w:t>
            </w:r>
            <w:proofErr w:type="gramEnd"/>
            <w:r w:rsidRPr="000A02C9">
              <w:t>+ C</w:t>
            </w:r>
            <w:r w:rsidRPr="000A02C9">
              <w:rPr>
                <w:vertAlign w:val="subscript"/>
              </w:rPr>
              <w:t>3</w:t>
            </w:r>
            <w:r w:rsidRPr="000A02C9">
              <w:t xml:space="preserve"> = 2 044 + 2 044 + 2 044 = 6 132 </w:t>
            </w:r>
            <w:r w:rsidRPr="000A02C9">
              <w:rPr>
                <w:i/>
                <w:iCs/>
              </w:rPr>
              <w:t>euro</w:t>
            </w:r>
          </w:p>
        </w:tc>
      </w:tr>
      <w:tr w:rsidR="00AD37B6" w:rsidRPr="000A02C9" w:rsidTr="003B2AF3">
        <w:trPr>
          <w:cantSplit/>
        </w:trPr>
        <w:tc>
          <w:tcPr>
            <w:tcW w:w="311" w:type="pct"/>
            <w:hideMark/>
          </w:tcPr>
          <w:p w:rsidR="00AD37B6" w:rsidRPr="000A02C9" w:rsidRDefault="00AD37B6" w:rsidP="003B2AF3">
            <w:pPr>
              <w:jc w:val="center"/>
            </w:pPr>
            <w:r w:rsidRPr="000A02C9">
              <w:t>4.</w:t>
            </w:r>
          </w:p>
        </w:tc>
        <w:tc>
          <w:tcPr>
            <w:tcW w:w="1479" w:type="pct"/>
            <w:hideMark/>
          </w:tcPr>
          <w:p w:rsidR="00AD37B6" w:rsidRPr="000A02C9" w:rsidRDefault="00AD37B6" w:rsidP="003B2AF3">
            <w:r w:rsidRPr="000A02C9">
              <w:t>Atbilstības izmaksu monetārs novērtējums</w:t>
            </w:r>
          </w:p>
        </w:tc>
        <w:tc>
          <w:tcPr>
            <w:tcW w:w="3210" w:type="pct"/>
            <w:hideMark/>
          </w:tcPr>
          <w:p w:rsidR="00AD37B6" w:rsidRPr="000A02C9" w:rsidRDefault="001B7483" w:rsidP="003B2AF3">
            <w:r w:rsidRPr="000A02C9">
              <w:t>Projekts šo jomu neskar.</w:t>
            </w:r>
          </w:p>
        </w:tc>
      </w:tr>
      <w:tr w:rsidR="00AD37B6" w:rsidRPr="000A02C9" w:rsidTr="003B2AF3">
        <w:trPr>
          <w:cantSplit/>
        </w:trPr>
        <w:tc>
          <w:tcPr>
            <w:tcW w:w="311" w:type="pct"/>
            <w:hideMark/>
          </w:tcPr>
          <w:p w:rsidR="00AD37B6" w:rsidRPr="000A02C9" w:rsidRDefault="00AD37B6" w:rsidP="003B2AF3">
            <w:pPr>
              <w:jc w:val="center"/>
            </w:pPr>
            <w:r w:rsidRPr="000A02C9">
              <w:t>5.</w:t>
            </w:r>
          </w:p>
        </w:tc>
        <w:tc>
          <w:tcPr>
            <w:tcW w:w="1479" w:type="pct"/>
            <w:hideMark/>
          </w:tcPr>
          <w:p w:rsidR="00AD37B6" w:rsidRPr="000A02C9" w:rsidRDefault="00AD37B6" w:rsidP="003B2AF3">
            <w:r w:rsidRPr="000A02C9">
              <w:t>Cita informācija</w:t>
            </w:r>
          </w:p>
        </w:tc>
        <w:tc>
          <w:tcPr>
            <w:tcW w:w="3210" w:type="pct"/>
            <w:hideMark/>
          </w:tcPr>
          <w:p w:rsidR="00AD37B6" w:rsidRPr="000A02C9" w:rsidRDefault="00652033" w:rsidP="003B2AF3">
            <w:r w:rsidRPr="000A02C9">
              <w:t>Nav.</w:t>
            </w:r>
          </w:p>
        </w:tc>
      </w:tr>
    </w:tbl>
    <w:p w:rsidR="00AD37B6" w:rsidRPr="000A02C9" w:rsidRDefault="00AD37B6" w:rsidP="00AD37B6"/>
    <w:tbl>
      <w:tblPr>
        <w:tblW w:w="5006" w:type="pct"/>
        <w:tblCellSpacing w:w="2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2186"/>
        <w:gridCol w:w="1098"/>
        <w:gridCol w:w="1097"/>
        <w:gridCol w:w="967"/>
        <w:gridCol w:w="966"/>
        <w:gridCol w:w="966"/>
        <w:gridCol w:w="966"/>
        <w:gridCol w:w="1046"/>
      </w:tblGrid>
      <w:tr w:rsidR="00B43D51" w:rsidRPr="000A02C9" w:rsidTr="00AD75FA">
        <w:trPr>
          <w:cantSplit/>
          <w:tblCellSpacing w:w="20" w:type="dxa"/>
        </w:trPr>
        <w:tc>
          <w:tcPr>
            <w:tcW w:w="8986" w:type="dxa"/>
            <w:gridSpan w:val="8"/>
            <w:shd w:val="clear" w:color="auto" w:fill="auto"/>
            <w:vAlign w:val="center"/>
            <w:hideMark/>
          </w:tcPr>
          <w:p w:rsidR="00B43D51" w:rsidRPr="000A02C9" w:rsidRDefault="00B43D51" w:rsidP="00AD75FA">
            <w:pPr>
              <w:jc w:val="center"/>
              <w:rPr>
                <w:b/>
                <w:bCs/>
              </w:rPr>
            </w:pPr>
            <w:r w:rsidRPr="000A02C9">
              <w:rPr>
                <w:b/>
                <w:bCs/>
              </w:rPr>
              <w:t>III. Tiesību akta projekta ietekme uz valsts budžetu un pašvaldību budžetiem</w:t>
            </w:r>
          </w:p>
        </w:tc>
      </w:tr>
      <w:tr w:rsidR="00AD75FA" w:rsidRPr="000A02C9" w:rsidTr="00AD75FA">
        <w:trPr>
          <w:cantSplit/>
          <w:tblCellSpacing w:w="20" w:type="dxa"/>
        </w:trPr>
        <w:tc>
          <w:tcPr>
            <w:tcW w:w="2071" w:type="dxa"/>
            <w:vMerge w:val="restart"/>
            <w:shd w:val="clear" w:color="auto" w:fill="FFFFFF"/>
            <w:vAlign w:val="center"/>
          </w:tcPr>
          <w:p w:rsidR="00B43D51" w:rsidRPr="000A02C9" w:rsidRDefault="00B43D51" w:rsidP="00AD75FA">
            <w:pPr>
              <w:jc w:val="center"/>
              <w:rPr>
                <w:bCs/>
              </w:rPr>
            </w:pPr>
            <w:r w:rsidRPr="000A02C9">
              <w:rPr>
                <w:bCs/>
              </w:rPr>
              <w:t>Rādītāji</w:t>
            </w:r>
          </w:p>
        </w:tc>
        <w:tc>
          <w:tcPr>
            <w:tcW w:w="2101" w:type="dxa"/>
            <w:gridSpan w:val="2"/>
            <w:vMerge w:val="restart"/>
            <w:shd w:val="clear" w:color="auto" w:fill="FFFFFF"/>
            <w:vAlign w:val="center"/>
            <w:hideMark/>
          </w:tcPr>
          <w:p w:rsidR="00B43D51" w:rsidRPr="000A02C9" w:rsidRDefault="00B43D51" w:rsidP="00AD75FA">
            <w:pPr>
              <w:jc w:val="center"/>
              <w:rPr>
                <w:bCs/>
              </w:rPr>
            </w:pPr>
            <w:proofErr w:type="gramStart"/>
            <w:r w:rsidRPr="000A02C9">
              <w:rPr>
                <w:bCs/>
              </w:rPr>
              <w:t>2018.gads</w:t>
            </w:r>
            <w:proofErr w:type="gramEnd"/>
          </w:p>
        </w:tc>
        <w:tc>
          <w:tcPr>
            <w:tcW w:w="4734" w:type="dxa"/>
            <w:gridSpan w:val="5"/>
            <w:shd w:val="clear" w:color="auto" w:fill="FFFFFF"/>
            <w:vAlign w:val="center"/>
            <w:hideMark/>
          </w:tcPr>
          <w:p w:rsidR="00B43D51" w:rsidRPr="000A02C9" w:rsidRDefault="00B43D51" w:rsidP="00AD75FA">
            <w:pPr>
              <w:jc w:val="center"/>
            </w:pPr>
            <w:r w:rsidRPr="000A02C9">
              <w:t>Turpmākie trīs gadi (</w:t>
            </w:r>
            <w:proofErr w:type="spellStart"/>
            <w:r w:rsidRPr="000A02C9">
              <w:rPr>
                <w:i/>
                <w:iCs/>
              </w:rPr>
              <w:t>euro</w:t>
            </w:r>
            <w:proofErr w:type="spellEnd"/>
            <w:r w:rsidRPr="000A02C9">
              <w:t>)</w:t>
            </w:r>
          </w:p>
        </w:tc>
      </w:tr>
      <w:tr w:rsidR="00AD75FA" w:rsidRPr="000A02C9" w:rsidTr="00AD75FA">
        <w:trPr>
          <w:cantSplit/>
          <w:tblCellSpacing w:w="20" w:type="dxa"/>
        </w:trPr>
        <w:tc>
          <w:tcPr>
            <w:tcW w:w="2071" w:type="dxa"/>
            <w:vMerge/>
            <w:shd w:val="clear" w:color="auto" w:fill="auto"/>
            <w:vAlign w:val="center"/>
            <w:hideMark/>
          </w:tcPr>
          <w:p w:rsidR="00B43D51" w:rsidRPr="000A02C9" w:rsidRDefault="00B43D51" w:rsidP="00AD75FA">
            <w:pPr>
              <w:jc w:val="center"/>
              <w:rPr>
                <w:bCs/>
              </w:rPr>
            </w:pPr>
          </w:p>
        </w:tc>
        <w:tc>
          <w:tcPr>
            <w:tcW w:w="2101" w:type="dxa"/>
            <w:gridSpan w:val="2"/>
            <w:vMerge/>
            <w:shd w:val="clear" w:color="auto" w:fill="auto"/>
            <w:vAlign w:val="center"/>
            <w:hideMark/>
          </w:tcPr>
          <w:p w:rsidR="00B43D51" w:rsidRPr="000A02C9" w:rsidRDefault="00B43D51" w:rsidP="00AD75FA">
            <w:pPr>
              <w:jc w:val="center"/>
              <w:rPr>
                <w:bCs/>
              </w:rPr>
            </w:pPr>
          </w:p>
        </w:tc>
        <w:tc>
          <w:tcPr>
            <w:tcW w:w="1847" w:type="dxa"/>
            <w:gridSpan w:val="2"/>
            <w:shd w:val="clear" w:color="auto" w:fill="FFFFFF"/>
            <w:vAlign w:val="center"/>
            <w:hideMark/>
          </w:tcPr>
          <w:p w:rsidR="00B43D51" w:rsidRPr="000A02C9" w:rsidRDefault="00B43D51" w:rsidP="00AD75FA">
            <w:pPr>
              <w:jc w:val="center"/>
              <w:rPr>
                <w:bCs/>
              </w:rPr>
            </w:pPr>
            <w:r w:rsidRPr="000A02C9">
              <w:rPr>
                <w:bCs/>
              </w:rPr>
              <w:t>2019.</w:t>
            </w:r>
          </w:p>
        </w:tc>
        <w:tc>
          <w:tcPr>
            <w:tcW w:w="1846" w:type="dxa"/>
            <w:gridSpan w:val="2"/>
            <w:shd w:val="clear" w:color="auto" w:fill="FFFFFF"/>
            <w:vAlign w:val="center"/>
            <w:hideMark/>
          </w:tcPr>
          <w:p w:rsidR="00B43D51" w:rsidRPr="000A02C9" w:rsidRDefault="00B43D51" w:rsidP="00AD75FA">
            <w:pPr>
              <w:jc w:val="center"/>
              <w:rPr>
                <w:bCs/>
              </w:rPr>
            </w:pPr>
            <w:r w:rsidRPr="000A02C9">
              <w:rPr>
                <w:bCs/>
              </w:rPr>
              <w:t>2020.</w:t>
            </w:r>
          </w:p>
        </w:tc>
        <w:tc>
          <w:tcPr>
            <w:tcW w:w="961" w:type="dxa"/>
            <w:shd w:val="clear" w:color="auto" w:fill="FFFFFF"/>
            <w:vAlign w:val="center"/>
            <w:hideMark/>
          </w:tcPr>
          <w:p w:rsidR="00B43D51" w:rsidRPr="000A02C9" w:rsidRDefault="00B43D51" w:rsidP="00AD75FA">
            <w:pPr>
              <w:jc w:val="center"/>
              <w:rPr>
                <w:bCs/>
              </w:rPr>
            </w:pPr>
            <w:r w:rsidRPr="000A02C9">
              <w:rPr>
                <w:bCs/>
              </w:rPr>
              <w:t>2021.</w:t>
            </w:r>
          </w:p>
        </w:tc>
      </w:tr>
      <w:tr w:rsidR="00AD75FA" w:rsidRPr="000A02C9" w:rsidTr="00AD75FA">
        <w:trPr>
          <w:cantSplit/>
          <w:tblCellSpacing w:w="20" w:type="dxa"/>
        </w:trPr>
        <w:tc>
          <w:tcPr>
            <w:tcW w:w="2071" w:type="dxa"/>
            <w:vMerge/>
            <w:shd w:val="clear" w:color="auto" w:fill="auto"/>
            <w:vAlign w:val="center"/>
            <w:hideMark/>
          </w:tcPr>
          <w:p w:rsidR="00B43D51" w:rsidRPr="000A02C9" w:rsidRDefault="00B43D51" w:rsidP="00AD75FA">
            <w:pPr>
              <w:jc w:val="center"/>
              <w:rPr>
                <w:b/>
                <w:bCs/>
              </w:rPr>
            </w:pPr>
          </w:p>
        </w:tc>
        <w:tc>
          <w:tcPr>
            <w:tcW w:w="1031" w:type="dxa"/>
            <w:shd w:val="clear" w:color="auto" w:fill="FFFFFF"/>
            <w:vAlign w:val="center"/>
            <w:hideMark/>
          </w:tcPr>
          <w:p w:rsidR="00B43D51" w:rsidRPr="000A02C9" w:rsidRDefault="00B43D51" w:rsidP="00AD75FA">
            <w:pPr>
              <w:jc w:val="center"/>
            </w:pPr>
            <w:r w:rsidRPr="000A02C9">
              <w:t>saskaņā ar valsts budžetu kārtējam gadam</w:t>
            </w:r>
          </w:p>
        </w:tc>
        <w:tc>
          <w:tcPr>
            <w:tcW w:w="1030" w:type="dxa"/>
            <w:shd w:val="clear" w:color="auto" w:fill="FFFFFF"/>
            <w:vAlign w:val="center"/>
            <w:hideMark/>
          </w:tcPr>
          <w:p w:rsidR="00B43D51" w:rsidRPr="000A02C9" w:rsidRDefault="00B43D51" w:rsidP="00AD75FA">
            <w:pPr>
              <w:jc w:val="center"/>
            </w:pPr>
            <w:r w:rsidRPr="000A02C9">
              <w:t>izmaiņas kārtējā gadā, salīdzinot ar valsts budžetu kārtējam gadam</w:t>
            </w:r>
          </w:p>
        </w:tc>
        <w:tc>
          <w:tcPr>
            <w:tcW w:w="904" w:type="dxa"/>
            <w:shd w:val="clear" w:color="auto" w:fill="FFFFFF"/>
            <w:vAlign w:val="center"/>
            <w:hideMark/>
          </w:tcPr>
          <w:p w:rsidR="00B43D51" w:rsidRPr="000A02C9" w:rsidRDefault="00B43D51" w:rsidP="00AD75FA">
            <w:pPr>
              <w:jc w:val="center"/>
            </w:pPr>
            <w:r w:rsidRPr="000A02C9">
              <w:t>saskaņā ar vidēja termiņa budžeta ietvaru</w:t>
            </w:r>
          </w:p>
        </w:tc>
        <w:tc>
          <w:tcPr>
            <w:tcW w:w="903" w:type="dxa"/>
            <w:shd w:val="clear" w:color="auto" w:fill="FFFFFF"/>
            <w:vAlign w:val="center"/>
            <w:hideMark/>
          </w:tcPr>
          <w:p w:rsidR="00B43D51" w:rsidRPr="000A02C9" w:rsidRDefault="00B43D51" w:rsidP="00AD75FA">
            <w:pPr>
              <w:jc w:val="center"/>
            </w:pPr>
            <w:r w:rsidRPr="000A02C9">
              <w:t>izmaiņas, salīdzinot ar vidēja termiņa budžeta ietvaru 2019. gadam</w:t>
            </w:r>
          </w:p>
        </w:tc>
        <w:tc>
          <w:tcPr>
            <w:tcW w:w="903" w:type="dxa"/>
            <w:shd w:val="clear" w:color="auto" w:fill="FFFFFF"/>
            <w:vAlign w:val="center"/>
            <w:hideMark/>
          </w:tcPr>
          <w:p w:rsidR="00B43D51" w:rsidRPr="000A02C9" w:rsidRDefault="00B43D51" w:rsidP="00AD75FA">
            <w:pPr>
              <w:jc w:val="center"/>
            </w:pPr>
            <w:r w:rsidRPr="000A02C9">
              <w:t>saskaņā ar vidēja termiņa budžeta ietvaru</w:t>
            </w:r>
          </w:p>
        </w:tc>
        <w:tc>
          <w:tcPr>
            <w:tcW w:w="903" w:type="dxa"/>
            <w:shd w:val="clear" w:color="auto" w:fill="FFFFFF"/>
            <w:vAlign w:val="center"/>
            <w:hideMark/>
          </w:tcPr>
          <w:p w:rsidR="00B43D51" w:rsidRPr="000A02C9" w:rsidRDefault="00B43D51" w:rsidP="00AD75FA">
            <w:pPr>
              <w:jc w:val="center"/>
            </w:pPr>
            <w:r w:rsidRPr="000A02C9">
              <w:t>izmaiņas, salīdzinot ar vidēja termiņa budžeta ietvaru 2020. gadam</w:t>
            </w:r>
          </w:p>
        </w:tc>
        <w:tc>
          <w:tcPr>
            <w:tcW w:w="961" w:type="dxa"/>
            <w:shd w:val="clear" w:color="auto" w:fill="FFFFFF"/>
            <w:vAlign w:val="center"/>
            <w:hideMark/>
          </w:tcPr>
          <w:p w:rsidR="00B43D51" w:rsidRPr="000A02C9" w:rsidRDefault="00B43D51" w:rsidP="00AD75FA">
            <w:pPr>
              <w:jc w:val="center"/>
            </w:pPr>
            <w:r w:rsidRPr="000A02C9">
              <w:t xml:space="preserve">izmaiņas, salīdzinot ar vidēja termiņa budžeta ietvaru </w:t>
            </w:r>
            <w:r w:rsidRPr="000A02C9">
              <w:br/>
              <w:t>2021. gadam</w:t>
            </w:r>
          </w:p>
        </w:tc>
      </w:tr>
      <w:tr w:rsidR="00AD75FA" w:rsidRPr="000A02C9" w:rsidTr="00AD75FA">
        <w:trPr>
          <w:cantSplit/>
          <w:tblCellSpacing w:w="20" w:type="dxa"/>
        </w:trPr>
        <w:tc>
          <w:tcPr>
            <w:tcW w:w="2071" w:type="dxa"/>
            <w:shd w:val="clear" w:color="auto" w:fill="FFFFFF"/>
            <w:vAlign w:val="center"/>
            <w:hideMark/>
          </w:tcPr>
          <w:p w:rsidR="00B43D51" w:rsidRPr="000A02C9" w:rsidRDefault="00B43D51" w:rsidP="00AD75FA">
            <w:pPr>
              <w:jc w:val="center"/>
            </w:pPr>
            <w:r w:rsidRPr="000A02C9">
              <w:t>1</w:t>
            </w:r>
          </w:p>
        </w:tc>
        <w:tc>
          <w:tcPr>
            <w:tcW w:w="1031" w:type="dxa"/>
            <w:shd w:val="clear" w:color="auto" w:fill="FFFFFF"/>
            <w:vAlign w:val="center"/>
            <w:hideMark/>
          </w:tcPr>
          <w:p w:rsidR="00B43D51" w:rsidRPr="000A02C9" w:rsidRDefault="00B43D51" w:rsidP="00AD75FA">
            <w:pPr>
              <w:jc w:val="center"/>
            </w:pPr>
            <w:r w:rsidRPr="000A02C9">
              <w:t>2</w:t>
            </w:r>
          </w:p>
        </w:tc>
        <w:tc>
          <w:tcPr>
            <w:tcW w:w="1030" w:type="dxa"/>
            <w:shd w:val="clear" w:color="auto" w:fill="FFFFFF"/>
            <w:vAlign w:val="center"/>
            <w:hideMark/>
          </w:tcPr>
          <w:p w:rsidR="00B43D51" w:rsidRPr="000A02C9" w:rsidRDefault="00B43D51" w:rsidP="00AD75FA">
            <w:pPr>
              <w:jc w:val="center"/>
            </w:pPr>
            <w:r w:rsidRPr="000A02C9">
              <w:t>3</w:t>
            </w:r>
          </w:p>
        </w:tc>
        <w:tc>
          <w:tcPr>
            <w:tcW w:w="904" w:type="dxa"/>
            <w:shd w:val="clear" w:color="auto" w:fill="FFFFFF"/>
            <w:vAlign w:val="center"/>
            <w:hideMark/>
          </w:tcPr>
          <w:p w:rsidR="00B43D51" w:rsidRPr="000A02C9" w:rsidRDefault="00B43D51" w:rsidP="00AD75FA">
            <w:pPr>
              <w:jc w:val="center"/>
            </w:pPr>
            <w:r w:rsidRPr="000A02C9">
              <w:t>4</w:t>
            </w:r>
          </w:p>
        </w:tc>
        <w:tc>
          <w:tcPr>
            <w:tcW w:w="903" w:type="dxa"/>
            <w:shd w:val="clear" w:color="auto" w:fill="FFFFFF"/>
            <w:vAlign w:val="center"/>
            <w:hideMark/>
          </w:tcPr>
          <w:p w:rsidR="00B43D51" w:rsidRPr="000A02C9" w:rsidRDefault="00B43D51" w:rsidP="00AD75FA">
            <w:pPr>
              <w:jc w:val="center"/>
            </w:pPr>
            <w:r w:rsidRPr="000A02C9">
              <w:t>5</w:t>
            </w:r>
          </w:p>
        </w:tc>
        <w:tc>
          <w:tcPr>
            <w:tcW w:w="903" w:type="dxa"/>
            <w:shd w:val="clear" w:color="auto" w:fill="FFFFFF"/>
            <w:vAlign w:val="center"/>
            <w:hideMark/>
          </w:tcPr>
          <w:p w:rsidR="00B43D51" w:rsidRPr="000A02C9" w:rsidRDefault="00B43D51" w:rsidP="00AD75FA">
            <w:pPr>
              <w:jc w:val="center"/>
            </w:pPr>
            <w:r w:rsidRPr="000A02C9">
              <w:t>6</w:t>
            </w:r>
          </w:p>
        </w:tc>
        <w:tc>
          <w:tcPr>
            <w:tcW w:w="903" w:type="dxa"/>
            <w:shd w:val="clear" w:color="auto" w:fill="FFFFFF"/>
            <w:vAlign w:val="center"/>
            <w:hideMark/>
          </w:tcPr>
          <w:p w:rsidR="00B43D51" w:rsidRPr="000A02C9" w:rsidRDefault="00B43D51" w:rsidP="00AD75FA">
            <w:pPr>
              <w:jc w:val="center"/>
            </w:pPr>
            <w:r w:rsidRPr="000A02C9">
              <w:t>7</w:t>
            </w:r>
          </w:p>
        </w:tc>
        <w:tc>
          <w:tcPr>
            <w:tcW w:w="961" w:type="dxa"/>
            <w:shd w:val="clear" w:color="auto" w:fill="FFFFFF"/>
            <w:vAlign w:val="center"/>
            <w:hideMark/>
          </w:tcPr>
          <w:p w:rsidR="00B43D51" w:rsidRPr="000A02C9" w:rsidRDefault="00B43D51" w:rsidP="00AD75FA">
            <w:pPr>
              <w:jc w:val="center"/>
            </w:pPr>
            <w:r w:rsidRPr="000A02C9">
              <w:t>8</w:t>
            </w:r>
          </w:p>
        </w:tc>
      </w:tr>
      <w:tr w:rsidR="00AD75FA" w:rsidRPr="000A02C9" w:rsidTr="00AD75FA">
        <w:trPr>
          <w:cantSplit/>
          <w:tblCellSpacing w:w="20" w:type="dxa"/>
        </w:trPr>
        <w:tc>
          <w:tcPr>
            <w:tcW w:w="2071" w:type="dxa"/>
            <w:shd w:val="clear" w:color="auto" w:fill="FFFFFF"/>
            <w:hideMark/>
          </w:tcPr>
          <w:p w:rsidR="00B43D51" w:rsidRPr="000A02C9" w:rsidRDefault="00B43D51" w:rsidP="00AD75FA">
            <w:r w:rsidRPr="000A02C9">
              <w:t>1. Budžeta ieņēmumi</w:t>
            </w:r>
          </w:p>
        </w:tc>
        <w:tc>
          <w:tcPr>
            <w:tcW w:w="1031" w:type="dxa"/>
            <w:shd w:val="clear" w:color="auto" w:fill="FFFFFF"/>
            <w:vAlign w:val="center"/>
            <w:hideMark/>
          </w:tcPr>
          <w:p w:rsidR="00B43D51" w:rsidRPr="000A02C9" w:rsidRDefault="00B43D51" w:rsidP="00AD75FA">
            <w:pPr>
              <w:jc w:val="center"/>
            </w:pPr>
            <w:r w:rsidRPr="000A02C9">
              <w:t>0</w:t>
            </w:r>
          </w:p>
        </w:tc>
        <w:tc>
          <w:tcPr>
            <w:tcW w:w="1030" w:type="dxa"/>
            <w:shd w:val="clear" w:color="auto" w:fill="FFFFFF"/>
            <w:vAlign w:val="center"/>
            <w:hideMark/>
          </w:tcPr>
          <w:p w:rsidR="00B43D51" w:rsidRPr="000A02C9" w:rsidRDefault="00B43D51" w:rsidP="00AD75FA">
            <w:pPr>
              <w:jc w:val="center"/>
            </w:pPr>
            <w:r w:rsidRPr="000A02C9">
              <w:t>0</w:t>
            </w:r>
          </w:p>
        </w:tc>
        <w:tc>
          <w:tcPr>
            <w:tcW w:w="904" w:type="dxa"/>
            <w:shd w:val="clear" w:color="auto" w:fill="FFFFFF"/>
            <w:vAlign w:val="center"/>
            <w:hideMark/>
          </w:tcPr>
          <w:p w:rsidR="00B43D51" w:rsidRPr="000A02C9" w:rsidRDefault="00B43D51" w:rsidP="00AD75FA">
            <w:pPr>
              <w:jc w:val="center"/>
            </w:pPr>
            <w:r w:rsidRPr="000A02C9">
              <w:t>0</w:t>
            </w:r>
          </w:p>
        </w:tc>
        <w:tc>
          <w:tcPr>
            <w:tcW w:w="903" w:type="dxa"/>
            <w:shd w:val="clear" w:color="auto" w:fill="FFFFFF"/>
            <w:vAlign w:val="center"/>
            <w:hideMark/>
          </w:tcPr>
          <w:p w:rsidR="00B43D51" w:rsidRPr="000A02C9" w:rsidRDefault="00B43D51" w:rsidP="00AD75FA">
            <w:pPr>
              <w:jc w:val="center"/>
            </w:pPr>
            <w:r w:rsidRPr="000A02C9">
              <w:t>0</w:t>
            </w:r>
          </w:p>
        </w:tc>
        <w:tc>
          <w:tcPr>
            <w:tcW w:w="903" w:type="dxa"/>
            <w:shd w:val="clear" w:color="auto" w:fill="FFFFFF"/>
            <w:vAlign w:val="center"/>
            <w:hideMark/>
          </w:tcPr>
          <w:p w:rsidR="00B43D51" w:rsidRPr="000A02C9" w:rsidRDefault="00B43D51" w:rsidP="00AD75FA">
            <w:pPr>
              <w:jc w:val="center"/>
            </w:pPr>
            <w:r w:rsidRPr="000A02C9">
              <w:t>0</w:t>
            </w:r>
          </w:p>
        </w:tc>
        <w:tc>
          <w:tcPr>
            <w:tcW w:w="903" w:type="dxa"/>
            <w:shd w:val="clear" w:color="auto" w:fill="FFFFFF"/>
            <w:vAlign w:val="center"/>
            <w:hideMark/>
          </w:tcPr>
          <w:p w:rsidR="00B43D51" w:rsidRPr="000A02C9" w:rsidRDefault="00B43D51" w:rsidP="00AD75FA">
            <w:pPr>
              <w:jc w:val="center"/>
            </w:pPr>
            <w:r w:rsidRPr="000A02C9">
              <w:t>0</w:t>
            </w:r>
          </w:p>
        </w:tc>
        <w:tc>
          <w:tcPr>
            <w:tcW w:w="961" w:type="dxa"/>
            <w:shd w:val="clear" w:color="auto" w:fill="FFFFFF"/>
            <w:vAlign w:val="center"/>
            <w:hideMark/>
          </w:tcPr>
          <w:p w:rsidR="00B43D51" w:rsidRPr="000A02C9" w:rsidRDefault="00B43D51" w:rsidP="00AD75FA">
            <w:pPr>
              <w:jc w:val="center"/>
            </w:pPr>
            <w:r w:rsidRPr="000A02C9">
              <w:t>0</w:t>
            </w:r>
          </w:p>
        </w:tc>
      </w:tr>
      <w:tr w:rsidR="00AD75FA" w:rsidRPr="000A02C9" w:rsidTr="00AD75FA">
        <w:trPr>
          <w:cantSplit/>
          <w:tblCellSpacing w:w="20" w:type="dxa"/>
        </w:trPr>
        <w:tc>
          <w:tcPr>
            <w:tcW w:w="2071" w:type="dxa"/>
            <w:shd w:val="clear" w:color="auto" w:fill="auto"/>
            <w:hideMark/>
          </w:tcPr>
          <w:p w:rsidR="00B43D51" w:rsidRPr="000A02C9" w:rsidRDefault="00B43D51" w:rsidP="00AD75FA">
            <w:r w:rsidRPr="000A02C9">
              <w:t>1.1. valsts pamatbudžets, tai skaitā ieņēmumi no maksas pakalpojumiem un citi pašu ieņēmumi</w:t>
            </w:r>
          </w:p>
        </w:tc>
        <w:tc>
          <w:tcPr>
            <w:tcW w:w="1031" w:type="dxa"/>
            <w:shd w:val="clear" w:color="auto" w:fill="auto"/>
            <w:vAlign w:val="center"/>
            <w:hideMark/>
          </w:tcPr>
          <w:p w:rsidR="00B43D51" w:rsidRPr="000A02C9" w:rsidRDefault="00B43D51" w:rsidP="00AD75FA">
            <w:pPr>
              <w:jc w:val="center"/>
            </w:pPr>
            <w:r w:rsidRPr="000A02C9">
              <w:t>0</w:t>
            </w:r>
          </w:p>
        </w:tc>
        <w:tc>
          <w:tcPr>
            <w:tcW w:w="1030" w:type="dxa"/>
            <w:shd w:val="clear" w:color="auto" w:fill="auto"/>
            <w:vAlign w:val="center"/>
            <w:hideMark/>
          </w:tcPr>
          <w:p w:rsidR="00B43D51" w:rsidRPr="000A02C9" w:rsidRDefault="00B43D51" w:rsidP="00AD75FA">
            <w:pPr>
              <w:jc w:val="center"/>
            </w:pPr>
            <w:r w:rsidRPr="000A02C9">
              <w:t>0</w:t>
            </w:r>
          </w:p>
        </w:tc>
        <w:tc>
          <w:tcPr>
            <w:tcW w:w="904"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61" w:type="dxa"/>
            <w:shd w:val="clear" w:color="auto" w:fill="auto"/>
            <w:vAlign w:val="center"/>
            <w:hideMark/>
          </w:tcPr>
          <w:p w:rsidR="00B43D51" w:rsidRPr="000A02C9" w:rsidRDefault="00B43D51" w:rsidP="00AD75FA">
            <w:pPr>
              <w:jc w:val="center"/>
            </w:pPr>
            <w:r w:rsidRPr="000A02C9">
              <w:t>0</w:t>
            </w:r>
          </w:p>
        </w:tc>
      </w:tr>
      <w:tr w:rsidR="00AD75FA" w:rsidRPr="000A02C9" w:rsidTr="00AD75FA">
        <w:trPr>
          <w:cantSplit/>
          <w:tblCellSpacing w:w="20" w:type="dxa"/>
        </w:trPr>
        <w:tc>
          <w:tcPr>
            <w:tcW w:w="2071" w:type="dxa"/>
            <w:shd w:val="clear" w:color="auto" w:fill="auto"/>
            <w:hideMark/>
          </w:tcPr>
          <w:p w:rsidR="00B43D51" w:rsidRPr="000A02C9" w:rsidRDefault="00B43D51" w:rsidP="00AD75FA">
            <w:r w:rsidRPr="000A02C9">
              <w:t>1.2. valsts speciālais budžets</w:t>
            </w:r>
          </w:p>
        </w:tc>
        <w:tc>
          <w:tcPr>
            <w:tcW w:w="1031" w:type="dxa"/>
            <w:shd w:val="clear" w:color="auto" w:fill="auto"/>
            <w:vAlign w:val="center"/>
            <w:hideMark/>
          </w:tcPr>
          <w:p w:rsidR="00B43D51" w:rsidRPr="000A02C9" w:rsidRDefault="00B43D51" w:rsidP="00AD75FA">
            <w:pPr>
              <w:jc w:val="center"/>
            </w:pPr>
            <w:r w:rsidRPr="000A02C9">
              <w:t>0</w:t>
            </w:r>
          </w:p>
        </w:tc>
        <w:tc>
          <w:tcPr>
            <w:tcW w:w="1030" w:type="dxa"/>
            <w:shd w:val="clear" w:color="auto" w:fill="auto"/>
            <w:vAlign w:val="center"/>
            <w:hideMark/>
          </w:tcPr>
          <w:p w:rsidR="00B43D51" w:rsidRPr="000A02C9" w:rsidRDefault="00B43D51" w:rsidP="00AD75FA">
            <w:pPr>
              <w:jc w:val="center"/>
            </w:pPr>
            <w:r w:rsidRPr="000A02C9">
              <w:t>0</w:t>
            </w:r>
          </w:p>
        </w:tc>
        <w:tc>
          <w:tcPr>
            <w:tcW w:w="904"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61" w:type="dxa"/>
            <w:shd w:val="clear" w:color="auto" w:fill="auto"/>
            <w:vAlign w:val="center"/>
            <w:hideMark/>
          </w:tcPr>
          <w:p w:rsidR="00B43D51" w:rsidRPr="000A02C9" w:rsidRDefault="00B43D51" w:rsidP="00AD75FA">
            <w:pPr>
              <w:jc w:val="center"/>
            </w:pPr>
            <w:r w:rsidRPr="000A02C9">
              <w:t>0</w:t>
            </w:r>
          </w:p>
        </w:tc>
      </w:tr>
      <w:tr w:rsidR="00AD75FA" w:rsidRPr="000A02C9" w:rsidTr="00AD75FA">
        <w:trPr>
          <w:cantSplit/>
          <w:tblCellSpacing w:w="20" w:type="dxa"/>
        </w:trPr>
        <w:tc>
          <w:tcPr>
            <w:tcW w:w="2071" w:type="dxa"/>
            <w:shd w:val="clear" w:color="auto" w:fill="auto"/>
            <w:hideMark/>
          </w:tcPr>
          <w:p w:rsidR="00B43D51" w:rsidRPr="000A02C9" w:rsidRDefault="00B43D51" w:rsidP="00AD75FA">
            <w:r w:rsidRPr="000A02C9">
              <w:t>1.3. pašvaldību budžets</w:t>
            </w:r>
          </w:p>
        </w:tc>
        <w:tc>
          <w:tcPr>
            <w:tcW w:w="1031" w:type="dxa"/>
            <w:shd w:val="clear" w:color="auto" w:fill="auto"/>
            <w:vAlign w:val="center"/>
            <w:hideMark/>
          </w:tcPr>
          <w:p w:rsidR="00B43D51" w:rsidRPr="000A02C9" w:rsidRDefault="00B43D51" w:rsidP="00AD75FA">
            <w:pPr>
              <w:jc w:val="center"/>
            </w:pPr>
            <w:r w:rsidRPr="000A02C9">
              <w:t>0</w:t>
            </w:r>
          </w:p>
        </w:tc>
        <w:tc>
          <w:tcPr>
            <w:tcW w:w="1030" w:type="dxa"/>
            <w:shd w:val="clear" w:color="auto" w:fill="auto"/>
            <w:vAlign w:val="center"/>
            <w:hideMark/>
          </w:tcPr>
          <w:p w:rsidR="00B43D51" w:rsidRPr="000A02C9" w:rsidRDefault="00B43D51" w:rsidP="00AD75FA">
            <w:pPr>
              <w:jc w:val="center"/>
            </w:pPr>
            <w:r w:rsidRPr="000A02C9">
              <w:t>0</w:t>
            </w:r>
          </w:p>
        </w:tc>
        <w:tc>
          <w:tcPr>
            <w:tcW w:w="904"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61" w:type="dxa"/>
            <w:shd w:val="clear" w:color="auto" w:fill="auto"/>
            <w:vAlign w:val="center"/>
            <w:hideMark/>
          </w:tcPr>
          <w:p w:rsidR="00B43D51" w:rsidRPr="000A02C9" w:rsidRDefault="00B43D51" w:rsidP="00AD75FA">
            <w:pPr>
              <w:jc w:val="center"/>
            </w:pPr>
            <w:r w:rsidRPr="000A02C9">
              <w:t>0</w:t>
            </w:r>
          </w:p>
        </w:tc>
      </w:tr>
      <w:tr w:rsidR="00AD75FA" w:rsidRPr="000A02C9" w:rsidTr="00AD75FA">
        <w:trPr>
          <w:cantSplit/>
          <w:tblCellSpacing w:w="20" w:type="dxa"/>
        </w:trPr>
        <w:tc>
          <w:tcPr>
            <w:tcW w:w="2071" w:type="dxa"/>
            <w:shd w:val="clear" w:color="auto" w:fill="auto"/>
            <w:hideMark/>
          </w:tcPr>
          <w:p w:rsidR="00B43D51" w:rsidRPr="000A02C9" w:rsidRDefault="00B43D51" w:rsidP="00AD75FA">
            <w:r w:rsidRPr="000A02C9">
              <w:t>2. Budžeta izdevumi</w:t>
            </w:r>
          </w:p>
        </w:tc>
        <w:tc>
          <w:tcPr>
            <w:tcW w:w="1031" w:type="dxa"/>
            <w:shd w:val="clear" w:color="auto" w:fill="auto"/>
            <w:vAlign w:val="center"/>
            <w:hideMark/>
          </w:tcPr>
          <w:p w:rsidR="00B43D51" w:rsidRPr="000A02C9" w:rsidRDefault="00B43D51" w:rsidP="00AD75FA">
            <w:pPr>
              <w:jc w:val="center"/>
            </w:pPr>
            <w:r w:rsidRPr="000A02C9">
              <w:t>0</w:t>
            </w:r>
          </w:p>
        </w:tc>
        <w:tc>
          <w:tcPr>
            <w:tcW w:w="1030" w:type="dxa"/>
            <w:shd w:val="clear" w:color="auto" w:fill="auto"/>
            <w:vAlign w:val="center"/>
            <w:hideMark/>
          </w:tcPr>
          <w:p w:rsidR="00B43D51" w:rsidRPr="000A02C9" w:rsidRDefault="004F28B9" w:rsidP="00AD75FA">
            <w:pPr>
              <w:jc w:val="center"/>
            </w:pPr>
            <w:r w:rsidRPr="000A02C9">
              <w:rPr>
                <w:color w:val="000000"/>
              </w:rPr>
              <w:t>50 812</w:t>
            </w:r>
          </w:p>
        </w:tc>
        <w:tc>
          <w:tcPr>
            <w:tcW w:w="904"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61" w:type="dxa"/>
            <w:shd w:val="clear" w:color="auto" w:fill="auto"/>
            <w:vAlign w:val="center"/>
            <w:hideMark/>
          </w:tcPr>
          <w:p w:rsidR="00B43D51" w:rsidRPr="000A02C9" w:rsidRDefault="00B43D51" w:rsidP="00AD75FA">
            <w:pPr>
              <w:jc w:val="center"/>
            </w:pPr>
            <w:r w:rsidRPr="000A02C9">
              <w:t>0</w:t>
            </w:r>
          </w:p>
        </w:tc>
      </w:tr>
      <w:tr w:rsidR="00AD75FA" w:rsidRPr="000A02C9" w:rsidTr="00AD75FA">
        <w:trPr>
          <w:cantSplit/>
          <w:tblCellSpacing w:w="20" w:type="dxa"/>
        </w:trPr>
        <w:tc>
          <w:tcPr>
            <w:tcW w:w="2071" w:type="dxa"/>
            <w:shd w:val="clear" w:color="auto" w:fill="auto"/>
            <w:hideMark/>
          </w:tcPr>
          <w:p w:rsidR="00B43D51" w:rsidRPr="000A02C9" w:rsidRDefault="00B43D51" w:rsidP="00AD75FA">
            <w:r w:rsidRPr="000A02C9">
              <w:t>2.1. valsts pamatbudžets</w:t>
            </w:r>
          </w:p>
        </w:tc>
        <w:tc>
          <w:tcPr>
            <w:tcW w:w="1031" w:type="dxa"/>
            <w:shd w:val="clear" w:color="auto" w:fill="auto"/>
            <w:vAlign w:val="center"/>
            <w:hideMark/>
          </w:tcPr>
          <w:p w:rsidR="00B43D51" w:rsidRPr="000A02C9" w:rsidRDefault="00B43D51" w:rsidP="00AD75FA">
            <w:pPr>
              <w:jc w:val="center"/>
            </w:pPr>
            <w:r w:rsidRPr="000A02C9">
              <w:t>0</w:t>
            </w:r>
          </w:p>
        </w:tc>
        <w:tc>
          <w:tcPr>
            <w:tcW w:w="1030" w:type="dxa"/>
            <w:shd w:val="clear" w:color="auto" w:fill="auto"/>
            <w:vAlign w:val="center"/>
            <w:hideMark/>
          </w:tcPr>
          <w:p w:rsidR="00B43D51" w:rsidRPr="000A02C9" w:rsidRDefault="004F28B9" w:rsidP="00AD75FA">
            <w:pPr>
              <w:jc w:val="center"/>
            </w:pPr>
            <w:r w:rsidRPr="000A02C9">
              <w:rPr>
                <w:color w:val="000000"/>
              </w:rPr>
              <w:t>50 812</w:t>
            </w:r>
          </w:p>
        </w:tc>
        <w:tc>
          <w:tcPr>
            <w:tcW w:w="904"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61" w:type="dxa"/>
            <w:shd w:val="clear" w:color="auto" w:fill="auto"/>
            <w:vAlign w:val="center"/>
            <w:hideMark/>
          </w:tcPr>
          <w:p w:rsidR="00B43D51" w:rsidRPr="000A02C9" w:rsidRDefault="00B43D51" w:rsidP="00AD75FA">
            <w:pPr>
              <w:jc w:val="center"/>
            </w:pPr>
            <w:r w:rsidRPr="000A02C9">
              <w:t>0</w:t>
            </w:r>
          </w:p>
        </w:tc>
      </w:tr>
      <w:tr w:rsidR="00AD75FA" w:rsidRPr="000A02C9" w:rsidTr="00AD75FA">
        <w:trPr>
          <w:cantSplit/>
          <w:tblCellSpacing w:w="20" w:type="dxa"/>
        </w:trPr>
        <w:tc>
          <w:tcPr>
            <w:tcW w:w="2071" w:type="dxa"/>
            <w:shd w:val="clear" w:color="auto" w:fill="auto"/>
            <w:hideMark/>
          </w:tcPr>
          <w:p w:rsidR="00B43D51" w:rsidRPr="000A02C9" w:rsidRDefault="00B43D51" w:rsidP="00AD75FA">
            <w:r w:rsidRPr="000A02C9">
              <w:t>2.2. valsts speciālais budžets</w:t>
            </w:r>
          </w:p>
        </w:tc>
        <w:tc>
          <w:tcPr>
            <w:tcW w:w="1031" w:type="dxa"/>
            <w:shd w:val="clear" w:color="auto" w:fill="auto"/>
            <w:vAlign w:val="center"/>
            <w:hideMark/>
          </w:tcPr>
          <w:p w:rsidR="00B43D51" w:rsidRPr="000A02C9" w:rsidRDefault="00B43D51" w:rsidP="00AD75FA">
            <w:pPr>
              <w:jc w:val="center"/>
            </w:pPr>
            <w:r w:rsidRPr="000A02C9">
              <w:t>0</w:t>
            </w:r>
          </w:p>
        </w:tc>
        <w:tc>
          <w:tcPr>
            <w:tcW w:w="1030" w:type="dxa"/>
            <w:shd w:val="clear" w:color="auto" w:fill="auto"/>
            <w:vAlign w:val="center"/>
            <w:hideMark/>
          </w:tcPr>
          <w:p w:rsidR="00B43D51" w:rsidRPr="000A02C9" w:rsidRDefault="00B43D51" w:rsidP="00AD75FA">
            <w:pPr>
              <w:jc w:val="center"/>
            </w:pPr>
            <w:r w:rsidRPr="000A02C9">
              <w:t>0</w:t>
            </w:r>
          </w:p>
        </w:tc>
        <w:tc>
          <w:tcPr>
            <w:tcW w:w="904"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61" w:type="dxa"/>
            <w:shd w:val="clear" w:color="auto" w:fill="auto"/>
            <w:vAlign w:val="center"/>
            <w:hideMark/>
          </w:tcPr>
          <w:p w:rsidR="00B43D51" w:rsidRPr="000A02C9" w:rsidRDefault="00B43D51" w:rsidP="00AD75FA">
            <w:pPr>
              <w:jc w:val="center"/>
            </w:pPr>
            <w:r w:rsidRPr="000A02C9">
              <w:t>0</w:t>
            </w:r>
          </w:p>
        </w:tc>
      </w:tr>
      <w:tr w:rsidR="00AD75FA" w:rsidRPr="000A02C9" w:rsidTr="00AD75FA">
        <w:trPr>
          <w:cantSplit/>
          <w:tblCellSpacing w:w="20" w:type="dxa"/>
        </w:trPr>
        <w:tc>
          <w:tcPr>
            <w:tcW w:w="2071" w:type="dxa"/>
            <w:shd w:val="clear" w:color="auto" w:fill="auto"/>
            <w:hideMark/>
          </w:tcPr>
          <w:p w:rsidR="00B43D51" w:rsidRPr="000A02C9" w:rsidRDefault="00B43D51" w:rsidP="00AD75FA">
            <w:r w:rsidRPr="000A02C9">
              <w:t>2.3. pašvaldību budžets</w:t>
            </w:r>
          </w:p>
        </w:tc>
        <w:tc>
          <w:tcPr>
            <w:tcW w:w="1031" w:type="dxa"/>
            <w:shd w:val="clear" w:color="auto" w:fill="auto"/>
            <w:vAlign w:val="center"/>
            <w:hideMark/>
          </w:tcPr>
          <w:p w:rsidR="00B43D51" w:rsidRPr="000A02C9" w:rsidRDefault="00B43D51" w:rsidP="00AD75FA">
            <w:pPr>
              <w:jc w:val="center"/>
            </w:pPr>
            <w:r w:rsidRPr="000A02C9">
              <w:t>0</w:t>
            </w:r>
          </w:p>
        </w:tc>
        <w:tc>
          <w:tcPr>
            <w:tcW w:w="1030" w:type="dxa"/>
            <w:shd w:val="clear" w:color="auto" w:fill="auto"/>
            <w:vAlign w:val="center"/>
            <w:hideMark/>
          </w:tcPr>
          <w:p w:rsidR="00B43D51" w:rsidRPr="000A02C9" w:rsidRDefault="00B43D51" w:rsidP="00AD75FA">
            <w:pPr>
              <w:jc w:val="center"/>
            </w:pPr>
            <w:r w:rsidRPr="000A02C9">
              <w:t>0</w:t>
            </w:r>
          </w:p>
        </w:tc>
        <w:tc>
          <w:tcPr>
            <w:tcW w:w="904"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61" w:type="dxa"/>
            <w:shd w:val="clear" w:color="auto" w:fill="auto"/>
            <w:vAlign w:val="center"/>
            <w:hideMark/>
          </w:tcPr>
          <w:p w:rsidR="00B43D51" w:rsidRPr="000A02C9" w:rsidRDefault="00B43D51" w:rsidP="00AD75FA">
            <w:pPr>
              <w:jc w:val="center"/>
            </w:pPr>
            <w:r w:rsidRPr="000A02C9">
              <w:t>0</w:t>
            </w:r>
          </w:p>
        </w:tc>
      </w:tr>
      <w:tr w:rsidR="00AD75FA" w:rsidRPr="000A02C9" w:rsidTr="00AD75FA">
        <w:trPr>
          <w:cantSplit/>
          <w:tblCellSpacing w:w="20" w:type="dxa"/>
        </w:trPr>
        <w:tc>
          <w:tcPr>
            <w:tcW w:w="2071" w:type="dxa"/>
            <w:shd w:val="clear" w:color="auto" w:fill="auto"/>
            <w:hideMark/>
          </w:tcPr>
          <w:p w:rsidR="00B43D51" w:rsidRPr="000A02C9" w:rsidRDefault="00B43D51" w:rsidP="00AD75FA">
            <w:r w:rsidRPr="000A02C9">
              <w:t>3. Finansiālā ietekme</w:t>
            </w:r>
          </w:p>
        </w:tc>
        <w:tc>
          <w:tcPr>
            <w:tcW w:w="1031" w:type="dxa"/>
            <w:shd w:val="clear" w:color="auto" w:fill="auto"/>
            <w:vAlign w:val="center"/>
            <w:hideMark/>
          </w:tcPr>
          <w:p w:rsidR="00B43D51" w:rsidRPr="000A02C9" w:rsidRDefault="00B43D51" w:rsidP="00AD75FA">
            <w:pPr>
              <w:jc w:val="center"/>
            </w:pPr>
            <w:r w:rsidRPr="000A02C9">
              <w:t>0</w:t>
            </w:r>
          </w:p>
        </w:tc>
        <w:tc>
          <w:tcPr>
            <w:tcW w:w="1030" w:type="dxa"/>
            <w:shd w:val="clear" w:color="auto" w:fill="auto"/>
            <w:vAlign w:val="center"/>
            <w:hideMark/>
          </w:tcPr>
          <w:p w:rsidR="00B43D51" w:rsidRPr="000A02C9" w:rsidRDefault="004F28B9" w:rsidP="00AD75FA">
            <w:pPr>
              <w:jc w:val="center"/>
            </w:pPr>
            <w:r w:rsidRPr="000A02C9">
              <w:t>-</w:t>
            </w:r>
            <w:r w:rsidRPr="000A02C9">
              <w:rPr>
                <w:color w:val="000000"/>
              </w:rPr>
              <w:t>50 812</w:t>
            </w:r>
          </w:p>
        </w:tc>
        <w:tc>
          <w:tcPr>
            <w:tcW w:w="904"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61" w:type="dxa"/>
            <w:shd w:val="clear" w:color="auto" w:fill="auto"/>
            <w:vAlign w:val="center"/>
            <w:hideMark/>
          </w:tcPr>
          <w:p w:rsidR="00B43D51" w:rsidRPr="000A02C9" w:rsidRDefault="00B43D51" w:rsidP="00AD75FA">
            <w:pPr>
              <w:jc w:val="center"/>
            </w:pPr>
            <w:r w:rsidRPr="000A02C9">
              <w:t>0</w:t>
            </w:r>
          </w:p>
        </w:tc>
      </w:tr>
      <w:tr w:rsidR="00AD75FA" w:rsidRPr="000A02C9" w:rsidTr="00AD75FA">
        <w:trPr>
          <w:cantSplit/>
          <w:tblCellSpacing w:w="20" w:type="dxa"/>
        </w:trPr>
        <w:tc>
          <w:tcPr>
            <w:tcW w:w="2071" w:type="dxa"/>
            <w:shd w:val="clear" w:color="auto" w:fill="auto"/>
            <w:hideMark/>
          </w:tcPr>
          <w:p w:rsidR="00B43D51" w:rsidRPr="000A02C9" w:rsidRDefault="00B43D51" w:rsidP="00AD75FA">
            <w:r w:rsidRPr="000A02C9">
              <w:t>3.1. valsts pamatbudžets</w:t>
            </w:r>
          </w:p>
        </w:tc>
        <w:tc>
          <w:tcPr>
            <w:tcW w:w="1031" w:type="dxa"/>
            <w:shd w:val="clear" w:color="auto" w:fill="auto"/>
            <w:vAlign w:val="center"/>
            <w:hideMark/>
          </w:tcPr>
          <w:p w:rsidR="00B43D51" w:rsidRPr="000A02C9" w:rsidRDefault="00B43D51" w:rsidP="00AD75FA">
            <w:pPr>
              <w:jc w:val="center"/>
            </w:pPr>
            <w:r w:rsidRPr="000A02C9">
              <w:t>0</w:t>
            </w:r>
          </w:p>
        </w:tc>
        <w:tc>
          <w:tcPr>
            <w:tcW w:w="1030" w:type="dxa"/>
            <w:shd w:val="clear" w:color="auto" w:fill="auto"/>
            <w:vAlign w:val="center"/>
            <w:hideMark/>
          </w:tcPr>
          <w:p w:rsidR="00B43D51" w:rsidRPr="000A02C9" w:rsidRDefault="004F28B9" w:rsidP="00AD75FA">
            <w:pPr>
              <w:jc w:val="center"/>
            </w:pPr>
            <w:r w:rsidRPr="000A02C9">
              <w:t>-</w:t>
            </w:r>
            <w:r w:rsidRPr="000A02C9">
              <w:rPr>
                <w:color w:val="000000"/>
              </w:rPr>
              <w:t>50 812</w:t>
            </w:r>
          </w:p>
        </w:tc>
        <w:tc>
          <w:tcPr>
            <w:tcW w:w="904"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61" w:type="dxa"/>
            <w:shd w:val="clear" w:color="auto" w:fill="auto"/>
            <w:vAlign w:val="center"/>
            <w:hideMark/>
          </w:tcPr>
          <w:p w:rsidR="00B43D51" w:rsidRPr="000A02C9" w:rsidRDefault="00B43D51" w:rsidP="00AD75FA">
            <w:pPr>
              <w:jc w:val="center"/>
            </w:pPr>
            <w:r w:rsidRPr="000A02C9">
              <w:t>0</w:t>
            </w:r>
          </w:p>
        </w:tc>
      </w:tr>
      <w:tr w:rsidR="00AD75FA" w:rsidRPr="000A02C9" w:rsidTr="00AD75FA">
        <w:trPr>
          <w:cantSplit/>
          <w:tblCellSpacing w:w="20" w:type="dxa"/>
        </w:trPr>
        <w:tc>
          <w:tcPr>
            <w:tcW w:w="2071" w:type="dxa"/>
            <w:shd w:val="clear" w:color="auto" w:fill="auto"/>
            <w:hideMark/>
          </w:tcPr>
          <w:p w:rsidR="00B43D51" w:rsidRPr="000A02C9" w:rsidRDefault="00B43D51" w:rsidP="00AD75FA">
            <w:r w:rsidRPr="000A02C9">
              <w:t>3.2. speciālais budžets</w:t>
            </w:r>
          </w:p>
        </w:tc>
        <w:tc>
          <w:tcPr>
            <w:tcW w:w="1031" w:type="dxa"/>
            <w:shd w:val="clear" w:color="auto" w:fill="auto"/>
            <w:vAlign w:val="center"/>
            <w:hideMark/>
          </w:tcPr>
          <w:p w:rsidR="00B43D51" w:rsidRPr="000A02C9" w:rsidRDefault="00B43D51" w:rsidP="00AD75FA">
            <w:pPr>
              <w:jc w:val="center"/>
            </w:pPr>
            <w:r w:rsidRPr="000A02C9">
              <w:t>0</w:t>
            </w:r>
          </w:p>
        </w:tc>
        <w:tc>
          <w:tcPr>
            <w:tcW w:w="1030" w:type="dxa"/>
            <w:shd w:val="clear" w:color="auto" w:fill="auto"/>
            <w:vAlign w:val="center"/>
            <w:hideMark/>
          </w:tcPr>
          <w:p w:rsidR="00B43D51" w:rsidRPr="000A02C9" w:rsidRDefault="00B43D51" w:rsidP="00AD75FA">
            <w:pPr>
              <w:jc w:val="center"/>
            </w:pPr>
            <w:r w:rsidRPr="000A02C9">
              <w:t>0</w:t>
            </w:r>
          </w:p>
        </w:tc>
        <w:tc>
          <w:tcPr>
            <w:tcW w:w="904"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61" w:type="dxa"/>
            <w:shd w:val="clear" w:color="auto" w:fill="auto"/>
            <w:vAlign w:val="center"/>
            <w:hideMark/>
          </w:tcPr>
          <w:p w:rsidR="00B43D51" w:rsidRPr="000A02C9" w:rsidRDefault="00B43D51" w:rsidP="00AD75FA">
            <w:pPr>
              <w:jc w:val="center"/>
            </w:pPr>
            <w:r w:rsidRPr="000A02C9">
              <w:t>0</w:t>
            </w:r>
          </w:p>
        </w:tc>
      </w:tr>
      <w:tr w:rsidR="00AD75FA" w:rsidRPr="000A02C9" w:rsidTr="00AD75FA">
        <w:trPr>
          <w:cantSplit/>
          <w:tblCellSpacing w:w="20" w:type="dxa"/>
        </w:trPr>
        <w:tc>
          <w:tcPr>
            <w:tcW w:w="2071" w:type="dxa"/>
            <w:shd w:val="clear" w:color="auto" w:fill="auto"/>
            <w:hideMark/>
          </w:tcPr>
          <w:p w:rsidR="00B43D51" w:rsidRPr="000A02C9" w:rsidRDefault="00B43D51" w:rsidP="00AD75FA">
            <w:r w:rsidRPr="000A02C9">
              <w:t>3.3. pašvaldību budžets</w:t>
            </w:r>
          </w:p>
        </w:tc>
        <w:tc>
          <w:tcPr>
            <w:tcW w:w="1031" w:type="dxa"/>
            <w:shd w:val="clear" w:color="auto" w:fill="auto"/>
            <w:vAlign w:val="center"/>
            <w:hideMark/>
          </w:tcPr>
          <w:p w:rsidR="00B43D51" w:rsidRPr="000A02C9" w:rsidRDefault="00B43D51" w:rsidP="00AD75FA">
            <w:pPr>
              <w:jc w:val="center"/>
            </w:pPr>
            <w:r w:rsidRPr="000A02C9">
              <w:t>0</w:t>
            </w:r>
          </w:p>
        </w:tc>
        <w:tc>
          <w:tcPr>
            <w:tcW w:w="1030" w:type="dxa"/>
            <w:shd w:val="clear" w:color="auto" w:fill="auto"/>
            <w:vAlign w:val="center"/>
            <w:hideMark/>
          </w:tcPr>
          <w:p w:rsidR="00B43D51" w:rsidRPr="000A02C9" w:rsidRDefault="00B43D51" w:rsidP="00AD75FA">
            <w:pPr>
              <w:jc w:val="center"/>
            </w:pPr>
            <w:r w:rsidRPr="000A02C9">
              <w:t>0</w:t>
            </w:r>
          </w:p>
        </w:tc>
        <w:tc>
          <w:tcPr>
            <w:tcW w:w="904"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0</w:t>
            </w:r>
          </w:p>
        </w:tc>
        <w:tc>
          <w:tcPr>
            <w:tcW w:w="961" w:type="dxa"/>
            <w:shd w:val="clear" w:color="auto" w:fill="auto"/>
            <w:vAlign w:val="center"/>
            <w:hideMark/>
          </w:tcPr>
          <w:p w:rsidR="00B43D51" w:rsidRPr="000A02C9" w:rsidRDefault="00B43D51" w:rsidP="00AD75FA">
            <w:pPr>
              <w:jc w:val="center"/>
            </w:pPr>
            <w:r w:rsidRPr="000A02C9">
              <w:t>0</w:t>
            </w:r>
          </w:p>
        </w:tc>
      </w:tr>
      <w:tr w:rsidR="00AD75FA" w:rsidRPr="000A02C9" w:rsidTr="00AD75FA">
        <w:trPr>
          <w:cantSplit/>
          <w:tblCellSpacing w:w="20" w:type="dxa"/>
        </w:trPr>
        <w:tc>
          <w:tcPr>
            <w:tcW w:w="2071" w:type="dxa"/>
            <w:shd w:val="clear" w:color="auto" w:fill="auto"/>
            <w:hideMark/>
          </w:tcPr>
          <w:p w:rsidR="00B43D51" w:rsidRPr="000A02C9" w:rsidRDefault="00B43D51" w:rsidP="00AD75FA">
            <w:r w:rsidRPr="000A02C9">
              <w:t>4. Finanšu līdzekļi papildu izdevumu finansēšanai (kompensējošu izdevumu samazinājumu norāda ar "+" zīmi)</w:t>
            </w:r>
          </w:p>
        </w:tc>
        <w:tc>
          <w:tcPr>
            <w:tcW w:w="1031" w:type="dxa"/>
            <w:shd w:val="clear" w:color="auto" w:fill="auto"/>
            <w:vAlign w:val="center"/>
            <w:hideMark/>
          </w:tcPr>
          <w:p w:rsidR="00B43D51" w:rsidRPr="000A02C9" w:rsidRDefault="00B43D51" w:rsidP="00AD75FA">
            <w:pPr>
              <w:jc w:val="center"/>
            </w:pPr>
            <w:r w:rsidRPr="000A02C9">
              <w:t>X</w:t>
            </w:r>
          </w:p>
        </w:tc>
        <w:tc>
          <w:tcPr>
            <w:tcW w:w="1030" w:type="dxa"/>
            <w:shd w:val="clear" w:color="auto" w:fill="auto"/>
            <w:vAlign w:val="center"/>
            <w:hideMark/>
          </w:tcPr>
          <w:p w:rsidR="00B43D51" w:rsidRPr="000A02C9" w:rsidRDefault="004F28B9" w:rsidP="00AD75FA">
            <w:pPr>
              <w:jc w:val="center"/>
            </w:pPr>
            <w:r w:rsidRPr="000A02C9">
              <w:rPr>
                <w:color w:val="000000"/>
              </w:rPr>
              <w:t>50 812</w:t>
            </w:r>
          </w:p>
        </w:tc>
        <w:tc>
          <w:tcPr>
            <w:tcW w:w="904" w:type="dxa"/>
            <w:shd w:val="clear" w:color="auto" w:fill="auto"/>
            <w:vAlign w:val="center"/>
            <w:hideMark/>
          </w:tcPr>
          <w:p w:rsidR="00B43D51" w:rsidRPr="000A02C9" w:rsidRDefault="00B43D51" w:rsidP="00AD75FA">
            <w:pPr>
              <w:jc w:val="center"/>
            </w:pPr>
            <w:r w:rsidRPr="000A02C9">
              <w:t>X</w:t>
            </w:r>
          </w:p>
        </w:tc>
        <w:tc>
          <w:tcPr>
            <w:tcW w:w="903" w:type="dxa"/>
            <w:shd w:val="clear" w:color="auto" w:fill="auto"/>
            <w:vAlign w:val="center"/>
            <w:hideMark/>
          </w:tcPr>
          <w:p w:rsidR="00B43D51" w:rsidRPr="000A02C9" w:rsidRDefault="00B43D51" w:rsidP="00AD75FA">
            <w:pPr>
              <w:jc w:val="center"/>
            </w:pPr>
            <w:r w:rsidRPr="000A02C9">
              <w:t>0</w:t>
            </w:r>
          </w:p>
        </w:tc>
        <w:tc>
          <w:tcPr>
            <w:tcW w:w="903" w:type="dxa"/>
            <w:shd w:val="clear" w:color="auto" w:fill="auto"/>
            <w:vAlign w:val="center"/>
            <w:hideMark/>
          </w:tcPr>
          <w:p w:rsidR="00B43D51" w:rsidRPr="000A02C9" w:rsidRDefault="00B43D51" w:rsidP="00AD75FA">
            <w:pPr>
              <w:jc w:val="center"/>
            </w:pPr>
            <w:r w:rsidRPr="000A02C9">
              <w:t>X</w:t>
            </w:r>
          </w:p>
        </w:tc>
        <w:tc>
          <w:tcPr>
            <w:tcW w:w="903" w:type="dxa"/>
            <w:shd w:val="clear" w:color="auto" w:fill="auto"/>
            <w:vAlign w:val="center"/>
            <w:hideMark/>
          </w:tcPr>
          <w:p w:rsidR="00B43D51" w:rsidRPr="000A02C9" w:rsidRDefault="00B43D51" w:rsidP="00AD75FA">
            <w:pPr>
              <w:jc w:val="center"/>
            </w:pPr>
            <w:r w:rsidRPr="000A02C9">
              <w:t>0</w:t>
            </w:r>
          </w:p>
        </w:tc>
        <w:tc>
          <w:tcPr>
            <w:tcW w:w="961" w:type="dxa"/>
            <w:shd w:val="clear" w:color="auto" w:fill="auto"/>
            <w:vAlign w:val="center"/>
            <w:hideMark/>
          </w:tcPr>
          <w:p w:rsidR="00B43D51" w:rsidRPr="000A02C9" w:rsidRDefault="00B43D51" w:rsidP="00AD75FA">
            <w:pPr>
              <w:jc w:val="center"/>
            </w:pPr>
            <w:r w:rsidRPr="000A02C9">
              <w:t>0</w:t>
            </w:r>
          </w:p>
        </w:tc>
      </w:tr>
      <w:tr w:rsidR="00AD75FA" w:rsidRPr="000A02C9" w:rsidTr="00AD75FA">
        <w:trPr>
          <w:cantSplit/>
          <w:tblCellSpacing w:w="20" w:type="dxa"/>
        </w:trPr>
        <w:tc>
          <w:tcPr>
            <w:tcW w:w="2071" w:type="dxa"/>
            <w:shd w:val="clear" w:color="auto" w:fill="auto"/>
            <w:hideMark/>
          </w:tcPr>
          <w:p w:rsidR="00B43D51" w:rsidRPr="000A02C9" w:rsidRDefault="00B43D51" w:rsidP="00AD75FA">
            <w:r w:rsidRPr="000A02C9">
              <w:lastRenderedPageBreak/>
              <w:t>5. Precizēta finansiālā ietekme</w:t>
            </w:r>
          </w:p>
        </w:tc>
        <w:tc>
          <w:tcPr>
            <w:tcW w:w="1031" w:type="dxa"/>
            <w:vMerge w:val="restart"/>
            <w:shd w:val="clear" w:color="auto" w:fill="auto"/>
            <w:vAlign w:val="center"/>
            <w:hideMark/>
          </w:tcPr>
          <w:p w:rsidR="00B43D51" w:rsidRPr="000A02C9" w:rsidRDefault="00B43D51" w:rsidP="00AD75FA">
            <w:pPr>
              <w:jc w:val="center"/>
            </w:pPr>
            <w:r w:rsidRPr="000A02C9">
              <w:t>X</w:t>
            </w:r>
          </w:p>
        </w:tc>
        <w:tc>
          <w:tcPr>
            <w:tcW w:w="1030" w:type="dxa"/>
            <w:shd w:val="clear" w:color="auto" w:fill="auto"/>
            <w:vAlign w:val="center"/>
            <w:hideMark/>
          </w:tcPr>
          <w:p w:rsidR="00B43D51" w:rsidRPr="000A02C9" w:rsidRDefault="00B43D51" w:rsidP="00AD75FA">
            <w:pPr>
              <w:jc w:val="center"/>
            </w:pPr>
            <w:r w:rsidRPr="000A02C9">
              <w:t>0</w:t>
            </w:r>
          </w:p>
        </w:tc>
        <w:tc>
          <w:tcPr>
            <w:tcW w:w="904" w:type="dxa"/>
            <w:vMerge w:val="restart"/>
            <w:shd w:val="clear" w:color="auto" w:fill="auto"/>
            <w:vAlign w:val="center"/>
            <w:hideMark/>
          </w:tcPr>
          <w:p w:rsidR="00B43D51" w:rsidRPr="000A02C9" w:rsidRDefault="00B43D51" w:rsidP="00AD75FA">
            <w:pPr>
              <w:jc w:val="center"/>
            </w:pPr>
            <w:r w:rsidRPr="000A02C9">
              <w:t>X</w:t>
            </w:r>
          </w:p>
        </w:tc>
        <w:tc>
          <w:tcPr>
            <w:tcW w:w="903" w:type="dxa"/>
            <w:shd w:val="clear" w:color="auto" w:fill="auto"/>
            <w:vAlign w:val="center"/>
            <w:hideMark/>
          </w:tcPr>
          <w:p w:rsidR="00B43D51" w:rsidRPr="000A02C9" w:rsidRDefault="00B43D51" w:rsidP="00AD75FA">
            <w:pPr>
              <w:jc w:val="center"/>
            </w:pPr>
            <w:r w:rsidRPr="000A02C9">
              <w:t>0</w:t>
            </w:r>
          </w:p>
        </w:tc>
        <w:tc>
          <w:tcPr>
            <w:tcW w:w="903" w:type="dxa"/>
            <w:vMerge w:val="restart"/>
            <w:shd w:val="clear" w:color="auto" w:fill="auto"/>
            <w:vAlign w:val="center"/>
            <w:hideMark/>
          </w:tcPr>
          <w:p w:rsidR="00B43D51" w:rsidRPr="000A02C9" w:rsidRDefault="00B43D51" w:rsidP="00AD75FA">
            <w:pPr>
              <w:jc w:val="center"/>
            </w:pPr>
            <w:r w:rsidRPr="000A02C9">
              <w:t>X</w:t>
            </w:r>
          </w:p>
        </w:tc>
        <w:tc>
          <w:tcPr>
            <w:tcW w:w="903" w:type="dxa"/>
            <w:shd w:val="clear" w:color="auto" w:fill="auto"/>
            <w:vAlign w:val="center"/>
            <w:hideMark/>
          </w:tcPr>
          <w:p w:rsidR="00B43D51" w:rsidRPr="000A02C9" w:rsidRDefault="00B43D51" w:rsidP="00AD75FA">
            <w:pPr>
              <w:jc w:val="center"/>
            </w:pPr>
            <w:r w:rsidRPr="000A02C9">
              <w:t>0</w:t>
            </w:r>
          </w:p>
        </w:tc>
        <w:tc>
          <w:tcPr>
            <w:tcW w:w="961" w:type="dxa"/>
            <w:shd w:val="clear" w:color="auto" w:fill="auto"/>
            <w:vAlign w:val="center"/>
            <w:hideMark/>
          </w:tcPr>
          <w:p w:rsidR="00B43D51" w:rsidRPr="000A02C9" w:rsidRDefault="00B43D51" w:rsidP="00AD75FA">
            <w:pPr>
              <w:jc w:val="center"/>
            </w:pPr>
            <w:r w:rsidRPr="000A02C9">
              <w:t>0</w:t>
            </w:r>
          </w:p>
        </w:tc>
      </w:tr>
      <w:tr w:rsidR="00AD75FA" w:rsidRPr="000A02C9" w:rsidTr="00AD75FA">
        <w:trPr>
          <w:cantSplit/>
          <w:tblCellSpacing w:w="20" w:type="dxa"/>
        </w:trPr>
        <w:tc>
          <w:tcPr>
            <w:tcW w:w="2071" w:type="dxa"/>
            <w:shd w:val="clear" w:color="auto" w:fill="auto"/>
            <w:hideMark/>
          </w:tcPr>
          <w:p w:rsidR="00B43D51" w:rsidRPr="000A02C9" w:rsidRDefault="00B43D51" w:rsidP="00AD75FA">
            <w:r w:rsidRPr="000A02C9">
              <w:t>5.1. valsts pamatbudžets</w:t>
            </w:r>
          </w:p>
        </w:tc>
        <w:tc>
          <w:tcPr>
            <w:tcW w:w="1031" w:type="dxa"/>
            <w:vMerge/>
            <w:shd w:val="clear" w:color="auto" w:fill="auto"/>
            <w:vAlign w:val="center"/>
            <w:hideMark/>
          </w:tcPr>
          <w:p w:rsidR="00B43D51" w:rsidRPr="000A02C9" w:rsidRDefault="00B43D51" w:rsidP="00AD75FA">
            <w:pPr>
              <w:jc w:val="center"/>
            </w:pPr>
          </w:p>
        </w:tc>
        <w:tc>
          <w:tcPr>
            <w:tcW w:w="1030" w:type="dxa"/>
            <w:shd w:val="clear" w:color="auto" w:fill="auto"/>
            <w:vAlign w:val="center"/>
            <w:hideMark/>
          </w:tcPr>
          <w:p w:rsidR="00B43D51" w:rsidRPr="000A02C9" w:rsidRDefault="00B43D51" w:rsidP="00AD75FA">
            <w:pPr>
              <w:jc w:val="center"/>
            </w:pPr>
            <w:r w:rsidRPr="000A02C9">
              <w:t>0</w:t>
            </w:r>
          </w:p>
        </w:tc>
        <w:tc>
          <w:tcPr>
            <w:tcW w:w="904" w:type="dxa"/>
            <w:vMerge/>
            <w:shd w:val="clear" w:color="auto" w:fill="auto"/>
            <w:vAlign w:val="center"/>
            <w:hideMark/>
          </w:tcPr>
          <w:p w:rsidR="00B43D51" w:rsidRPr="000A02C9" w:rsidRDefault="00B43D51" w:rsidP="00AD75FA">
            <w:pPr>
              <w:jc w:val="center"/>
            </w:pPr>
          </w:p>
        </w:tc>
        <w:tc>
          <w:tcPr>
            <w:tcW w:w="903" w:type="dxa"/>
            <w:shd w:val="clear" w:color="auto" w:fill="auto"/>
            <w:vAlign w:val="center"/>
            <w:hideMark/>
          </w:tcPr>
          <w:p w:rsidR="00B43D51" w:rsidRPr="000A02C9" w:rsidRDefault="00B43D51" w:rsidP="00AD75FA">
            <w:pPr>
              <w:jc w:val="center"/>
            </w:pPr>
            <w:r w:rsidRPr="000A02C9">
              <w:t>0</w:t>
            </w:r>
          </w:p>
        </w:tc>
        <w:tc>
          <w:tcPr>
            <w:tcW w:w="903" w:type="dxa"/>
            <w:vMerge/>
            <w:shd w:val="clear" w:color="auto" w:fill="auto"/>
            <w:vAlign w:val="center"/>
            <w:hideMark/>
          </w:tcPr>
          <w:p w:rsidR="00B43D51" w:rsidRPr="000A02C9" w:rsidRDefault="00B43D51" w:rsidP="00AD75FA">
            <w:pPr>
              <w:jc w:val="center"/>
            </w:pPr>
          </w:p>
        </w:tc>
        <w:tc>
          <w:tcPr>
            <w:tcW w:w="903" w:type="dxa"/>
            <w:shd w:val="clear" w:color="auto" w:fill="auto"/>
            <w:vAlign w:val="center"/>
            <w:hideMark/>
          </w:tcPr>
          <w:p w:rsidR="00B43D51" w:rsidRPr="000A02C9" w:rsidRDefault="00B43D51" w:rsidP="00AD75FA">
            <w:pPr>
              <w:jc w:val="center"/>
            </w:pPr>
            <w:r w:rsidRPr="000A02C9">
              <w:t>0</w:t>
            </w:r>
          </w:p>
        </w:tc>
        <w:tc>
          <w:tcPr>
            <w:tcW w:w="961" w:type="dxa"/>
            <w:shd w:val="clear" w:color="auto" w:fill="auto"/>
            <w:vAlign w:val="center"/>
            <w:hideMark/>
          </w:tcPr>
          <w:p w:rsidR="00B43D51" w:rsidRPr="000A02C9" w:rsidRDefault="00B43D51" w:rsidP="00AD75FA">
            <w:pPr>
              <w:jc w:val="center"/>
            </w:pPr>
            <w:r w:rsidRPr="000A02C9">
              <w:t>0</w:t>
            </w:r>
          </w:p>
        </w:tc>
      </w:tr>
      <w:tr w:rsidR="00AD75FA" w:rsidRPr="000A02C9" w:rsidTr="00AD75FA">
        <w:trPr>
          <w:cantSplit/>
          <w:tblCellSpacing w:w="20" w:type="dxa"/>
        </w:trPr>
        <w:tc>
          <w:tcPr>
            <w:tcW w:w="2071" w:type="dxa"/>
            <w:shd w:val="clear" w:color="auto" w:fill="auto"/>
            <w:hideMark/>
          </w:tcPr>
          <w:p w:rsidR="00B43D51" w:rsidRPr="000A02C9" w:rsidRDefault="00B43D51" w:rsidP="00AD75FA">
            <w:r w:rsidRPr="000A02C9">
              <w:t>5.2. speciālais budžets</w:t>
            </w:r>
          </w:p>
        </w:tc>
        <w:tc>
          <w:tcPr>
            <w:tcW w:w="1031" w:type="dxa"/>
            <w:vMerge/>
            <w:shd w:val="clear" w:color="auto" w:fill="auto"/>
            <w:vAlign w:val="center"/>
            <w:hideMark/>
          </w:tcPr>
          <w:p w:rsidR="00B43D51" w:rsidRPr="000A02C9" w:rsidRDefault="00B43D51" w:rsidP="00AD75FA">
            <w:pPr>
              <w:jc w:val="center"/>
            </w:pPr>
          </w:p>
        </w:tc>
        <w:tc>
          <w:tcPr>
            <w:tcW w:w="1030" w:type="dxa"/>
            <w:shd w:val="clear" w:color="auto" w:fill="auto"/>
            <w:vAlign w:val="center"/>
            <w:hideMark/>
          </w:tcPr>
          <w:p w:rsidR="00B43D51" w:rsidRPr="000A02C9" w:rsidRDefault="00B43D51" w:rsidP="00AD75FA">
            <w:pPr>
              <w:jc w:val="center"/>
            </w:pPr>
            <w:r w:rsidRPr="000A02C9">
              <w:t>0</w:t>
            </w:r>
          </w:p>
        </w:tc>
        <w:tc>
          <w:tcPr>
            <w:tcW w:w="904" w:type="dxa"/>
            <w:vMerge/>
            <w:shd w:val="clear" w:color="auto" w:fill="auto"/>
            <w:vAlign w:val="center"/>
            <w:hideMark/>
          </w:tcPr>
          <w:p w:rsidR="00B43D51" w:rsidRPr="000A02C9" w:rsidRDefault="00B43D51" w:rsidP="00AD75FA">
            <w:pPr>
              <w:jc w:val="center"/>
            </w:pPr>
          </w:p>
        </w:tc>
        <w:tc>
          <w:tcPr>
            <w:tcW w:w="903" w:type="dxa"/>
            <w:shd w:val="clear" w:color="auto" w:fill="auto"/>
            <w:vAlign w:val="center"/>
            <w:hideMark/>
          </w:tcPr>
          <w:p w:rsidR="00B43D51" w:rsidRPr="000A02C9" w:rsidRDefault="00B43D51" w:rsidP="00AD75FA">
            <w:pPr>
              <w:jc w:val="center"/>
            </w:pPr>
            <w:r w:rsidRPr="000A02C9">
              <w:t>0</w:t>
            </w:r>
          </w:p>
        </w:tc>
        <w:tc>
          <w:tcPr>
            <w:tcW w:w="903" w:type="dxa"/>
            <w:vMerge/>
            <w:shd w:val="clear" w:color="auto" w:fill="auto"/>
            <w:vAlign w:val="center"/>
            <w:hideMark/>
          </w:tcPr>
          <w:p w:rsidR="00B43D51" w:rsidRPr="000A02C9" w:rsidRDefault="00B43D51" w:rsidP="00AD75FA">
            <w:pPr>
              <w:jc w:val="center"/>
            </w:pPr>
          </w:p>
        </w:tc>
        <w:tc>
          <w:tcPr>
            <w:tcW w:w="903" w:type="dxa"/>
            <w:shd w:val="clear" w:color="auto" w:fill="auto"/>
            <w:vAlign w:val="center"/>
            <w:hideMark/>
          </w:tcPr>
          <w:p w:rsidR="00B43D51" w:rsidRPr="000A02C9" w:rsidRDefault="00B43D51" w:rsidP="00AD75FA">
            <w:pPr>
              <w:jc w:val="center"/>
            </w:pPr>
            <w:r w:rsidRPr="000A02C9">
              <w:t>0</w:t>
            </w:r>
          </w:p>
        </w:tc>
        <w:tc>
          <w:tcPr>
            <w:tcW w:w="961" w:type="dxa"/>
            <w:shd w:val="clear" w:color="auto" w:fill="auto"/>
            <w:vAlign w:val="center"/>
            <w:hideMark/>
          </w:tcPr>
          <w:p w:rsidR="00B43D51" w:rsidRPr="000A02C9" w:rsidRDefault="00B43D51" w:rsidP="00AD75FA">
            <w:pPr>
              <w:jc w:val="center"/>
            </w:pPr>
            <w:r w:rsidRPr="000A02C9">
              <w:t>0</w:t>
            </w:r>
          </w:p>
        </w:tc>
      </w:tr>
      <w:tr w:rsidR="00AD75FA" w:rsidRPr="000A02C9" w:rsidTr="00AD75FA">
        <w:trPr>
          <w:cantSplit/>
          <w:tblCellSpacing w:w="20" w:type="dxa"/>
        </w:trPr>
        <w:tc>
          <w:tcPr>
            <w:tcW w:w="2071" w:type="dxa"/>
            <w:shd w:val="clear" w:color="auto" w:fill="auto"/>
            <w:hideMark/>
          </w:tcPr>
          <w:p w:rsidR="00B43D51" w:rsidRPr="000A02C9" w:rsidRDefault="00B43D51" w:rsidP="00AD75FA">
            <w:r w:rsidRPr="000A02C9">
              <w:t>5.3. pašvaldību budžets</w:t>
            </w:r>
          </w:p>
        </w:tc>
        <w:tc>
          <w:tcPr>
            <w:tcW w:w="1031" w:type="dxa"/>
            <w:vMerge/>
            <w:shd w:val="clear" w:color="auto" w:fill="auto"/>
            <w:vAlign w:val="center"/>
            <w:hideMark/>
          </w:tcPr>
          <w:p w:rsidR="00B43D51" w:rsidRPr="000A02C9" w:rsidRDefault="00B43D51" w:rsidP="00AD75FA">
            <w:pPr>
              <w:jc w:val="center"/>
            </w:pPr>
          </w:p>
        </w:tc>
        <w:tc>
          <w:tcPr>
            <w:tcW w:w="1030" w:type="dxa"/>
            <w:shd w:val="clear" w:color="auto" w:fill="auto"/>
            <w:vAlign w:val="center"/>
            <w:hideMark/>
          </w:tcPr>
          <w:p w:rsidR="00B43D51" w:rsidRPr="000A02C9" w:rsidRDefault="00B43D51" w:rsidP="00AD75FA">
            <w:pPr>
              <w:jc w:val="center"/>
            </w:pPr>
            <w:r w:rsidRPr="000A02C9">
              <w:t>0</w:t>
            </w:r>
          </w:p>
        </w:tc>
        <w:tc>
          <w:tcPr>
            <w:tcW w:w="904" w:type="dxa"/>
            <w:vMerge/>
            <w:shd w:val="clear" w:color="auto" w:fill="auto"/>
            <w:vAlign w:val="center"/>
            <w:hideMark/>
          </w:tcPr>
          <w:p w:rsidR="00B43D51" w:rsidRPr="000A02C9" w:rsidRDefault="00B43D51" w:rsidP="00AD75FA">
            <w:pPr>
              <w:jc w:val="center"/>
            </w:pPr>
          </w:p>
        </w:tc>
        <w:tc>
          <w:tcPr>
            <w:tcW w:w="903" w:type="dxa"/>
            <w:shd w:val="clear" w:color="auto" w:fill="auto"/>
            <w:vAlign w:val="center"/>
            <w:hideMark/>
          </w:tcPr>
          <w:p w:rsidR="00B43D51" w:rsidRPr="000A02C9" w:rsidRDefault="00B43D51" w:rsidP="00AD75FA">
            <w:pPr>
              <w:jc w:val="center"/>
            </w:pPr>
            <w:r w:rsidRPr="000A02C9">
              <w:t>0</w:t>
            </w:r>
          </w:p>
        </w:tc>
        <w:tc>
          <w:tcPr>
            <w:tcW w:w="903" w:type="dxa"/>
            <w:vMerge/>
            <w:shd w:val="clear" w:color="auto" w:fill="auto"/>
            <w:vAlign w:val="center"/>
            <w:hideMark/>
          </w:tcPr>
          <w:p w:rsidR="00B43D51" w:rsidRPr="000A02C9" w:rsidRDefault="00B43D51" w:rsidP="00AD75FA">
            <w:pPr>
              <w:jc w:val="center"/>
            </w:pPr>
          </w:p>
        </w:tc>
        <w:tc>
          <w:tcPr>
            <w:tcW w:w="903" w:type="dxa"/>
            <w:shd w:val="clear" w:color="auto" w:fill="auto"/>
            <w:vAlign w:val="center"/>
            <w:hideMark/>
          </w:tcPr>
          <w:p w:rsidR="00B43D51" w:rsidRPr="000A02C9" w:rsidRDefault="00B43D51" w:rsidP="00AD75FA">
            <w:pPr>
              <w:jc w:val="center"/>
            </w:pPr>
            <w:r w:rsidRPr="000A02C9">
              <w:t>0</w:t>
            </w:r>
          </w:p>
        </w:tc>
        <w:tc>
          <w:tcPr>
            <w:tcW w:w="961" w:type="dxa"/>
            <w:shd w:val="clear" w:color="auto" w:fill="auto"/>
            <w:vAlign w:val="center"/>
            <w:hideMark/>
          </w:tcPr>
          <w:p w:rsidR="00B43D51" w:rsidRPr="000A02C9" w:rsidRDefault="00B43D51" w:rsidP="00AD75FA">
            <w:pPr>
              <w:jc w:val="center"/>
            </w:pPr>
            <w:r w:rsidRPr="000A02C9">
              <w:t>0</w:t>
            </w:r>
          </w:p>
        </w:tc>
      </w:tr>
      <w:tr w:rsidR="00B43D51" w:rsidRPr="000A02C9" w:rsidTr="00AD75FA">
        <w:trPr>
          <w:cantSplit/>
          <w:tblCellSpacing w:w="20" w:type="dxa"/>
        </w:trPr>
        <w:tc>
          <w:tcPr>
            <w:tcW w:w="2071" w:type="dxa"/>
            <w:shd w:val="clear" w:color="auto" w:fill="auto"/>
            <w:hideMark/>
          </w:tcPr>
          <w:p w:rsidR="00B43D51" w:rsidRPr="000A02C9" w:rsidRDefault="00B43D51" w:rsidP="00AD75FA">
            <w:r w:rsidRPr="000A02C9">
              <w:t>6. Detalizēts ieņēmumu un izdevumu aprēķins (ja nepieciešams, detalizētu ieņēmumu un izdevumu aprēķinu var pievienot anotācijas pielikumā)</w:t>
            </w:r>
          </w:p>
        </w:tc>
        <w:tc>
          <w:tcPr>
            <w:tcW w:w="6875" w:type="dxa"/>
            <w:gridSpan w:val="7"/>
            <w:vMerge w:val="restart"/>
            <w:shd w:val="clear" w:color="auto" w:fill="auto"/>
            <w:hideMark/>
          </w:tcPr>
          <w:p w:rsidR="00B43D51" w:rsidRPr="000A02C9" w:rsidRDefault="00B43D51" w:rsidP="00AD75FA">
            <w:pPr>
              <w:jc w:val="both"/>
            </w:pPr>
          </w:p>
        </w:tc>
      </w:tr>
      <w:tr w:rsidR="00B43D51" w:rsidRPr="000A02C9" w:rsidTr="00AD75FA">
        <w:trPr>
          <w:cantSplit/>
          <w:tblCellSpacing w:w="20" w:type="dxa"/>
        </w:trPr>
        <w:tc>
          <w:tcPr>
            <w:tcW w:w="2071" w:type="dxa"/>
            <w:shd w:val="clear" w:color="auto" w:fill="auto"/>
            <w:hideMark/>
          </w:tcPr>
          <w:p w:rsidR="00B43D51" w:rsidRPr="000A02C9" w:rsidRDefault="00B43D51" w:rsidP="00AD75FA">
            <w:r w:rsidRPr="000A02C9">
              <w:t>6.1. detalizēts ieņēmumu aprēķins</w:t>
            </w:r>
          </w:p>
        </w:tc>
        <w:tc>
          <w:tcPr>
            <w:tcW w:w="6875" w:type="dxa"/>
            <w:gridSpan w:val="7"/>
            <w:vMerge/>
            <w:shd w:val="clear" w:color="auto" w:fill="auto"/>
            <w:vAlign w:val="center"/>
            <w:hideMark/>
          </w:tcPr>
          <w:p w:rsidR="00B43D51" w:rsidRPr="000A02C9" w:rsidRDefault="00B43D51" w:rsidP="00AD75FA">
            <w:pPr>
              <w:jc w:val="center"/>
            </w:pPr>
          </w:p>
        </w:tc>
      </w:tr>
      <w:tr w:rsidR="00B43D51" w:rsidRPr="000A02C9" w:rsidTr="00AD75FA">
        <w:trPr>
          <w:cantSplit/>
          <w:tblCellSpacing w:w="20" w:type="dxa"/>
        </w:trPr>
        <w:tc>
          <w:tcPr>
            <w:tcW w:w="2071" w:type="dxa"/>
            <w:shd w:val="clear" w:color="auto" w:fill="auto"/>
            <w:hideMark/>
          </w:tcPr>
          <w:p w:rsidR="00B43D51" w:rsidRPr="000A02C9" w:rsidRDefault="00B43D51" w:rsidP="00AD75FA">
            <w:r w:rsidRPr="000A02C9">
              <w:t>6.2. detalizēts izdevumu aprēķins</w:t>
            </w:r>
          </w:p>
        </w:tc>
        <w:tc>
          <w:tcPr>
            <w:tcW w:w="6875" w:type="dxa"/>
            <w:gridSpan w:val="7"/>
            <w:vMerge/>
            <w:shd w:val="clear" w:color="auto" w:fill="auto"/>
            <w:vAlign w:val="center"/>
            <w:hideMark/>
          </w:tcPr>
          <w:p w:rsidR="00B43D51" w:rsidRPr="000A02C9" w:rsidRDefault="00B43D51" w:rsidP="00AD75FA">
            <w:pPr>
              <w:jc w:val="center"/>
            </w:pPr>
          </w:p>
        </w:tc>
      </w:tr>
      <w:tr w:rsidR="00B43D51" w:rsidRPr="000A02C9" w:rsidTr="00AD75FA">
        <w:trPr>
          <w:cantSplit/>
          <w:tblCellSpacing w:w="20" w:type="dxa"/>
        </w:trPr>
        <w:tc>
          <w:tcPr>
            <w:tcW w:w="2071" w:type="dxa"/>
            <w:shd w:val="clear" w:color="auto" w:fill="auto"/>
            <w:hideMark/>
          </w:tcPr>
          <w:p w:rsidR="00B43D51" w:rsidRPr="000A02C9" w:rsidRDefault="00B43D51" w:rsidP="00AD75FA">
            <w:r w:rsidRPr="000A02C9">
              <w:t>7. Amata vietu skaita izmaiņas</w:t>
            </w:r>
          </w:p>
        </w:tc>
        <w:tc>
          <w:tcPr>
            <w:tcW w:w="6875" w:type="dxa"/>
            <w:gridSpan w:val="7"/>
            <w:shd w:val="clear" w:color="auto" w:fill="auto"/>
            <w:hideMark/>
          </w:tcPr>
          <w:p w:rsidR="00B43D51" w:rsidRPr="000A02C9" w:rsidRDefault="00B43D51" w:rsidP="00AD75FA">
            <w:r w:rsidRPr="000A02C9">
              <w:t>Amata vietu skaita izmaiņas nav.</w:t>
            </w:r>
          </w:p>
        </w:tc>
      </w:tr>
      <w:tr w:rsidR="00B43D51" w:rsidRPr="000A02C9" w:rsidTr="00AD75FA">
        <w:trPr>
          <w:cantSplit/>
          <w:tblCellSpacing w:w="20" w:type="dxa"/>
        </w:trPr>
        <w:tc>
          <w:tcPr>
            <w:tcW w:w="2071" w:type="dxa"/>
            <w:shd w:val="clear" w:color="auto" w:fill="auto"/>
            <w:hideMark/>
          </w:tcPr>
          <w:p w:rsidR="00B43D51" w:rsidRPr="000A02C9" w:rsidRDefault="00B43D51" w:rsidP="00AD75FA">
            <w:r w:rsidRPr="000A02C9">
              <w:t>8. Cita informācija</w:t>
            </w:r>
          </w:p>
        </w:tc>
        <w:tc>
          <w:tcPr>
            <w:tcW w:w="6875" w:type="dxa"/>
            <w:gridSpan w:val="7"/>
            <w:shd w:val="clear" w:color="auto" w:fill="auto"/>
            <w:hideMark/>
          </w:tcPr>
          <w:p w:rsidR="00B43D51" w:rsidRPr="000A02C9" w:rsidRDefault="00B43D51" w:rsidP="004F28B9">
            <w:pPr>
              <w:jc w:val="both"/>
            </w:pPr>
            <w:r w:rsidRPr="000A02C9">
              <w:t>Otrā pasaules kara dalībnieka piemiņas krūšu nozīmju izgatavošanai piešķirti līdzekļi</w:t>
            </w:r>
            <w:r w:rsidR="004F28B9" w:rsidRPr="000A02C9">
              <w:t xml:space="preserve"> 50 812 </w:t>
            </w:r>
            <w:proofErr w:type="spellStart"/>
            <w:r w:rsidR="004F28B9" w:rsidRPr="000A02C9">
              <w:rPr>
                <w:i/>
              </w:rPr>
              <w:t>euro</w:t>
            </w:r>
            <w:proofErr w:type="spellEnd"/>
            <w:r w:rsidR="004F28B9" w:rsidRPr="000A02C9">
              <w:t xml:space="preserve"> apmērā</w:t>
            </w:r>
            <w:r w:rsidRPr="000A02C9">
              <w:t xml:space="preserve"> no valsts budžeta programmas 02.00.00 “Līdzekļi neparedzētiem gadījumiem” (</w:t>
            </w:r>
            <w:r w:rsidR="004F28B9" w:rsidRPr="000A02C9">
              <w:t xml:space="preserve">detalizēts aprēķins norādīts – </w:t>
            </w:r>
            <w:r w:rsidRPr="000A02C9">
              <w:t xml:space="preserve">Ministru kabineta </w:t>
            </w:r>
            <w:proofErr w:type="gramStart"/>
            <w:r w:rsidRPr="000A02C9">
              <w:t>2018.gada</w:t>
            </w:r>
            <w:proofErr w:type="gramEnd"/>
            <w:r w:rsidRPr="000A02C9">
              <w:t xml:space="preserve"> 30.janvāra rīkojum</w:t>
            </w:r>
            <w:r w:rsidR="004F28B9" w:rsidRPr="000A02C9">
              <w:t>a</w:t>
            </w:r>
            <w:r w:rsidRPr="000A02C9">
              <w:t xml:space="preserve"> Nr.33 “Par finanšu līdzekļu piešķiršanu no valsts budžeta programmas “Līdzekļi neparedzētiem gadījumiem””</w:t>
            </w:r>
            <w:r w:rsidR="004F28B9" w:rsidRPr="000A02C9">
              <w:t xml:space="preserve"> sākotnējās ietekmes novērtējumā (anotācijā)</w:t>
            </w:r>
            <w:r w:rsidRPr="000A02C9">
              <w:t>).</w:t>
            </w:r>
          </w:p>
        </w:tc>
      </w:tr>
    </w:tbl>
    <w:p w:rsidR="00AD37B6" w:rsidRPr="000A02C9" w:rsidRDefault="00AD37B6"/>
    <w:p w:rsidR="00AD37B6" w:rsidRPr="000A02C9" w:rsidRDefault="00AD37B6"/>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91"/>
      </w:tblGrid>
      <w:tr w:rsidR="00AD37B6" w:rsidRPr="000A02C9" w:rsidTr="00AD37B6">
        <w:trPr>
          <w:cantSplit/>
        </w:trPr>
        <w:tc>
          <w:tcPr>
            <w:tcW w:w="9065" w:type="dxa"/>
            <w:vAlign w:val="center"/>
            <w:hideMark/>
          </w:tcPr>
          <w:p w:rsidR="00AD37B6" w:rsidRPr="000A02C9" w:rsidRDefault="00AD37B6" w:rsidP="003B2AF3">
            <w:pPr>
              <w:jc w:val="center"/>
              <w:rPr>
                <w:b/>
                <w:bCs/>
              </w:rPr>
            </w:pPr>
            <w:r w:rsidRPr="000A02C9">
              <w:rPr>
                <w:b/>
                <w:bCs/>
              </w:rPr>
              <w:t>IV. Tiesību akta projekta ietekme uz spēkā esošo tiesību normu sistēmu</w:t>
            </w:r>
          </w:p>
        </w:tc>
      </w:tr>
      <w:tr w:rsidR="005C6979" w:rsidRPr="000A02C9" w:rsidTr="005C6979">
        <w:trPr>
          <w:cantSplit/>
          <w:trHeight w:val="288"/>
        </w:trPr>
        <w:tc>
          <w:tcPr>
            <w:tcW w:w="9065" w:type="dxa"/>
          </w:tcPr>
          <w:p w:rsidR="005C6979" w:rsidRPr="000A02C9" w:rsidRDefault="005C6979" w:rsidP="005C6979">
            <w:pPr>
              <w:jc w:val="center"/>
            </w:pPr>
            <w:r w:rsidRPr="000A02C9">
              <w:t>Projekts šo jomu neskar.</w:t>
            </w:r>
          </w:p>
        </w:tc>
      </w:tr>
    </w:tbl>
    <w:p w:rsidR="00AD37B6" w:rsidRPr="000A02C9" w:rsidRDefault="00AD37B6" w:rsidP="00AD37B6">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87"/>
      </w:tblGrid>
      <w:tr w:rsidR="00AD37B6" w:rsidRPr="000A02C9" w:rsidTr="003B2AF3">
        <w:trPr>
          <w:cantSplit/>
        </w:trPr>
        <w:tc>
          <w:tcPr>
            <w:tcW w:w="5000" w:type="pct"/>
            <w:vAlign w:val="center"/>
            <w:hideMark/>
          </w:tcPr>
          <w:p w:rsidR="00AD37B6" w:rsidRPr="000A02C9" w:rsidRDefault="00AD37B6" w:rsidP="003B2AF3">
            <w:pPr>
              <w:jc w:val="center"/>
              <w:rPr>
                <w:b/>
                <w:bCs/>
              </w:rPr>
            </w:pPr>
            <w:r w:rsidRPr="000A02C9">
              <w:rPr>
                <w:b/>
                <w:bCs/>
              </w:rPr>
              <w:t>V. Tiesību akta projekta atbilstība Latvijas Republikas starptautiskajām saistībām</w:t>
            </w:r>
          </w:p>
        </w:tc>
      </w:tr>
      <w:tr w:rsidR="005C6979" w:rsidRPr="000A02C9" w:rsidTr="005C6979">
        <w:trPr>
          <w:cantSplit/>
          <w:trHeight w:val="162"/>
        </w:trPr>
        <w:tc>
          <w:tcPr>
            <w:tcW w:w="5000" w:type="pct"/>
          </w:tcPr>
          <w:p w:rsidR="005C6979" w:rsidRPr="000A02C9" w:rsidRDefault="005C6979" w:rsidP="005C6979">
            <w:pPr>
              <w:jc w:val="center"/>
            </w:pPr>
            <w:r w:rsidRPr="000A02C9">
              <w:t>Projekts šo jomu neskar.</w:t>
            </w:r>
          </w:p>
        </w:tc>
      </w:tr>
    </w:tbl>
    <w:p w:rsidR="00AD37B6" w:rsidRPr="000A02C9" w:rsidRDefault="00AD37B6" w:rsidP="00AD37B6">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26"/>
        <w:gridCol w:w="2495"/>
        <w:gridCol w:w="6466"/>
      </w:tblGrid>
      <w:tr w:rsidR="00AD37B6" w:rsidRPr="000A02C9" w:rsidTr="003B2AF3">
        <w:trPr>
          <w:cantSplit/>
        </w:trPr>
        <w:tc>
          <w:tcPr>
            <w:tcW w:w="5000" w:type="pct"/>
            <w:gridSpan w:val="3"/>
            <w:vAlign w:val="center"/>
            <w:hideMark/>
          </w:tcPr>
          <w:p w:rsidR="00AD37B6" w:rsidRPr="000A02C9" w:rsidRDefault="00AD37B6" w:rsidP="003B2AF3">
            <w:pPr>
              <w:jc w:val="center"/>
              <w:rPr>
                <w:b/>
                <w:bCs/>
              </w:rPr>
            </w:pPr>
            <w:r w:rsidRPr="000A02C9">
              <w:rPr>
                <w:b/>
                <w:bCs/>
              </w:rPr>
              <w:t>VI. Sabiedrības līdzdalība un komunikācijas aktivitātes</w:t>
            </w:r>
          </w:p>
        </w:tc>
      </w:tr>
      <w:tr w:rsidR="00AD37B6" w:rsidRPr="000A02C9" w:rsidTr="003B2AF3">
        <w:trPr>
          <w:cantSplit/>
        </w:trPr>
        <w:tc>
          <w:tcPr>
            <w:tcW w:w="311" w:type="pct"/>
            <w:hideMark/>
          </w:tcPr>
          <w:p w:rsidR="00AD37B6" w:rsidRPr="000A02C9" w:rsidRDefault="00AD37B6" w:rsidP="003B2AF3">
            <w:pPr>
              <w:jc w:val="center"/>
            </w:pPr>
            <w:r w:rsidRPr="000A02C9">
              <w:t>1.</w:t>
            </w:r>
          </w:p>
        </w:tc>
        <w:tc>
          <w:tcPr>
            <w:tcW w:w="1479" w:type="pct"/>
            <w:hideMark/>
          </w:tcPr>
          <w:p w:rsidR="00AD37B6" w:rsidRPr="000A02C9" w:rsidRDefault="00AD37B6" w:rsidP="003B2AF3">
            <w:r w:rsidRPr="000A02C9">
              <w:t>Plānotās sabiedrības līdzdalības un komunikācijas aktivitātes saistībā ar projektu</w:t>
            </w:r>
          </w:p>
        </w:tc>
        <w:tc>
          <w:tcPr>
            <w:tcW w:w="3210" w:type="pct"/>
            <w:hideMark/>
          </w:tcPr>
          <w:p w:rsidR="00AD37B6" w:rsidRPr="000A02C9" w:rsidRDefault="001231CD" w:rsidP="001231CD">
            <w:pPr>
              <w:jc w:val="both"/>
            </w:pPr>
            <w:r w:rsidRPr="000A02C9">
              <w:rPr>
                <w:color w:val="000000" w:themeColor="text1"/>
              </w:rPr>
              <w:t>Par projektu informēta sabiedrība, informāciju publicējot Iekšlietu ministrijas, Pilsonības un migrācijas lietu pārvaldes, Ministru kabineta tīmekļvietnēs.</w:t>
            </w:r>
          </w:p>
        </w:tc>
      </w:tr>
      <w:tr w:rsidR="00AD37B6" w:rsidRPr="000A02C9" w:rsidTr="003B2AF3">
        <w:trPr>
          <w:cantSplit/>
        </w:trPr>
        <w:tc>
          <w:tcPr>
            <w:tcW w:w="311" w:type="pct"/>
            <w:hideMark/>
          </w:tcPr>
          <w:p w:rsidR="00AD37B6" w:rsidRPr="000A02C9" w:rsidRDefault="00AD37B6" w:rsidP="003B2AF3">
            <w:pPr>
              <w:jc w:val="center"/>
            </w:pPr>
            <w:r w:rsidRPr="000A02C9">
              <w:lastRenderedPageBreak/>
              <w:t>2.</w:t>
            </w:r>
          </w:p>
        </w:tc>
        <w:tc>
          <w:tcPr>
            <w:tcW w:w="1479" w:type="pct"/>
            <w:hideMark/>
          </w:tcPr>
          <w:p w:rsidR="00AD37B6" w:rsidRPr="000A02C9" w:rsidRDefault="00AD37B6" w:rsidP="003B2AF3">
            <w:r w:rsidRPr="000A02C9">
              <w:t>Sabiedrības līdzdalība projekta izstrādē</w:t>
            </w:r>
          </w:p>
        </w:tc>
        <w:tc>
          <w:tcPr>
            <w:tcW w:w="3210" w:type="pct"/>
            <w:hideMark/>
          </w:tcPr>
          <w:p w:rsidR="00DE0647" w:rsidRPr="000A02C9" w:rsidRDefault="001231CD" w:rsidP="00DE0647">
            <w:pPr>
              <w:jc w:val="both"/>
              <w:rPr>
                <w:rFonts w:eastAsia="Calibri"/>
              </w:rPr>
            </w:pPr>
            <w:r w:rsidRPr="000A02C9">
              <w:rPr>
                <w:rFonts w:eastAsia="Calibri"/>
              </w:rPr>
              <w:t xml:space="preserve">Projekts </w:t>
            </w:r>
            <w:proofErr w:type="gramStart"/>
            <w:r w:rsidRPr="000A02C9">
              <w:rPr>
                <w:rFonts w:eastAsia="Calibri"/>
              </w:rPr>
              <w:t>2018.gada</w:t>
            </w:r>
            <w:proofErr w:type="gramEnd"/>
            <w:r w:rsidR="00DE0647" w:rsidRPr="000A02C9">
              <w:rPr>
                <w:rFonts w:eastAsia="Calibri"/>
              </w:rPr>
              <w:t xml:space="preserve"> </w:t>
            </w:r>
            <w:r w:rsidR="00A226F2" w:rsidRPr="000A02C9">
              <w:rPr>
                <w:rFonts w:eastAsia="Calibri"/>
              </w:rPr>
              <w:t xml:space="preserve">26.martā </w:t>
            </w:r>
            <w:r w:rsidR="00DE0647" w:rsidRPr="000A02C9">
              <w:rPr>
                <w:rFonts w:eastAsia="Calibri"/>
              </w:rPr>
              <w:t>publicēts:</w:t>
            </w:r>
          </w:p>
          <w:p w:rsidR="00DE0647" w:rsidRPr="000A02C9" w:rsidRDefault="00DE0647" w:rsidP="00DE0647">
            <w:pPr>
              <w:jc w:val="both"/>
              <w:rPr>
                <w:rFonts w:eastAsia="Calibri"/>
              </w:rPr>
            </w:pPr>
            <w:r w:rsidRPr="000A02C9">
              <w:rPr>
                <w:rFonts w:eastAsia="Calibri"/>
              </w:rPr>
              <w:t xml:space="preserve">1) Pilsonības un migrācijas lietu pārvalde tīmekļvietnē, adrese: </w:t>
            </w:r>
            <w:hyperlink r:id="rId7" w:history="1">
              <w:r w:rsidRPr="000A02C9">
                <w:rPr>
                  <w:rStyle w:val="Hyperlink"/>
                  <w:rFonts w:eastAsia="Calibri"/>
                  <w:u w:val="none"/>
                </w:rPr>
                <w:t>http://www.pmlp.gov.lv/lv/sakums/tiesibu-akti/tiesibu-aktu-projekti/</w:t>
              </w:r>
            </w:hyperlink>
          </w:p>
          <w:p w:rsidR="00DE0647" w:rsidRPr="000A02C9" w:rsidRDefault="00DE0647" w:rsidP="00DE0647">
            <w:pPr>
              <w:jc w:val="both"/>
              <w:rPr>
                <w:rFonts w:eastAsia="Calibri"/>
              </w:rPr>
            </w:pPr>
            <w:r w:rsidRPr="000A02C9">
              <w:rPr>
                <w:rFonts w:eastAsia="Calibri"/>
              </w:rPr>
              <w:t xml:space="preserve">2) Iekšlietu ministrijas tīmekļvietnē, adrese: </w:t>
            </w:r>
            <w:hyperlink r:id="rId8" w:history="1">
              <w:r w:rsidRPr="000A02C9">
                <w:rPr>
                  <w:rStyle w:val="Hyperlink"/>
                  <w:rFonts w:eastAsia="Calibri"/>
                  <w:u w:val="none"/>
                </w:rPr>
                <w:t>http://www.iem.gov.lv/lat/sadarbiba_ar_nvo/diskusiju_dokumenti/</w:t>
              </w:r>
            </w:hyperlink>
          </w:p>
          <w:p w:rsidR="00DE0647" w:rsidRPr="000A02C9" w:rsidRDefault="00DE0647" w:rsidP="00DE0647">
            <w:pPr>
              <w:jc w:val="both"/>
              <w:rPr>
                <w:rFonts w:eastAsia="Calibri"/>
              </w:rPr>
            </w:pPr>
            <w:r w:rsidRPr="000A02C9">
              <w:rPr>
                <w:rFonts w:eastAsia="Calibri"/>
              </w:rPr>
              <w:t xml:space="preserve">3) Ministru kabineta tīmekļvietnē, adrese: </w:t>
            </w:r>
            <w:hyperlink r:id="rId9" w:history="1">
              <w:r w:rsidR="00F31540" w:rsidRPr="000A02C9">
                <w:rPr>
                  <w:rStyle w:val="Hyperlink"/>
                  <w:rFonts w:eastAsia="Calibri"/>
                  <w:u w:val="none"/>
                </w:rPr>
                <w:t>http://www.mk.gov.lv/content/ministru-kabineta-diskusiju-dokumenti</w:t>
              </w:r>
            </w:hyperlink>
          </w:p>
          <w:p w:rsidR="00AD37B6" w:rsidRPr="000A02C9" w:rsidRDefault="001231CD" w:rsidP="00A226F2">
            <w:pPr>
              <w:jc w:val="both"/>
            </w:pPr>
            <w:r w:rsidRPr="000A02C9">
              <w:rPr>
                <w:rFonts w:eastAsia="Calibri"/>
                <w:color w:val="000000" w:themeColor="text1"/>
              </w:rPr>
              <w:t xml:space="preserve">Sabiedrības </w:t>
            </w:r>
            <w:r w:rsidRPr="000A02C9">
              <w:rPr>
                <w:rFonts w:eastAsia="Calibri"/>
              </w:rPr>
              <w:t>pārstāvjiem tika dota iespēja līdzdarboties projekta izstrādē, rakstveidā sniedzot viedokli par projektu</w:t>
            </w:r>
            <w:r w:rsidR="00F31540" w:rsidRPr="000A02C9">
              <w:rPr>
                <w:rFonts w:eastAsia="Calibri"/>
              </w:rPr>
              <w:t xml:space="preserve"> līdz </w:t>
            </w:r>
            <w:proofErr w:type="gramStart"/>
            <w:r w:rsidR="00F31540" w:rsidRPr="000A02C9">
              <w:rPr>
                <w:rFonts w:eastAsia="Calibri"/>
              </w:rPr>
              <w:t>2018.gada</w:t>
            </w:r>
            <w:proofErr w:type="gramEnd"/>
            <w:r w:rsidR="00F31540" w:rsidRPr="000A02C9">
              <w:rPr>
                <w:rFonts w:eastAsia="Calibri"/>
              </w:rPr>
              <w:t xml:space="preserve"> </w:t>
            </w:r>
            <w:r w:rsidR="00A226F2" w:rsidRPr="000A02C9">
              <w:rPr>
                <w:rFonts w:eastAsia="Calibri"/>
              </w:rPr>
              <w:t>9.aprīlim</w:t>
            </w:r>
            <w:r w:rsidRPr="000A02C9">
              <w:rPr>
                <w:color w:val="000000"/>
              </w:rPr>
              <w:t>.</w:t>
            </w:r>
          </w:p>
        </w:tc>
      </w:tr>
      <w:tr w:rsidR="00AD37B6" w:rsidRPr="000A02C9" w:rsidTr="003B2AF3">
        <w:trPr>
          <w:cantSplit/>
        </w:trPr>
        <w:tc>
          <w:tcPr>
            <w:tcW w:w="311" w:type="pct"/>
            <w:hideMark/>
          </w:tcPr>
          <w:p w:rsidR="00AD37B6" w:rsidRPr="000A02C9" w:rsidRDefault="00AD37B6" w:rsidP="003B2AF3">
            <w:pPr>
              <w:jc w:val="center"/>
            </w:pPr>
            <w:r w:rsidRPr="000A02C9">
              <w:t>3.</w:t>
            </w:r>
          </w:p>
        </w:tc>
        <w:tc>
          <w:tcPr>
            <w:tcW w:w="1479" w:type="pct"/>
            <w:hideMark/>
          </w:tcPr>
          <w:p w:rsidR="00AD37B6" w:rsidRPr="000A02C9" w:rsidRDefault="00AD37B6" w:rsidP="003B2AF3">
            <w:r w:rsidRPr="000A02C9">
              <w:t>Sabiedrības līdzdalības rezultāti</w:t>
            </w:r>
          </w:p>
        </w:tc>
        <w:tc>
          <w:tcPr>
            <w:tcW w:w="3210" w:type="pct"/>
            <w:hideMark/>
          </w:tcPr>
          <w:p w:rsidR="00AD37B6" w:rsidRPr="000A02C9" w:rsidRDefault="001231CD" w:rsidP="003B2AF3">
            <w:pPr>
              <w:rPr>
                <w:color w:val="000000"/>
              </w:rPr>
            </w:pPr>
            <w:r w:rsidRPr="000A02C9">
              <w:rPr>
                <w:color w:val="000000"/>
              </w:rPr>
              <w:t>Komentāri par projektu nav saņemti.</w:t>
            </w:r>
          </w:p>
          <w:p w:rsidR="0017652B" w:rsidRPr="000A02C9" w:rsidRDefault="0017652B" w:rsidP="0017652B">
            <w:pPr>
              <w:jc w:val="both"/>
            </w:pPr>
            <w:r w:rsidRPr="000A02C9">
              <w:rPr>
                <w:color w:val="000000"/>
              </w:rPr>
              <w:t xml:space="preserve">Darba grupā, kas skatīja iespējamo piemiņas krūšu nozīmju māksliniecisko un tehnisko noformējumu, piedalījās pārstāvji no </w:t>
            </w:r>
            <w:r w:rsidRPr="000A02C9">
              <w:t>Latvijas nacionālo karavīru biedrības un Latviešu Strēlnieku apvienības. Pārstāvji pauda atbalstu izvēlētajam piemiņas krūšu nozīmes dizainam.</w:t>
            </w:r>
          </w:p>
        </w:tc>
      </w:tr>
      <w:tr w:rsidR="00AD37B6" w:rsidRPr="000A02C9" w:rsidTr="003B2AF3">
        <w:trPr>
          <w:cantSplit/>
        </w:trPr>
        <w:tc>
          <w:tcPr>
            <w:tcW w:w="311" w:type="pct"/>
            <w:hideMark/>
          </w:tcPr>
          <w:p w:rsidR="00AD37B6" w:rsidRPr="000A02C9" w:rsidRDefault="00AD37B6" w:rsidP="003B2AF3">
            <w:pPr>
              <w:jc w:val="center"/>
            </w:pPr>
            <w:r w:rsidRPr="000A02C9">
              <w:t>4.</w:t>
            </w:r>
          </w:p>
        </w:tc>
        <w:tc>
          <w:tcPr>
            <w:tcW w:w="1479" w:type="pct"/>
            <w:hideMark/>
          </w:tcPr>
          <w:p w:rsidR="00AD37B6" w:rsidRPr="000A02C9" w:rsidRDefault="00AD37B6" w:rsidP="003B2AF3">
            <w:r w:rsidRPr="000A02C9">
              <w:t>Cita informācija</w:t>
            </w:r>
          </w:p>
        </w:tc>
        <w:tc>
          <w:tcPr>
            <w:tcW w:w="3210" w:type="pct"/>
            <w:hideMark/>
          </w:tcPr>
          <w:p w:rsidR="00AD37B6" w:rsidRPr="000A02C9" w:rsidRDefault="005C6979" w:rsidP="003B2AF3">
            <w:r w:rsidRPr="000A02C9">
              <w:t>Nav.</w:t>
            </w:r>
          </w:p>
        </w:tc>
      </w:tr>
    </w:tbl>
    <w:p w:rsidR="00AD37B6" w:rsidRPr="000A02C9" w:rsidRDefault="00AD37B6" w:rsidP="00AD37B6">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8"/>
        <w:gridCol w:w="2747"/>
        <w:gridCol w:w="5962"/>
      </w:tblGrid>
      <w:tr w:rsidR="00AD37B6" w:rsidRPr="000A02C9" w:rsidTr="003B2AF3">
        <w:trPr>
          <w:cantSplit/>
        </w:trPr>
        <w:tc>
          <w:tcPr>
            <w:tcW w:w="5000" w:type="pct"/>
            <w:gridSpan w:val="3"/>
            <w:vAlign w:val="center"/>
            <w:hideMark/>
          </w:tcPr>
          <w:p w:rsidR="00AD37B6" w:rsidRPr="000A02C9" w:rsidRDefault="00AD37B6" w:rsidP="003B2AF3">
            <w:pPr>
              <w:jc w:val="center"/>
              <w:rPr>
                <w:b/>
                <w:bCs/>
              </w:rPr>
            </w:pPr>
            <w:r w:rsidRPr="000A02C9">
              <w:rPr>
                <w:b/>
                <w:bCs/>
              </w:rPr>
              <w:t>VII. Tiesību akta projekta izpildes nodrošināšana un tās ietekme uz institūcijām</w:t>
            </w:r>
          </w:p>
        </w:tc>
      </w:tr>
      <w:tr w:rsidR="00AD37B6" w:rsidRPr="000A02C9" w:rsidTr="003B2AF3">
        <w:trPr>
          <w:cantSplit/>
        </w:trPr>
        <w:tc>
          <w:tcPr>
            <w:tcW w:w="311" w:type="pct"/>
            <w:hideMark/>
          </w:tcPr>
          <w:p w:rsidR="00AD37B6" w:rsidRPr="000A02C9" w:rsidRDefault="00AD37B6" w:rsidP="003B2AF3">
            <w:pPr>
              <w:jc w:val="center"/>
            </w:pPr>
            <w:r w:rsidRPr="000A02C9">
              <w:t>1.</w:t>
            </w:r>
          </w:p>
        </w:tc>
        <w:tc>
          <w:tcPr>
            <w:tcW w:w="1479" w:type="pct"/>
            <w:hideMark/>
          </w:tcPr>
          <w:p w:rsidR="00AD37B6" w:rsidRPr="000A02C9" w:rsidRDefault="00AD37B6" w:rsidP="003B2AF3">
            <w:r w:rsidRPr="000A02C9">
              <w:t>Projekta izpildē iesaistītās institūcijas</w:t>
            </w:r>
          </w:p>
        </w:tc>
        <w:tc>
          <w:tcPr>
            <w:tcW w:w="3210" w:type="pct"/>
            <w:hideMark/>
          </w:tcPr>
          <w:p w:rsidR="00AD37B6" w:rsidRPr="000A02C9" w:rsidRDefault="00AD37B6" w:rsidP="003B2AF3">
            <w:r w:rsidRPr="000A02C9">
              <w:t>Pilsonības un migrācijas lietu pārvalde.</w:t>
            </w:r>
          </w:p>
        </w:tc>
      </w:tr>
      <w:tr w:rsidR="00AD37B6" w:rsidRPr="000A02C9" w:rsidTr="003B2AF3">
        <w:trPr>
          <w:cantSplit/>
        </w:trPr>
        <w:tc>
          <w:tcPr>
            <w:tcW w:w="311" w:type="pct"/>
            <w:hideMark/>
          </w:tcPr>
          <w:p w:rsidR="00AD37B6" w:rsidRPr="000A02C9" w:rsidRDefault="00AD37B6" w:rsidP="003B2AF3">
            <w:pPr>
              <w:jc w:val="center"/>
            </w:pPr>
            <w:r w:rsidRPr="000A02C9">
              <w:t>2.</w:t>
            </w:r>
          </w:p>
        </w:tc>
        <w:tc>
          <w:tcPr>
            <w:tcW w:w="1479" w:type="pct"/>
            <w:hideMark/>
          </w:tcPr>
          <w:p w:rsidR="00AD37B6" w:rsidRPr="000A02C9" w:rsidRDefault="00AD37B6" w:rsidP="003B2AF3">
            <w:r w:rsidRPr="000A02C9">
              <w:t>Projekta izpildes ietekme uz pārvaldes funkcijām un institucionālo struktūru.</w:t>
            </w:r>
            <w:r w:rsidRPr="000A02C9">
              <w:br/>
              <w:t>Jaunu institūciju izveide, esošu institūciju likvidācija vai reorganizācija, to ietekme uz institūcijas cilvēkresursiem</w:t>
            </w:r>
          </w:p>
        </w:tc>
        <w:tc>
          <w:tcPr>
            <w:tcW w:w="3210" w:type="pct"/>
            <w:hideMark/>
          </w:tcPr>
          <w:p w:rsidR="0064006A" w:rsidRPr="000A02C9" w:rsidRDefault="0064006A" w:rsidP="005C6979">
            <w:pPr>
              <w:jc w:val="both"/>
            </w:pPr>
            <w:r w:rsidRPr="000A02C9">
              <w:t>Pilsonības un migrācijas lietu pārvaldes funkcijas paplašināsies,</w:t>
            </w:r>
          </w:p>
          <w:p w:rsidR="00AD37B6" w:rsidRPr="000A02C9" w:rsidRDefault="005C6979" w:rsidP="005C6979">
            <w:pPr>
              <w:jc w:val="both"/>
            </w:pPr>
            <w:r w:rsidRPr="000A02C9">
              <w:t>Projekta izpildes rezultātā nav paredzēta esošu institūciju likvidācija vai reorganizācija. Iestāžu institucionālā struktūra netiek ietekmēta, papildus cilvēkresursi nav nepieciešami.</w:t>
            </w:r>
          </w:p>
        </w:tc>
      </w:tr>
      <w:tr w:rsidR="00AD37B6" w:rsidRPr="000A02C9" w:rsidTr="003B2AF3">
        <w:trPr>
          <w:cantSplit/>
        </w:trPr>
        <w:tc>
          <w:tcPr>
            <w:tcW w:w="311" w:type="pct"/>
            <w:hideMark/>
          </w:tcPr>
          <w:p w:rsidR="00AD37B6" w:rsidRPr="000A02C9" w:rsidRDefault="00AD37B6" w:rsidP="003B2AF3">
            <w:pPr>
              <w:jc w:val="center"/>
            </w:pPr>
            <w:r w:rsidRPr="000A02C9">
              <w:t>3.</w:t>
            </w:r>
          </w:p>
        </w:tc>
        <w:tc>
          <w:tcPr>
            <w:tcW w:w="1479" w:type="pct"/>
            <w:hideMark/>
          </w:tcPr>
          <w:p w:rsidR="00AD37B6" w:rsidRPr="000A02C9" w:rsidRDefault="00AD37B6" w:rsidP="003B2AF3">
            <w:r w:rsidRPr="000A02C9">
              <w:t>Cita informācija</w:t>
            </w:r>
          </w:p>
        </w:tc>
        <w:tc>
          <w:tcPr>
            <w:tcW w:w="3210" w:type="pct"/>
            <w:hideMark/>
          </w:tcPr>
          <w:p w:rsidR="00AD37B6" w:rsidRPr="000A02C9" w:rsidRDefault="00AD37B6" w:rsidP="003B2AF3">
            <w:r w:rsidRPr="000A02C9">
              <w:t>Nav.</w:t>
            </w:r>
          </w:p>
        </w:tc>
      </w:tr>
    </w:tbl>
    <w:p w:rsidR="00004ECC" w:rsidRDefault="00004ECC" w:rsidP="00AD37B6">
      <w:pPr>
        <w:tabs>
          <w:tab w:val="left" w:pos="6521"/>
        </w:tabs>
        <w:jc w:val="both"/>
      </w:pPr>
    </w:p>
    <w:p w:rsidR="00004ECC" w:rsidRDefault="00004ECC" w:rsidP="00AD37B6">
      <w:pPr>
        <w:tabs>
          <w:tab w:val="left" w:pos="6521"/>
        </w:tabs>
        <w:jc w:val="both"/>
      </w:pPr>
    </w:p>
    <w:p w:rsidR="00AD37B6" w:rsidRPr="000A02C9" w:rsidRDefault="00AD37B6" w:rsidP="00AD37B6">
      <w:pPr>
        <w:tabs>
          <w:tab w:val="left" w:pos="6521"/>
        </w:tabs>
        <w:jc w:val="both"/>
      </w:pPr>
      <w:r w:rsidRPr="000A02C9">
        <w:t>Iekšlietu ministrs</w:t>
      </w:r>
      <w:r w:rsidRPr="000A02C9">
        <w:tab/>
        <w:t>R.Kozlovskis</w:t>
      </w:r>
    </w:p>
    <w:p w:rsidR="00AD37B6" w:rsidRPr="000A02C9" w:rsidRDefault="00AD37B6" w:rsidP="00AD37B6">
      <w:pPr>
        <w:pStyle w:val="naisf"/>
        <w:rPr>
          <w:szCs w:val="24"/>
        </w:rPr>
      </w:pPr>
    </w:p>
    <w:p w:rsidR="00AD37B6" w:rsidRPr="000A02C9" w:rsidRDefault="00AD37B6" w:rsidP="00AD37B6">
      <w:pPr>
        <w:pStyle w:val="naisf"/>
        <w:rPr>
          <w:szCs w:val="24"/>
        </w:rPr>
      </w:pPr>
      <w:r w:rsidRPr="000A02C9">
        <w:rPr>
          <w:szCs w:val="24"/>
        </w:rPr>
        <w:t>Vīza: valsts sekretārs</w:t>
      </w:r>
      <w:r w:rsidRPr="000A02C9">
        <w:rPr>
          <w:szCs w:val="24"/>
        </w:rPr>
        <w:tab/>
      </w:r>
      <w:r w:rsidRPr="000A02C9">
        <w:rPr>
          <w:szCs w:val="24"/>
        </w:rPr>
        <w:tab/>
      </w:r>
      <w:r w:rsidRPr="000A02C9">
        <w:rPr>
          <w:szCs w:val="24"/>
        </w:rPr>
        <w:tab/>
      </w:r>
      <w:proofErr w:type="gramStart"/>
      <w:r w:rsidRPr="000A02C9">
        <w:rPr>
          <w:szCs w:val="24"/>
        </w:rPr>
        <w:t xml:space="preserve">  </w:t>
      </w:r>
      <w:proofErr w:type="gramEnd"/>
      <w:r w:rsidRPr="000A02C9">
        <w:rPr>
          <w:szCs w:val="24"/>
        </w:rPr>
        <w:tab/>
      </w:r>
      <w:r w:rsidRPr="000A02C9">
        <w:rPr>
          <w:szCs w:val="24"/>
        </w:rPr>
        <w:tab/>
      </w:r>
      <w:r w:rsidRPr="000A02C9">
        <w:rPr>
          <w:szCs w:val="24"/>
        </w:rPr>
        <w:tab/>
      </w:r>
      <w:r w:rsidRPr="000A02C9">
        <w:rPr>
          <w:szCs w:val="24"/>
        </w:rPr>
        <w:tab/>
      </w:r>
      <w:proofErr w:type="spellStart"/>
      <w:r w:rsidRPr="000A02C9">
        <w:rPr>
          <w:szCs w:val="24"/>
        </w:rPr>
        <w:t>D.Trofimovs</w:t>
      </w:r>
      <w:proofErr w:type="spellEnd"/>
    </w:p>
    <w:p w:rsidR="00FC70FA" w:rsidRDefault="00FC70FA" w:rsidP="00AD37B6">
      <w:pPr>
        <w:rPr>
          <w:sz w:val="20"/>
          <w:szCs w:val="20"/>
        </w:rPr>
      </w:pPr>
    </w:p>
    <w:p w:rsidR="00004ECC" w:rsidRDefault="00004ECC" w:rsidP="00AD37B6">
      <w:pPr>
        <w:rPr>
          <w:sz w:val="20"/>
          <w:szCs w:val="20"/>
        </w:rPr>
      </w:pPr>
    </w:p>
    <w:p w:rsidR="00004ECC" w:rsidRPr="000A02C9" w:rsidRDefault="00004ECC" w:rsidP="00AD37B6">
      <w:pPr>
        <w:rPr>
          <w:sz w:val="20"/>
          <w:szCs w:val="20"/>
        </w:rPr>
      </w:pPr>
      <w:bookmarkStart w:id="0" w:name="_GoBack"/>
      <w:bookmarkEnd w:id="0"/>
    </w:p>
    <w:p w:rsidR="00AD37B6" w:rsidRPr="000A02C9" w:rsidRDefault="00AD37B6" w:rsidP="00AD37B6">
      <w:pPr>
        <w:rPr>
          <w:sz w:val="20"/>
          <w:szCs w:val="20"/>
        </w:rPr>
      </w:pPr>
      <w:r w:rsidRPr="000A02C9">
        <w:rPr>
          <w:sz w:val="20"/>
          <w:szCs w:val="20"/>
        </w:rPr>
        <w:t>Stone, 67219425</w:t>
      </w:r>
    </w:p>
    <w:p w:rsidR="00D24D1C" w:rsidRPr="000A02C9" w:rsidRDefault="00004ECC">
      <w:hyperlink r:id="rId10" w:history="1">
        <w:r w:rsidR="00AD37B6" w:rsidRPr="000A02C9">
          <w:rPr>
            <w:rStyle w:val="Hyperlink"/>
            <w:sz w:val="20"/>
            <w:szCs w:val="20"/>
            <w:u w:val="none"/>
          </w:rPr>
          <w:t>kristine.stone@pmlp.gov.lv</w:t>
        </w:r>
      </w:hyperlink>
    </w:p>
    <w:sectPr w:rsidR="00D24D1C" w:rsidRPr="000A02C9" w:rsidSect="00004ECC">
      <w:headerReference w:type="default" r:id="rId11"/>
      <w:footerReference w:type="default" r:id="rId12"/>
      <w:footerReference w:type="first" r:id="rId13"/>
      <w:pgSz w:w="11906" w:h="16838" w:code="9"/>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AF3" w:rsidRDefault="003B2AF3" w:rsidP="00AD37B6">
      <w:r>
        <w:separator/>
      </w:r>
    </w:p>
  </w:endnote>
  <w:endnote w:type="continuationSeparator" w:id="0">
    <w:p w:rsidR="003B2AF3" w:rsidRDefault="003B2AF3" w:rsidP="00AD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F3" w:rsidRDefault="003B2AF3" w:rsidP="00AB27B1">
    <w:pPr>
      <w:pStyle w:val="Footer"/>
      <w:jc w:val="both"/>
    </w:pPr>
    <w:r w:rsidRPr="00B9664F">
      <w:rPr>
        <w:sz w:val="20"/>
        <w:szCs w:val="20"/>
      </w:rPr>
      <w:t>IEMAnot_</w:t>
    </w:r>
    <w:r w:rsidR="00701EC8">
      <w:rPr>
        <w:sz w:val="20"/>
        <w:szCs w:val="20"/>
      </w:rPr>
      <w:t>24</w:t>
    </w:r>
    <w:r>
      <w:rPr>
        <w:sz w:val="20"/>
        <w:szCs w:val="20"/>
      </w:rPr>
      <w:t>0518_II_k</w:t>
    </w:r>
    <w:r w:rsidRPr="000D71A5">
      <w:rPr>
        <w:sz w:val="20"/>
        <w:szCs w:val="20"/>
      </w:rPr>
      <w:t>ars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AF3" w:rsidRDefault="003B2AF3" w:rsidP="00AB27B1">
    <w:pPr>
      <w:pStyle w:val="Footer"/>
      <w:jc w:val="both"/>
    </w:pPr>
    <w:r w:rsidRPr="00B9664F">
      <w:rPr>
        <w:sz w:val="20"/>
        <w:szCs w:val="20"/>
      </w:rPr>
      <w:t>IEMAnot_</w:t>
    </w:r>
    <w:r w:rsidR="00701EC8">
      <w:rPr>
        <w:sz w:val="20"/>
        <w:szCs w:val="20"/>
      </w:rPr>
      <w:t>24</w:t>
    </w:r>
    <w:r>
      <w:rPr>
        <w:sz w:val="20"/>
        <w:szCs w:val="20"/>
      </w:rPr>
      <w:t>0518_II_kars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AF3" w:rsidRDefault="003B2AF3" w:rsidP="00AD37B6">
      <w:r>
        <w:separator/>
      </w:r>
    </w:p>
  </w:footnote>
  <w:footnote w:type="continuationSeparator" w:id="0">
    <w:p w:rsidR="003B2AF3" w:rsidRDefault="003B2AF3" w:rsidP="00AD37B6">
      <w:r>
        <w:continuationSeparator/>
      </w:r>
    </w:p>
  </w:footnote>
  <w:footnote w:id="1">
    <w:p w:rsidR="003B2AF3" w:rsidRDefault="003B2AF3">
      <w:pPr>
        <w:pStyle w:val="FootnoteText"/>
      </w:pPr>
      <w:r>
        <w:rPr>
          <w:rStyle w:val="FootnoteReference"/>
        </w:rPr>
        <w:footnoteRef/>
      </w:r>
      <w:r>
        <w:t xml:space="preserve"> </w:t>
      </w:r>
      <w:r w:rsidRPr="001842F0">
        <w:t>http://www.csb.gov.lv/statistikas-temas/iedzivotaju-ienemumi-galvenie-raditaji-30268.html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3B2AF3" w:rsidRDefault="003B2AF3">
        <w:pPr>
          <w:pStyle w:val="Header"/>
          <w:jc w:val="center"/>
        </w:pPr>
        <w:r>
          <w:fldChar w:fldCharType="begin"/>
        </w:r>
        <w:r>
          <w:instrText xml:space="preserve"> PAGE   \* MERGEFORMAT </w:instrText>
        </w:r>
        <w:r>
          <w:fldChar w:fldCharType="separate"/>
        </w:r>
        <w:r w:rsidR="00004ECC">
          <w:rPr>
            <w:noProof/>
          </w:rPr>
          <w:t>7</w:t>
        </w:r>
        <w:r>
          <w:rPr>
            <w:noProof/>
          </w:rPr>
          <w:fldChar w:fldCharType="end"/>
        </w:r>
      </w:p>
    </w:sdtContent>
  </w:sdt>
  <w:p w:rsidR="003B2AF3" w:rsidRDefault="003B2A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B6"/>
    <w:rsid w:val="00004ECC"/>
    <w:rsid w:val="000A02C9"/>
    <w:rsid w:val="000A52F7"/>
    <w:rsid w:val="000A6873"/>
    <w:rsid w:val="000D2844"/>
    <w:rsid w:val="000F5AB4"/>
    <w:rsid w:val="001231CD"/>
    <w:rsid w:val="00144DF6"/>
    <w:rsid w:val="001574C9"/>
    <w:rsid w:val="0016469C"/>
    <w:rsid w:val="0017652B"/>
    <w:rsid w:val="001842F0"/>
    <w:rsid w:val="00197EBB"/>
    <w:rsid w:val="001B7483"/>
    <w:rsid w:val="001E1EC4"/>
    <w:rsid w:val="00204175"/>
    <w:rsid w:val="00244D40"/>
    <w:rsid w:val="00246744"/>
    <w:rsid w:val="00260381"/>
    <w:rsid w:val="003314E9"/>
    <w:rsid w:val="003A15A5"/>
    <w:rsid w:val="003B2AF3"/>
    <w:rsid w:val="003B3529"/>
    <w:rsid w:val="003D3FC5"/>
    <w:rsid w:val="003E70F8"/>
    <w:rsid w:val="003F273A"/>
    <w:rsid w:val="0040270A"/>
    <w:rsid w:val="00410FC9"/>
    <w:rsid w:val="00417D7A"/>
    <w:rsid w:val="00451098"/>
    <w:rsid w:val="00463DD9"/>
    <w:rsid w:val="004A7644"/>
    <w:rsid w:val="004F28B9"/>
    <w:rsid w:val="00543BB3"/>
    <w:rsid w:val="00551BC5"/>
    <w:rsid w:val="00557F84"/>
    <w:rsid w:val="005A1FC6"/>
    <w:rsid w:val="005C6979"/>
    <w:rsid w:val="006105EA"/>
    <w:rsid w:val="0062398B"/>
    <w:rsid w:val="0064006A"/>
    <w:rsid w:val="00651E5A"/>
    <w:rsid w:val="00652033"/>
    <w:rsid w:val="00694F9E"/>
    <w:rsid w:val="006E140A"/>
    <w:rsid w:val="00701EC8"/>
    <w:rsid w:val="00733430"/>
    <w:rsid w:val="00760CD9"/>
    <w:rsid w:val="00781DCA"/>
    <w:rsid w:val="007B3519"/>
    <w:rsid w:val="007C414B"/>
    <w:rsid w:val="007D761E"/>
    <w:rsid w:val="007E640C"/>
    <w:rsid w:val="007F1E19"/>
    <w:rsid w:val="0081356D"/>
    <w:rsid w:val="00822EF4"/>
    <w:rsid w:val="00824092"/>
    <w:rsid w:val="008539A0"/>
    <w:rsid w:val="00866E20"/>
    <w:rsid w:val="00945CB1"/>
    <w:rsid w:val="00995FCE"/>
    <w:rsid w:val="009A2045"/>
    <w:rsid w:val="009C4309"/>
    <w:rsid w:val="00A226F2"/>
    <w:rsid w:val="00A7236C"/>
    <w:rsid w:val="00AB27B1"/>
    <w:rsid w:val="00AB5A47"/>
    <w:rsid w:val="00AD37B6"/>
    <w:rsid w:val="00AD75FA"/>
    <w:rsid w:val="00AF33FE"/>
    <w:rsid w:val="00B43D51"/>
    <w:rsid w:val="00C31871"/>
    <w:rsid w:val="00C36D0E"/>
    <w:rsid w:val="00C67EF5"/>
    <w:rsid w:val="00C97C85"/>
    <w:rsid w:val="00D24D1C"/>
    <w:rsid w:val="00D977C0"/>
    <w:rsid w:val="00DC2105"/>
    <w:rsid w:val="00DC72C8"/>
    <w:rsid w:val="00DE0647"/>
    <w:rsid w:val="00E22365"/>
    <w:rsid w:val="00E80777"/>
    <w:rsid w:val="00E81185"/>
    <w:rsid w:val="00E900D6"/>
    <w:rsid w:val="00E93CDC"/>
    <w:rsid w:val="00EE649E"/>
    <w:rsid w:val="00F31540"/>
    <w:rsid w:val="00F72F72"/>
    <w:rsid w:val="00F93619"/>
    <w:rsid w:val="00FA4F67"/>
    <w:rsid w:val="00FC70FA"/>
    <w:rsid w:val="00FE4E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3D443-1DFC-4DEA-942E-B9AB6980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B6"/>
    <w:rPr>
      <w:rFonts w:eastAsia="Times New Roman" w:cs="Times New Roman"/>
      <w:sz w:val="24"/>
      <w:szCs w:val="24"/>
      <w:lang w:eastAsia="lv-LV"/>
    </w:rPr>
  </w:style>
  <w:style w:type="paragraph" w:styleId="Heading3">
    <w:name w:val="heading 3"/>
    <w:basedOn w:val="Normal"/>
    <w:link w:val="Heading3Char"/>
    <w:uiPriority w:val="9"/>
    <w:qFormat/>
    <w:rsid w:val="0065203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37B6"/>
    <w:pPr>
      <w:jc w:val="center"/>
    </w:pPr>
    <w:rPr>
      <w:sz w:val="28"/>
      <w:szCs w:val="20"/>
      <w:lang w:eastAsia="en-US"/>
    </w:rPr>
  </w:style>
  <w:style w:type="character" w:customStyle="1" w:styleId="TitleChar">
    <w:name w:val="Title Char"/>
    <w:basedOn w:val="DefaultParagraphFont"/>
    <w:link w:val="Title"/>
    <w:rsid w:val="00AD37B6"/>
    <w:rPr>
      <w:rFonts w:eastAsia="Times New Roman" w:cs="Times New Roman"/>
      <w:szCs w:val="20"/>
    </w:rPr>
  </w:style>
  <w:style w:type="character" w:styleId="Hyperlink">
    <w:name w:val="Hyperlink"/>
    <w:basedOn w:val="DefaultParagraphFont"/>
    <w:uiPriority w:val="99"/>
    <w:unhideWhenUsed/>
    <w:rsid w:val="00AD37B6"/>
    <w:rPr>
      <w:color w:val="0000FF"/>
      <w:u w:val="single"/>
    </w:rPr>
  </w:style>
  <w:style w:type="paragraph" w:styleId="Header">
    <w:name w:val="header"/>
    <w:basedOn w:val="Normal"/>
    <w:link w:val="HeaderChar"/>
    <w:uiPriority w:val="99"/>
    <w:unhideWhenUsed/>
    <w:rsid w:val="00AD37B6"/>
    <w:pPr>
      <w:tabs>
        <w:tab w:val="center" w:pos="4153"/>
        <w:tab w:val="right" w:pos="8306"/>
      </w:tabs>
    </w:pPr>
  </w:style>
  <w:style w:type="character" w:customStyle="1" w:styleId="HeaderChar">
    <w:name w:val="Header Char"/>
    <w:basedOn w:val="DefaultParagraphFont"/>
    <w:link w:val="Header"/>
    <w:uiPriority w:val="99"/>
    <w:rsid w:val="00AD37B6"/>
    <w:rPr>
      <w:rFonts w:eastAsia="Times New Roman" w:cs="Times New Roman"/>
      <w:sz w:val="24"/>
      <w:szCs w:val="24"/>
      <w:lang w:eastAsia="lv-LV"/>
    </w:rPr>
  </w:style>
  <w:style w:type="paragraph" w:styleId="Footer">
    <w:name w:val="footer"/>
    <w:basedOn w:val="Normal"/>
    <w:link w:val="FooterChar"/>
    <w:uiPriority w:val="99"/>
    <w:unhideWhenUsed/>
    <w:rsid w:val="00AD37B6"/>
    <w:pPr>
      <w:tabs>
        <w:tab w:val="center" w:pos="4153"/>
        <w:tab w:val="right" w:pos="8306"/>
      </w:tabs>
    </w:pPr>
  </w:style>
  <w:style w:type="character" w:customStyle="1" w:styleId="FooterChar">
    <w:name w:val="Footer Char"/>
    <w:basedOn w:val="DefaultParagraphFont"/>
    <w:link w:val="Footer"/>
    <w:uiPriority w:val="99"/>
    <w:rsid w:val="00AD37B6"/>
    <w:rPr>
      <w:rFonts w:eastAsia="Times New Roman" w:cs="Times New Roman"/>
      <w:sz w:val="24"/>
      <w:szCs w:val="24"/>
      <w:lang w:eastAsia="lv-LV"/>
    </w:rPr>
  </w:style>
  <w:style w:type="paragraph" w:customStyle="1" w:styleId="naisf">
    <w:name w:val="naisf"/>
    <w:basedOn w:val="Normal"/>
    <w:rsid w:val="00AD37B6"/>
    <w:pPr>
      <w:spacing w:before="100" w:after="100"/>
    </w:pPr>
    <w:rPr>
      <w:szCs w:val="20"/>
    </w:rPr>
  </w:style>
  <w:style w:type="paragraph" w:styleId="BalloonText">
    <w:name w:val="Balloon Text"/>
    <w:basedOn w:val="Normal"/>
    <w:link w:val="BalloonTextChar"/>
    <w:uiPriority w:val="99"/>
    <w:semiHidden/>
    <w:unhideWhenUsed/>
    <w:rsid w:val="005C6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979"/>
    <w:rPr>
      <w:rFonts w:ascii="Segoe UI" w:eastAsia="Times New Roman" w:hAnsi="Segoe UI" w:cs="Segoe UI"/>
      <w:sz w:val="18"/>
      <w:szCs w:val="18"/>
      <w:lang w:eastAsia="lv-LV"/>
    </w:rPr>
  </w:style>
  <w:style w:type="paragraph" w:styleId="ListParagraph">
    <w:name w:val="List Paragraph"/>
    <w:basedOn w:val="Normal"/>
    <w:uiPriority w:val="34"/>
    <w:qFormat/>
    <w:rsid w:val="00DE0647"/>
    <w:pPr>
      <w:ind w:left="720"/>
      <w:contextualSpacing/>
    </w:pPr>
  </w:style>
  <w:style w:type="character" w:customStyle="1" w:styleId="Heading3Char">
    <w:name w:val="Heading 3 Char"/>
    <w:basedOn w:val="DefaultParagraphFont"/>
    <w:link w:val="Heading3"/>
    <w:uiPriority w:val="9"/>
    <w:rsid w:val="00652033"/>
    <w:rPr>
      <w:rFonts w:eastAsia="Times New Roman" w:cs="Times New Roman"/>
      <w:b/>
      <w:bCs/>
      <w:sz w:val="27"/>
      <w:szCs w:val="27"/>
      <w:lang w:eastAsia="lv-LV"/>
    </w:rPr>
  </w:style>
  <w:style w:type="paragraph" w:customStyle="1" w:styleId="NormalWebCharChar">
    <w:name w:val="Normal (Web) Char Char"/>
    <w:basedOn w:val="Normal"/>
    <w:rsid w:val="00DC72C8"/>
    <w:pPr>
      <w:widowControl w:val="0"/>
      <w:suppressAutoHyphens/>
      <w:spacing w:before="280" w:after="280"/>
    </w:pPr>
    <w:rPr>
      <w:color w:val="000000"/>
      <w:sz w:val="20"/>
      <w:szCs w:val="20"/>
      <w:lang w:eastAsia="zh-CN"/>
    </w:rPr>
  </w:style>
  <w:style w:type="paragraph" w:styleId="FootnoteText">
    <w:name w:val="footnote text"/>
    <w:basedOn w:val="Normal"/>
    <w:link w:val="FootnoteTextChar"/>
    <w:uiPriority w:val="99"/>
    <w:semiHidden/>
    <w:unhideWhenUsed/>
    <w:rsid w:val="001842F0"/>
    <w:rPr>
      <w:sz w:val="20"/>
      <w:szCs w:val="20"/>
    </w:rPr>
  </w:style>
  <w:style w:type="character" w:customStyle="1" w:styleId="FootnoteTextChar">
    <w:name w:val="Footnote Text Char"/>
    <w:basedOn w:val="DefaultParagraphFont"/>
    <w:link w:val="FootnoteText"/>
    <w:uiPriority w:val="99"/>
    <w:semiHidden/>
    <w:rsid w:val="001842F0"/>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1842F0"/>
    <w:rPr>
      <w:vertAlign w:val="superscript"/>
    </w:rPr>
  </w:style>
  <w:style w:type="paragraph" w:customStyle="1" w:styleId="tv2132">
    <w:name w:val="tv2132"/>
    <w:basedOn w:val="Normal"/>
    <w:rsid w:val="00C31871"/>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84285">
      <w:bodyDiv w:val="1"/>
      <w:marLeft w:val="0"/>
      <w:marRight w:val="0"/>
      <w:marTop w:val="0"/>
      <w:marBottom w:val="0"/>
      <w:divBdr>
        <w:top w:val="none" w:sz="0" w:space="0" w:color="auto"/>
        <w:left w:val="none" w:sz="0" w:space="0" w:color="auto"/>
        <w:bottom w:val="none" w:sz="0" w:space="0" w:color="auto"/>
        <w:right w:val="none" w:sz="0" w:space="0" w:color="auto"/>
      </w:divBdr>
      <w:divsChild>
        <w:div w:id="1372071313">
          <w:marLeft w:val="0"/>
          <w:marRight w:val="0"/>
          <w:marTop w:val="0"/>
          <w:marBottom w:val="0"/>
          <w:divBdr>
            <w:top w:val="none" w:sz="0" w:space="0" w:color="auto"/>
            <w:left w:val="none" w:sz="0" w:space="0" w:color="auto"/>
            <w:bottom w:val="none" w:sz="0" w:space="0" w:color="auto"/>
            <w:right w:val="none" w:sz="0" w:space="0" w:color="auto"/>
          </w:divBdr>
          <w:divsChild>
            <w:div w:id="580800873">
              <w:marLeft w:val="0"/>
              <w:marRight w:val="0"/>
              <w:marTop w:val="0"/>
              <w:marBottom w:val="0"/>
              <w:divBdr>
                <w:top w:val="none" w:sz="0" w:space="0" w:color="auto"/>
                <w:left w:val="none" w:sz="0" w:space="0" w:color="auto"/>
                <w:bottom w:val="none" w:sz="0" w:space="0" w:color="auto"/>
                <w:right w:val="none" w:sz="0" w:space="0" w:color="auto"/>
              </w:divBdr>
              <w:divsChild>
                <w:div w:id="1692952411">
                  <w:marLeft w:val="0"/>
                  <w:marRight w:val="0"/>
                  <w:marTop w:val="0"/>
                  <w:marBottom w:val="0"/>
                  <w:divBdr>
                    <w:top w:val="none" w:sz="0" w:space="0" w:color="auto"/>
                    <w:left w:val="none" w:sz="0" w:space="0" w:color="auto"/>
                    <w:bottom w:val="none" w:sz="0" w:space="0" w:color="auto"/>
                    <w:right w:val="none" w:sz="0" w:space="0" w:color="auto"/>
                  </w:divBdr>
                  <w:divsChild>
                    <w:div w:id="1170291692">
                      <w:marLeft w:val="0"/>
                      <w:marRight w:val="0"/>
                      <w:marTop w:val="0"/>
                      <w:marBottom w:val="0"/>
                      <w:divBdr>
                        <w:top w:val="none" w:sz="0" w:space="0" w:color="auto"/>
                        <w:left w:val="none" w:sz="0" w:space="0" w:color="auto"/>
                        <w:bottom w:val="none" w:sz="0" w:space="0" w:color="auto"/>
                        <w:right w:val="none" w:sz="0" w:space="0" w:color="auto"/>
                      </w:divBdr>
                      <w:divsChild>
                        <w:div w:id="1464812471">
                          <w:marLeft w:val="0"/>
                          <w:marRight w:val="0"/>
                          <w:marTop w:val="0"/>
                          <w:marBottom w:val="0"/>
                          <w:divBdr>
                            <w:top w:val="none" w:sz="0" w:space="0" w:color="auto"/>
                            <w:left w:val="none" w:sz="0" w:space="0" w:color="auto"/>
                            <w:bottom w:val="none" w:sz="0" w:space="0" w:color="auto"/>
                            <w:right w:val="none" w:sz="0" w:space="0" w:color="auto"/>
                          </w:divBdr>
                          <w:divsChild>
                            <w:div w:id="14535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diskusiju_dokumen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mlp.gov.lv/lv/sakums/tiesibu-akti/tiesibu-aktu-projekt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ristine.stone@pmlp.gov.lv" TargetMode="External"/><Relationship Id="rId4" Type="http://schemas.openxmlformats.org/officeDocument/2006/relationships/webSettings" Target="webSettings.xml"/><Relationship Id="rId9" Type="http://schemas.openxmlformats.org/officeDocument/2006/relationships/hyperlink" Target="http://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8BD5D-BA65-475E-BDE0-20FBDB2F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8</Pages>
  <Words>11438</Words>
  <Characters>6520</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62</cp:revision>
  <cp:lastPrinted>2018-05-15T05:53:00Z</cp:lastPrinted>
  <dcterms:created xsi:type="dcterms:W3CDTF">2018-01-08T10:26:00Z</dcterms:created>
  <dcterms:modified xsi:type="dcterms:W3CDTF">2018-05-24T07:42:00Z</dcterms:modified>
</cp:coreProperties>
</file>