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22C0CD1B" w:rsidR="00856079" w:rsidRPr="00250B3C" w:rsidRDefault="00856079" w:rsidP="00856079">
      <w:pPr>
        <w:keepNext/>
        <w:jc w:val="center"/>
        <w:outlineLvl w:val="1"/>
        <w:rPr>
          <w:b/>
          <w:bCs/>
          <w:iCs/>
          <w:sz w:val="28"/>
        </w:rPr>
      </w:pPr>
      <w:bookmarkStart w:id="0" w:name="OLE_LINK6"/>
      <w:bookmarkStart w:id="1" w:name="OLE_LINK7"/>
      <w:r w:rsidRPr="00250B3C">
        <w:rPr>
          <w:b/>
          <w:bCs/>
          <w:iCs/>
          <w:sz w:val="28"/>
        </w:rPr>
        <w:t xml:space="preserve">Ministru kabineta noteikumu </w:t>
      </w:r>
    </w:p>
    <w:p w14:paraId="36E7E720" w14:textId="59894745" w:rsidR="00856079" w:rsidRPr="00250B3C" w:rsidRDefault="00B81995" w:rsidP="00953E8D">
      <w:pPr>
        <w:jc w:val="center"/>
        <w:rPr>
          <w:b/>
          <w:sz w:val="28"/>
          <w:lang w:eastAsia="en-US"/>
        </w:rPr>
      </w:pPr>
      <w:r w:rsidRPr="00250B3C">
        <w:rPr>
          <w:b/>
          <w:bCs/>
          <w:sz w:val="28"/>
        </w:rPr>
        <w:t>“</w:t>
      </w:r>
      <w:r w:rsidR="003A09C1" w:rsidRPr="00250B3C">
        <w:rPr>
          <w:b/>
          <w:bCs/>
          <w:color w:val="000000"/>
          <w:sz w:val="28"/>
          <w:szCs w:val="28"/>
        </w:rPr>
        <w:t>Emisijas kvotu izsolīšanas instrumenta finansēto projektu atklāta konkursa “</w:t>
      </w:r>
      <w:r w:rsidR="003A09C1" w:rsidRPr="00250B3C">
        <w:rPr>
          <w:b/>
          <w:sz w:val="28"/>
          <w:szCs w:val="28"/>
        </w:rPr>
        <w:t xml:space="preserve">Siltumnīcefekta gāzu emisiju samazināšana, </w:t>
      </w:r>
      <w:r w:rsidR="00B50237">
        <w:rPr>
          <w:b/>
          <w:sz w:val="28"/>
          <w:szCs w:val="28"/>
        </w:rPr>
        <w:t>attīstot enerģētiski pašpietiekamu ēku būvniecību</w:t>
      </w:r>
      <w:r w:rsidR="003A09C1" w:rsidRPr="00250B3C">
        <w:rPr>
          <w:b/>
          <w:bCs/>
          <w:color w:val="000000"/>
          <w:sz w:val="28"/>
          <w:szCs w:val="28"/>
        </w:rPr>
        <w:t>” nolikums</w:t>
      </w:r>
      <w:r w:rsidRPr="00250B3C">
        <w:rPr>
          <w:b/>
          <w:bCs/>
          <w:sz w:val="28"/>
        </w:rPr>
        <w:t>”</w:t>
      </w:r>
      <w:r w:rsidR="00F5342E" w:rsidRPr="00250B3C">
        <w:rPr>
          <w:b/>
          <w:bCs/>
          <w:sz w:val="28"/>
        </w:rPr>
        <w:t xml:space="preserve"> </w:t>
      </w:r>
      <w:r w:rsidR="00D030BB">
        <w:rPr>
          <w:b/>
          <w:bCs/>
          <w:sz w:val="28"/>
        </w:rPr>
        <w:t xml:space="preserve">projekta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12C216" w14:textId="5FCCB6DC" w:rsidR="00882958" w:rsidRPr="00B17946" w:rsidRDefault="00B14600" w:rsidP="00B14600">
            <w:pPr>
              <w:jc w:val="both"/>
              <w:rPr>
                <w:bCs/>
                <w:color w:val="000000" w:themeColor="text1"/>
              </w:rPr>
            </w:pPr>
            <w:r w:rsidRPr="00B17946">
              <w:t xml:space="preserve">  Ministru kabineta (turpmāk – MK) </w:t>
            </w:r>
            <w:r w:rsidRPr="00B17946">
              <w:rPr>
                <w:shd w:val="clear" w:color="auto" w:fill="FFFFFF"/>
              </w:rPr>
              <w:t xml:space="preserve">noteikumu </w:t>
            </w:r>
            <w:r w:rsidRPr="00B17946">
              <w:t>„</w:t>
            </w:r>
            <w:r w:rsidRPr="00B17946">
              <w:rPr>
                <w:bCs/>
              </w:rPr>
              <w:t xml:space="preserve">Emisijas kvotu izsolīšanas instrumenta finansēto projektu atklāta konkursa </w:t>
            </w:r>
            <w:r w:rsidRPr="00B17946">
              <w:t xml:space="preserve">„Siltumnīcefekta gāzu emisiju samazināšana, attīstot enerģētiski pašpietiekamu ēku būvniecību” </w:t>
            </w:r>
            <w:r w:rsidRPr="00B17946">
              <w:rPr>
                <w:bCs/>
              </w:rPr>
              <w:t>nolikums</w:t>
            </w:r>
            <w:r w:rsidRPr="00B17946">
              <w:t xml:space="preserve">” projekta (turpmāk – MK noteikumu projekts) mērķis ir </w:t>
            </w:r>
            <w:r w:rsidRPr="00B17946">
              <w:rPr>
                <w:color w:val="000000" w:themeColor="text1"/>
              </w:rPr>
              <w:t xml:space="preserve">Emisijas kvotu </w:t>
            </w:r>
            <w:r w:rsidR="00B17946" w:rsidRPr="00B17946">
              <w:rPr>
                <w:color w:val="000000" w:themeColor="text1"/>
              </w:rPr>
              <w:t>izsolīšanas</w:t>
            </w:r>
            <w:r w:rsidRPr="00B17946">
              <w:rPr>
                <w:color w:val="000000" w:themeColor="text1"/>
              </w:rPr>
              <w:t xml:space="preserve"> instrumenta finansēto projektu atklātā konkursa </w:t>
            </w:r>
            <w:r w:rsidR="00B17946" w:rsidRPr="00B17946">
              <w:rPr>
                <w:color w:val="000000" w:themeColor="text1"/>
              </w:rPr>
              <w:t>(turpmāk </w:t>
            </w:r>
            <w:r w:rsidRPr="00B17946">
              <w:rPr>
                <w:color w:val="000000" w:themeColor="text1"/>
              </w:rPr>
              <w:t>–</w:t>
            </w:r>
            <w:r w:rsidR="00B17946" w:rsidRPr="00B17946">
              <w:rPr>
                <w:color w:val="000000" w:themeColor="text1"/>
              </w:rPr>
              <w:t> </w:t>
            </w:r>
            <w:r w:rsidRPr="00B17946">
              <w:rPr>
                <w:color w:val="000000" w:themeColor="text1"/>
              </w:rPr>
              <w:t xml:space="preserve">konkurss) </w:t>
            </w:r>
            <w:r w:rsidRPr="00B17946">
              <w:rPr>
                <w:bCs/>
                <w:color w:val="000000" w:themeColor="text1"/>
              </w:rPr>
              <w:t>nolikuma izstrāde</w:t>
            </w:r>
            <w:r w:rsidR="00B17946" w:rsidRPr="00B17946">
              <w:rPr>
                <w:bCs/>
                <w:color w:val="000000" w:themeColor="text1"/>
              </w:rPr>
              <w:t>.</w:t>
            </w:r>
          </w:p>
          <w:p w14:paraId="6153C701" w14:textId="62DDD67C" w:rsidR="00B17946" w:rsidRPr="00B17946" w:rsidRDefault="00B17946" w:rsidP="00B14600">
            <w:pPr>
              <w:jc w:val="both"/>
            </w:pPr>
            <w:r w:rsidRPr="00B17946">
              <w:rPr>
                <w:bCs/>
                <w:color w:val="000000" w:themeColor="text1"/>
              </w:rPr>
              <w:t xml:space="preserve">  Konkursa ietvaros ir paredzēta projektu iesniegumu </w:t>
            </w:r>
            <w:r w:rsidR="0063776A">
              <w:rPr>
                <w:bCs/>
                <w:color w:val="000000" w:themeColor="text1"/>
              </w:rPr>
              <w:t>atklātā konkursa organizēšana</w:t>
            </w:r>
            <w:r w:rsidRPr="00B17946">
              <w:rPr>
                <w:bCs/>
                <w:color w:val="000000" w:themeColor="text1"/>
              </w:rPr>
              <w:t xml:space="preserve">, lai atbalstītu projektus, kas nodrošina </w:t>
            </w:r>
            <w:r w:rsidRPr="00B17946">
              <w:t>potenciālo siltumnīcefekta gāzu emisiju ierobežoš</w:t>
            </w:r>
            <w:r w:rsidR="0063776A">
              <w:t>a</w:t>
            </w:r>
            <w:r w:rsidRPr="00B17946">
              <w:t>nu, atbalstot jaunu un ilgtspējīgu zema enerģijas patēriņa enerģētiski pašpietiekamu ēku būvniecību un nodrošinātu oglekļa mazietilpīgai attīstībai nepieciešamo tehnoloģiju demonstrēšanu un popularizēšanu Latvijā.</w:t>
            </w:r>
          </w:p>
          <w:p w14:paraId="4973DBC1" w14:textId="1BB76A48" w:rsidR="0014460C" w:rsidRPr="0014460C" w:rsidRDefault="0063776A" w:rsidP="0014460C">
            <w:pPr>
              <w:jc w:val="both"/>
            </w:pPr>
            <w:r>
              <w:t xml:space="preserve">  </w:t>
            </w:r>
            <w:r w:rsidR="00B17946" w:rsidRPr="0014460C">
              <w:t xml:space="preserve">MK noteikumu projekts </w:t>
            </w:r>
            <w:r w:rsidR="0014460C" w:rsidRPr="0014460C">
              <w:t>s</w:t>
            </w:r>
            <w:r w:rsidR="0014460C" w:rsidRPr="0014460C">
              <w:rPr>
                <w:iCs/>
              </w:rPr>
              <w:t>tāsies spēkā Oficiālo publikāciju un tiesiskās informācijas likumā noteiktajā kārtībā.</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2"/>
        <w:gridCol w:w="1857"/>
        <w:gridCol w:w="6852"/>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30341E"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30341E" w:rsidRPr="00250B3C" w:rsidRDefault="0030341E" w:rsidP="0030341E">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30341E" w:rsidRPr="00250B3C" w:rsidRDefault="0030341E" w:rsidP="0030341E">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08077215" w:rsidR="009232AB" w:rsidRPr="00250B3C" w:rsidRDefault="003A09C1" w:rsidP="00B14600">
            <w:pPr>
              <w:ind w:left="131" w:right="282"/>
              <w:jc w:val="both"/>
              <w:rPr>
                <w:color w:val="000000"/>
              </w:rPr>
            </w:pPr>
            <w:r w:rsidRPr="00250B3C">
              <w:rPr>
                <w:sz w:val="22"/>
                <w:szCs w:val="22"/>
              </w:rPr>
              <w:t xml:space="preserve">  </w:t>
            </w:r>
            <w:r w:rsidRPr="00250B3C">
              <w:t xml:space="preserve">MK noteikumu projekts </w:t>
            </w:r>
            <w:r w:rsidRPr="00250B3C">
              <w:rPr>
                <w:shd w:val="clear" w:color="auto" w:fill="FFFFFF"/>
              </w:rPr>
              <w:t xml:space="preserve">izstrādāts pamatojoties uz </w:t>
            </w:r>
            <w:r w:rsidRPr="00250B3C">
              <w:t>likuma “Par piesārņojumu” 32.</w:t>
            </w:r>
            <w:r w:rsidRPr="00250B3C">
              <w:rPr>
                <w:vertAlign w:val="superscript"/>
              </w:rPr>
              <w:t>2</w:t>
            </w:r>
            <w:r w:rsidRPr="00250B3C">
              <w:t xml:space="preserve"> panta 4.</w:t>
            </w:r>
            <w:r w:rsidRPr="00250B3C">
              <w:rPr>
                <w:vertAlign w:val="superscript"/>
              </w:rPr>
              <w:t>6</w:t>
            </w:r>
            <w:r w:rsidRPr="00250B3C">
              <w:t xml:space="preserve"> daļu.</w:t>
            </w:r>
          </w:p>
        </w:tc>
      </w:tr>
      <w:tr w:rsidR="0030341E"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30341E" w:rsidRPr="00250B3C" w:rsidRDefault="0030341E" w:rsidP="0030341E">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DDF15F9" w14:textId="63538BE9" w:rsidR="0030341E" w:rsidRPr="00496275" w:rsidRDefault="001A7349" w:rsidP="00D9551C">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00E8509D" w14:textId="42389427" w:rsidR="001D0B65" w:rsidRPr="009E5F7E" w:rsidRDefault="001D0B65" w:rsidP="00EE0382">
            <w:pPr>
              <w:ind w:left="141" w:right="236"/>
              <w:jc w:val="both"/>
              <w:outlineLvl w:val="0"/>
              <w:rPr>
                <w:color w:val="000000" w:themeColor="text1"/>
              </w:rPr>
            </w:pPr>
            <w:r w:rsidRPr="009E5F7E">
              <w:rPr>
                <w:color w:val="000000" w:themeColor="text1"/>
              </w:rPr>
              <w:t xml:space="preserve">  Lai </w:t>
            </w:r>
            <w:r w:rsidR="00A21845" w:rsidRPr="009E5F7E">
              <w:rPr>
                <w:color w:val="000000" w:themeColor="text1"/>
              </w:rPr>
              <w:t xml:space="preserve">vecinātu </w:t>
            </w:r>
            <w:r w:rsidRPr="009E5F7E">
              <w:rPr>
                <w:color w:val="000000" w:themeColor="text1"/>
              </w:rPr>
              <w:t>klimata un enerģētikas mērķu sasniegšanu 2020.</w:t>
            </w:r>
            <w:r w:rsidR="00A21845" w:rsidRPr="009E5F7E">
              <w:rPr>
                <w:color w:val="000000" w:themeColor="text1"/>
              </w:rPr>
              <w:t> </w:t>
            </w:r>
            <w:r w:rsidRPr="009E5F7E">
              <w:rPr>
                <w:color w:val="000000" w:themeColor="text1"/>
              </w:rPr>
              <w:t>gadam un 2030.</w:t>
            </w:r>
            <w:r w:rsidR="00A21845" w:rsidRPr="009E5F7E">
              <w:rPr>
                <w:color w:val="000000" w:themeColor="text1"/>
              </w:rPr>
              <w:t> </w:t>
            </w:r>
            <w:r w:rsidRPr="009E5F7E">
              <w:rPr>
                <w:color w:val="000000" w:themeColor="text1"/>
              </w:rPr>
              <w:t>gadam, ir nepieciešams īstenot</w:t>
            </w:r>
            <w:r w:rsidR="0075481D" w:rsidRPr="009E5F7E">
              <w:rPr>
                <w:color w:val="000000" w:themeColor="text1"/>
              </w:rPr>
              <w:t xml:space="preserve"> dažādas ar siltumnīcefekta gāzu (turpmāk – SEG) emisiju samazināšanu saistītas</w:t>
            </w:r>
            <w:r w:rsidRPr="009E5F7E">
              <w:rPr>
                <w:color w:val="000000" w:themeColor="text1"/>
              </w:rPr>
              <w:t xml:space="preserve"> aktivitātes, </w:t>
            </w:r>
            <w:r w:rsidR="0075481D" w:rsidRPr="009E5F7E">
              <w:rPr>
                <w:color w:val="000000" w:themeColor="text1"/>
              </w:rPr>
              <w:t>tai skaitā tādas, kas kompleksi un ar multiplikatīvu efektu nodrošina un veicina gan energoefektivitāti paaugstinošu pasākumu īstenošanu un veicināšanu, gan atjaunojamo energoresursu izmantošanu</w:t>
            </w:r>
            <w:r w:rsidR="00A21845" w:rsidRPr="009E5F7E">
              <w:rPr>
                <w:color w:val="000000" w:themeColor="text1"/>
              </w:rPr>
              <w:t>.</w:t>
            </w:r>
            <w:r w:rsidR="0075481D" w:rsidRPr="009E5F7E">
              <w:rPr>
                <w:color w:val="000000" w:themeColor="text1"/>
              </w:rPr>
              <w:t xml:space="preserve"> </w:t>
            </w:r>
            <w:r w:rsidR="00A21845" w:rsidRPr="009E5F7E">
              <w:rPr>
                <w:color w:val="000000" w:themeColor="text1"/>
              </w:rPr>
              <w:t>N</w:t>
            </w:r>
            <w:r w:rsidR="0075481D" w:rsidRPr="009E5F7E">
              <w:rPr>
                <w:color w:val="000000" w:themeColor="text1"/>
              </w:rPr>
              <w:t xml:space="preserve">oteikto mērķu sasniegšanā būtiski </w:t>
            </w:r>
            <w:r w:rsidR="00A21845" w:rsidRPr="009E5F7E">
              <w:rPr>
                <w:color w:val="000000" w:themeColor="text1"/>
              </w:rPr>
              <w:t xml:space="preserve">ir </w:t>
            </w:r>
            <w:r w:rsidR="0075481D" w:rsidRPr="009E5F7E">
              <w:rPr>
                <w:color w:val="000000" w:themeColor="text1"/>
              </w:rPr>
              <w:t xml:space="preserve">īstenot </w:t>
            </w:r>
            <w:r w:rsidR="00A21845" w:rsidRPr="009E5F7E">
              <w:rPr>
                <w:color w:val="000000" w:themeColor="text1"/>
              </w:rPr>
              <w:t>demonstrācijas un pilotprojektus</w:t>
            </w:r>
            <w:r w:rsidR="0075481D" w:rsidRPr="009E5F7E">
              <w:rPr>
                <w:color w:val="000000" w:themeColor="text1"/>
              </w:rPr>
              <w:t>, kas vienkopus ietver un apvieno dažādus klimata pārmaiņas mazinošus pasākumus, nodrošinot kompleksus risinājumus un piemērus</w:t>
            </w:r>
            <w:r w:rsidRPr="009E5F7E">
              <w:rPr>
                <w:color w:val="000000" w:themeColor="text1"/>
              </w:rPr>
              <w:t>.</w:t>
            </w:r>
          </w:p>
          <w:p w14:paraId="6B6935D4" w14:textId="3E0338B4" w:rsidR="001D0B65" w:rsidRPr="009E5F7E" w:rsidRDefault="001D0B65" w:rsidP="00EE0382">
            <w:pPr>
              <w:ind w:left="141" w:right="236"/>
              <w:jc w:val="both"/>
              <w:outlineLvl w:val="0"/>
              <w:rPr>
                <w:color w:val="000000" w:themeColor="text1"/>
              </w:rPr>
            </w:pPr>
            <w:r w:rsidRPr="009E5F7E">
              <w:rPr>
                <w:color w:val="000000" w:themeColor="text1"/>
              </w:rPr>
              <w:t xml:space="preserve">  </w:t>
            </w:r>
            <w:r w:rsidR="009B2997" w:rsidRPr="009E5F7E">
              <w:rPr>
                <w:color w:val="000000" w:themeColor="text1"/>
              </w:rPr>
              <w:t>MK n</w:t>
            </w:r>
            <w:r w:rsidRPr="009E5F7E">
              <w:rPr>
                <w:color w:val="000000" w:themeColor="text1"/>
              </w:rPr>
              <w:t>oteikumu projekts nosaka</w:t>
            </w:r>
            <w:r w:rsidR="009B2997" w:rsidRPr="009E5F7E">
              <w:rPr>
                <w:color w:val="000000" w:themeColor="text1"/>
              </w:rPr>
              <w:t xml:space="preserve"> konkurs</w:t>
            </w:r>
            <w:r w:rsidR="00B14600">
              <w:rPr>
                <w:color w:val="000000" w:themeColor="text1"/>
              </w:rPr>
              <w:t>a</w:t>
            </w:r>
            <w:r w:rsidR="009B2997" w:rsidRPr="009E5F7E">
              <w:rPr>
                <w:color w:val="000000" w:themeColor="text1"/>
              </w:rPr>
              <w:t xml:space="preserve"> </w:t>
            </w:r>
            <w:r w:rsidRPr="009E5F7E">
              <w:rPr>
                <w:bCs/>
                <w:color w:val="000000" w:themeColor="text1"/>
              </w:rPr>
              <w:t xml:space="preserve">nolikumu, tai skaitā </w:t>
            </w:r>
            <w:r w:rsidRPr="009E5F7E">
              <w:rPr>
                <w:color w:val="000000" w:themeColor="text1"/>
              </w:rPr>
              <w:t>projektu iesniegumu vērtēšanas kritērijus, projektu iesniegumu iesniegšanas, izskatīšanas, apstiprināšanas un finansējuma piešķiršanas kārtību, kā arī projektu īstenošanas, pārskatu iesniegšanas un pārbaudes kārtību.</w:t>
            </w:r>
          </w:p>
          <w:p w14:paraId="3E42F8F5" w14:textId="6A363BAE" w:rsidR="001D0B65" w:rsidRPr="009E5F7E" w:rsidRDefault="001D0B65" w:rsidP="00EE0382">
            <w:pPr>
              <w:ind w:left="141" w:right="236"/>
              <w:jc w:val="both"/>
              <w:outlineLvl w:val="0"/>
              <w:rPr>
                <w:color w:val="000000" w:themeColor="text1"/>
              </w:rPr>
            </w:pPr>
            <w:r w:rsidRPr="009E5F7E">
              <w:rPr>
                <w:color w:val="000000" w:themeColor="text1"/>
              </w:rPr>
              <w:t xml:space="preserve">  Konkursa mērķis ir </w:t>
            </w:r>
            <w:r w:rsidR="00247677" w:rsidRPr="009E5F7E">
              <w:rPr>
                <w:color w:val="000000" w:themeColor="text1"/>
              </w:rPr>
              <w:t xml:space="preserve">potenciālā siltumnīcefekta gāzu emisiju </w:t>
            </w:r>
            <w:r w:rsidR="00D9551C" w:rsidRPr="009E5F7E">
              <w:rPr>
                <w:color w:val="000000" w:themeColor="text1"/>
              </w:rPr>
              <w:t>ierobežošana</w:t>
            </w:r>
            <w:r w:rsidR="00247677" w:rsidRPr="009E5F7E">
              <w:rPr>
                <w:color w:val="000000" w:themeColor="text1"/>
              </w:rPr>
              <w:t xml:space="preserve">, veicot jaunu un ilgtspējīgu zema enerģijas patēriņa </w:t>
            </w:r>
            <w:r w:rsidR="00247677" w:rsidRPr="009E5F7E">
              <w:rPr>
                <w:color w:val="000000" w:themeColor="text1"/>
              </w:rPr>
              <w:lastRenderedPageBreak/>
              <w:t>enerģētiski pašpietiekamu ēku būvniecību un nodrošinot izmantoto tehnoloģiju demonstrēšanas iespējas ēkas faktiskās ekspluatācijas apstākļos</w:t>
            </w:r>
            <w:r w:rsidRPr="009E5F7E">
              <w:rPr>
                <w:color w:val="000000" w:themeColor="text1"/>
              </w:rPr>
              <w:t xml:space="preserve">. Konkurss kā viena no īstenotajām aktivitātēm </w:t>
            </w:r>
            <w:r w:rsidR="00FC3F69" w:rsidRPr="009E5F7E">
              <w:rPr>
                <w:color w:val="000000" w:themeColor="text1"/>
              </w:rPr>
              <w:t xml:space="preserve">varētu tikt </w:t>
            </w:r>
            <w:r w:rsidRPr="009E5F7E">
              <w:rPr>
                <w:color w:val="000000" w:themeColor="text1"/>
              </w:rPr>
              <w:t xml:space="preserve">iekļauta </w:t>
            </w:r>
            <w:r w:rsidR="00FC3F69" w:rsidRPr="009E5F7E">
              <w:rPr>
                <w:color w:val="000000" w:themeColor="text1"/>
              </w:rPr>
              <w:t>informatīvajā ziņojumā attiecībā uz</w:t>
            </w:r>
            <w:r w:rsidRPr="009E5F7E">
              <w:rPr>
                <w:color w:val="000000" w:themeColor="text1"/>
              </w:rPr>
              <w:t xml:space="preserve"> alternatīvo energoefektivitātes pasākumu plānu Latvijai obligātā enerģijas ietaupījumu mērķa sasniegšanā.</w:t>
            </w:r>
          </w:p>
          <w:p w14:paraId="503C37E3" w14:textId="1E2112D7" w:rsidR="007063DF" w:rsidRPr="009E5F7E" w:rsidRDefault="007063DF" w:rsidP="00EE0382">
            <w:pPr>
              <w:tabs>
                <w:tab w:val="num" w:pos="720"/>
              </w:tabs>
              <w:ind w:left="141" w:right="236"/>
              <w:jc w:val="both"/>
              <w:rPr>
                <w:color w:val="000000" w:themeColor="text1"/>
              </w:rPr>
            </w:pPr>
            <w:r w:rsidRPr="009E5F7E">
              <w:rPr>
                <w:color w:val="000000" w:themeColor="text1"/>
              </w:rPr>
              <w:t xml:space="preserve">  Konkurss ir vērsts uz zema enerģijas patēriņa enerģētiski pašpietiekamu ēku būvniecību, t.i. īstenot ēkā energoefektīvus risinājumus un metodes, kā arī uzstādīt energoefektīvas iekārtas, un ēkas inženiertehnisko sistēmu nodrošināšanai nepieciešamo siltumenerģijas un elektroenerģijas daudzumu maksimāli saražot ar ēkā uzstādītajām atjaunojamo energoresursu tehnoloģijām.</w:t>
            </w:r>
          </w:p>
          <w:p w14:paraId="2A55A672" w14:textId="59AEC665" w:rsidR="001D0B65" w:rsidRPr="009E5F7E" w:rsidRDefault="001D0B65" w:rsidP="00EE0382">
            <w:pPr>
              <w:tabs>
                <w:tab w:val="num" w:pos="720"/>
              </w:tabs>
              <w:ind w:left="141" w:right="236"/>
              <w:jc w:val="both"/>
              <w:rPr>
                <w:color w:val="000000" w:themeColor="text1"/>
              </w:rPr>
            </w:pPr>
            <w:r w:rsidRPr="009E5F7E">
              <w:rPr>
                <w:color w:val="000000" w:themeColor="text1"/>
              </w:rPr>
              <w:t xml:space="preserve">  Konkursā noteikts ierobežots projekta iesniedzēju loks un ēku klasifikācija, jo projekta konkursa mērķis nav uzbūvēt iespējami lielu skaitu ēku, bet gan atbalstīt paraugprojektus</w:t>
            </w:r>
            <w:r w:rsidR="00FC51EB" w:rsidRPr="009E5F7E">
              <w:rPr>
                <w:color w:val="000000" w:themeColor="text1"/>
              </w:rPr>
              <w:t xml:space="preserve"> publiskajā sektorā</w:t>
            </w:r>
            <w:r w:rsidRPr="009E5F7E">
              <w:rPr>
                <w:color w:val="000000" w:themeColor="text1"/>
              </w:rPr>
              <w:t xml:space="preserve"> (energoefektivitātes pasākumu īstenošana ēkās, nosakot specifiskus nosacījumus, kā rezultātā arī citās līdzīgās ēkās varēs izmantot gūto pieredzi), tādā veidā, lai šiem projektiem būtu multiplikatīvs</w:t>
            </w:r>
            <w:r w:rsidR="001E6337" w:rsidRPr="009E5F7E">
              <w:rPr>
                <w:color w:val="000000" w:themeColor="text1"/>
              </w:rPr>
              <w:t xml:space="preserve"> (atkārtojamības)</w:t>
            </w:r>
            <w:r w:rsidRPr="009E5F7E">
              <w:rPr>
                <w:color w:val="000000" w:themeColor="text1"/>
              </w:rPr>
              <w:t xml:space="preserve"> pozitīvs efekts uz tautsaimniecību, tai skaitā, lai pateicoties labākiem paraugiem attīstītos </w:t>
            </w:r>
            <w:r w:rsidR="001E6337" w:rsidRPr="009E5F7E">
              <w:rPr>
                <w:color w:val="000000" w:themeColor="text1"/>
              </w:rPr>
              <w:t>zema</w:t>
            </w:r>
            <w:r w:rsidR="00FC51EB" w:rsidRPr="009E5F7E">
              <w:rPr>
                <w:color w:val="000000" w:themeColor="text1"/>
              </w:rPr>
              <w:t xml:space="preserve"> enerģijas</w:t>
            </w:r>
            <w:r w:rsidRPr="009E5F7E">
              <w:rPr>
                <w:color w:val="000000" w:themeColor="text1"/>
              </w:rPr>
              <w:t xml:space="preserve"> </w:t>
            </w:r>
            <w:r w:rsidR="00FC51EB" w:rsidRPr="009E5F7E">
              <w:rPr>
                <w:color w:val="000000" w:themeColor="text1"/>
              </w:rPr>
              <w:t>patēriņa enerģētiski pašpietiekamu</w:t>
            </w:r>
            <w:r w:rsidRPr="009E5F7E">
              <w:rPr>
                <w:color w:val="000000" w:themeColor="text1"/>
              </w:rPr>
              <w:t xml:space="preserve"> ēku būvniecība arī bez valsts atbalsta. Papildus tam ir ņemts vērā līdz šim sniegtais atbalsts zema enerģijas patēriņa ēku būvniecībai citu finanšu instrumentu </w:t>
            </w:r>
            <w:r w:rsidR="000845D8" w:rsidRPr="009E5F7E">
              <w:rPr>
                <w:color w:val="000000" w:themeColor="text1"/>
              </w:rPr>
              <w:t>(Klimata pārmaiņu finanšu instrumenta (projektu konkurss “</w:t>
            </w:r>
            <w:r w:rsidR="00764EC8" w:rsidRPr="009E5F7E">
              <w:rPr>
                <w:color w:val="000000" w:themeColor="text1"/>
              </w:rPr>
              <w:t>Zema enerģijas patēriņa ēkas</w:t>
            </w:r>
            <w:r w:rsidR="000845D8" w:rsidRPr="009E5F7E">
              <w:rPr>
                <w:color w:val="000000" w:themeColor="text1"/>
              </w:rPr>
              <w:t>”), Eiropas Ekonomiskas zonas finanšu instrumenta (projektu konkurss “</w:t>
            </w:r>
            <w:r w:rsidR="00764EC8" w:rsidRPr="009E5F7E">
              <w:rPr>
                <w:color w:val="000000" w:themeColor="text1"/>
              </w:rPr>
              <w:t>Ilgtspējīgu ēku, atjaunojamo energoresursu tehnoloģiju un inovatīvu emisiju samazinošu tehnoloģiju attīstība</w:t>
            </w:r>
            <w:r w:rsidR="000845D8" w:rsidRPr="009E5F7E">
              <w:rPr>
                <w:color w:val="000000" w:themeColor="text1"/>
              </w:rPr>
              <w:t>”) un Emisijas kvotu izsolīšanas instrumenta (projektu konkurss “Siltumnīce</w:t>
            </w:r>
            <w:r w:rsidR="00764EC8" w:rsidRPr="009E5F7E">
              <w:rPr>
                <w:color w:val="000000" w:themeColor="text1"/>
              </w:rPr>
              <w:t>fekta gāzu emisiju samazināšana </w:t>
            </w:r>
            <w:r w:rsidR="000845D8" w:rsidRPr="009E5F7E">
              <w:rPr>
                <w:color w:val="000000" w:themeColor="text1"/>
              </w:rPr>
              <w:t>–</w:t>
            </w:r>
            <w:r w:rsidR="00764EC8" w:rsidRPr="009E5F7E">
              <w:rPr>
                <w:color w:val="000000" w:themeColor="text1"/>
              </w:rPr>
              <w:t> </w:t>
            </w:r>
            <w:r w:rsidR="000845D8" w:rsidRPr="009E5F7E">
              <w:rPr>
                <w:color w:val="000000" w:themeColor="text1"/>
              </w:rPr>
              <w:t xml:space="preserve">zema enerģijas patēriņa ēkas”) </w:t>
            </w:r>
            <w:r w:rsidRPr="009E5F7E">
              <w:rPr>
                <w:color w:val="000000" w:themeColor="text1"/>
              </w:rPr>
              <w:t>ietvaros.</w:t>
            </w:r>
            <w:r w:rsidR="00FC51EB" w:rsidRPr="009E5F7E">
              <w:rPr>
                <w:color w:val="000000" w:themeColor="text1"/>
              </w:rPr>
              <w:t xml:space="preserve"> Papildus būtiska loma tiks pievērsta ēkas ilgtspējai, t.i. kvalitātes vērtēšanas kritērijos ir iekļauti vairāki kritēriji, kas veicinās dažādu efektīvu risinājumu ieviešanu gan attiecībā uz enerģijas ražošanu un izmantošanu, gan ūdens izmantošanu, gan ventilāciju, gan dažādu tehnoloģisko iekārtu automātisku vadību un kontroli, gan arī ēkas būvniecībā izmantotos materiālus</w:t>
            </w:r>
            <w:r w:rsidRPr="009E5F7E">
              <w:rPr>
                <w:color w:val="000000" w:themeColor="text1"/>
              </w:rPr>
              <w:t>.</w:t>
            </w:r>
          </w:p>
          <w:p w14:paraId="32DF3C48" w14:textId="77777777" w:rsidR="001D0B65" w:rsidRPr="009E5F7E" w:rsidRDefault="001D0B65" w:rsidP="00EE0382">
            <w:pPr>
              <w:ind w:left="141" w:right="236"/>
              <w:jc w:val="both"/>
              <w:outlineLvl w:val="0"/>
              <w:rPr>
                <w:color w:val="000000" w:themeColor="text1"/>
              </w:rPr>
            </w:pPr>
            <w:r w:rsidRPr="009E5F7E">
              <w:rPr>
                <w:color w:val="000000" w:themeColor="text1"/>
              </w:rPr>
              <w:t xml:space="preserve">  Projekta iesniedzējs ievēro būtiskās būvei izvirzāmās prasības, tai skaitā par ilgtspējīgu dabas resursu izmantošanu, kā arī zaļā publiskā iepirkuma un ilgtspējīgas būvniecības principus. Projekta iesniedzējs ir atbildīgs par atbilstoša projektēšanas uzdevuma izstrādi, par būvprojektētāja, būvdarbu veicēja un ekspertu izvēli. Šo prasību kontrole tiks veikta projektu vērtēšanas un īstenošanas laikā.</w:t>
            </w:r>
          </w:p>
          <w:p w14:paraId="391859F8" w14:textId="6C6DCB4C" w:rsidR="001D0B65" w:rsidRPr="009E5F7E" w:rsidRDefault="001D0B65" w:rsidP="00EE0382">
            <w:pPr>
              <w:ind w:left="141" w:right="236"/>
              <w:jc w:val="both"/>
              <w:rPr>
                <w:color w:val="000000" w:themeColor="text1"/>
              </w:rPr>
            </w:pPr>
            <w:r w:rsidRPr="009E5F7E">
              <w:rPr>
                <w:color w:val="000000" w:themeColor="text1"/>
              </w:rPr>
              <w:t xml:space="preserve">  Galvenie nosacījumi, kas nodrošinās demarkāciju </w:t>
            </w:r>
            <w:r w:rsidR="00FC51EB" w:rsidRPr="009E5F7E">
              <w:rPr>
                <w:color w:val="000000" w:themeColor="text1"/>
              </w:rPr>
              <w:t xml:space="preserve">ar citām iespējamajām atbalsta programmām </w:t>
            </w:r>
            <w:r w:rsidRPr="009E5F7E">
              <w:rPr>
                <w:color w:val="000000" w:themeColor="text1"/>
              </w:rPr>
              <w:t>ir:</w:t>
            </w:r>
          </w:p>
          <w:p w14:paraId="76404154" w14:textId="57E44E8A" w:rsidR="001D0B65" w:rsidRPr="009E5F7E" w:rsidRDefault="001D0B65" w:rsidP="009E5F7E">
            <w:pPr>
              <w:pStyle w:val="ListParagraph"/>
              <w:numPr>
                <w:ilvl w:val="0"/>
                <w:numId w:val="33"/>
              </w:numPr>
              <w:ind w:right="236"/>
              <w:jc w:val="both"/>
              <w:rPr>
                <w:color w:val="000000" w:themeColor="text1"/>
                <w:lang w:eastAsia="en-US"/>
              </w:rPr>
            </w:pPr>
            <w:r w:rsidRPr="009E5F7E">
              <w:rPr>
                <w:color w:val="000000" w:themeColor="text1"/>
                <w:lang w:eastAsia="en-US"/>
              </w:rPr>
              <w:t>projektu iesniegumu iesniegšanas termiņš. Šī konkursa ietvaros plānots, ka projektu konkurss tiks izsludināts 201</w:t>
            </w:r>
            <w:r w:rsidR="00FC51EB" w:rsidRPr="009E5F7E">
              <w:rPr>
                <w:color w:val="000000" w:themeColor="text1"/>
                <w:lang w:eastAsia="en-US"/>
              </w:rPr>
              <w:t>8</w:t>
            </w:r>
            <w:r w:rsidRPr="009E5F7E">
              <w:rPr>
                <w:color w:val="000000" w:themeColor="text1"/>
                <w:lang w:eastAsia="en-US"/>
              </w:rPr>
              <w:t xml:space="preserve">.g. </w:t>
            </w:r>
            <w:r w:rsidR="0075481D" w:rsidRPr="009E5F7E">
              <w:rPr>
                <w:color w:val="000000" w:themeColor="text1"/>
                <w:lang w:eastAsia="en-US"/>
              </w:rPr>
              <w:t>otrajā pusē</w:t>
            </w:r>
            <w:r w:rsidRPr="009E5F7E">
              <w:rPr>
                <w:color w:val="000000" w:themeColor="text1"/>
                <w:lang w:eastAsia="en-US"/>
              </w:rPr>
              <w:t xml:space="preserve">. </w:t>
            </w:r>
            <w:r w:rsidR="00B86EC6" w:rsidRPr="009E5F7E">
              <w:rPr>
                <w:color w:val="000000" w:themeColor="text1"/>
                <w:lang w:eastAsia="en-US"/>
              </w:rPr>
              <w:t>Vides aizsardzības un reģionālās attīstības mini</w:t>
            </w:r>
            <w:r w:rsidR="00996F2C" w:rsidRPr="009E5F7E">
              <w:rPr>
                <w:color w:val="000000" w:themeColor="text1"/>
                <w:lang w:eastAsia="en-US"/>
              </w:rPr>
              <w:t>s</w:t>
            </w:r>
            <w:r w:rsidR="00B86EC6" w:rsidRPr="009E5F7E">
              <w:rPr>
                <w:color w:val="000000" w:themeColor="text1"/>
                <w:lang w:eastAsia="en-US"/>
              </w:rPr>
              <w:t>trij</w:t>
            </w:r>
            <w:r w:rsidR="00996F2C" w:rsidRPr="009E5F7E">
              <w:rPr>
                <w:color w:val="000000" w:themeColor="text1"/>
                <w:lang w:eastAsia="en-US"/>
              </w:rPr>
              <w:t>a</w:t>
            </w:r>
            <w:r w:rsidR="00B86EC6" w:rsidRPr="009E5F7E">
              <w:rPr>
                <w:color w:val="000000" w:themeColor="text1"/>
                <w:lang w:eastAsia="en-US"/>
              </w:rPr>
              <w:t>s (turpmāk – </w:t>
            </w:r>
            <w:r w:rsidRPr="009E5F7E">
              <w:rPr>
                <w:color w:val="000000" w:themeColor="text1"/>
                <w:lang w:eastAsia="en-US"/>
              </w:rPr>
              <w:t>VARAM</w:t>
            </w:r>
            <w:r w:rsidR="00B86EC6" w:rsidRPr="009E5F7E">
              <w:rPr>
                <w:color w:val="000000" w:themeColor="text1"/>
                <w:lang w:eastAsia="en-US"/>
              </w:rPr>
              <w:t>)</w:t>
            </w:r>
            <w:r w:rsidRPr="009E5F7E">
              <w:rPr>
                <w:color w:val="000000" w:themeColor="text1"/>
                <w:lang w:eastAsia="en-US"/>
              </w:rPr>
              <w:t xml:space="preserve"> rīcībā nav informācija, par to, ka kādā no specifiskā atbalsta mērķiem </w:t>
            </w:r>
            <w:r w:rsidR="00A63064" w:rsidRPr="009E5F7E">
              <w:rPr>
                <w:color w:val="000000" w:themeColor="text1"/>
                <w:lang w:eastAsia="en-US"/>
              </w:rPr>
              <w:t xml:space="preserve">Eiropas Savienības struktūrfondu un Kohēzijas fondu </w:t>
            </w:r>
            <w:r w:rsidR="00A63064" w:rsidRPr="009E5F7E">
              <w:rPr>
                <w:color w:val="000000" w:themeColor="text1"/>
                <w:lang w:eastAsia="en-US"/>
              </w:rPr>
              <w:lastRenderedPageBreak/>
              <w:t xml:space="preserve">ieviešanā </w:t>
            </w:r>
            <w:r w:rsidR="00FC51EB" w:rsidRPr="009E5F7E">
              <w:rPr>
                <w:color w:val="000000" w:themeColor="text1"/>
                <w:lang w:eastAsia="en-US"/>
              </w:rPr>
              <w:t xml:space="preserve">vai </w:t>
            </w:r>
            <w:r w:rsidR="00B86EC6" w:rsidRPr="009E5F7E">
              <w:rPr>
                <w:color w:val="000000" w:themeColor="text1"/>
                <w:lang w:eastAsia="en-US"/>
              </w:rPr>
              <w:t>Eiropas Ekonomiskās zonas</w:t>
            </w:r>
            <w:r w:rsidR="00FC51EB" w:rsidRPr="009E5F7E">
              <w:rPr>
                <w:color w:val="000000" w:themeColor="text1"/>
                <w:lang w:eastAsia="en-US"/>
              </w:rPr>
              <w:t xml:space="preserve"> un Norvēģijas finanšu instrumentā </w:t>
            </w:r>
            <w:r w:rsidRPr="009E5F7E">
              <w:rPr>
                <w:color w:val="000000" w:themeColor="text1"/>
                <w:lang w:eastAsia="en-US"/>
              </w:rPr>
              <w:t>varētu tikt uzsākta projektu iesniegšana ātrāk</w:t>
            </w:r>
            <w:r w:rsidR="00B86EC6" w:rsidRPr="009E5F7E">
              <w:rPr>
                <w:color w:val="000000" w:themeColor="text1"/>
                <w:lang w:eastAsia="en-US"/>
              </w:rPr>
              <w:t xml:space="preserve"> nekā šajā projektu konkursā</w:t>
            </w:r>
            <w:r w:rsidRPr="009E5F7E">
              <w:rPr>
                <w:color w:val="000000" w:themeColor="text1"/>
                <w:lang w:eastAsia="en-US"/>
              </w:rPr>
              <w:t>;</w:t>
            </w:r>
          </w:p>
          <w:p w14:paraId="1A17233D" w14:textId="2BF19DA8" w:rsidR="001D0B65" w:rsidRPr="009E5F7E" w:rsidRDefault="001D0B65" w:rsidP="009E5F7E">
            <w:pPr>
              <w:pStyle w:val="ListParagraph"/>
              <w:numPr>
                <w:ilvl w:val="0"/>
                <w:numId w:val="33"/>
              </w:numPr>
              <w:ind w:right="236"/>
              <w:jc w:val="both"/>
              <w:rPr>
                <w:color w:val="000000" w:themeColor="text1"/>
                <w:lang w:eastAsia="en-US"/>
              </w:rPr>
            </w:pPr>
            <w:r w:rsidRPr="009E5F7E">
              <w:rPr>
                <w:color w:val="000000" w:themeColor="text1"/>
                <w:lang w:eastAsia="en-US"/>
              </w:rPr>
              <w:t>būvju</w:t>
            </w:r>
            <w:r w:rsidR="00B86EC6" w:rsidRPr="009E5F7E">
              <w:rPr>
                <w:color w:val="000000" w:themeColor="text1"/>
                <w:lang w:eastAsia="en-US"/>
              </w:rPr>
              <w:t xml:space="preserve"> (ēku)</w:t>
            </w:r>
            <w:r w:rsidRPr="009E5F7E">
              <w:rPr>
                <w:color w:val="000000" w:themeColor="text1"/>
                <w:lang w:eastAsia="en-US"/>
              </w:rPr>
              <w:t xml:space="preserve"> klasifi</w:t>
            </w:r>
            <w:r w:rsidR="00FC51EB" w:rsidRPr="009E5F7E">
              <w:rPr>
                <w:color w:val="000000" w:themeColor="text1"/>
                <w:lang w:eastAsia="en-US"/>
              </w:rPr>
              <w:t>kācijas kodi – 1261 un</w:t>
            </w:r>
            <w:r w:rsidRPr="009E5F7E">
              <w:rPr>
                <w:color w:val="000000" w:themeColor="text1"/>
                <w:lang w:eastAsia="en-US"/>
              </w:rPr>
              <w:t xml:space="preserve"> 1262;</w:t>
            </w:r>
          </w:p>
          <w:p w14:paraId="75A43B51" w14:textId="77777777" w:rsidR="007E6BB3" w:rsidRPr="009E5F7E" w:rsidRDefault="001D0B65" w:rsidP="009E5F7E">
            <w:pPr>
              <w:pStyle w:val="ListParagraph"/>
              <w:numPr>
                <w:ilvl w:val="0"/>
                <w:numId w:val="33"/>
              </w:numPr>
              <w:ind w:right="236"/>
              <w:jc w:val="both"/>
              <w:rPr>
                <w:iCs/>
                <w:color w:val="000000" w:themeColor="text1"/>
              </w:rPr>
            </w:pPr>
            <w:r w:rsidRPr="009E5F7E">
              <w:rPr>
                <w:color w:val="000000" w:themeColor="text1"/>
                <w:lang w:eastAsia="en-US"/>
              </w:rPr>
              <w:t xml:space="preserve">augsts sasniedzamais rādītājs attiecībā uz </w:t>
            </w:r>
            <w:r w:rsidRPr="009E5F7E">
              <w:rPr>
                <w:color w:val="000000" w:themeColor="text1"/>
              </w:rPr>
              <w:t>enerģijas patēriņu apkurei uz ēkas aprēķina platību</w:t>
            </w:r>
            <w:r w:rsidR="007E6BB3" w:rsidRPr="009E5F7E">
              <w:rPr>
                <w:color w:val="000000" w:themeColor="text1"/>
              </w:rPr>
              <w:t>;</w:t>
            </w:r>
          </w:p>
          <w:p w14:paraId="08E0D3FC" w14:textId="64A3B43B" w:rsidR="00E72488" w:rsidRPr="009E5F7E" w:rsidRDefault="007E6BB3" w:rsidP="009E5F7E">
            <w:pPr>
              <w:pStyle w:val="ListParagraph"/>
              <w:numPr>
                <w:ilvl w:val="0"/>
                <w:numId w:val="33"/>
              </w:numPr>
              <w:ind w:right="236"/>
              <w:jc w:val="both"/>
              <w:rPr>
                <w:iCs/>
                <w:color w:val="000000" w:themeColor="text1"/>
              </w:rPr>
            </w:pPr>
            <w:r w:rsidRPr="009E5F7E">
              <w:rPr>
                <w:color w:val="000000" w:themeColor="text1"/>
              </w:rPr>
              <w:t>konkursa mērķis, atbalstāmā aktivitāte un attiecināmās izmaksas</w:t>
            </w:r>
            <w:r w:rsidR="001D0B65" w:rsidRPr="009E5F7E">
              <w:rPr>
                <w:color w:val="000000" w:themeColor="text1"/>
              </w:rPr>
              <w:t>.</w:t>
            </w:r>
          </w:p>
          <w:p w14:paraId="31078095" w14:textId="5576062C" w:rsidR="00105047" w:rsidRPr="009E5F7E" w:rsidRDefault="00D9551C" w:rsidP="00D9551C">
            <w:pPr>
              <w:ind w:left="131" w:right="236"/>
              <w:jc w:val="both"/>
              <w:rPr>
                <w:noProof/>
                <w:color w:val="000000" w:themeColor="text1"/>
              </w:rPr>
            </w:pPr>
            <w:r w:rsidRPr="009E5F7E">
              <w:rPr>
                <w:noProof/>
                <w:color w:val="000000" w:themeColor="text1"/>
              </w:rPr>
              <w:t xml:space="preserve">  </w:t>
            </w:r>
            <w:r w:rsidR="00DF14F6" w:rsidRPr="009E5F7E">
              <w:rPr>
                <w:noProof/>
                <w:color w:val="000000" w:themeColor="text1"/>
              </w:rPr>
              <w:t>K</w:t>
            </w:r>
            <w:r w:rsidR="00FA22A4" w:rsidRPr="009E5F7E">
              <w:rPr>
                <w:noProof/>
                <w:color w:val="000000" w:themeColor="text1"/>
              </w:rPr>
              <w:t>ārt</w:t>
            </w:r>
            <w:r w:rsidR="00DF14F6" w:rsidRPr="009E5F7E">
              <w:rPr>
                <w:noProof/>
                <w:color w:val="000000" w:themeColor="text1"/>
              </w:rPr>
              <w:t>ība</w:t>
            </w:r>
            <w:r w:rsidR="00FA22A4" w:rsidRPr="009E5F7E">
              <w:rPr>
                <w:noProof/>
                <w:color w:val="000000" w:themeColor="text1"/>
              </w:rPr>
              <w:t xml:space="preserve"> </w:t>
            </w:r>
            <w:r w:rsidR="00DF14F6" w:rsidRPr="009E5F7E">
              <w:rPr>
                <w:noProof/>
                <w:color w:val="000000" w:themeColor="text1"/>
              </w:rPr>
              <w:t>attiecībā uz valsts atbalsta izvērtēšanu (gadījumā, ja</w:t>
            </w:r>
            <w:r w:rsidR="00DF14F6" w:rsidRPr="009E5F7E">
              <w:rPr>
                <w:color w:val="000000" w:themeColor="text1"/>
              </w:rPr>
              <w:t xml:space="preserve"> pašvaldības projekta iesniegumā paredzēts šo noteikumu 24. punktā minēto aktivitāti īstenot šo noteikumu 15.1.2. apakšpunktā minētajā ēku klasē) tiks </w:t>
            </w:r>
            <w:r w:rsidR="00DF14F6" w:rsidRPr="009E5F7E">
              <w:rPr>
                <w:noProof/>
                <w:color w:val="000000" w:themeColor="text1"/>
              </w:rPr>
              <w:t>notiekta projektu iesniegumu vētēšanas</w:t>
            </w:r>
            <w:r w:rsidR="00FA22A4" w:rsidRPr="009E5F7E">
              <w:rPr>
                <w:noProof/>
                <w:color w:val="000000" w:themeColor="text1"/>
              </w:rPr>
              <w:t xml:space="preserve"> </w:t>
            </w:r>
            <w:r w:rsidR="00DF14F6" w:rsidRPr="009E5F7E">
              <w:rPr>
                <w:noProof/>
                <w:color w:val="000000" w:themeColor="text1"/>
              </w:rPr>
              <w:t>vadlīnijās.</w:t>
            </w:r>
          </w:p>
          <w:p w14:paraId="4806EEFE" w14:textId="67FB12D7" w:rsidR="00105047" w:rsidRPr="009E5F7E" w:rsidRDefault="00D9551C" w:rsidP="00D9551C">
            <w:pPr>
              <w:ind w:left="131" w:right="236"/>
              <w:jc w:val="both"/>
              <w:rPr>
                <w:color w:val="000000" w:themeColor="text1"/>
              </w:rPr>
            </w:pPr>
            <w:r w:rsidRPr="009E5F7E">
              <w:rPr>
                <w:color w:val="000000" w:themeColor="text1"/>
              </w:rPr>
              <w:t xml:space="preserve">  </w:t>
            </w:r>
            <w:r w:rsidR="00A4659C" w:rsidRPr="009E5F7E">
              <w:rPr>
                <w:color w:val="000000" w:themeColor="text1"/>
              </w:rPr>
              <w:t>Enerģētiski pašpietiekamas ēkas nepieciešamais enerģijas apjoms ēkas inženiertehniskajām sistēmām, kas nodrošina apgaismojumu var tikt saražots gan izmantojot atjaunojamo energoresursu tehnoloģijas, gan iepirkts no elektroenerģijas tirgotāja.</w:t>
            </w:r>
            <w:r w:rsidR="00DF1F89" w:rsidRPr="009E5F7E">
              <w:rPr>
                <w:color w:val="000000" w:themeColor="text1"/>
              </w:rPr>
              <w:t xml:space="preserve"> Galvenais iemesls ēkā uzstādāmo iekārtu un ek</w:t>
            </w:r>
            <w:r w:rsidRPr="009E5F7E">
              <w:rPr>
                <w:color w:val="000000" w:themeColor="text1"/>
              </w:rPr>
              <w:t>s</w:t>
            </w:r>
            <w:r w:rsidR="00DF1F89" w:rsidRPr="009E5F7E">
              <w:rPr>
                <w:color w:val="000000" w:themeColor="text1"/>
              </w:rPr>
              <w:t>pozīciju nodrošināšanai nepieciešamais elektroenerģijas apjoms var būt būtiski lielāks nekā ir tehniski un ekonomiski pamatoti uzstādīt atjaunojamo energoresursu tehnoloģijas ēkas ietvaros.</w:t>
            </w:r>
          </w:p>
          <w:p w14:paraId="615A0DCF" w14:textId="56D0AB12" w:rsidR="002448E0" w:rsidRPr="009E5F7E" w:rsidRDefault="000C2D43" w:rsidP="00BF7615">
            <w:pPr>
              <w:ind w:left="131" w:right="236"/>
              <w:jc w:val="both"/>
              <w:rPr>
                <w:noProof/>
                <w:color w:val="000000" w:themeColor="text1"/>
              </w:rPr>
            </w:pPr>
            <w:r w:rsidRPr="009E5F7E">
              <w:rPr>
                <w:noProof/>
                <w:color w:val="000000" w:themeColor="text1"/>
              </w:rPr>
              <w:t xml:space="preserve">  </w:t>
            </w:r>
            <w:r w:rsidR="007063DF" w:rsidRPr="009E5F7E">
              <w:rPr>
                <w:noProof/>
                <w:color w:val="000000" w:themeColor="text1"/>
              </w:rPr>
              <w:t>U</w:t>
            </w:r>
            <w:r w:rsidR="00A15BCE" w:rsidRPr="009E5F7E">
              <w:rPr>
                <w:noProof/>
                <w:color w:val="000000" w:themeColor="text1"/>
              </w:rPr>
              <w:t>zlādes stacijas</w:t>
            </w:r>
            <w:r w:rsidR="007063DF" w:rsidRPr="009E5F7E">
              <w:rPr>
                <w:noProof/>
                <w:color w:val="000000" w:themeColor="text1"/>
              </w:rPr>
              <w:t xml:space="preserve"> vai uzlādes punkta</w:t>
            </w:r>
            <w:r w:rsidR="00A15BCE" w:rsidRPr="009E5F7E">
              <w:rPr>
                <w:noProof/>
                <w:color w:val="000000" w:themeColor="text1"/>
              </w:rPr>
              <w:t xml:space="preserve"> darbībai nav obligāti jāizmanto elektroenerģija, kas tiek saražota ar projekta ietvaros uzstādāmo atjaunojamo energoresursu tehnoloģijām.</w:t>
            </w:r>
          </w:p>
          <w:p w14:paraId="27CF1FD1" w14:textId="78683E4B" w:rsidR="00BF7615" w:rsidRPr="009E5F7E" w:rsidRDefault="00BF7615" w:rsidP="00BF7615">
            <w:pPr>
              <w:ind w:left="131" w:right="236"/>
              <w:jc w:val="both"/>
              <w:rPr>
                <w:color w:val="000000" w:themeColor="text1"/>
              </w:rPr>
            </w:pPr>
            <w:r w:rsidRPr="009E5F7E">
              <w:rPr>
                <w:color w:val="000000" w:themeColor="text1"/>
              </w:rPr>
              <w:t xml:space="preserve">  Ēkas būvniecības laikā visai izmantotai koksnes produkcijai ir jābūt sertificētai, piemēram, atbilstoši FSC (</w:t>
            </w:r>
            <w:r w:rsidRPr="009E5F7E">
              <w:rPr>
                <w:i/>
                <w:color w:val="000000" w:themeColor="text1"/>
              </w:rPr>
              <w:t>Forest Stewardship Council</w:t>
            </w:r>
            <w:r w:rsidRPr="009E5F7E">
              <w:rPr>
                <w:color w:val="000000" w:themeColor="text1"/>
              </w:rPr>
              <w:t xml:space="preserve">) </w:t>
            </w:r>
            <w:r w:rsidR="006D3D2A" w:rsidRPr="009E5F7E">
              <w:rPr>
                <w:color w:val="000000" w:themeColor="text1"/>
              </w:rPr>
              <w:t>vai</w:t>
            </w:r>
            <w:r w:rsidRPr="009E5F7E">
              <w:rPr>
                <w:color w:val="000000" w:themeColor="text1"/>
              </w:rPr>
              <w:t xml:space="preserve"> PEFC (</w:t>
            </w:r>
            <w:r w:rsidRPr="009E5F7E">
              <w:rPr>
                <w:i/>
                <w:color w:val="000000" w:themeColor="text1"/>
              </w:rPr>
              <w:t>The Programme for the Endorsement of Forest Certification</w:t>
            </w:r>
            <w:r w:rsidRPr="009E5F7E">
              <w:rPr>
                <w:color w:val="000000" w:themeColor="text1"/>
              </w:rPr>
              <w:t>) koksnes piegāžu ķēdes sertifikācija</w:t>
            </w:r>
            <w:r w:rsidR="006D3D2A" w:rsidRPr="009E5F7E">
              <w:rPr>
                <w:color w:val="000000" w:themeColor="text1"/>
              </w:rPr>
              <w:t>s prasībām</w:t>
            </w:r>
            <w:r w:rsidRPr="009E5F7E">
              <w:rPr>
                <w:color w:val="000000" w:themeColor="text1"/>
              </w:rPr>
              <w:t>.</w:t>
            </w:r>
          </w:p>
          <w:p w14:paraId="4EFB6216" w14:textId="1B206E04" w:rsidR="009B4D08" w:rsidRPr="009E5F7E" w:rsidRDefault="00DA2AC2" w:rsidP="00196CF2">
            <w:pPr>
              <w:ind w:left="131" w:right="282"/>
              <w:jc w:val="both"/>
              <w:rPr>
                <w:color w:val="000000" w:themeColor="text1"/>
              </w:rPr>
            </w:pPr>
            <w:r>
              <w:rPr>
                <w:color w:val="000000" w:themeColor="text1"/>
              </w:rPr>
              <w:t xml:space="preserve">  </w:t>
            </w:r>
            <w:r w:rsidR="009B4D08" w:rsidRPr="009E5F7E">
              <w:rPr>
                <w:color w:val="000000" w:themeColor="text1"/>
              </w:rPr>
              <w:t>Ar 2017. gada 1. jūniju spēku zaudēja Ministru kabineta 2009. gada 22. decembra noteikumi Nr. 1620 "Noteikumi par būvju klasifikāciju" (turpmāk – Būvju klasifikācija). Kaut gan Būvju klasifikāciju no 2017. gada 1. jūnija formāli vairs nevar piemērot, Administratīvā procesa likums paredz būtisku regulējumu gadījumiem, ja jautājums nav noregulēts ar ārēju normatīvo aktu. Ņemot vērā, ka Ministru kabinets nav pieņēmis jaunu Būvju klasifikāciju, tad arī pēc 2017. gada 31. maija piemērojama līdzšinējā Būvju klasifikācija. Tā piemērojama līdz brīdim, kad spēkā stāsies jaunie Ministru kabineta noteikumi, kas noteiks Būvju klasifikāciju.</w:t>
            </w:r>
          </w:p>
          <w:p w14:paraId="710BBC77" w14:textId="77777777" w:rsidR="00432C1E" w:rsidRDefault="000C2D43" w:rsidP="00196CF2">
            <w:pPr>
              <w:ind w:left="131" w:right="236"/>
              <w:jc w:val="both"/>
              <w:rPr>
                <w:noProof/>
                <w:color w:val="000000" w:themeColor="text1"/>
              </w:rPr>
            </w:pPr>
            <w:r w:rsidRPr="009E5F7E">
              <w:rPr>
                <w:noProof/>
                <w:color w:val="000000" w:themeColor="text1"/>
              </w:rPr>
              <w:t xml:space="preserve">  </w:t>
            </w:r>
            <w:r w:rsidR="00784AAD" w:rsidRPr="009E5F7E">
              <w:rPr>
                <w:noProof/>
                <w:color w:val="000000" w:themeColor="text1"/>
              </w:rPr>
              <w:t>Projektu ietvaros maksimālā avanasa maksājuma lielums (50% apmērā no projektam apstirpinātā finanšu instrumenta summas) ir notiekts, ņemot vērā projektu iesniedzēju loku – pašvaldības</w:t>
            </w:r>
            <w:r w:rsidR="00901BC6" w:rsidRPr="009E5F7E">
              <w:rPr>
                <w:noProof/>
                <w:color w:val="000000" w:themeColor="text1"/>
              </w:rPr>
              <w:t xml:space="preserve"> un to iestādes</w:t>
            </w:r>
            <w:r w:rsidR="00784AAD" w:rsidRPr="009E5F7E">
              <w:rPr>
                <w:noProof/>
                <w:color w:val="000000" w:themeColor="text1"/>
              </w:rPr>
              <w:t>, kā arī līdzšinējo pieredzi Klimata p</w:t>
            </w:r>
            <w:r w:rsidR="008C0547" w:rsidRPr="009E5F7E">
              <w:rPr>
                <w:noProof/>
                <w:color w:val="000000" w:themeColor="text1"/>
              </w:rPr>
              <w:t>ār</w:t>
            </w:r>
            <w:r w:rsidR="00784AAD" w:rsidRPr="009E5F7E">
              <w:rPr>
                <w:noProof/>
                <w:color w:val="000000" w:themeColor="text1"/>
              </w:rPr>
              <w:t>maiņu finanšu insturmenta un Emisijas kvotu izsolī</w:t>
            </w:r>
            <w:r w:rsidR="000845D8" w:rsidRPr="009E5F7E">
              <w:rPr>
                <w:noProof/>
                <w:color w:val="000000" w:themeColor="text1"/>
              </w:rPr>
              <w:t>ša</w:t>
            </w:r>
            <w:r w:rsidR="00784AAD" w:rsidRPr="009E5F7E">
              <w:rPr>
                <w:noProof/>
                <w:color w:val="000000" w:themeColor="text1"/>
              </w:rPr>
              <w:t>n</w:t>
            </w:r>
            <w:r w:rsidR="000845D8" w:rsidRPr="009E5F7E">
              <w:rPr>
                <w:noProof/>
                <w:color w:val="000000" w:themeColor="text1"/>
              </w:rPr>
              <w:t>a</w:t>
            </w:r>
            <w:r w:rsidR="00784AAD" w:rsidRPr="009E5F7E">
              <w:rPr>
                <w:noProof/>
                <w:color w:val="000000" w:themeColor="text1"/>
              </w:rPr>
              <w:t>s instrumenta ietvaros, lai nodrošinātu pēc iespējas precīzāku naudas plūsmu un finasnējuma plānošanu.</w:t>
            </w:r>
          </w:p>
          <w:p w14:paraId="0F1512DB" w14:textId="6A4A021C" w:rsidR="0056675A" w:rsidRPr="009E5F7E" w:rsidRDefault="006A5063" w:rsidP="00196CF2">
            <w:pPr>
              <w:ind w:left="131" w:right="236"/>
              <w:jc w:val="both"/>
              <w:rPr>
                <w:noProof/>
                <w:color w:val="000000" w:themeColor="text1"/>
              </w:rPr>
            </w:pPr>
            <w:r w:rsidRPr="009E5F7E">
              <w:rPr>
                <w:noProof/>
                <w:color w:val="000000" w:themeColor="text1"/>
              </w:rPr>
              <w:t xml:space="preserve">  </w:t>
            </w:r>
            <w:r w:rsidRPr="009E5F7E">
              <w:rPr>
                <w:color w:val="000000" w:themeColor="text1"/>
              </w:rPr>
              <w:t>Attiecībā uz</w:t>
            </w:r>
            <w:r w:rsidR="0056675A" w:rsidRPr="009E5F7E">
              <w:rPr>
                <w:color w:val="000000" w:themeColor="text1"/>
              </w:rPr>
              <w:t xml:space="preserve"> prasīb</w:t>
            </w:r>
            <w:r w:rsidRPr="009E5F7E">
              <w:rPr>
                <w:color w:val="000000" w:themeColor="text1"/>
              </w:rPr>
              <w:t>ām</w:t>
            </w:r>
            <w:r w:rsidR="0056675A" w:rsidRPr="009E5F7E">
              <w:rPr>
                <w:color w:val="000000" w:themeColor="text1"/>
              </w:rPr>
              <w:t xml:space="preserve"> ēkas viedajai vadības un kontroles sistēmai</w:t>
            </w:r>
            <w:r w:rsidRPr="009E5F7E">
              <w:rPr>
                <w:color w:val="000000" w:themeColor="text1"/>
              </w:rPr>
              <w:t xml:space="preserve"> esošā MK noteikumu projekta redakcija pieļauj, ka ēkās tiek izmantotas</w:t>
            </w:r>
            <w:r w:rsidR="0056675A" w:rsidRPr="009E5F7E">
              <w:rPr>
                <w:color w:val="000000" w:themeColor="text1"/>
              </w:rPr>
              <w:t xml:space="preserve"> </w:t>
            </w:r>
            <w:r w:rsidRPr="009E5F7E">
              <w:rPr>
                <w:color w:val="000000" w:themeColor="text1"/>
              </w:rPr>
              <w:t>p</w:t>
            </w:r>
            <w:r w:rsidR="0056675A" w:rsidRPr="009E5F7E">
              <w:rPr>
                <w:color w:val="000000" w:themeColor="text1"/>
              </w:rPr>
              <w:t>ašregulējoš</w:t>
            </w:r>
            <w:r w:rsidRPr="009E5F7E">
              <w:rPr>
                <w:color w:val="000000" w:themeColor="text1"/>
              </w:rPr>
              <w:t>as</w:t>
            </w:r>
            <w:r w:rsidR="0056675A" w:rsidRPr="009E5F7E">
              <w:rPr>
                <w:color w:val="000000" w:themeColor="text1"/>
              </w:rPr>
              <w:t xml:space="preserve"> ierīc</w:t>
            </w:r>
            <w:r w:rsidRPr="009E5F7E">
              <w:rPr>
                <w:color w:val="000000" w:themeColor="text1"/>
              </w:rPr>
              <w:t>es</w:t>
            </w:r>
            <w:r w:rsidR="0056675A" w:rsidRPr="009E5F7E">
              <w:rPr>
                <w:color w:val="000000" w:themeColor="text1"/>
              </w:rPr>
              <w:t xml:space="preserve"> temperatūras atsevišķai regulēšanai katrā </w:t>
            </w:r>
            <w:r w:rsidRPr="009E5F7E">
              <w:rPr>
                <w:color w:val="000000" w:themeColor="text1"/>
              </w:rPr>
              <w:t>telpā</w:t>
            </w:r>
            <w:r w:rsidR="0056675A" w:rsidRPr="009E5F7E">
              <w:rPr>
                <w:color w:val="000000" w:themeColor="text1"/>
              </w:rPr>
              <w:t xml:space="preserve"> vai, ja tas ir pamatoti, noteiktā apsildītā </w:t>
            </w:r>
            <w:r w:rsidR="0056675A" w:rsidRPr="009E5F7E">
              <w:rPr>
                <w:color w:val="000000" w:themeColor="text1"/>
              </w:rPr>
              <w:lastRenderedPageBreak/>
              <w:t>ēkas daļas zonā</w:t>
            </w:r>
            <w:r w:rsidRPr="009E5F7E">
              <w:rPr>
                <w:color w:val="000000" w:themeColor="text1"/>
              </w:rPr>
              <w:t>; u</w:t>
            </w:r>
            <w:r w:rsidR="0056675A" w:rsidRPr="009E5F7E">
              <w:rPr>
                <w:color w:val="000000" w:themeColor="text1"/>
              </w:rPr>
              <w:t>zstādīt ēkas automatizācijas un vadības sistēmu, kas spēj:</w:t>
            </w:r>
          </w:p>
          <w:p w14:paraId="36810FC9" w14:textId="77777777" w:rsidR="0056675A" w:rsidRPr="009E5F7E" w:rsidRDefault="0056675A" w:rsidP="006A5063">
            <w:pPr>
              <w:autoSpaceDE w:val="0"/>
              <w:autoSpaceDN w:val="0"/>
              <w:adjustRightInd w:val="0"/>
              <w:ind w:left="821" w:hanging="284"/>
              <w:jc w:val="both"/>
              <w:rPr>
                <w:color w:val="000000" w:themeColor="text1"/>
              </w:rPr>
            </w:pPr>
            <w:r w:rsidRPr="009E5F7E">
              <w:rPr>
                <w:color w:val="000000" w:themeColor="text1"/>
              </w:rPr>
              <w:t>a)</w:t>
            </w:r>
            <w:r w:rsidRPr="009E5F7E">
              <w:rPr>
                <w:color w:val="000000" w:themeColor="text1"/>
              </w:rPr>
              <w:tab/>
              <w:t>pastāvīgi uzraudzīt, reģistrēt, analizēt un dot iespējas koriģēt enerģijas izmantošanu;</w:t>
            </w:r>
          </w:p>
          <w:p w14:paraId="0B04F787" w14:textId="77777777" w:rsidR="006A5063" w:rsidRPr="009E5F7E" w:rsidRDefault="0056675A" w:rsidP="006A5063">
            <w:pPr>
              <w:autoSpaceDE w:val="0"/>
              <w:autoSpaceDN w:val="0"/>
              <w:adjustRightInd w:val="0"/>
              <w:ind w:left="821" w:hanging="284"/>
              <w:jc w:val="both"/>
              <w:rPr>
                <w:color w:val="000000" w:themeColor="text1"/>
              </w:rPr>
            </w:pPr>
            <w:r w:rsidRPr="009E5F7E">
              <w:rPr>
                <w:color w:val="000000" w:themeColor="text1"/>
              </w:rPr>
              <w:t>b)</w:t>
            </w:r>
            <w:r w:rsidRPr="009E5F7E">
              <w:rPr>
                <w:color w:val="000000" w:themeColor="text1"/>
              </w:rPr>
              <w:tab/>
              <w:t>salīdzinoši novērtēt ēkas energoefektivitāti, atklāt ēkas inženiertehnisko sistēmu efektivitātes zudumus un informēt par ēku atbildīgo personu vai ēkas inženiertehnisko sistēmu apsaimniekotāju par energoefektivitātes uzlabošanas iespējām;</w:t>
            </w:r>
          </w:p>
          <w:p w14:paraId="4B837595" w14:textId="1CBA22D9" w:rsidR="0056675A" w:rsidRDefault="0056675A" w:rsidP="006A5063">
            <w:pPr>
              <w:ind w:left="821" w:right="236" w:hanging="284"/>
              <w:jc w:val="both"/>
              <w:rPr>
                <w:color w:val="000000" w:themeColor="text1"/>
              </w:rPr>
            </w:pPr>
            <w:r w:rsidRPr="009E5F7E">
              <w:rPr>
                <w:color w:val="000000" w:themeColor="text1"/>
              </w:rPr>
              <w:t>c)</w:t>
            </w:r>
            <w:r w:rsidRPr="009E5F7E">
              <w:rPr>
                <w:color w:val="000000" w:themeColor="text1"/>
              </w:rPr>
              <w:tab/>
              <w:t>nodrošināt komunikāciju ar pieslēgtajām ēkas inženiertehniskajām sistēmām un citām ierīcēm ēkas iekšienē un būt sadarbspējīgām ar ēkas inženiertehniskajām sistēmām neatkarīgi no autortehnoloģiju, ierīču un ražotāju dažādības.</w:t>
            </w:r>
          </w:p>
          <w:p w14:paraId="2C0007E7" w14:textId="7200924C" w:rsidR="00DA2AC2" w:rsidRPr="00DA2AC2" w:rsidRDefault="00DA2AC2" w:rsidP="00DA2AC2">
            <w:pPr>
              <w:ind w:left="131" w:right="236"/>
              <w:jc w:val="both"/>
              <w:rPr>
                <w:noProof/>
                <w:color w:val="000000" w:themeColor="text1"/>
              </w:rPr>
            </w:pPr>
            <w:r w:rsidRPr="00DA2AC2">
              <w:rPr>
                <w:color w:val="000000" w:themeColor="text1"/>
              </w:rPr>
              <w:t xml:space="preserve">  MK noteikumu projekts paredz arī konkrētas prasības attiecībā uz gaisa kondicionēšanu un ventilāciju (g</w:t>
            </w:r>
            <w:r w:rsidRPr="00DA2AC2">
              <w:rPr>
                <w:color w:val="000000" w:themeColor="text1"/>
                <w:shd w:val="clear" w:color="auto" w:fill="FFFFFF"/>
              </w:rPr>
              <w:t xml:space="preserve">aisa kondicionēšana ir gaisa apstrādes process jeb mitruma, temperatūras un gaisa kustības ātruma radīšana un automātiska uzturēšana slēgtās telpās. Plašākā nozīmē šis termins attiecināms uz ventilāciju. </w:t>
            </w:r>
            <w:r w:rsidRPr="00DA2AC2">
              <w:rPr>
                <w:color w:val="000000" w:themeColor="text1"/>
              </w:rPr>
              <w:t>Ventilācija ir regulējama gaisa apmaiņa telpā ar nolūku radīt vēlamo mikroklimatu, tas ir, izvadīt no telpas piesārņoto gaisu un pievadīt svaigu, apstrādātu gaisu). Prasība attiecībā uz gaisa kondicionēšanu ir maksimāli pielāgota MK 09.07.2013</w:t>
            </w:r>
            <w:r>
              <w:rPr>
                <w:color w:val="000000" w:themeColor="text1"/>
              </w:rPr>
              <w:t>.</w:t>
            </w:r>
            <w:r w:rsidRPr="00DA2AC2">
              <w:rPr>
                <w:color w:val="000000" w:themeColor="text1"/>
              </w:rPr>
              <w:t xml:space="preserve"> noteikumu Nr.</w:t>
            </w:r>
            <w:r>
              <w:rPr>
                <w:color w:val="000000" w:themeColor="text1"/>
              </w:rPr>
              <w:t> </w:t>
            </w:r>
            <w:r w:rsidRPr="00DA2AC2">
              <w:rPr>
                <w:color w:val="000000" w:themeColor="text1"/>
              </w:rPr>
              <w:t>383 “</w:t>
            </w:r>
            <w:r w:rsidRPr="00DA2AC2">
              <w:rPr>
                <w:bCs/>
                <w:color w:val="000000" w:themeColor="text1"/>
                <w:shd w:val="clear" w:color="auto" w:fill="FFFFFF"/>
              </w:rPr>
              <w:t>Noteikumi par ēku energosertifikāciju</w:t>
            </w:r>
            <w:r w:rsidRPr="00DA2AC2">
              <w:rPr>
                <w:color w:val="000000" w:themeColor="text1"/>
              </w:rPr>
              <w:t>” prasībai attiecībā uz ēkām, kas atbilst gandrīz nulles enerģijas patēriņa ēkas statusam.</w:t>
            </w:r>
          </w:p>
          <w:p w14:paraId="6BE628DD" w14:textId="4A52E3F6" w:rsidR="007B6B6E" w:rsidRPr="009E5F7E" w:rsidRDefault="00F11E0E" w:rsidP="002C0BAC">
            <w:pPr>
              <w:ind w:left="131" w:right="236"/>
              <w:jc w:val="both"/>
              <w:rPr>
                <w:noProof/>
                <w:color w:val="000000" w:themeColor="text1"/>
              </w:rPr>
            </w:pPr>
            <w:r w:rsidRPr="009E5F7E">
              <w:rPr>
                <w:noProof/>
                <w:color w:val="000000" w:themeColor="text1"/>
              </w:rPr>
              <w:t xml:space="preserve">  </w:t>
            </w:r>
            <w:r w:rsidR="002C0BAC" w:rsidRPr="009E5F7E">
              <w:rPr>
                <w:noProof/>
                <w:color w:val="000000" w:themeColor="text1"/>
              </w:rPr>
              <w:t>“</w:t>
            </w:r>
            <w:r w:rsidR="007B6B6E" w:rsidRPr="009E5F7E">
              <w:rPr>
                <w:noProof/>
                <w:color w:val="000000" w:themeColor="text1"/>
              </w:rPr>
              <w:t>Samērīga peļņa</w:t>
            </w:r>
            <w:r w:rsidR="002C0BAC" w:rsidRPr="009E5F7E">
              <w:rPr>
                <w:noProof/>
                <w:color w:val="000000" w:themeColor="text1"/>
              </w:rPr>
              <w:t>”</w:t>
            </w:r>
            <w:r w:rsidR="007B6B6E" w:rsidRPr="009E5F7E">
              <w:rPr>
                <w:noProof/>
                <w:color w:val="000000" w:themeColor="text1"/>
              </w:rPr>
              <w:t xml:space="preserve"> šo note</w:t>
            </w:r>
            <w:r w:rsidR="001338C1" w:rsidRPr="009E5F7E">
              <w:rPr>
                <w:noProof/>
                <w:color w:val="000000" w:themeColor="text1"/>
              </w:rPr>
              <w:t>i</w:t>
            </w:r>
            <w:r w:rsidR="007B6B6E" w:rsidRPr="009E5F7E">
              <w:rPr>
                <w:noProof/>
                <w:color w:val="000000" w:themeColor="text1"/>
              </w:rPr>
              <w:t>kumu kontekstā ir termins atbil</w:t>
            </w:r>
            <w:r w:rsidR="001E2C9A" w:rsidRPr="009E5F7E">
              <w:rPr>
                <w:noProof/>
                <w:color w:val="000000" w:themeColor="text1"/>
              </w:rPr>
              <w:t>s</w:t>
            </w:r>
            <w:r w:rsidR="007B6B6E" w:rsidRPr="009E5F7E">
              <w:rPr>
                <w:noProof/>
                <w:color w:val="000000" w:themeColor="text1"/>
              </w:rPr>
              <w:t xml:space="preserve">toši Regulas </w:t>
            </w:r>
            <w:r w:rsidR="007B6B6E" w:rsidRPr="009E5F7E">
              <w:rPr>
                <w:color w:val="000000" w:themeColor="text1"/>
              </w:rPr>
              <w:t xml:space="preserve">Nr.651/2014 </w:t>
            </w:r>
            <w:r w:rsidR="002C0BAC" w:rsidRPr="009E5F7E">
              <w:rPr>
                <w:color w:val="000000" w:themeColor="text1"/>
              </w:rPr>
              <w:t xml:space="preserve"> </w:t>
            </w:r>
            <w:r w:rsidR="007B6B6E" w:rsidRPr="009E5F7E">
              <w:rPr>
                <w:color w:val="000000" w:themeColor="text1"/>
              </w:rPr>
              <w:t>2.panta 142.punktam.</w:t>
            </w:r>
            <w:r w:rsidR="002C0BAC" w:rsidRPr="009E5F7E">
              <w:rPr>
                <w:color w:val="000000" w:themeColor="text1"/>
              </w:rPr>
              <w:t xml:space="preserve"> </w:t>
            </w:r>
            <w:r w:rsidR="002C0BAC" w:rsidRPr="009E5F7E">
              <w:rPr>
                <w:noProof/>
                <w:color w:val="000000" w:themeColor="text1"/>
              </w:rPr>
              <w:t xml:space="preserve">“Pamatdarbības peļņa” šo noteikumu kontekstā ir termins atbilstoši Regulas </w:t>
            </w:r>
            <w:r w:rsidR="002C0BAC" w:rsidRPr="009E5F7E">
              <w:rPr>
                <w:color w:val="000000" w:themeColor="text1"/>
              </w:rPr>
              <w:t>Nr.651/2014  2.panta 39.punktam.</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8849A6C"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13E779C" w:rsidR="0030341E" w:rsidRPr="00250B3C" w:rsidRDefault="003A09C1" w:rsidP="003A09C1">
            <w:pPr>
              <w:jc w:val="both"/>
              <w:rPr>
                <w:color w:val="000000"/>
              </w:rPr>
            </w:pPr>
            <w:r w:rsidRPr="00250B3C">
              <w:t>Valsts sabiedrība ar ierobežotu atbildību “Vides investīciju fonds”</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4"/>
        <w:gridCol w:w="2036"/>
        <w:gridCol w:w="6752"/>
      </w:tblGrid>
      <w:tr w:rsidR="00115550" w:rsidRPr="00250B3C" w14:paraId="47471233"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115550" w:rsidRPr="00250B3C" w14:paraId="0FF5CE32" w14:textId="77777777" w:rsidTr="001A7910">
        <w:tc>
          <w:tcPr>
            <w:tcW w:w="314" w:type="dxa"/>
            <w:tcBorders>
              <w:top w:val="outset" w:sz="6" w:space="0" w:color="000000"/>
              <w:left w:val="outset" w:sz="6" w:space="0" w:color="000000"/>
              <w:bottom w:val="outset" w:sz="6" w:space="0" w:color="000000"/>
              <w:right w:val="outset" w:sz="6" w:space="0" w:color="000000"/>
            </w:tcBorders>
          </w:tcPr>
          <w:p w14:paraId="0C92176E" w14:textId="77777777" w:rsidR="00115550" w:rsidRPr="00250B3C" w:rsidRDefault="00115550" w:rsidP="00F84B9B">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115550" w:rsidRPr="00250B3C" w:rsidRDefault="001A7349" w:rsidP="00F84B9B">
            <w:pPr>
              <w:rPr>
                <w:color w:val="000000"/>
              </w:rPr>
            </w:pPr>
            <w:r w:rsidRPr="00250B3C">
              <w:rPr>
                <w:color w:val="000000"/>
              </w:rPr>
              <w:t xml:space="preserve">Sabiedrības mērķgrupas, kuras tiesiskais </w:t>
            </w:r>
            <w:r w:rsidR="009577F5" w:rsidRPr="00250B3C">
              <w:rPr>
                <w:color w:val="000000"/>
              </w:rPr>
              <w:t xml:space="preserve">regulējums ietekmē </w:t>
            </w:r>
            <w:r w:rsidRPr="00250B3C">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E15A8B4" w14:textId="5C501F54" w:rsidR="003A09C1" w:rsidRPr="00250B3C" w:rsidRDefault="009B2997" w:rsidP="009B2997">
            <w:pPr>
              <w:jc w:val="both"/>
              <w:rPr>
                <w:bCs/>
              </w:rPr>
            </w:pPr>
            <w:r>
              <w:t>Latvijas Republikas p</w:t>
            </w:r>
            <w:r w:rsidR="00466245" w:rsidRPr="00250B3C">
              <w:t>ašvaldības vai to iestādes</w:t>
            </w:r>
            <w:r w:rsidR="003A09C1" w:rsidRPr="00250B3C">
              <w:t>.</w:t>
            </w:r>
          </w:p>
        </w:tc>
      </w:tr>
      <w:tr w:rsidR="0069761D" w:rsidRPr="00250B3C" w14:paraId="1ECEA4A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63F40E9B" w14:textId="77777777" w:rsidR="0069761D" w:rsidRPr="00250B3C" w:rsidRDefault="0069761D" w:rsidP="0069761D">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9761D" w:rsidRPr="00250B3C" w:rsidRDefault="0069761D" w:rsidP="0069761D">
            <w:pPr>
              <w:rPr>
                <w:color w:val="000000"/>
              </w:rPr>
            </w:pPr>
            <w:r w:rsidRPr="00250B3C">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71031878" w14:textId="5FD622CB" w:rsidR="003A09C1" w:rsidRPr="00250B3C" w:rsidRDefault="00D9551C" w:rsidP="00996F2C">
            <w:pPr>
              <w:jc w:val="both"/>
            </w:pPr>
            <w:r>
              <w:t xml:space="preserve">  </w:t>
            </w:r>
            <w:r w:rsidR="009B2997">
              <w:t xml:space="preserve">MK noteikumu projekta </w:t>
            </w:r>
            <w:r w:rsidR="003A09C1" w:rsidRPr="00250B3C">
              <w:t xml:space="preserve">apstiprināšanas gadījumā tiks īstenoti projekti, kas, ņemot vērā to specifiku, veicinās nodarbinātību, </w:t>
            </w:r>
            <w:r w:rsidR="00466245" w:rsidRPr="00250B3C">
              <w:t xml:space="preserve">veicinās energoefektivitātes pasākumu īstenošanu, </w:t>
            </w:r>
            <w:r w:rsidR="003A09C1" w:rsidRPr="00250B3C">
              <w:t xml:space="preserve">samazinās </w:t>
            </w:r>
            <w:r w:rsidR="00466245" w:rsidRPr="00250B3C">
              <w:t>netiešās</w:t>
            </w:r>
            <w:r w:rsidR="003A09C1" w:rsidRPr="00250B3C">
              <w:t xml:space="preserve"> SEG emisijas, samazinās negatīvo ietekmi uz veselību un atjaunojamo energoresursu izmantošanas projekti veicinās Latvijas enerģētisko neatkarību. Ieguvumu izjutīs sabiedrība, jo tehnoloģijas tiks ieviestas pilsētvidē.</w:t>
            </w:r>
          </w:p>
        </w:tc>
      </w:tr>
      <w:tr w:rsidR="0069761D" w:rsidRPr="00250B3C" w14:paraId="394E8BE9" w14:textId="77777777" w:rsidTr="001A7910">
        <w:tc>
          <w:tcPr>
            <w:tcW w:w="314" w:type="dxa"/>
            <w:tcBorders>
              <w:top w:val="outset" w:sz="6" w:space="0" w:color="000000"/>
              <w:left w:val="outset" w:sz="6" w:space="0" w:color="000000"/>
              <w:bottom w:val="outset" w:sz="6" w:space="0" w:color="000000"/>
              <w:right w:val="outset" w:sz="6" w:space="0" w:color="000000"/>
            </w:tcBorders>
          </w:tcPr>
          <w:p w14:paraId="788FC4FA" w14:textId="77777777" w:rsidR="0069761D" w:rsidRPr="00250B3C" w:rsidRDefault="0069761D" w:rsidP="0069761D">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9761D" w:rsidRPr="00250B3C" w:rsidRDefault="0069761D" w:rsidP="0069761D">
            <w:pPr>
              <w:rPr>
                <w:color w:val="000000"/>
              </w:rPr>
            </w:pPr>
            <w:r w:rsidRPr="00250B3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2793FB90" w14:textId="3BAF5C7E" w:rsidR="003A09C1" w:rsidRPr="00250B3C" w:rsidRDefault="00D9551C" w:rsidP="00466245">
            <w:pPr>
              <w:ind w:right="140"/>
              <w:jc w:val="both"/>
            </w:pPr>
            <w:r>
              <w:t xml:space="preserve">  </w:t>
            </w:r>
            <w:r w:rsidR="009B2997">
              <w:t xml:space="preserve">MK noteikumu projekta </w:t>
            </w:r>
            <w:r w:rsidR="003A09C1" w:rsidRPr="00250B3C">
              <w:t xml:space="preserve">apstiprināšanas gadījumā tiks īstenots </w:t>
            </w:r>
            <w:r w:rsidR="00466245" w:rsidRPr="00250B3C">
              <w:t xml:space="preserve">atklātais </w:t>
            </w:r>
            <w:r w:rsidR="003A09C1" w:rsidRPr="00250B3C">
              <w:t xml:space="preserve">projektu </w:t>
            </w:r>
            <w:smartTag w:uri="schemas-tilde-lv/tildestengine" w:element="veidnes">
              <w:smartTagPr>
                <w:attr w:name="text" w:val="iesniegumu"/>
                <w:attr w:name="id" w:val="-1"/>
                <w:attr w:name="baseform" w:val="iesniegum|s"/>
              </w:smartTagPr>
              <w:r w:rsidR="003A09C1" w:rsidRPr="00250B3C">
                <w:t>iesniegumu</w:t>
              </w:r>
            </w:smartTag>
            <w:r w:rsidR="003A09C1" w:rsidRPr="00250B3C">
              <w:t xml:space="preserve"> konkurss, kas, ņemot vērā tā specifiku, </w:t>
            </w:r>
            <w:r w:rsidR="00466245" w:rsidRPr="00250B3C">
              <w:t xml:space="preserve">energoefektivitātes palielināšanos un </w:t>
            </w:r>
            <w:r w:rsidR="003A09C1" w:rsidRPr="00250B3C">
              <w:t>veicinās</w:t>
            </w:r>
            <w:r w:rsidR="00466245" w:rsidRPr="00250B3C">
              <w:t xml:space="preserve"> netiešo</w:t>
            </w:r>
            <w:r w:rsidR="003A09C1" w:rsidRPr="00250B3C">
              <w:t xml:space="preserve"> SEG emisiju samazināšanu.</w:t>
            </w:r>
          </w:p>
          <w:p w14:paraId="5EF22C24" w14:textId="517C1D92" w:rsidR="009232AB" w:rsidRPr="00250B3C" w:rsidRDefault="00D9551C" w:rsidP="00466245">
            <w:pPr>
              <w:pStyle w:val="naiskr"/>
              <w:spacing w:before="0" w:after="0"/>
              <w:ind w:right="129"/>
              <w:jc w:val="both"/>
            </w:pPr>
            <w:r>
              <w:t xml:space="preserve">  </w:t>
            </w:r>
            <w:r w:rsidR="003A09C1" w:rsidRPr="00250B3C">
              <w:t>Konkursa ietvaros pieejamais finansējums ir </w:t>
            </w:r>
            <w:r w:rsidR="00466245" w:rsidRPr="00250B3C">
              <w:t>10</w:t>
            </w:r>
            <w:r w:rsidR="003A09C1" w:rsidRPr="00250B3C">
              <w:t> 000 000 EUR.</w:t>
            </w:r>
          </w:p>
          <w:p w14:paraId="01E13F85" w14:textId="2187550A" w:rsidR="00466245" w:rsidRPr="00250B3C" w:rsidRDefault="00D9551C" w:rsidP="00466245">
            <w:pPr>
              <w:pStyle w:val="naiskr"/>
              <w:spacing w:before="0" w:after="0"/>
              <w:ind w:right="129"/>
              <w:jc w:val="both"/>
              <w:rPr>
                <w:color w:val="FF0000"/>
              </w:rPr>
            </w:pPr>
            <w:r>
              <w:t xml:space="preserve">  </w:t>
            </w:r>
            <w:r w:rsidR="002042D0">
              <w:t>MK n</w:t>
            </w:r>
            <w:r w:rsidR="00466245" w:rsidRPr="00250B3C">
              <w:t>oteikumu projektā ietvertie nosacījumi nerada papildus informācijas sniegšanas pienākumus, tāpēc netiks uzlikts papildu administratīvais slogs un neradīsies administratīvās izmaksas.</w:t>
            </w:r>
          </w:p>
        </w:tc>
      </w:tr>
      <w:tr w:rsidR="00F47D5E" w:rsidRPr="00250B3C" w14:paraId="3BDD4DEB"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155A4523" w14:textId="77777777" w:rsidR="00F47D5E" w:rsidRPr="00250B3C" w:rsidRDefault="00F47D5E" w:rsidP="0069761D">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F47D5E" w:rsidRPr="00250B3C" w:rsidRDefault="00647D6D" w:rsidP="0069761D">
            <w:pPr>
              <w:rPr>
                <w:color w:val="000000"/>
              </w:rPr>
            </w:pPr>
            <w:r w:rsidRPr="00250B3C">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089A721" w14:textId="34202CDE" w:rsidR="006D1404" w:rsidRPr="00250B3C" w:rsidRDefault="00D011E5" w:rsidP="00D011E5">
            <w:pPr>
              <w:jc w:val="both"/>
              <w:rPr>
                <w:color w:val="000000"/>
              </w:rPr>
            </w:pPr>
            <w:r>
              <w:rPr>
                <w:color w:val="000000"/>
              </w:rPr>
              <w:t>MK noteikumu p</w:t>
            </w:r>
            <w:r w:rsidR="003354DE" w:rsidRPr="00250B3C">
              <w:rPr>
                <w:color w:val="000000"/>
              </w:rPr>
              <w:t>rojekt</w:t>
            </w:r>
            <w:r w:rsidR="006D1404" w:rsidRPr="00250B3C">
              <w:rPr>
                <w:color w:val="000000"/>
              </w:rPr>
              <w:t>s šo jomu neskar.</w:t>
            </w:r>
          </w:p>
        </w:tc>
      </w:tr>
      <w:tr w:rsidR="0069761D" w:rsidRPr="00250B3C" w14:paraId="047B8FA8"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3402FB4D" w14:textId="77777777" w:rsidR="0069761D" w:rsidRPr="00250B3C" w:rsidRDefault="00647D6D" w:rsidP="0069761D">
            <w:pPr>
              <w:rPr>
                <w:color w:val="000000"/>
              </w:rPr>
            </w:pPr>
            <w:r w:rsidRPr="00250B3C">
              <w:rPr>
                <w:color w:val="000000"/>
              </w:rPr>
              <w:t>5</w:t>
            </w:r>
            <w:r w:rsidR="0069761D" w:rsidRPr="00250B3C">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250B3C" w:rsidRDefault="0069761D" w:rsidP="0069761D">
            <w:pPr>
              <w:rPr>
                <w:color w:val="000000"/>
              </w:rPr>
            </w:pPr>
            <w:r w:rsidRPr="00250B3C">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6006EB3E" w14:textId="77777777" w:rsidR="0069761D" w:rsidRPr="00250B3C" w:rsidRDefault="00C21AFF" w:rsidP="0069761D">
            <w:pPr>
              <w:rPr>
                <w:color w:val="000000"/>
              </w:rPr>
            </w:pPr>
            <w:r w:rsidRPr="00250B3C">
              <w:rPr>
                <w:color w:val="000000"/>
              </w:rPr>
              <w:t>Nav.</w:t>
            </w:r>
          </w:p>
        </w:tc>
      </w:tr>
    </w:tbl>
    <w:p w14:paraId="1342C340" w14:textId="77777777" w:rsidR="00993F89" w:rsidRPr="00250B3C" w:rsidRDefault="00993F89" w:rsidP="009E31BC">
      <w:pPr>
        <w:rPr>
          <w:color w:val="000000"/>
        </w:rPr>
      </w:pPr>
    </w:p>
    <w:tbl>
      <w:tblPr>
        <w:tblStyle w:val="TableGrid"/>
        <w:tblW w:w="5095" w:type="pct"/>
        <w:tblLayout w:type="fixed"/>
        <w:tblLook w:val="04A0" w:firstRow="1" w:lastRow="0" w:firstColumn="1" w:lastColumn="0" w:noHBand="0" w:noVBand="1"/>
      </w:tblPr>
      <w:tblGrid>
        <w:gridCol w:w="1717"/>
        <w:gridCol w:w="1006"/>
        <w:gridCol w:w="1581"/>
        <w:gridCol w:w="847"/>
        <w:gridCol w:w="1025"/>
        <w:gridCol w:w="993"/>
        <w:gridCol w:w="1024"/>
        <w:gridCol w:w="1270"/>
      </w:tblGrid>
      <w:tr w:rsidR="00972C84" w:rsidRPr="0054782C" w14:paraId="18174335" w14:textId="77777777" w:rsidTr="000925B2">
        <w:tc>
          <w:tcPr>
            <w:tcW w:w="9464" w:type="dxa"/>
            <w:gridSpan w:val="8"/>
            <w:hideMark/>
          </w:tcPr>
          <w:p w14:paraId="5B1A395B" w14:textId="77777777" w:rsidR="00972C84" w:rsidRPr="0054782C" w:rsidRDefault="00972C84" w:rsidP="00196B61">
            <w:pPr>
              <w:jc w:val="center"/>
              <w:rPr>
                <w:b/>
                <w:bCs/>
                <w:iCs/>
                <w:sz w:val="20"/>
                <w:szCs w:val="20"/>
              </w:rPr>
            </w:pPr>
            <w:r w:rsidRPr="0054782C">
              <w:rPr>
                <w:b/>
                <w:bCs/>
                <w:iCs/>
                <w:sz w:val="20"/>
                <w:szCs w:val="20"/>
              </w:rPr>
              <w:t>III. Tiesību akta projekta ietekme uz valsts budžetu un pašvaldību budžetiem</w:t>
            </w:r>
          </w:p>
        </w:tc>
      </w:tr>
      <w:tr w:rsidR="00972C84" w:rsidRPr="0054782C" w14:paraId="5B39EBB5" w14:textId="77777777" w:rsidTr="000925B2">
        <w:tc>
          <w:tcPr>
            <w:tcW w:w="1718" w:type="dxa"/>
            <w:vMerge w:val="restart"/>
            <w:hideMark/>
          </w:tcPr>
          <w:p w14:paraId="4F7A185A" w14:textId="77777777" w:rsidR="00972C84" w:rsidRPr="0054782C" w:rsidRDefault="00972C84" w:rsidP="00196B61">
            <w:pPr>
              <w:rPr>
                <w:iCs/>
                <w:sz w:val="20"/>
                <w:szCs w:val="20"/>
              </w:rPr>
            </w:pPr>
            <w:r w:rsidRPr="0054782C">
              <w:rPr>
                <w:iCs/>
                <w:sz w:val="20"/>
                <w:szCs w:val="20"/>
              </w:rPr>
              <w:t>Rādītāji</w:t>
            </w:r>
          </w:p>
        </w:tc>
        <w:tc>
          <w:tcPr>
            <w:tcW w:w="2587" w:type="dxa"/>
            <w:gridSpan w:val="2"/>
            <w:vMerge w:val="restart"/>
            <w:hideMark/>
          </w:tcPr>
          <w:p w14:paraId="1A051535" w14:textId="77777777" w:rsidR="00972C84" w:rsidRPr="0054782C" w:rsidRDefault="00972C84" w:rsidP="00196B61">
            <w:pPr>
              <w:jc w:val="center"/>
              <w:rPr>
                <w:iCs/>
                <w:sz w:val="20"/>
                <w:szCs w:val="20"/>
              </w:rPr>
            </w:pPr>
            <w:r w:rsidRPr="0054782C">
              <w:rPr>
                <w:iCs/>
                <w:sz w:val="20"/>
                <w:szCs w:val="20"/>
              </w:rPr>
              <w:t>2018.gads</w:t>
            </w:r>
          </w:p>
        </w:tc>
        <w:tc>
          <w:tcPr>
            <w:tcW w:w="5159" w:type="dxa"/>
            <w:gridSpan w:val="5"/>
            <w:hideMark/>
          </w:tcPr>
          <w:p w14:paraId="500B43EE" w14:textId="77777777" w:rsidR="00972C84" w:rsidRPr="0054782C" w:rsidRDefault="00972C84" w:rsidP="00196B61">
            <w:pPr>
              <w:rPr>
                <w:iCs/>
                <w:sz w:val="20"/>
                <w:szCs w:val="20"/>
              </w:rPr>
            </w:pPr>
            <w:r w:rsidRPr="0054782C">
              <w:rPr>
                <w:iCs/>
                <w:sz w:val="20"/>
                <w:szCs w:val="20"/>
              </w:rPr>
              <w:t>Turpmākie trīs gadi (</w:t>
            </w:r>
            <w:r w:rsidRPr="0054782C">
              <w:rPr>
                <w:i/>
                <w:iCs/>
                <w:sz w:val="20"/>
                <w:szCs w:val="20"/>
              </w:rPr>
              <w:t>euro</w:t>
            </w:r>
            <w:r w:rsidRPr="0054782C">
              <w:rPr>
                <w:iCs/>
                <w:sz w:val="20"/>
                <w:szCs w:val="20"/>
              </w:rPr>
              <w:t>)</w:t>
            </w:r>
          </w:p>
        </w:tc>
      </w:tr>
      <w:tr w:rsidR="00972C84" w:rsidRPr="0054782C" w14:paraId="2C6972FB" w14:textId="77777777" w:rsidTr="000925B2">
        <w:tc>
          <w:tcPr>
            <w:tcW w:w="1718" w:type="dxa"/>
            <w:vMerge/>
            <w:hideMark/>
          </w:tcPr>
          <w:p w14:paraId="58146E52" w14:textId="77777777" w:rsidR="00972C84" w:rsidRPr="0054782C" w:rsidRDefault="00972C84" w:rsidP="00196B61">
            <w:pPr>
              <w:rPr>
                <w:iCs/>
                <w:sz w:val="20"/>
                <w:szCs w:val="20"/>
              </w:rPr>
            </w:pPr>
          </w:p>
        </w:tc>
        <w:tc>
          <w:tcPr>
            <w:tcW w:w="2587" w:type="dxa"/>
            <w:gridSpan w:val="2"/>
            <w:vMerge/>
            <w:hideMark/>
          </w:tcPr>
          <w:p w14:paraId="22D92B63" w14:textId="77777777" w:rsidR="00972C84" w:rsidRPr="0054782C" w:rsidRDefault="00972C84" w:rsidP="00196B61">
            <w:pPr>
              <w:rPr>
                <w:iCs/>
                <w:sz w:val="20"/>
                <w:szCs w:val="20"/>
              </w:rPr>
            </w:pPr>
          </w:p>
        </w:tc>
        <w:tc>
          <w:tcPr>
            <w:tcW w:w="1872" w:type="dxa"/>
            <w:gridSpan w:val="2"/>
            <w:hideMark/>
          </w:tcPr>
          <w:p w14:paraId="00624884" w14:textId="77777777" w:rsidR="00972C84" w:rsidRPr="0054782C" w:rsidRDefault="00972C84" w:rsidP="00196B61">
            <w:pPr>
              <w:jc w:val="center"/>
              <w:rPr>
                <w:iCs/>
                <w:sz w:val="20"/>
                <w:szCs w:val="20"/>
              </w:rPr>
            </w:pPr>
            <w:r w:rsidRPr="0054782C">
              <w:rPr>
                <w:iCs/>
                <w:sz w:val="20"/>
                <w:szCs w:val="20"/>
              </w:rPr>
              <w:t>2019.gads</w:t>
            </w:r>
          </w:p>
        </w:tc>
        <w:tc>
          <w:tcPr>
            <w:tcW w:w="2017" w:type="dxa"/>
            <w:gridSpan w:val="2"/>
            <w:hideMark/>
          </w:tcPr>
          <w:p w14:paraId="5584915F" w14:textId="77777777" w:rsidR="00972C84" w:rsidRPr="0054782C" w:rsidRDefault="00972C84" w:rsidP="00196B61">
            <w:pPr>
              <w:jc w:val="center"/>
              <w:rPr>
                <w:iCs/>
                <w:sz w:val="20"/>
                <w:szCs w:val="20"/>
              </w:rPr>
            </w:pPr>
            <w:r w:rsidRPr="0054782C">
              <w:rPr>
                <w:iCs/>
                <w:sz w:val="20"/>
                <w:szCs w:val="20"/>
              </w:rPr>
              <w:t>2020.gads</w:t>
            </w:r>
          </w:p>
        </w:tc>
        <w:tc>
          <w:tcPr>
            <w:tcW w:w="1270" w:type="dxa"/>
            <w:hideMark/>
          </w:tcPr>
          <w:p w14:paraId="59C9C3CD" w14:textId="77777777" w:rsidR="00972C84" w:rsidRPr="0054782C" w:rsidRDefault="00972C84" w:rsidP="00196B61">
            <w:pPr>
              <w:rPr>
                <w:iCs/>
                <w:sz w:val="20"/>
                <w:szCs w:val="20"/>
              </w:rPr>
            </w:pPr>
            <w:r w:rsidRPr="0054782C">
              <w:rPr>
                <w:iCs/>
                <w:sz w:val="20"/>
                <w:szCs w:val="20"/>
              </w:rPr>
              <w:t>2021.gads</w:t>
            </w:r>
          </w:p>
        </w:tc>
      </w:tr>
      <w:tr w:rsidR="00972C84" w:rsidRPr="0054782C" w14:paraId="5B9C9A45" w14:textId="77777777" w:rsidTr="000925B2">
        <w:tc>
          <w:tcPr>
            <w:tcW w:w="1718" w:type="dxa"/>
            <w:vMerge/>
            <w:hideMark/>
          </w:tcPr>
          <w:p w14:paraId="646CC30D" w14:textId="77777777" w:rsidR="00972C84" w:rsidRPr="0054782C" w:rsidRDefault="00972C84" w:rsidP="00196B61">
            <w:pPr>
              <w:rPr>
                <w:iCs/>
                <w:sz w:val="20"/>
                <w:szCs w:val="20"/>
              </w:rPr>
            </w:pPr>
          </w:p>
        </w:tc>
        <w:tc>
          <w:tcPr>
            <w:tcW w:w="1006" w:type="dxa"/>
            <w:hideMark/>
          </w:tcPr>
          <w:p w14:paraId="3B83A895" w14:textId="77777777" w:rsidR="00972C84" w:rsidRPr="0054782C" w:rsidRDefault="00972C84" w:rsidP="00196B61">
            <w:pPr>
              <w:rPr>
                <w:iCs/>
                <w:sz w:val="20"/>
                <w:szCs w:val="20"/>
              </w:rPr>
            </w:pPr>
            <w:r w:rsidRPr="0054782C">
              <w:rPr>
                <w:iCs/>
                <w:sz w:val="20"/>
                <w:szCs w:val="20"/>
              </w:rPr>
              <w:t>saskaņā ar valsts budžetu kārtējam gadam</w:t>
            </w:r>
          </w:p>
        </w:tc>
        <w:tc>
          <w:tcPr>
            <w:tcW w:w="1581" w:type="dxa"/>
            <w:hideMark/>
          </w:tcPr>
          <w:p w14:paraId="44E73452" w14:textId="77777777" w:rsidR="00972C84" w:rsidRPr="0054782C" w:rsidRDefault="00972C84" w:rsidP="00196B61">
            <w:pPr>
              <w:rPr>
                <w:iCs/>
                <w:sz w:val="20"/>
                <w:szCs w:val="20"/>
              </w:rPr>
            </w:pPr>
            <w:r w:rsidRPr="0054782C">
              <w:rPr>
                <w:iCs/>
                <w:sz w:val="20"/>
                <w:szCs w:val="20"/>
              </w:rPr>
              <w:t>izmaiņas kārtējā gadā, salīdzinot ar valsts budžetu kārtējam gadam</w:t>
            </w:r>
          </w:p>
        </w:tc>
        <w:tc>
          <w:tcPr>
            <w:tcW w:w="847" w:type="dxa"/>
            <w:hideMark/>
          </w:tcPr>
          <w:p w14:paraId="74CEFF9C" w14:textId="77777777" w:rsidR="00972C84" w:rsidRPr="0054782C" w:rsidRDefault="00972C84" w:rsidP="00196B61">
            <w:pPr>
              <w:rPr>
                <w:iCs/>
                <w:sz w:val="20"/>
                <w:szCs w:val="20"/>
              </w:rPr>
            </w:pPr>
            <w:r w:rsidRPr="0054782C">
              <w:rPr>
                <w:iCs/>
                <w:sz w:val="20"/>
                <w:szCs w:val="20"/>
              </w:rPr>
              <w:t>saskaņā ar vidēja termiņa budžeta ietvaru</w:t>
            </w:r>
          </w:p>
        </w:tc>
        <w:tc>
          <w:tcPr>
            <w:tcW w:w="1025" w:type="dxa"/>
            <w:hideMark/>
          </w:tcPr>
          <w:p w14:paraId="4430EB00" w14:textId="6A9C379C" w:rsidR="00972C84" w:rsidRPr="0054782C" w:rsidRDefault="00972C84" w:rsidP="0054782C">
            <w:pPr>
              <w:rPr>
                <w:iCs/>
                <w:sz w:val="20"/>
                <w:szCs w:val="20"/>
              </w:rPr>
            </w:pPr>
            <w:r w:rsidRPr="0054782C">
              <w:rPr>
                <w:iCs/>
                <w:sz w:val="20"/>
                <w:szCs w:val="20"/>
              </w:rPr>
              <w:t xml:space="preserve">izmaiņas, salīdzinot ar vidēja termiņa budžeta ietvaru </w:t>
            </w:r>
            <w:r w:rsidR="0054782C">
              <w:rPr>
                <w:iCs/>
                <w:sz w:val="20"/>
                <w:szCs w:val="20"/>
              </w:rPr>
              <w:t>201</w:t>
            </w:r>
            <w:r w:rsidR="00196CF2">
              <w:rPr>
                <w:iCs/>
                <w:sz w:val="20"/>
                <w:szCs w:val="20"/>
              </w:rPr>
              <w:t>9</w:t>
            </w:r>
            <w:r w:rsidRPr="0054782C">
              <w:rPr>
                <w:iCs/>
                <w:sz w:val="20"/>
                <w:szCs w:val="20"/>
              </w:rPr>
              <w:t xml:space="preserve"> gadam</w:t>
            </w:r>
          </w:p>
        </w:tc>
        <w:tc>
          <w:tcPr>
            <w:tcW w:w="993" w:type="dxa"/>
            <w:hideMark/>
          </w:tcPr>
          <w:p w14:paraId="23B4250F" w14:textId="77777777" w:rsidR="00972C84" w:rsidRPr="0054782C" w:rsidRDefault="00972C84" w:rsidP="00196B61">
            <w:pPr>
              <w:rPr>
                <w:iCs/>
                <w:sz w:val="20"/>
                <w:szCs w:val="20"/>
              </w:rPr>
            </w:pPr>
            <w:r w:rsidRPr="0054782C">
              <w:rPr>
                <w:iCs/>
                <w:sz w:val="20"/>
                <w:szCs w:val="20"/>
              </w:rPr>
              <w:t>saskaņā ar vidēja termiņa budžeta ietvaru</w:t>
            </w:r>
          </w:p>
        </w:tc>
        <w:tc>
          <w:tcPr>
            <w:tcW w:w="1024" w:type="dxa"/>
            <w:hideMark/>
          </w:tcPr>
          <w:p w14:paraId="50FE83EB" w14:textId="060E3CA2" w:rsidR="00972C84" w:rsidRPr="0054782C" w:rsidRDefault="00972C84" w:rsidP="00196CF2">
            <w:pPr>
              <w:rPr>
                <w:iCs/>
                <w:sz w:val="20"/>
                <w:szCs w:val="20"/>
              </w:rPr>
            </w:pPr>
            <w:r w:rsidRPr="0054782C">
              <w:rPr>
                <w:iCs/>
                <w:sz w:val="20"/>
                <w:szCs w:val="20"/>
              </w:rPr>
              <w:t xml:space="preserve">izmaiņas, salīdzinot ar vidēja termiņa budžeta ietvaru </w:t>
            </w:r>
            <w:r w:rsidR="0054782C">
              <w:rPr>
                <w:iCs/>
                <w:sz w:val="20"/>
                <w:szCs w:val="20"/>
              </w:rPr>
              <w:t>20</w:t>
            </w:r>
            <w:r w:rsidR="00196CF2">
              <w:rPr>
                <w:iCs/>
                <w:sz w:val="20"/>
                <w:szCs w:val="20"/>
              </w:rPr>
              <w:t>20</w:t>
            </w:r>
            <w:r w:rsidRPr="0054782C">
              <w:rPr>
                <w:iCs/>
                <w:sz w:val="20"/>
                <w:szCs w:val="20"/>
              </w:rPr>
              <w:t xml:space="preserve"> gadam</w:t>
            </w:r>
          </w:p>
        </w:tc>
        <w:tc>
          <w:tcPr>
            <w:tcW w:w="1270" w:type="dxa"/>
            <w:hideMark/>
          </w:tcPr>
          <w:p w14:paraId="4F17B58C" w14:textId="6B38C7F9" w:rsidR="00972C84" w:rsidRPr="0054782C" w:rsidRDefault="00972C84" w:rsidP="00196CF2">
            <w:pPr>
              <w:rPr>
                <w:iCs/>
                <w:sz w:val="20"/>
                <w:szCs w:val="20"/>
              </w:rPr>
            </w:pPr>
            <w:r w:rsidRPr="0054782C">
              <w:rPr>
                <w:iCs/>
                <w:sz w:val="20"/>
                <w:szCs w:val="20"/>
              </w:rPr>
              <w:t xml:space="preserve">izmaiņas, salīdzinot ar vidēja termiņa budžeta ietvaru </w:t>
            </w:r>
            <w:r w:rsidR="0054782C">
              <w:rPr>
                <w:iCs/>
                <w:sz w:val="20"/>
                <w:szCs w:val="20"/>
              </w:rPr>
              <w:t>20</w:t>
            </w:r>
            <w:r w:rsidR="00196CF2">
              <w:rPr>
                <w:iCs/>
                <w:sz w:val="20"/>
                <w:szCs w:val="20"/>
              </w:rPr>
              <w:t>20</w:t>
            </w:r>
            <w:r w:rsidRPr="0054782C">
              <w:rPr>
                <w:iCs/>
                <w:sz w:val="20"/>
                <w:szCs w:val="20"/>
              </w:rPr>
              <w:t xml:space="preserve"> gadam</w:t>
            </w:r>
          </w:p>
        </w:tc>
      </w:tr>
      <w:tr w:rsidR="00972C84" w:rsidRPr="0054782C" w14:paraId="7DC66E13" w14:textId="77777777" w:rsidTr="000925B2">
        <w:tc>
          <w:tcPr>
            <w:tcW w:w="1718" w:type="dxa"/>
            <w:hideMark/>
          </w:tcPr>
          <w:p w14:paraId="21D71DD0" w14:textId="77777777" w:rsidR="00972C84" w:rsidRPr="0054782C" w:rsidRDefault="00972C84" w:rsidP="00196B61">
            <w:pPr>
              <w:rPr>
                <w:iCs/>
                <w:sz w:val="20"/>
                <w:szCs w:val="20"/>
              </w:rPr>
            </w:pPr>
            <w:r w:rsidRPr="0054782C">
              <w:rPr>
                <w:iCs/>
                <w:sz w:val="20"/>
                <w:szCs w:val="20"/>
              </w:rPr>
              <w:t>1</w:t>
            </w:r>
          </w:p>
        </w:tc>
        <w:tc>
          <w:tcPr>
            <w:tcW w:w="1006" w:type="dxa"/>
            <w:hideMark/>
          </w:tcPr>
          <w:p w14:paraId="549F78BF" w14:textId="77777777" w:rsidR="00972C84" w:rsidRPr="0054782C" w:rsidRDefault="00972C84" w:rsidP="00196B61">
            <w:pPr>
              <w:rPr>
                <w:iCs/>
                <w:sz w:val="20"/>
                <w:szCs w:val="20"/>
              </w:rPr>
            </w:pPr>
            <w:r w:rsidRPr="0054782C">
              <w:rPr>
                <w:iCs/>
                <w:sz w:val="20"/>
                <w:szCs w:val="20"/>
              </w:rPr>
              <w:t>2</w:t>
            </w:r>
          </w:p>
        </w:tc>
        <w:tc>
          <w:tcPr>
            <w:tcW w:w="1581" w:type="dxa"/>
            <w:hideMark/>
          </w:tcPr>
          <w:p w14:paraId="04E81C78" w14:textId="77777777" w:rsidR="00972C84" w:rsidRPr="0054782C" w:rsidRDefault="00972C84" w:rsidP="00196B61">
            <w:pPr>
              <w:rPr>
                <w:iCs/>
                <w:sz w:val="20"/>
                <w:szCs w:val="20"/>
              </w:rPr>
            </w:pPr>
            <w:r w:rsidRPr="0054782C">
              <w:rPr>
                <w:iCs/>
                <w:sz w:val="20"/>
                <w:szCs w:val="20"/>
              </w:rPr>
              <w:t>3</w:t>
            </w:r>
          </w:p>
        </w:tc>
        <w:tc>
          <w:tcPr>
            <w:tcW w:w="847" w:type="dxa"/>
            <w:hideMark/>
          </w:tcPr>
          <w:p w14:paraId="5798DC58" w14:textId="77777777" w:rsidR="00972C84" w:rsidRPr="0054782C" w:rsidRDefault="00972C84" w:rsidP="00196B61">
            <w:pPr>
              <w:rPr>
                <w:iCs/>
                <w:sz w:val="20"/>
                <w:szCs w:val="20"/>
              </w:rPr>
            </w:pPr>
            <w:r w:rsidRPr="0054782C">
              <w:rPr>
                <w:iCs/>
                <w:sz w:val="20"/>
                <w:szCs w:val="20"/>
              </w:rPr>
              <w:t>4</w:t>
            </w:r>
          </w:p>
        </w:tc>
        <w:tc>
          <w:tcPr>
            <w:tcW w:w="1025" w:type="dxa"/>
            <w:hideMark/>
          </w:tcPr>
          <w:p w14:paraId="1E49F104" w14:textId="77777777" w:rsidR="00972C84" w:rsidRPr="0054782C" w:rsidRDefault="00972C84" w:rsidP="00196B61">
            <w:pPr>
              <w:rPr>
                <w:iCs/>
                <w:sz w:val="20"/>
                <w:szCs w:val="20"/>
              </w:rPr>
            </w:pPr>
            <w:r w:rsidRPr="0054782C">
              <w:rPr>
                <w:iCs/>
                <w:sz w:val="20"/>
                <w:szCs w:val="20"/>
              </w:rPr>
              <w:t>5</w:t>
            </w:r>
          </w:p>
        </w:tc>
        <w:tc>
          <w:tcPr>
            <w:tcW w:w="993" w:type="dxa"/>
            <w:hideMark/>
          </w:tcPr>
          <w:p w14:paraId="15AFE027" w14:textId="77777777" w:rsidR="00972C84" w:rsidRPr="0054782C" w:rsidRDefault="00972C84" w:rsidP="00196B61">
            <w:pPr>
              <w:rPr>
                <w:iCs/>
                <w:sz w:val="20"/>
                <w:szCs w:val="20"/>
              </w:rPr>
            </w:pPr>
            <w:r w:rsidRPr="0054782C">
              <w:rPr>
                <w:iCs/>
                <w:sz w:val="20"/>
                <w:szCs w:val="20"/>
              </w:rPr>
              <w:t>6</w:t>
            </w:r>
          </w:p>
        </w:tc>
        <w:tc>
          <w:tcPr>
            <w:tcW w:w="1024" w:type="dxa"/>
            <w:hideMark/>
          </w:tcPr>
          <w:p w14:paraId="1736E667" w14:textId="77777777" w:rsidR="00972C84" w:rsidRPr="0054782C" w:rsidRDefault="00972C84" w:rsidP="00196B61">
            <w:pPr>
              <w:rPr>
                <w:iCs/>
                <w:sz w:val="20"/>
                <w:szCs w:val="20"/>
              </w:rPr>
            </w:pPr>
            <w:r w:rsidRPr="0054782C">
              <w:rPr>
                <w:iCs/>
                <w:sz w:val="20"/>
                <w:szCs w:val="20"/>
              </w:rPr>
              <w:t>7</w:t>
            </w:r>
          </w:p>
        </w:tc>
        <w:tc>
          <w:tcPr>
            <w:tcW w:w="1270" w:type="dxa"/>
            <w:hideMark/>
          </w:tcPr>
          <w:p w14:paraId="3031B3AB" w14:textId="77777777" w:rsidR="00972C84" w:rsidRPr="0054782C" w:rsidRDefault="00972C84" w:rsidP="00196B61">
            <w:pPr>
              <w:rPr>
                <w:iCs/>
                <w:sz w:val="20"/>
                <w:szCs w:val="20"/>
              </w:rPr>
            </w:pPr>
            <w:r w:rsidRPr="0054782C">
              <w:rPr>
                <w:iCs/>
                <w:sz w:val="20"/>
                <w:szCs w:val="20"/>
              </w:rPr>
              <w:t>8</w:t>
            </w:r>
          </w:p>
        </w:tc>
      </w:tr>
      <w:tr w:rsidR="009E358C" w:rsidRPr="0054782C" w14:paraId="4E124634" w14:textId="77777777" w:rsidTr="000925B2">
        <w:tc>
          <w:tcPr>
            <w:tcW w:w="1718" w:type="dxa"/>
            <w:hideMark/>
          </w:tcPr>
          <w:p w14:paraId="4079CFA1" w14:textId="77777777" w:rsidR="009E358C" w:rsidRPr="0054782C" w:rsidRDefault="009E358C" w:rsidP="009E358C">
            <w:pPr>
              <w:rPr>
                <w:iCs/>
                <w:sz w:val="20"/>
                <w:szCs w:val="20"/>
              </w:rPr>
            </w:pPr>
            <w:r w:rsidRPr="0054782C">
              <w:rPr>
                <w:iCs/>
                <w:sz w:val="20"/>
                <w:szCs w:val="20"/>
              </w:rPr>
              <w:t>1. Budžeta ieņēmumi</w:t>
            </w:r>
          </w:p>
        </w:tc>
        <w:tc>
          <w:tcPr>
            <w:tcW w:w="1006" w:type="dxa"/>
            <w:hideMark/>
          </w:tcPr>
          <w:p w14:paraId="1C1F2FBA" w14:textId="77777777" w:rsidR="009E358C" w:rsidRPr="0054782C" w:rsidRDefault="009E358C" w:rsidP="009E358C">
            <w:pPr>
              <w:jc w:val="center"/>
              <w:rPr>
                <w:iCs/>
                <w:sz w:val="20"/>
                <w:szCs w:val="20"/>
              </w:rPr>
            </w:pPr>
            <w:r w:rsidRPr="0054782C">
              <w:rPr>
                <w:iCs/>
                <w:sz w:val="20"/>
                <w:szCs w:val="20"/>
              </w:rPr>
              <w:t>0</w:t>
            </w:r>
          </w:p>
        </w:tc>
        <w:tc>
          <w:tcPr>
            <w:tcW w:w="1581" w:type="dxa"/>
            <w:hideMark/>
          </w:tcPr>
          <w:p w14:paraId="7376BD0C" w14:textId="40988728" w:rsidR="009E358C" w:rsidRPr="0054782C" w:rsidRDefault="009E358C" w:rsidP="009E358C">
            <w:pPr>
              <w:jc w:val="center"/>
              <w:rPr>
                <w:iCs/>
                <w:sz w:val="20"/>
                <w:szCs w:val="20"/>
              </w:rPr>
            </w:pPr>
            <w:r w:rsidRPr="0054782C">
              <w:rPr>
                <w:iCs/>
                <w:sz w:val="20"/>
                <w:szCs w:val="20"/>
              </w:rPr>
              <w:t>5 000 000</w:t>
            </w:r>
          </w:p>
        </w:tc>
        <w:tc>
          <w:tcPr>
            <w:tcW w:w="847" w:type="dxa"/>
            <w:hideMark/>
          </w:tcPr>
          <w:p w14:paraId="2D3F6454" w14:textId="77777777" w:rsidR="009E358C" w:rsidRPr="0054782C" w:rsidRDefault="009E358C" w:rsidP="009E358C">
            <w:pPr>
              <w:jc w:val="center"/>
              <w:rPr>
                <w:iCs/>
                <w:sz w:val="20"/>
                <w:szCs w:val="20"/>
              </w:rPr>
            </w:pPr>
            <w:r w:rsidRPr="0054782C">
              <w:rPr>
                <w:iCs/>
                <w:sz w:val="20"/>
                <w:szCs w:val="20"/>
              </w:rPr>
              <w:t>0</w:t>
            </w:r>
          </w:p>
        </w:tc>
        <w:tc>
          <w:tcPr>
            <w:tcW w:w="1025" w:type="dxa"/>
            <w:hideMark/>
          </w:tcPr>
          <w:p w14:paraId="73F8C4CD" w14:textId="63F2DD5D" w:rsidR="009E358C" w:rsidRPr="0054782C" w:rsidRDefault="009E358C" w:rsidP="009E358C">
            <w:pPr>
              <w:jc w:val="center"/>
              <w:rPr>
                <w:iCs/>
                <w:sz w:val="20"/>
                <w:szCs w:val="20"/>
              </w:rPr>
            </w:pPr>
            <w:r w:rsidRPr="0054782C">
              <w:rPr>
                <w:iCs/>
                <w:sz w:val="20"/>
                <w:szCs w:val="20"/>
              </w:rPr>
              <w:t>2 00</w:t>
            </w:r>
            <w:r w:rsidR="00196CF2">
              <w:rPr>
                <w:iCs/>
                <w:sz w:val="20"/>
                <w:szCs w:val="20"/>
              </w:rPr>
              <w:t>0</w:t>
            </w:r>
            <w:r w:rsidRPr="0054782C">
              <w:rPr>
                <w:iCs/>
                <w:sz w:val="20"/>
                <w:szCs w:val="20"/>
              </w:rPr>
              <w:t> 000</w:t>
            </w:r>
          </w:p>
        </w:tc>
        <w:tc>
          <w:tcPr>
            <w:tcW w:w="993" w:type="dxa"/>
            <w:hideMark/>
          </w:tcPr>
          <w:p w14:paraId="29A2E7F5" w14:textId="0ADB9A45" w:rsidR="009E358C" w:rsidRPr="0054782C" w:rsidRDefault="009E358C" w:rsidP="009E358C">
            <w:pPr>
              <w:jc w:val="center"/>
              <w:rPr>
                <w:iCs/>
                <w:sz w:val="20"/>
                <w:szCs w:val="20"/>
              </w:rPr>
            </w:pPr>
            <w:r w:rsidRPr="0054782C">
              <w:rPr>
                <w:iCs/>
                <w:sz w:val="20"/>
                <w:szCs w:val="20"/>
              </w:rPr>
              <w:t>0</w:t>
            </w:r>
          </w:p>
        </w:tc>
        <w:tc>
          <w:tcPr>
            <w:tcW w:w="1024" w:type="dxa"/>
            <w:hideMark/>
          </w:tcPr>
          <w:p w14:paraId="69A962AA" w14:textId="6A6045A5" w:rsidR="009E358C" w:rsidRPr="0054782C" w:rsidRDefault="009E358C" w:rsidP="009E358C">
            <w:pPr>
              <w:jc w:val="center"/>
              <w:rPr>
                <w:iCs/>
                <w:sz w:val="20"/>
                <w:szCs w:val="20"/>
              </w:rPr>
            </w:pPr>
            <w:r w:rsidRPr="0054782C">
              <w:rPr>
                <w:iCs/>
                <w:sz w:val="20"/>
                <w:szCs w:val="20"/>
              </w:rPr>
              <w:t>2 000 000</w:t>
            </w:r>
          </w:p>
        </w:tc>
        <w:tc>
          <w:tcPr>
            <w:tcW w:w="1270" w:type="dxa"/>
            <w:hideMark/>
          </w:tcPr>
          <w:p w14:paraId="223B0A99" w14:textId="3FEDD519" w:rsidR="009E358C" w:rsidRPr="0054782C" w:rsidRDefault="009E358C" w:rsidP="009E358C">
            <w:pPr>
              <w:jc w:val="center"/>
              <w:rPr>
                <w:iCs/>
                <w:sz w:val="20"/>
                <w:szCs w:val="20"/>
              </w:rPr>
            </w:pPr>
            <w:r w:rsidRPr="0054782C">
              <w:rPr>
                <w:iCs/>
                <w:sz w:val="20"/>
                <w:szCs w:val="20"/>
              </w:rPr>
              <w:t>1 000 000</w:t>
            </w:r>
          </w:p>
        </w:tc>
      </w:tr>
      <w:tr w:rsidR="009E358C" w:rsidRPr="0054782C" w14:paraId="0ACE86F9" w14:textId="77777777" w:rsidTr="000925B2">
        <w:tc>
          <w:tcPr>
            <w:tcW w:w="1718" w:type="dxa"/>
            <w:hideMark/>
          </w:tcPr>
          <w:p w14:paraId="2E1C22B1" w14:textId="77777777" w:rsidR="009E358C" w:rsidRPr="0054782C" w:rsidRDefault="009E358C" w:rsidP="009E358C">
            <w:pPr>
              <w:rPr>
                <w:iCs/>
                <w:sz w:val="20"/>
                <w:szCs w:val="20"/>
              </w:rPr>
            </w:pPr>
            <w:r w:rsidRPr="0054782C">
              <w:rPr>
                <w:iCs/>
                <w:sz w:val="20"/>
                <w:szCs w:val="20"/>
              </w:rPr>
              <w:t>1.1. valsts pamatbudžets, tai skaitā ieņēmumi no maksas pakalpojumiem un citi pašu ieņēmumi</w:t>
            </w:r>
          </w:p>
        </w:tc>
        <w:tc>
          <w:tcPr>
            <w:tcW w:w="1006" w:type="dxa"/>
            <w:hideMark/>
          </w:tcPr>
          <w:p w14:paraId="086BA610" w14:textId="77777777" w:rsidR="009E358C" w:rsidRPr="0054782C" w:rsidRDefault="009E358C" w:rsidP="009E358C">
            <w:pPr>
              <w:jc w:val="center"/>
              <w:rPr>
                <w:iCs/>
                <w:sz w:val="20"/>
                <w:szCs w:val="20"/>
              </w:rPr>
            </w:pPr>
            <w:r w:rsidRPr="0054782C">
              <w:rPr>
                <w:iCs/>
                <w:sz w:val="20"/>
                <w:szCs w:val="20"/>
              </w:rPr>
              <w:t>0</w:t>
            </w:r>
          </w:p>
        </w:tc>
        <w:tc>
          <w:tcPr>
            <w:tcW w:w="1581" w:type="dxa"/>
            <w:hideMark/>
          </w:tcPr>
          <w:p w14:paraId="24CE6B69" w14:textId="2B78960C" w:rsidR="009E358C" w:rsidRPr="0054782C" w:rsidRDefault="009E358C" w:rsidP="009E358C">
            <w:pPr>
              <w:jc w:val="center"/>
              <w:rPr>
                <w:iCs/>
                <w:sz w:val="20"/>
                <w:szCs w:val="20"/>
              </w:rPr>
            </w:pPr>
            <w:r w:rsidRPr="0054782C">
              <w:rPr>
                <w:iCs/>
                <w:sz w:val="20"/>
                <w:szCs w:val="20"/>
              </w:rPr>
              <w:t>5 000 000</w:t>
            </w:r>
          </w:p>
        </w:tc>
        <w:tc>
          <w:tcPr>
            <w:tcW w:w="847" w:type="dxa"/>
            <w:hideMark/>
          </w:tcPr>
          <w:p w14:paraId="1DFB6C72" w14:textId="2B4ECE8B" w:rsidR="009E358C" w:rsidRPr="0054782C" w:rsidRDefault="009E358C" w:rsidP="009E358C">
            <w:pPr>
              <w:jc w:val="center"/>
              <w:rPr>
                <w:iCs/>
                <w:sz w:val="20"/>
                <w:szCs w:val="20"/>
              </w:rPr>
            </w:pPr>
            <w:r w:rsidRPr="0054782C">
              <w:rPr>
                <w:iCs/>
                <w:sz w:val="20"/>
                <w:szCs w:val="20"/>
              </w:rPr>
              <w:t>0</w:t>
            </w:r>
          </w:p>
        </w:tc>
        <w:tc>
          <w:tcPr>
            <w:tcW w:w="1025" w:type="dxa"/>
            <w:hideMark/>
          </w:tcPr>
          <w:p w14:paraId="517C07F6" w14:textId="772321FC" w:rsidR="009E358C" w:rsidRPr="0054782C" w:rsidRDefault="009E358C" w:rsidP="009E358C">
            <w:pPr>
              <w:jc w:val="center"/>
              <w:rPr>
                <w:iCs/>
                <w:sz w:val="20"/>
                <w:szCs w:val="20"/>
              </w:rPr>
            </w:pPr>
            <w:r w:rsidRPr="0054782C">
              <w:rPr>
                <w:iCs/>
                <w:sz w:val="20"/>
                <w:szCs w:val="20"/>
              </w:rPr>
              <w:t>2 00</w:t>
            </w:r>
            <w:r w:rsidR="00196CF2">
              <w:rPr>
                <w:iCs/>
                <w:sz w:val="20"/>
                <w:szCs w:val="20"/>
              </w:rPr>
              <w:t>0</w:t>
            </w:r>
            <w:r w:rsidRPr="0054782C">
              <w:rPr>
                <w:iCs/>
                <w:sz w:val="20"/>
                <w:szCs w:val="20"/>
              </w:rPr>
              <w:t> 000</w:t>
            </w:r>
          </w:p>
        </w:tc>
        <w:tc>
          <w:tcPr>
            <w:tcW w:w="993" w:type="dxa"/>
            <w:hideMark/>
          </w:tcPr>
          <w:p w14:paraId="1E4A4B33" w14:textId="45391E6D" w:rsidR="009E358C" w:rsidRPr="0054782C" w:rsidRDefault="009E358C" w:rsidP="009E358C">
            <w:pPr>
              <w:jc w:val="center"/>
              <w:rPr>
                <w:iCs/>
                <w:sz w:val="20"/>
                <w:szCs w:val="20"/>
              </w:rPr>
            </w:pPr>
            <w:r w:rsidRPr="0054782C">
              <w:rPr>
                <w:iCs/>
                <w:sz w:val="20"/>
                <w:szCs w:val="20"/>
              </w:rPr>
              <w:t>0</w:t>
            </w:r>
          </w:p>
        </w:tc>
        <w:tc>
          <w:tcPr>
            <w:tcW w:w="1024" w:type="dxa"/>
            <w:hideMark/>
          </w:tcPr>
          <w:p w14:paraId="2333AD69" w14:textId="226BF8D3" w:rsidR="009E358C" w:rsidRPr="0054782C" w:rsidRDefault="009E358C" w:rsidP="009E358C">
            <w:pPr>
              <w:jc w:val="center"/>
              <w:rPr>
                <w:iCs/>
                <w:sz w:val="20"/>
                <w:szCs w:val="20"/>
              </w:rPr>
            </w:pPr>
            <w:r w:rsidRPr="0054782C">
              <w:rPr>
                <w:iCs/>
                <w:sz w:val="20"/>
                <w:szCs w:val="20"/>
              </w:rPr>
              <w:t>2 000 000</w:t>
            </w:r>
          </w:p>
        </w:tc>
        <w:tc>
          <w:tcPr>
            <w:tcW w:w="1270" w:type="dxa"/>
            <w:hideMark/>
          </w:tcPr>
          <w:p w14:paraId="10904C5F" w14:textId="3AF8D7FD" w:rsidR="009E358C" w:rsidRPr="0054782C" w:rsidRDefault="009E358C" w:rsidP="009E358C">
            <w:pPr>
              <w:jc w:val="center"/>
              <w:rPr>
                <w:iCs/>
                <w:sz w:val="20"/>
                <w:szCs w:val="20"/>
              </w:rPr>
            </w:pPr>
            <w:r w:rsidRPr="0054782C">
              <w:rPr>
                <w:iCs/>
                <w:sz w:val="20"/>
                <w:szCs w:val="20"/>
              </w:rPr>
              <w:t>1 000 000</w:t>
            </w:r>
          </w:p>
        </w:tc>
      </w:tr>
      <w:tr w:rsidR="002A2E9A" w:rsidRPr="0054782C" w14:paraId="68BC3723" w14:textId="77777777" w:rsidTr="000925B2">
        <w:tc>
          <w:tcPr>
            <w:tcW w:w="1718" w:type="dxa"/>
            <w:hideMark/>
          </w:tcPr>
          <w:p w14:paraId="301CA340" w14:textId="77777777" w:rsidR="002A2E9A" w:rsidRPr="0054782C" w:rsidRDefault="002A2E9A" w:rsidP="002A2E9A">
            <w:pPr>
              <w:rPr>
                <w:iCs/>
                <w:sz w:val="20"/>
                <w:szCs w:val="20"/>
              </w:rPr>
            </w:pPr>
            <w:r w:rsidRPr="0054782C">
              <w:rPr>
                <w:iCs/>
                <w:sz w:val="20"/>
                <w:szCs w:val="20"/>
              </w:rPr>
              <w:t>1.2. valsts speciālais budžets</w:t>
            </w:r>
          </w:p>
        </w:tc>
        <w:tc>
          <w:tcPr>
            <w:tcW w:w="1006" w:type="dxa"/>
            <w:hideMark/>
          </w:tcPr>
          <w:p w14:paraId="55AF88D8"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4A21A1F5" w14:textId="77777777" w:rsidR="002A2E9A" w:rsidRPr="0054782C" w:rsidRDefault="002A2E9A" w:rsidP="002A2E9A">
            <w:pPr>
              <w:jc w:val="center"/>
              <w:rPr>
                <w:iCs/>
                <w:sz w:val="20"/>
                <w:szCs w:val="20"/>
              </w:rPr>
            </w:pPr>
            <w:r w:rsidRPr="0054782C">
              <w:rPr>
                <w:iCs/>
                <w:sz w:val="20"/>
                <w:szCs w:val="20"/>
              </w:rPr>
              <w:t>0</w:t>
            </w:r>
          </w:p>
        </w:tc>
        <w:tc>
          <w:tcPr>
            <w:tcW w:w="847" w:type="dxa"/>
            <w:hideMark/>
          </w:tcPr>
          <w:p w14:paraId="074F0588"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7D93D77E"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2BBEF99B"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587A7A76"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6DB8E1D2" w14:textId="77777777" w:rsidR="002A2E9A" w:rsidRPr="0054782C" w:rsidRDefault="002A2E9A" w:rsidP="002A2E9A">
            <w:pPr>
              <w:jc w:val="center"/>
              <w:rPr>
                <w:iCs/>
                <w:sz w:val="20"/>
                <w:szCs w:val="20"/>
              </w:rPr>
            </w:pPr>
            <w:r w:rsidRPr="0054782C">
              <w:rPr>
                <w:iCs/>
                <w:sz w:val="20"/>
                <w:szCs w:val="20"/>
              </w:rPr>
              <w:t>0</w:t>
            </w:r>
          </w:p>
        </w:tc>
      </w:tr>
      <w:tr w:rsidR="002A2E9A" w:rsidRPr="0054782C" w14:paraId="37F1BB75" w14:textId="77777777" w:rsidTr="000925B2">
        <w:tc>
          <w:tcPr>
            <w:tcW w:w="1718" w:type="dxa"/>
            <w:hideMark/>
          </w:tcPr>
          <w:p w14:paraId="179C31AE" w14:textId="77777777" w:rsidR="002A2E9A" w:rsidRPr="0054782C" w:rsidRDefault="002A2E9A" w:rsidP="002A2E9A">
            <w:pPr>
              <w:rPr>
                <w:iCs/>
                <w:sz w:val="20"/>
                <w:szCs w:val="20"/>
              </w:rPr>
            </w:pPr>
            <w:r w:rsidRPr="0054782C">
              <w:rPr>
                <w:iCs/>
                <w:sz w:val="20"/>
                <w:szCs w:val="20"/>
              </w:rPr>
              <w:t>1.3. pašvaldību budžets</w:t>
            </w:r>
          </w:p>
        </w:tc>
        <w:tc>
          <w:tcPr>
            <w:tcW w:w="1006" w:type="dxa"/>
            <w:hideMark/>
          </w:tcPr>
          <w:p w14:paraId="5E2A8C44"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2154056A" w14:textId="77777777" w:rsidR="002A2E9A" w:rsidRPr="0054782C" w:rsidRDefault="002A2E9A" w:rsidP="002A2E9A">
            <w:pPr>
              <w:jc w:val="center"/>
              <w:rPr>
                <w:iCs/>
                <w:sz w:val="20"/>
                <w:szCs w:val="20"/>
              </w:rPr>
            </w:pPr>
            <w:r w:rsidRPr="0054782C">
              <w:rPr>
                <w:iCs/>
                <w:sz w:val="20"/>
                <w:szCs w:val="20"/>
              </w:rPr>
              <w:t>0</w:t>
            </w:r>
          </w:p>
        </w:tc>
        <w:tc>
          <w:tcPr>
            <w:tcW w:w="847" w:type="dxa"/>
            <w:hideMark/>
          </w:tcPr>
          <w:p w14:paraId="2F607EE3"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23F099F7"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604F67DA"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61500F34"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57642524" w14:textId="77777777" w:rsidR="002A2E9A" w:rsidRPr="0054782C" w:rsidRDefault="002A2E9A" w:rsidP="002A2E9A">
            <w:pPr>
              <w:jc w:val="center"/>
              <w:rPr>
                <w:iCs/>
                <w:sz w:val="20"/>
                <w:szCs w:val="20"/>
              </w:rPr>
            </w:pPr>
            <w:r w:rsidRPr="0054782C">
              <w:rPr>
                <w:iCs/>
                <w:sz w:val="20"/>
                <w:szCs w:val="20"/>
              </w:rPr>
              <w:t>0</w:t>
            </w:r>
          </w:p>
        </w:tc>
      </w:tr>
      <w:tr w:rsidR="002A2E9A" w:rsidRPr="0054782C" w14:paraId="2297C012" w14:textId="77777777" w:rsidTr="000925B2">
        <w:tc>
          <w:tcPr>
            <w:tcW w:w="1718" w:type="dxa"/>
            <w:hideMark/>
          </w:tcPr>
          <w:p w14:paraId="4FB14820" w14:textId="77777777" w:rsidR="002A2E9A" w:rsidRPr="0054782C" w:rsidRDefault="002A2E9A" w:rsidP="002A2E9A">
            <w:pPr>
              <w:rPr>
                <w:iCs/>
                <w:sz w:val="20"/>
                <w:szCs w:val="20"/>
              </w:rPr>
            </w:pPr>
            <w:r w:rsidRPr="0054782C">
              <w:rPr>
                <w:iCs/>
                <w:sz w:val="20"/>
                <w:szCs w:val="20"/>
              </w:rPr>
              <w:t>2. Budžeta izdevumi</w:t>
            </w:r>
          </w:p>
        </w:tc>
        <w:tc>
          <w:tcPr>
            <w:tcW w:w="1006" w:type="dxa"/>
            <w:hideMark/>
          </w:tcPr>
          <w:p w14:paraId="5F28DE8C"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3DEE826B" w14:textId="7C5C9357" w:rsidR="002A2E9A" w:rsidRPr="0054782C" w:rsidRDefault="009E358C" w:rsidP="00196CF2">
            <w:pPr>
              <w:jc w:val="center"/>
              <w:rPr>
                <w:iCs/>
                <w:sz w:val="20"/>
                <w:szCs w:val="20"/>
              </w:rPr>
            </w:pPr>
            <w:r w:rsidRPr="0054782C">
              <w:rPr>
                <w:iCs/>
                <w:sz w:val="20"/>
                <w:szCs w:val="20"/>
              </w:rPr>
              <w:t>6 </w:t>
            </w:r>
            <w:r w:rsidR="00196CF2">
              <w:rPr>
                <w:iCs/>
                <w:sz w:val="20"/>
                <w:szCs w:val="20"/>
              </w:rPr>
              <w:t>25</w:t>
            </w:r>
            <w:r w:rsidRPr="0054782C">
              <w:rPr>
                <w:iCs/>
                <w:sz w:val="20"/>
                <w:szCs w:val="20"/>
              </w:rPr>
              <w:t>0 000</w:t>
            </w:r>
          </w:p>
        </w:tc>
        <w:tc>
          <w:tcPr>
            <w:tcW w:w="847" w:type="dxa"/>
            <w:hideMark/>
          </w:tcPr>
          <w:p w14:paraId="020E0962"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6F8AA527" w14:textId="068D626D" w:rsidR="002A2E9A" w:rsidRPr="0054782C" w:rsidRDefault="009E358C" w:rsidP="002A2E9A">
            <w:pPr>
              <w:jc w:val="center"/>
              <w:rPr>
                <w:iCs/>
                <w:sz w:val="20"/>
                <w:szCs w:val="20"/>
              </w:rPr>
            </w:pPr>
            <w:r w:rsidRPr="0054782C">
              <w:rPr>
                <w:iCs/>
                <w:sz w:val="20"/>
                <w:szCs w:val="20"/>
              </w:rPr>
              <w:t>2 </w:t>
            </w:r>
            <w:r w:rsidR="00196CF2">
              <w:rPr>
                <w:iCs/>
                <w:sz w:val="20"/>
                <w:szCs w:val="20"/>
              </w:rPr>
              <w:t>5</w:t>
            </w:r>
            <w:r w:rsidRPr="0054782C">
              <w:rPr>
                <w:iCs/>
                <w:sz w:val="20"/>
                <w:szCs w:val="20"/>
              </w:rPr>
              <w:t>0</w:t>
            </w:r>
            <w:r w:rsidR="002A2E9A" w:rsidRPr="0054782C">
              <w:rPr>
                <w:iCs/>
                <w:sz w:val="20"/>
                <w:szCs w:val="20"/>
              </w:rPr>
              <w:t>0</w:t>
            </w:r>
            <w:r w:rsidRPr="0054782C">
              <w:rPr>
                <w:iCs/>
                <w:sz w:val="20"/>
                <w:szCs w:val="20"/>
              </w:rPr>
              <w:t> 000</w:t>
            </w:r>
          </w:p>
        </w:tc>
        <w:tc>
          <w:tcPr>
            <w:tcW w:w="993" w:type="dxa"/>
            <w:hideMark/>
          </w:tcPr>
          <w:p w14:paraId="34EEBDFC"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45FB3DD8" w14:textId="79059FC6" w:rsidR="002A2E9A" w:rsidRPr="0054782C" w:rsidRDefault="009E358C" w:rsidP="002A2E9A">
            <w:pPr>
              <w:jc w:val="center"/>
              <w:rPr>
                <w:iCs/>
                <w:sz w:val="20"/>
                <w:szCs w:val="20"/>
              </w:rPr>
            </w:pPr>
            <w:r w:rsidRPr="0054782C">
              <w:rPr>
                <w:iCs/>
                <w:sz w:val="20"/>
                <w:szCs w:val="20"/>
              </w:rPr>
              <w:t>2 </w:t>
            </w:r>
            <w:r w:rsidR="00196CF2">
              <w:rPr>
                <w:iCs/>
                <w:sz w:val="20"/>
                <w:szCs w:val="20"/>
              </w:rPr>
              <w:t>5</w:t>
            </w:r>
            <w:r w:rsidRPr="0054782C">
              <w:rPr>
                <w:iCs/>
                <w:sz w:val="20"/>
                <w:szCs w:val="20"/>
              </w:rPr>
              <w:t>0</w:t>
            </w:r>
            <w:r w:rsidR="002A2E9A" w:rsidRPr="0054782C">
              <w:rPr>
                <w:iCs/>
                <w:sz w:val="20"/>
                <w:szCs w:val="20"/>
              </w:rPr>
              <w:t>0</w:t>
            </w:r>
            <w:r w:rsidRPr="0054782C">
              <w:rPr>
                <w:iCs/>
                <w:sz w:val="20"/>
                <w:szCs w:val="20"/>
              </w:rPr>
              <w:t> 000</w:t>
            </w:r>
          </w:p>
        </w:tc>
        <w:tc>
          <w:tcPr>
            <w:tcW w:w="1270" w:type="dxa"/>
            <w:hideMark/>
          </w:tcPr>
          <w:p w14:paraId="52806461" w14:textId="564139CA" w:rsidR="002A2E9A" w:rsidRPr="0054782C" w:rsidRDefault="00196CF2" w:rsidP="00196CF2">
            <w:pPr>
              <w:jc w:val="center"/>
              <w:rPr>
                <w:iCs/>
                <w:sz w:val="20"/>
                <w:szCs w:val="20"/>
              </w:rPr>
            </w:pPr>
            <w:r>
              <w:rPr>
                <w:iCs/>
                <w:sz w:val="20"/>
                <w:szCs w:val="20"/>
              </w:rPr>
              <w:t>1</w:t>
            </w:r>
            <w:r w:rsidR="009E358C" w:rsidRPr="0054782C">
              <w:rPr>
                <w:iCs/>
                <w:sz w:val="20"/>
                <w:szCs w:val="20"/>
              </w:rPr>
              <w:t> </w:t>
            </w:r>
            <w:r>
              <w:rPr>
                <w:iCs/>
                <w:sz w:val="20"/>
                <w:szCs w:val="20"/>
              </w:rPr>
              <w:t>25</w:t>
            </w:r>
            <w:r w:rsidR="002A2E9A" w:rsidRPr="0054782C">
              <w:rPr>
                <w:iCs/>
                <w:sz w:val="20"/>
                <w:szCs w:val="20"/>
              </w:rPr>
              <w:t>0</w:t>
            </w:r>
            <w:r w:rsidR="009E358C" w:rsidRPr="0054782C">
              <w:rPr>
                <w:iCs/>
                <w:sz w:val="20"/>
                <w:szCs w:val="20"/>
              </w:rPr>
              <w:t> 000</w:t>
            </w:r>
          </w:p>
        </w:tc>
      </w:tr>
      <w:tr w:rsidR="009E358C" w:rsidRPr="0054782C" w14:paraId="1D6B49DD" w14:textId="77777777" w:rsidTr="000925B2">
        <w:tc>
          <w:tcPr>
            <w:tcW w:w="1718" w:type="dxa"/>
            <w:hideMark/>
          </w:tcPr>
          <w:p w14:paraId="32B03C6B" w14:textId="77777777" w:rsidR="009E358C" w:rsidRPr="0054782C" w:rsidRDefault="009E358C" w:rsidP="009E358C">
            <w:pPr>
              <w:rPr>
                <w:iCs/>
                <w:sz w:val="20"/>
                <w:szCs w:val="20"/>
              </w:rPr>
            </w:pPr>
            <w:r w:rsidRPr="0054782C">
              <w:rPr>
                <w:iCs/>
                <w:sz w:val="20"/>
                <w:szCs w:val="20"/>
              </w:rPr>
              <w:t>2.1. valsts pamatbudžets</w:t>
            </w:r>
          </w:p>
        </w:tc>
        <w:tc>
          <w:tcPr>
            <w:tcW w:w="1006" w:type="dxa"/>
            <w:hideMark/>
          </w:tcPr>
          <w:p w14:paraId="2E0AB275" w14:textId="77777777" w:rsidR="009E358C" w:rsidRPr="0054782C" w:rsidRDefault="009E358C" w:rsidP="009E358C">
            <w:pPr>
              <w:jc w:val="center"/>
              <w:rPr>
                <w:iCs/>
                <w:sz w:val="20"/>
                <w:szCs w:val="20"/>
              </w:rPr>
            </w:pPr>
            <w:r w:rsidRPr="0054782C">
              <w:rPr>
                <w:iCs/>
                <w:sz w:val="20"/>
                <w:szCs w:val="20"/>
              </w:rPr>
              <w:t>0</w:t>
            </w:r>
          </w:p>
        </w:tc>
        <w:tc>
          <w:tcPr>
            <w:tcW w:w="1581" w:type="dxa"/>
            <w:hideMark/>
          </w:tcPr>
          <w:p w14:paraId="6B6D0752" w14:textId="667C9DFA" w:rsidR="009E358C" w:rsidRPr="0054782C" w:rsidRDefault="009E358C" w:rsidP="009E358C">
            <w:pPr>
              <w:jc w:val="center"/>
              <w:rPr>
                <w:iCs/>
                <w:sz w:val="20"/>
                <w:szCs w:val="20"/>
              </w:rPr>
            </w:pPr>
            <w:r w:rsidRPr="0054782C">
              <w:rPr>
                <w:iCs/>
                <w:sz w:val="20"/>
                <w:szCs w:val="20"/>
              </w:rPr>
              <w:t>5 000 000</w:t>
            </w:r>
          </w:p>
        </w:tc>
        <w:tc>
          <w:tcPr>
            <w:tcW w:w="847" w:type="dxa"/>
            <w:hideMark/>
          </w:tcPr>
          <w:p w14:paraId="50BEC64E" w14:textId="1223F681" w:rsidR="009E358C" w:rsidRPr="0054782C" w:rsidRDefault="009E358C" w:rsidP="009E358C">
            <w:pPr>
              <w:jc w:val="center"/>
              <w:rPr>
                <w:iCs/>
                <w:sz w:val="20"/>
                <w:szCs w:val="20"/>
              </w:rPr>
            </w:pPr>
            <w:r w:rsidRPr="0054782C">
              <w:rPr>
                <w:iCs/>
                <w:sz w:val="20"/>
                <w:szCs w:val="20"/>
              </w:rPr>
              <w:t>0</w:t>
            </w:r>
          </w:p>
        </w:tc>
        <w:tc>
          <w:tcPr>
            <w:tcW w:w="1025" w:type="dxa"/>
            <w:hideMark/>
          </w:tcPr>
          <w:p w14:paraId="41CA7F5E" w14:textId="488B7B7A" w:rsidR="009E358C" w:rsidRPr="0054782C" w:rsidRDefault="009E358C" w:rsidP="009E358C">
            <w:pPr>
              <w:jc w:val="center"/>
              <w:rPr>
                <w:iCs/>
                <w:sz w:val="20"/>
                <w:szCs w:val="20"/>
              </w:rPr>
            </w:pPr>
            <w:r w:rsidRPr="0054782C">
              <w:rPr>
                <w:iCs/>
                <w:sz w:val="20"/>
                <w:szCs w:val="20"/>
              </w:rPr>
              <w:t>2 00</w:t>
            </w:r>
            <w:r w:rsidR="00196CF2">
              <w:rPr>
                <w:iCs/>
                <w:sz w:val="20"/>
                <w:szCs w:val="20"/>
              </w:rPr>
              <w:t>0</w:t>
            </w:r>
            <w:r w:rsidRPr="0054782C">
              <w:rPr>
                <w:iCs/>
                <w:sz w:val="20"/>
                <w:szCs w:val="20"/>
              </w:rPr>
              <w:t> 000</w:t>
            </w:r>
          </w:p>
        </w:tc>
        <w:tc>
          <w:tcPr>
            <w:tcW w:w="993" w:type="dxa"/>
            <w:hideMark/>
          </w:tcPr>
          <w:p w14:paraId="10851B9C" w14:textId="4F5E9997" w:rsidR="009E358C" w:rsidRPr="0054782C" w:rsidRDefault="009E358C" w:rsidP="009E358C">
            <w:pPr>
              <w:jc w:val="center"/>
              <w:rPr>
                <w:iCs/>
                <w:sz w:val="20"/>
                <w:szCs w:val="20"/>
              </w:rPr>
            </w:pPr>
            <w:r w:rsidRPr="0054782C">
              <w:rPr>
                <w:iCs/>
                <w:sz w:val="20"/>
                <w:szCs w:val="20"/>
              </w:rPr>
              <w:t>0</w:t>
            </w:r>
          </w:p>
        </w:tc>
        <w:tc>
          <w:tcPr>
            <w:tcW w:w="1024" w:type="dxa"/>
            <w:hideMark/>
          </w:tcPr>
          <w:p w14:paraId="5D80D6B5" w14:textId="36EA2372" w:rsidR="009E358C" w:rsidRPr="0054782C" w:rsidRDefault="009E358C" w:rsidP="009E358C">
            <w:pPr>
              <w:jc w:val="center"/>
              <w:rPr>
                <w:iCs/>
                <w:sz w:val="20"/>
                <w:szCs w:val="20"/>
              </w:rPr>
            </w:pPr>
            <w:r w:rsidRPr="0054782C">
              <w:rPr>
                <w:iCs/>
                <w:sz w:val="20"/>
                <w:szCs w:val="20"/>
              </w:rPr>
              <w:t>2 000 000</w:t>
            </w:r>
          </w:p>
        </w:tc>
        <w:tc>
          <w:tcPr>
            <w:tcW w:w="1270" w:type="dxa"/>
            <w:hideMark/>
          </w:tcPr>
          <w:p w14:paraId="32B9CFF2" w14:textId="7BD71AEE" w:rsidR="009E358C" w:rsidRPr="0054782C" w:rsidRDefault="009E358C" w:rsidP="009E358C">
            <w:pPr>
              <w:jc w:val="center"/>
              <w:rPr>
                <w:iCs/>
                <w:sz w:val="20"/>
                <w:szCs w:val="20"/>
              </w:rPr>
            </w:pPr>
            <w:r w:rsidRPr="0054782C">
              <w:rPr>
                <w:iCs/>
                <w:sz w:val="20"/>
                <w:szCs w:val="20"/>
              </w:rPr>
              <w:t>1 000 000</w:t>
            </w:r>
          </w:p>
        </w:tc>
      </w:tr>
      <w:tr w:rsidR="002A2E9A" w:rsidRPr="0054782C" w14:paraId="4A9A2873" w14:textId="77777777" w:rsidTr="000925B2">
        <w:tc>
          <w:tcPr>
            <w:tcW w:w="1718" w:type="dxa"/>
            <w:hideMark/>
          </w:tcPr>
          <w:p w14:paraId="37FD59AF" w14:textId="77777777" w:rsidR="002A2E9A" w:rsidRPr="0054782C" w:rsidRDefault="002A2E9A" w:rsidP="002A2E9A">
            <w:pPr>
              <w:rPr>
                <w:iCs/>
                <w:sz w:val="20"/>
                <w:szCs w:val="20"/>
              </w:rPr>
            </w:pPr>
            <w:r w:rsidRPr="0054782C">
              <w:rPr>
                <w:iCs/>
                <w:sz w:val="20"/>
                <w:szCs w:val="20"/>
              </w:rPr>
              <w:t>2.2. valsts speciālais budžets</w:t>
            </w:r>
          </w:p>
        </w:tc>
        <w:tc>
          <w:tcPr>
            <w:tcW w:w="1006" w:type="dxa"/>
            <w:hideMark/>
          </w:tcPr>
          <w:p w14:paraId="0D666379"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2C02C4B7" w14:textId="77777777" w:rsidR="002A2E9A" w:rsidRPr="0054782C" w:rsidRDefault="002A2E9A" w:rsidP="002A2E9A">
            <w:pPr>
              <w:jc w:val="center"/>
              <w:rPr>
                <w:iCs/>
                <w:sz w:val="20"/>
                <w:szCs w:val="20"/>
              </w:rPr>
            </w:pPr>
            <w:r w:rsidRPr="0054782C">
              <w:rPr>
                <w:iCs/>
                <w:sz w:val="20"/>
                <w:szCs w:val="20"/>
              </w:rPr>
              <w:t>0</w:t>
            </w:r>
          </w:p>
        </w:tc>
        <w:tc>
          <w:tcPr>
            <w:tcW w:w="847" w:type="dxa"/>
            <w:hideMark/>
          </w:tcPr>
          <w:p w14:paraId="01417D52"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4871684A"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41BAACE2"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318742C7"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2D199C9E" w14:textId="77777777" w:rsidR="002A2E9A" w:rsidRPr="0054782C" w:rsidRDefault="002A2E9A" w:rsidP="002A2E9A">
            <w:pPr>
              <w:jc w:val="center"/>
              <w:rPr>
                <w:iCs/>
                <w:sz w:val="20"/>
                <w:szCs w:val="20"/>
              </w:rPr>
            </w:pPr>
            <w:r w:rsidRPr="0054782C">
              <w:rPr>
                <w:iCs/>
                <w:sz w:val="20"/>
                <w:szCs w:val="20"/>
              </w:rPr>
              <w:t>0</w:t>
            </w:r>
          </w:p>
        </w:tc>
      </w:tr>
      <w:tr w:rsidR="002A2E9A" w:rsidRPr="0054782C" w14:paraId="3B32645F" w14:textId="77777777" w:rsidTr="000925B2">
        <w:tc>
          <w:tcPr>
            <w:tcW w:w="1718" w:type="dxa"/>
            <w:hideMark/>
          </w:tcPr>
          <w:p w14:paraId="170E8F75" w14:textId="77777777" w:rsidR="002A2E9A" w:rsidRPr="0054782C" w:rsidRDefault="002A2E9A" w:rsidP="002A2E9A">
            <w:pPr>
              <w:rPr>
                <w:iCs/>
                <w:sz w:val="20"/>
                <w:szCs w:val="20"/>
              </w:rPr>
            </w:pPr>
            <w:r w:rsidRPr="0054782C">
              <w:rPr>
                <w:iCs/>
                <w:sz w:val="20"/>
                <w:szCs w:val="20"/>
              </w:rPr>
              <w:t>2.3. pašvaldību budžets</w:t>
            </w:r>
          </w:p>
        </w:tc>
        <w:tc>
          <w:tcPr>
            <w:tcW w:w="1006" w:type="dxa"/>
            <w:hideMark/>
          </w:tcPr>
          <w:p w14:paraId="24A24084"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7F91C697" w14:textId="72ECF9CF" w:rsidR="002A2E9A" w:rsidRPr="0054782C" w:rsidRDefault="009E358C" w:rsidP="00777F48">
            <w:pPr>
              <w:jc w:val="center"/>
              <w:rPr>
                <w:iCs/>
                <w:sz w:val="20"/>
                <w:szCs w:val="20"/>
              </w:rPr>
            </w:pPr>
            <w:r w:rsidRPr="0054782C">
              <w:rPr>
                <w:iCs/>
                <w:sz w:val="20"/>
                <w:szCs w:val="20"/>
              </w:rPr>
              <w:t>1 </w:t>
            </w:r>
            <w:r w:rsidR="00777F48">
              <w:rPr>
                <w:iCs/>
                <w:sz w:val="20"/>
                <w:szCs w:val="20"/>
              </w:rPr>
              <w:t>25</w:t>
            </w:r>
            <w:r w:rsidRPr="0054782C">
              <w:rPr>
                <w:iCs/>
                <w:sz w:val="20"/>
                <w:szCs w:val="20"/>
              </w:rPr>
              <w:t>0 000</w:t>
            </w:r>
          </w:p>
        </w:tc>
        <w:tc>
          <w:tcPr>
            <w:tcW w:w="847" w:type="dxa"/>
            <w:hideMark/>
          </w:tcPr>
          <w:p w14:paraId="167C895E"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42AE8E06" w14:textId="0838699F" w:rsidR="002A2E9A" w:rsidRPr="0054782C" w:rsidRDefault="00777F48" w:rsidP="002A2E9A">
            <w:pPr>
              <w:jc w:val="center"/>
              <w:rPr>
                <w:iCs/>
                <w:sz w:val="20"/>
                <w:szCs w:val="20"/>
              </w:rPr>
            </w:pPr>
            <w:r>
              <w:rPr>
                <w:iCs/>
                <w:sz w:val="20"/>
                <w:szCs w:val="20"/>
              </w:rPr>
              <w:t>5</w:t>
            </w:r>
            <w:r w:rsidR="009E358C" w:rsidRPr="0054782C">
              <w:rPr>
                <w:iCs/>
                <w:sz w:val="20"/>
                <w:szCs w:val="20"/>
              </w:rPr>
              <w:t>0</w:t>
            </w:r>
            <w:r w:rsidR="002A2E9A" w:rsidRPr="0054782C">
              <w:rPr>
                <w:iCs/>
                <w:sz w:val="20"/>
                <w:szCs w:val="20"/>
              </w:rPr>
              <w:t>0</w:t>
            </w:r>
            <w:r w:rsidR="009E358C" w:rsidRPr="0054782C">
              <w:rPr>
                <w:iCs/>
                <w:sz w:val="20"/>
                <w:szCs w:val="20"/>
              </w:rPr>
              <w:t> 000</w:t>
            </w:r>
          </w:p>
        </w:tc>
        <w:tc>
          <w:tcPr>
            <w:tcW w:w="993" w:type="dxa"/>
            <w:hideMark/>
          </w:tcPr>
          <w:p w14:paraId="3D8B62D5"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275B5960" w14:textId="7738B021" w:rsidR="002A2E9A" w:rsidRPr="0054782C" w:rsidRDefault="00777F48" w:rsidP="002A2E9A">
            <w:pPr>
              <w:jc w:val="center"/>
              <w:rPr>
                <w:iCs/>
                <w:sz w:val="20"/>
                <w:szCs w:val="20"/>
              </w:rPr>
            </w:pPr>
            <w:r>
              <w:rPr>
                <w:iCs/>
                <w:sz w:val="20"/>
                <w:szCs w:val="20"/>
              </w:rPr>
              <w:t>5</w:t>
            </w:r>
            <w:r w:rsidR="009E358C" w:rsidRPr="0054782C">
              <w:rPr>
                <w:iCs/>
                <w:sz w:val="20"/>
                <w:szCs w:val="20"/>
              </w:rPr>
              <w:t>0</w:t>
            </w:r>
            <w:r w:rsidR="002A2E9A" w:rsidRPr="0054782C">
              <w:rPr>
                <w:iCs/>
                <w:sz w:val="20"/>
                <w:szCs w:val="20"/>
              </w:rPr>
              <w:t>0</w:t>
            </w:r>
            <w:r w:rsidR="009E358C" w:rsidRPr="0054782C">
              <w:rPr>
                <w:iCs/>
                <w:sz w:val="20"/>
                <w:szCs w:val="20"/>
              </w:rPr>
              <w:t> 000</w:t>
            </w:r>
          </w:p>
        </w:tc>
        <w:tc>
          <w:tcPr>
            <w:tcW w:w="1270" w:type="dxa"/>
            <w:hideMark/>
          </w:tcPr>
          <w:p w14:paraId="7680831A" w14:textId="614D543B" w:rsidR="002A2E9A" w:rsidRPr="0054782C" w:rsidRDefault="00777F48" w:rsidP="00777F48">
            <w:pPr>
              <w:jc w:val="center"/>
              <w:rPr>
                <w:iCs/>
                <w:sz w:val="20"/>
                <w:szCs w:val="20"/>
              </w:rPr>
            </w:pPr>
            <w:r>
              <w:rPr>
                <w:iCs/>
                <w:sz w:val="20"/>
                <w:szCs w:val="20"/>
              </w:rPr>
              <w:t>25</w:t>
            </w:r>
            <w:r w:rsidR="009E358C" w:rsidRPr="0054782C">
              <w:rPr>
                <w:iCs/>
                <w:sz w:val="20"/>
                <w:szCs w:val="20"/>
              </w:rPr>
              <w:t>0 00</w:t>
            </w:r>
            <w:r w:rsidR="002A2E9A" w:rsidRPr="0054782C">
              <w:rPr>
                <w:iCs/>
                <w:sz w:val="20"/>
                <w:szCs w:val="20"/>
              </w:rPr>
              <w:t>0</w:t>
            </w:r>
          </w:p>
        </w:tc>
      </w:tr>
      <w:tr w:rsidR="009E358C" w:rsidRPr="0054782C" w14:paraId="1709F9D2" w14:textId="77777777" w:rsidTr="000925B2">
        <w:tc>
          <w:tcPr>
            <w:tcW w:w="1718" w:type="dxa"/>
            <w:hideMark/>
          </w:tcPr>
          <w:p w14:paraId="174167F5" w14:textId="77777777" w:rsidR="009E358C" w:rsidRPr="0054782C" w:rsidRDefault="009E358C" w:rsidP="009E358C">
            <w:pPr>
              <w:rPr>
                <w:iCs/>
                <w:sz w:val="20"/>
                <w:szCs w:val="20"/>
              </w:rPr>
            </w:pPr>
            <w:r w:rsidRPr="0054782C">
              <w:rPr>
                <w:iCs/>
                <w:sz w:val="20"/>
                <w:szCs w:val="20"/>
              </w:rPr>
              <w:t>3. Finansiālā ietekme</w:t>
            </w:r>
          </w:p>
        </w:tc>
        <w:tc>
          <w:tcPr>
            <w:tcW w:w="1006" w:type="dxa"/>
            <w:hideMark/>
          </w:tcPr>
          <w:p w14:paraId="433DD481" w14:textId="77777777" w:rsidR="009E358C" w:rsidRPr="0054782C" w:rsidRDefault="009E358C" w:rsidP="009E358C">
            <w:pPr>
              <w:jc w:val="center"/>
              <w:rPr>
                <w:iCs/>
                <w:sz w:val="20"/>
                <w:szCs w:val="20"/>
              </w:rPr>
            </w:pPr>
            <w:r w:rsidRPr="0054782C">
              <w:rPr>
                <w:iCs/>
                <w:sz w:val="20"/>
                <w:szCs w:val="20"/>
              </w:rPr>
              <w:t>0</w:t>
            </w:r>
          </w:p>
        </w:tc>
        <w:tc>
          <w:tcPr>
            <w:tcW w:w="1581" w:type="dxa"/>
            <w:hideMark/>
          </w:tcPr>
          <w:p w14:paraId="360E430A" w14:textId="6EA54B13" w:rsidR="009E358C" w:rsidRPr="0054782C" w:rsidRDefault="009E358C" w:rsidP="00777F48">
            <w:pPr>
              <w:jc w:val="center"/>
              <w:rPr>
                <w:iCs/>
                <w:sz w:val="20"/>
                <w:szCs w:val="20"/>
              </w:rPr>
            </w:pPr>
            <w:r w:rsidRPr="0054782C">
              <w:rPr>
                <w:iCs/>
                <w:sz w:val="20"/>
                <w:szCs w:val="20"/>
              </w:rPr>
              <w:t>-1 </w:t>
            </w:r>
            <w:r w:rsidR="00777F48">
              <w:rPr>
                <w:iCs/>
                <w:sz w:val="20"/>
                <w:szCs w:val="20"/>
              </w:rPr>
              <w:t>25</w:t>
            </w:r>
            <w:r w:rsidRPr="0054782C">
              <w:rPr>
                <w:iCs/>
                <w:sz w:val="20"/>
                <w:szCs w:val="20"/>
              </w:rPr>
              <w:t>0 000</w:t>
            </w:r>
          </w:p>
        </w:tc>
        <w:tc>
          <w:tcPr>
            <w:tcW w:w="847" w:type="dxa"/>
            <w:hideMark/>
          </w:tcPr>
          <w:p w14:paraId="5C2E98DE" w14:textId="076EFCE9" w:rsidR="009E358C" w:rsidRPr="0054782C" w:rsidRDefault="009E358C" w:rsidP="009E358C">
            <w:pPr>
              <w:jc w:val="center"/>
              <w:rPr>
                <w:iCs/>
                <w:sz w:val="20"/>
                <w:szCs w:val="20"/>
              </w:rPr>
            </w:pPr>
            <w:r w:rsidRPr="0054782C">
              <w:rPr>
                <w:iCs/>
                <w:sz w:val="20"/>
                <w:szCs w:val="20"/>
              </w:rPr>
              <w:t>0</w:t>
            </w:r>
          </w:p>
        </w:tc>
        <w:tc>
          <w:tcPr>
            <w:tcW w:w="1025" w:type="dxa"/>
            <w:hideMark/>
          </w:tcPr>
          <w:p w14:paraId="02AB6C5F" w14:textId="563E0A77" w:rsidR="009E358C" w:rsidRPr="0054782C" w:rsidRDefault="009E358C" w:rsidP="009E358C">
            <w:pPr>
              <w:tabs>
                <w:tab w:val="center" w:pos="392"/>
              </w:tabs>
              <w:rPr>
                <w:iCs/>
                <w:sz w:val="20"/>
                <w:szCs w:val="20"/>
              </w:rPr>
            </w:pPr>
            <w:r w:rsidRPr="0054782C">
              <w:rPr>
                <w:iCs/>
                <w:sz w:val="20"/>
                <w:szCs w:val="20"/>
              </w:rPr>
              <w:t>-</w:t>
            </w:r>
            <w:r w:rsidRPr="0054782C">
              <w:rPr>
                <w:iCs/>
                <w:sz w:val="20"/>
                <w:szCs w:val="20"/>
              </w:rPr>
              <w:tab/>
            </w:r>
            <w:r w:rsidR="00777F48">
              <w:rPr>
                <w:iCs/>
                <w:sz w:val="20"/>
                <w:szCs w:val="20"/>
              </w:rPr>
              <w:t>5</w:t>
            </w:r>
            <w:r w:rsidRPr="0054782C">
              <w:rPr>
                <w:iCs/>
                <w:sz w:val="20"/>
                <w:szCs w:val="20"/>
              </w:rPr>
              <w:t>00 000</w:t>
            </w:r>
          </w:p>
        </w:tc>
        <w:tc>
          <w:tcPr>
            <w:tcW w:w="993" w:type="dxa"/>
            <w:hideMark/>
          </w:tcPr>
          <w:p w14:paraId="05692553" w14:textId="15515DBF" w:rsidR="009E358C" w:rsidRPr="0054782C" w:rsidRDefault="009E358C" w:rsidP="009E358C">
            <w:pPr>
              <w:jc w:val="center"/>
              <w:rPr>
                <w:iCs/>
                <w:sz w:val="20"/>
                <w:szCs w:val="20"/>
              </w:rPr>
            </w:pPr>
            <w:r w:rsidRPr="0054782C">
              <w:rPr>
                <w:iCs/>
                <w:sz w:val="20"/>
                <w:szCs w:val="20"/>
              </w:rPr>
              <w:t>0</w:t>
            </w:r>
          </w:p>
        </w:tc>
        <w:tc>
          <w:tcPr>
            <w:tcW w:w="1024" w:type="dxa"/>
            <w:hideMark/>
          </w:tcPr>
          <w:p w14:paraId="2DC98619" w14:textId="25246D18" w:rsidR="009E358C" w:rsidRPr="0054782C" w:rsidRDefault="009E358C" w:rsidP="00777F48">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1270" w:type="dxa"/>
            <w:hideMark/>
          </w:tcPr>
          <w:p w14:paraId="272A263F" w14:textId="407F311D" w:rsidR="009E358C" w:rsidRPr="0054782C" w:rsidRDefault="009E358C" w:rsidP="00777F48">
            <w:pPr>
              <w:jc w:val="center"/>
              <w:rPr>
                <w:iCs/>
                <w:sz w:val="20"/>
                <w:szCs w:val="20"/>
              </w:rPr>
            </w:pPr>
            <w:r w:rsidRPr="0054782C">
              <w:rPr>
                <w:iCs/>
                <w:sz w:val="20"/>
                <w:szCs w:val="20"/>
              </w:rPr>
              <w:t>-</w:t>
            </w:r>
            <w:r w:rsidR="00777F48">
              <w:rPr>
                <w:iCs/>
                <w:sz w:val="20"/>
                <w:szCs w:val="20"/>
              </w:rPr>
              <w:t>25</w:t>
            </w:r>
            <w:r w:rsidRPr="0054782C">
              <w:rPr>
                <w:iCs/>
                <w:sz w:val="20"/>
                <w:szCs w:val="20"/>
              </w:rPr>
              <w:t>0 000</w:t>
            </w:r>
          </w:p>
        </w:tc>
      </w:tr>
      <w:tr w:rsidR="002A2E9A" w:rsidRPr="0054782C" w14:paraId="232CFDA0" w14:textId="77777777" w:rsidTr="000925B2">
        <w:tc>
          <w:tcPr>
            <w:tcW w:w="1718" w:type="dxa"/>
            <w:hideMark/>
          </w:tcPr>
          <w:p w14:paraId="74C1AE96" w14:textId="77777777" w:rsidR="002A2E9A" w:rsidRPr="0054782C" w:rsidRDefault="002A2E9A" w:rsidP="002A2E9A">
            <w:pPr>
              <w:rPr>
                <w:iCs/>
                <w:sz w:val="20"/>
                <w:szCs w:val="20"/>
              </w:rPr>
            </w:pPr>
            <w:r w:rsidRPr="0054782C">
              <w:rPr>
                <w:iCs/>
                <w:sz w:val="20"/>
                <w:szCs w:val="20"/>
              </w:rPr>
              <w:t>3.1. valsts pamatbudžets</w:t>
            </w:r>
          </w:p>
        </w:tc>
        <w:tc>
          <w:tcPr>
            <w:tcW w:w="1006" w:type="dxa"/>
            <w:hideMark/>
          </w:tcPr>
          <w:p w14:paraId="4553A904"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3587CBB5" w14:textId="32AC2F5C" w:rsidR="002A2E9A" w:rsidRPr="0054782C" w:rsidRDefault="002A2E9A" w:rsidP="002A2E9A">
            <w:pPr>
              <w:jc w:val="center"/>
              <w:rPr>
                <w:iCs/>
                <w:sz w:val="20"/>
                <w:szCs w:val="20"/>
              </w:rPr>
            </w:pPr>
            <w:r w:rsidRPr="0054782C">
              <w:rPr>
                <w:iCs/>
                <w:sz w:val="20"/>
                <w:szCs w:val="20"/>
              </w:rPr>
              <w:t>0</w:t>
            </w:r>
          </w:p>
        </w:tc>
        <w:tc>
          <w:tcPr>
            <w:tcW w:w="847" w:type="dxa"/>
            <w:hideMark/>
          </w:tcPr>
          <w:p w14:paraId="359E9CA5"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20EC4122"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228B6B01"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5994BAF0"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39D45E28" w14:textId="77777777" w:rsidR="002A2E9A" w:rsidRPr="0054782C" w:rsidRDefault="002A2E9A" w:rsidP="002A2E9A">
            <w:pPr>
              <w:jc w:val="center"/>
              <w:rPr>
                <w:iCs/>
                <w:sz w:val="20"/>
                <w:szCs w:val="20"/>
              </w:rPr>
            </w:pPr>
            <w:r w:rsidRPr="0054782C">
              <w:rPr>
                <w:iCs/>
                <w:sz w:val="20"/>
                <w:szCs w:val="20"/>
              </w:rPr>
              <w:t>0</w:t>
            </w:r>
          </w:p>
        </w:tc>
      </w:tr>
      <w:tr w:rsidR="002A2E9A" w:rsidRPr="0054782C" w14:paraId="014DA785" w14:textId="77777777" w:rsidTr="000925B2">
        <w:tc>
          <w:tcPr>
            <w:tcW w:w="1718" w:type="dxa"/>
            <w:hideMark/>
          </w:tcPr>
          <w:p w14:paraId="100A957B" w14:textId="77777777" w:rsidR="002A2E9A" w:rsidRPr="0054782C" w:rsidRDefault="002A2E9A" w:rsidP="002A2E9A">
            <w:pPr>
              <w:rPr>
                <w:iCs/>
                <w:sz w:val="20"/>
                <w:szCs w:val="20"/>
              </w:rPr>
            </w:pPr>
            <w:r w:rsidRPr="0054782C">
              <w:rPr>
                <w:iCs/>
                <w:sz w:val="20"/>
                <w:szCs w:val="20"/>
              </w:rPr>
              <w:t>3.2. speciālais budžets</w:t>
            </w:r>
          </w:p>
        </w:tc>
        <w:tc>
          <w:tcPr>
            <w:tcW w:w="1006" w:type="dxa"/>
            <w:hideMark/>
          </w:tcPr>
          <w:p w14:paraId="01154590" w14:textId="77777777" w:rsidR="002A2E9A" w:rsidRPr="0054782C" w:rsidRDefault="002A2E9A" w:rsidP="002A2E9A">
            <w:pPr>
              <w:jc w:val="center"/>
              <w:rPr>
                <w:iCs/>
                <w:sz w:val="20"/>
                <w:szCs w:val="20"/>
              </w:rPr>
            </w:pPr>
            <w:r w:rsidRPr="0054782C">
              <w:rPr>
                <w:iCs/>
                <w:sz w:val="20"/>
                <w:szCs w:val="20"/>
              </w:rPr>
              <w:t>0</w:t>
            </w:r>
          </w:p>
        </w:tc>
        <w:tc>
          <w:tcPr>
            <w:tcW w:w="1581" w:type="dxa"/>
            <w:hideMark/>
          </w:tcPr>
          <w:p w14:paraId="281A496E" w14:textId="77777777" w:rsidR="002A2E9A" w:rsidRPr="0054782C" w:rsidRDefault="002A2E9A" w:rsidP="002A2E9A">
            <w:pPr>
              <w:jc w:val="center"/>
              <w:rPr>
                <w:iCs/>
                <w:sz w:val="20"/>
                <w:szCs w:val="20"/>
              </w:rPr>
            </w:pPr>
            <w:r w:rsidRPr="0054782C">
              <w:rPr>
                <w:iCs/>
                <w:sz w:val="20"/>
                <w:szCs w:val="20"/>
              </w:rPr>
              <w:t>0</w:t>
            </w:r>
          </w:p>
        </w:tc>
        <w:tc>
          <w:tcPr>
            <w:tcW w:w="847" w:type="dxa"/>
            <w:hideMark/>
          </w:tcPr>
          <w:p w14:paraId="137FC992" w14:textId="77777777" w:rsidR="002A2E9A" w:rsidRPr="0054782C" w:rsidRDefault="002A2E9A" w:rsidP="002A2E9A">
            <w:pPr>
              <w:jc w:val="center"/>
              <w:rPr>
                <w:iCs/>
                <w:sz w:val="20"/>
                <w:szCs w:val="20"/>
              </w:rPr>
            </w:pPr>
            <w:r w:rsidRPr="0054782C">
              <w:rPr>
                <w:iCs/>
                <w:sz w:val="20"/>
                <w:szCs w:val="20"/>
              </w:rPr>
              <w:t>0</w:t>
            </w:r>
          </w:p>
        </w:tc>
        <w:tc>
          <w:tcPr>
            <w:tcW w:w="1025" w:type="dxa"/>
            <w:hideMark/>
          </w:tcPr>
          <w:p w14:paraId="2864A565"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3829CA21" w14:textId="77777777" w:rsidR="002A2E9A" w:rsidRPr="0054782C" w:rsidRDefault="002A2E9A" w:rsidP="002A2E9A">
            <w:pPr>
              <w:jc w:val="center"/>
              <w:rPr>
                <w:iCs/>
                <w:sz w:val="20"/>
                <w:szCs w:val="20"/>
              </w:rPr>
            </w:pPr>
            <w:r w:rsidRPr="0054782C">
              <w:rPr>
                <w:iCs/>
                <w:sz w:val="20"/>
                <w:szCs w:val="20"/>
              </w:rPr>
              <w:t>0</w:t>
            </w:r>
          </w:p>
        </w:tc>
        <w:tc>
          <w:tcPr>
            <w:tcW w:w="1024" w:type="dxa"/>
            <w:hideMark/>
          </w:tcPr>
          <w:p w14:paraId="363C192F"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3A9F0348" w14:textId="77777777" w:rsidR="002A2E9A" w:rsidRPr="0054782C" w:rsidRDefault="002A2E9A" w:rsidP="002A2E9A">
            <w:pPr>
              <w:jc w:val="center"/>
              <w:rPr>
                <w:iCs/>
                <w:sz w:val="20"/>
                <w:szCs w:val="20"/>
              </w:rPr>
            </w:pPr>
            <w:r w:rsidRPr="0054782C">
              <w:rPr>
                <w:iCs/>
                <w:sz w:val="20"/>
                <w:szCs w:val="20"/>
              </w:rPr>
              <w:t>0</w:t>
            </w:r>
          </w:p>
        </w:tc>
      </w:tr>
      <w:tr w:rsidR="009E358C" w:rsidRPr="0054782C" w14:paraId="44D175D6" w14:textId="77777777" w:rsidTr="000925B2">
        <w:tc>
          <w:tcPr>
            <w:tcW w:w="1718" w:type="dxa"/>
            <w:hideMark/>
          </w:tcPr>
          <w:p w14:paraId="1B203BF0" w14:textId="77777777" w:rsidR="009E358C" w:rsidRPr="0054782C" w:rsidRDefault="009E358C" w:rsidP="009E358C">
            <w:pPr>
              <w:rPr>
                <w:iCs/>
                <w:sz w:val="20"/>
                <w:szCs w:val="20"/>
              </w:rPr>
            </w:pPr>
            <w:r w:rsidRPr="0054782C">
              <w:rPr>
                <w:iCs/>
                <w:sz w:val="20"/>
                <w:szCs w:val="20"/>
              </w:rPr>
              <w:t>3.3. pašvaldību budžets</w:t>
            </w:r>
          </w:p>
        </w:tc>
        <w:tc>
          <w:tcPr>
            <w:tcW w:w="1006" w:type="dxa"/>
            <w:hideMark/>
          </w:tcPr>
          <w:p w14:paraId="3EA81685" w14:textId="77777777" w:rsidR="009E358C" w:rsidRPr="0054782C" w:rsidRDefault="009E358C" w:rsidP="009E358C">
            <w:pPr>
              <w:jc w:val="center"/>
              <w:rPr>
                <w:iCs/>
                <w:sz w:val="20"/>
                <w:szCs w:val="20"/>
              </w:rPr>
            </w:pPr>
            <w:r w:rsidRPr="0054782C">
              <w:rPr>
                <w:iCs/>
                <w:sz w:val="20"/>
                <w:szCs w:val="20"/>
              </w:rPr>
              <w:t>0</w:t>
            </w:r>
          </w:p>
        </w:tc>
        <w:tc>
          <w:tcPr>
            <w:tcW w:w="1581" w:type="dxa"/>
            <w:hideMark/>
          </w:tcPr>
          <w:p w14:paraId="5174B15D" w14:textId="6A8C0CC9" w:rsidR="009E358C" w:rsidRPr="0054782C" w:rsidRDefault="009E358C" w:rsidP="00777F48">
            <w:pPr>
              <w:jc w:val="center"/>
              <w:rPr>
                <w:iCs/>
                <w:sz w:val="20"/>
                <w:szCs w:val="20"/>
              </w:rPr>
            </w:pPr>
            <w:r w:rsidRPr="0054782C">
              <w:rPr>
                <w:iCs/>
                <w:sz w:val="20"/>
                <w:szCs w:val="20"/>
              </w:rPr>
              <w:t>-1 </w:t>
            </w:r>
            <w:r w:rsidR="00777F48">
              <w:rPr>
                <w:iCs/>
                <w:sz w:val="20"/>
                <w:szCs w:val="20"/>
              </w:rPr>
              <w:t>25</w:t>
            </w:r>
            <w:r w:rsidRPr="0054782C">
              <w:rPr>
                <w:iCs/>
                <w:sz w:val="20"/>
                <w:szCs w:val="20"/>
              </w:rPr>
              <w:t>0 000</w:t>
            </w:r>
          </w:p>
        </w:tc>
        <w:tc>
          <w:tcPr>
            <w:tcW w:w="847" w:type="dxa"/>
            <w:hideMark/>
          </w:tcPr>
          <w:p w14:paraId="04C5120F" w14:textId="56217D3F" w:rsidR="009E358C" w:rsidRPr="0054782C" w:rsidRDefault="009E358C" w:rsidP="009E358C">
            <w:pPr>
              <w:jc w:val="center"/>
              <w:rPr>
                <w:iCs/>
                <w:sz w:val="20"/>
                <w:szCs w:val="20"/>
              </w:rPr>
            </w:pPr>
            <w:r w:rsidRPr="0054782C">
              <w:rPr>
                <w:iCs/>
                <w:sz w:val="20"/>
                <w:szCs w:val="20"/>
              </w:rPr>
              <w:t>0</w:t>
            </w:r>
          </w:p>
        </w:tc>
        <w:tc>
          <w:tcPr>
            <w:tcW w:w="1025" w:type="dxa"/>
            <w:hideMark/>
          </w:tcPr>
          <w:p w14:paraId="175271B0" w14:textId="19D36BDD" w:rsidR="009E358C" w:rsidRPr="0054782C" w:rsidRDefault="009E358C" w:rsidP="00777F48">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993" w:type="dxa"/>
            <w:hideMark/>
          </w:tcPr>
          <w:p w14:paraId="50E0352B" w14:textId="067ACE41" w:rsidR="009E358C" w:rsidRPr="0054782C" w:rsidRDefault="009E358C" w:rsidP="009E358C">
            <w:pPr>
              <w:jc w:val="center"/>
              <w:rPr>
                <w:iCs/>
                <w:sz w:val="20"/>
                <w:szCs w:val="20"/>
              </w:rPr>
            </w:pPr>
            <w:r w:rsidRPr="0054782C">
              <w:rPr>
                <w:iCs/>
                <w:sz w:val="20"/>
                <w:szCs w:val="20"/>
              </w:rPr>
              <w:t>0</w:t>
            </w:r>
          </w:p>
        </w:tc>
        <w:tc>
          <w:tcPr>
            <w:tcW w:w="1024" w:type="dxa"/>
            <w:hideMark/>
          </w:tcPr>
          <w:p w14:paraId="4464905B" w14:textId="5EDDC5E4" w:rsidR="009E358C" w:rsidRPr="0054782C" w:rsidRDefault="009E358C" w:rsidP="009E358C">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1270" w:type="dxa"/>
            <w:hideMark/>
          </w:tcPr>
          <w:p w14:paraId="6102D5D0" w14:textId="2771F226" w:rsidR="009E358C" w:rsidRPr="0054782C" w:rsidRDefault="009E358C" w:rsidP="00777F48">
            <w:pPr>
              <w:jc w:val="center"/>
              <w:rPr>
                <w:iCs/>
                <w:sz w:val="20"/>
                <w:szCs w:val="20"/>
              </w:rPr>
            </w:pPr>
            <w:r w:rsidRPr="0054782C">
              <w:rPr>
                <w:iCs/>
                <w:sz w:val="20"/>
                <w:szCs w:val="20"/>
              </w:rPr>
              <w:t>-</w:t>
            </w:r>
            <w:r w:rsidR="00777F48">
              <w:rPr>
                <w:iCs/>
                <w:sz w:val="20"/>
                <w:szCs w:val="20"/>
              </w:rPr>
              <w:t>25</w:t>
            </w:r>
            <w:r w:rsidRPr="0054782C">
              <w:rPr>
                <w:iCs/>
                <w:sz w:val="20"/>
                <w:szCs w:val="20"/>
              </w:rPr>
              <w:t>0 000</w:t>
            </w:r>
          </w:p>
        </w:tc>
      </w:tr>
      <w:tr w:rsidR="002A2E9A" w:rsidRPr="0054782C" w14:paraId="1AB606E8" w14:textId="77777777" w:rsidTr="000925B2">
        <w:tc>
          <w:tcPr>
            <w:tcW w:w="1718" w:type="dxa"/>
            <w:hideMark/>
          </w:tcPr>
          <w:p w14:paraId="32A27473" w14:textId="77777777" w:rsidR="002A2E9A" w:rsidRPr="0054782C" w:rsidRDefault="002A2E9A" w:rsidP="002A2E9A">
            <w:pPr>
              <w:rPr>
                <w:iCs/>
                <w:sz w:val="20"/>
                <w:szCs w:val="20"/>
              </w:rPr>
            </w:pPr>
            <w:r w:rsidRPr="0054782C">
              <w:rPr>
                <w:iCs/>
                <w:sz w:val="20"/>
                <w:szCs w:val="20"/>
              </w:rPr>
              <w:t>4. Finanšu līdzekļi papildu izdevumu finansēšanai (kompensējošu izdevumu samazinājumu norāda ar "+" zīmi)</w:t>
            </w:r>
          </w:p>
        </w:tc>
        <w:tc>
          <w:tcPr>
            <w:tcW w:w="1006" w:type="dxa"/>
            <w:hideMark/>
          </w:tcPr>
          <w:p w14:paraId="1D5A3439" w14:textId="77777777" w:rsidR="002A2E9A" w:rsidRPr="0054782C" w:rsidRDefault="002A2E9A" w:rsidP="002A2E9A">
            <w:pPr>
              <w:jc w:val="center"/>
              <w:rPr>
                <w:iCs/>
                <w:sz w:val="20"/>
                <w:szCs w:val="20"/>
              </w:rPr>
            </w:pPr>
            <w:r w:rsidRPr="0054782C">
              <w:rPr>
                <w:iCs/>
                <w:sz w:val="20"/>
                <w:szCs w:val="20"/>
              </w:rPr>
              <w:t>X</w:t>
            </w:r>
          </w:p>
        </w:tc>
        <w:tc>
          <w:tcPr>
            <w:tcW w:w="1581" w:type="dxa"/>
            <w:hideMark/>
          </w:tcPr>
          <w:p w14:paraId="28923D62" w14:textId="77777777" w:rsidR="002A2E9A" w:rsidRPr="0054782C" w:rsidRDefault="002A2E9A" w:rsidP="002A2E9A">
            <w:pPr>
              <w:jc w:val="center"/>
              <w:rPr>
                <w:iCs/>
                <w:sz w:val="20"/>
                <w:szCs w:val="20"/>
              </w:rPr>
            </w:pPr>
            <w:r w:rsidRPr="0054782C">
              <w:rPr>
                <w:iCs/>
                <w:sz w:val="20"/>
                <w:szCs w:val="20"/>
              </w:rPr>
              <w:t>0</w:t>
            </w:r>
          </w:p>
        </w:tc>
        <w:tc>
          <w:tcPr>
            <w:tcW w:w="847" w:type="dxa"/>
            <w:hideMark/>
          </w:tcPr>
          <w:p w14:paraId="0D49A7CE" w14:textId="77777777" w:rsidR="002A2E9A" w:rsidRPr="0054782C" w:rsidRDefault="002A2E9A" w:rsidP="002A2E9A">
            <w:pPr>
              <w:jc w:val="center"/>
              <w:rPr>
                <w:iCs/>
                <w:sz w:val="20"/>
                <w:szCs w:val="20"/>
              </w:rPr>
            </w:pPr>
            <w:r w:rsidRPr="0054782C">
              <w:rPr>
                <w:iCs/>
                <w:sz w:val="20"/>
                <w:szCs w:val="20"/>
              </w:rPr>
              <w:t>X</w:t>
            </w:r>
          </w:p>
        </w:tc>
        <w:tc>
          <w:tcPr>
            <w:tcW w:w="1025" w:type="dxa"/>
            <w:hideMark/>
          </w:tcPr>
          <w:p w14:paraId="5DB73D16" w14:textId="77777777" w:rsidR="002A2E9A" w:rsidRPr="0054782C" w:rsidRDefault="002A2E9A" w:rsidP="002A2E9A">
            <w:pPr>
              <w:jc w:val="center"/>
              <w:rPr>
                <w:iCs/>
                <w:sz w:val="20"/>
                <w:szCs w:val="20"/>
              </w:rPr>
            </w:pPr>
            <w:r w:rsidRPr="0054782C">
              <w:rPr>
                <w:iCs/>
                <w:sz w:val="20"/>
                <w:szCs w:val="20"/>
              </w:rPr>
              <w:t>0</w:t>
            </w:r>
          </w:p>
        </w:tc>
        <w:tc>
          <w:tcPr>
            <w:tcW w:w="993" w:type="dxa"/>
            <w:hideMark/>
          </w:tcPr>
          <w:p w14:paraId="59AF581F" w14:textId="77777777" w:rsidR="002A2E9A" w:rsidRPr="0054782C" w:rsidRDefault="002A2E9A" w:rsidP="002A2E9A">
            <w:pPr>
              <w:jc w:val="center"/>
              <w:rPr>
                <w:iCs/>
                <w:sz w:val="20"/>
                <w:szCs w:val="20"/>
              </w:rPr>
            </w:pPr>
            <w:r w:rsidRPr="0054782C">
              <w:rPr>
                <w:iCs/>
                <w:sz w:val="20"/>
                <w:szCs w:val="20"/>
              </w:rPr>
              <w:t>X</w:t>
            </w:r>
          </w:p>
        </w:tc>
        <w:tc>
          <w:tcPr>
            <w:tcW w:w="1024" w:type="dxa"/>
            <w:hideMark/>
          </w:tcPr>
          <w:p w14:paraId="36D48304"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11B2FD8F" w14:textId="77777777" w:rsidR="002A2E9A" w:rsidRPr="0054782C" w:rsidRDefault="002A2E9A" w:rsidP="002A2E9A">
            <w:pPr>
              <w:jc w:val="center"/>
              <w:rPr>
                <w:iCs/>
                <w:sz w:val="20"/>
                <w:szCs w:val="20"/>
              </w:rPr>
            </w:pPr>
            <w:r w:rsidRPr="0054782C">
              <w:rPr>
                <w:iCs/>
                <w:sz w:val="20"/>
                <w:szCs w:val="20"/>
              </w:rPr>
              <w:t>0</w:t>
            </w:r>
          </w:p>
        </w:tc>
      </w:tr>
      <w:tr w:rsidR="00DA2692" w:rsidRPr="0054782C" w14:paraId="536230E6" w14:textId="77777777" w:rsidTr="000925B2">
        <w:tc>
          <w:tcPr>
            <w:tcW w:w="1718" w:type="dxa"/>
            <w:hideMark/>
          </w:tcPr>
          <w:p w14:paraId="5433AF59" w14:textId="77777777" w:rsidR="00DA2692" w:rsidRPr="0054782C" w:rsidRDefault="00DA2692" w:rsidP="00DA2692">
            <w:pPr>
              <w:rPr>
                <w:iCs/>
                <w:sz w:val="20"/>
                <w:szCs w:val="20"/>
              </w:rPr>
            </w:pPr>
            <w:r w:rsidRPr="0054782C">
              <w:rPr>
                <w:iCs/>
                <w:sz w:val="20"/>
                <w:szCs w:val="20"/>
              </w:rPr>
              <w:t>5. Precizēta finansiālā ietekme</w:t>
            </w:r>
          </w:p>
        </w:tc>
        <w:tc>
          <w:tcPr>
            <w:tcW w:w="1006" w:type="dxa"/>
            <w:vMerge w:val="restart"/>
            <w:hideMark/>
          </w:tcPr>
          <w:p w14:paraId="5DDAC498" w14:textId="77777777" w:rsidR="00DA2692" w:rsidRPr="0054782C" w:rsidRDefault="00DA2692" w:rsidP="00DA2692">
            <w:pPr>
              <w:jc w:val="center"/>
              <w:rPr>
                <w:iCs/>
                <w:sz w:val="20"/>
                <w:szCs w:val="20"/>
              </w:rPr>
            </w:pPr>
          </w:p>
          <w:p w14:paraId="2CB4DE33" w14:textId="77777777" w:rsidR="00DA2692" w:rsidRPr="0054782C" w:rsidRDefault="00DA2692" w:rsidP="00DA2692">
            <w:pPr>
              <w:jc w:val="center"/>
              <w:rPr>
                <w:iCs/>
                <w:sz w:val="20"/>
                <w:szCs w:val="20"/>
              </w:rPr>
            </w:pPr>
          </w:p>
          <w:p w14:paraId="31BD2258" w14:textId="77777777" w:rsidR="00DA2692" w:rsidRPr="0054782C" w:rsidRDefault="00DA2692" w:rsidP="00DA2692">
            <w:pPr>
              <w:jc w:val="center"/>
              <w:rPr>
                <w:iCs/>
                <w:sz w:val="20"/>
                <w:szCs w:val="20"/>
              </w:rPr>
            </w:pPr>
          </w:p>
          <w:p w14:paraId="3FDB5F50" w14:textId="77777777" w:rsidR="00DA2692" w:rsidRPr="0054782C" w:rsidRDefault="00DA2692" w:rsidP="00DA2692">
            <w:pPr>
              <w:jc w:val="center"/>
              <w:rPr>
                <w:iCs/>
                <w:sz w:val="20"/>
                <w:szCs w:val="20"/>
              </w:rPr>
            </w:pPr>
          </w:p>
          <w:p w14:paraId="5DE455A1" w14:textId="77777777" w:rsidR="00DA2692" w:rsidRPr="0054782C" w:rsidRDefault="00DA2692" w:rsidP="00DA2692">
            <w:pPr>
              <w:jc w:val="center"/>
              <w:rPr>
                <w:iCs/>
                <w:sz w:val="20"/>
                <w:szCs w:val="20"/>
              </w:rPr>
            </w:pPr>
          </w:p>
          <w:p w14:paraId="1BB5EBF7" w14:textId="77777777" w:rsidR="00DA2692" w:rsidRPr="0054782C" w:rsidRDefault="00DA2692" w:rsidP="00DA2692">
            <w:pPr>
              <w:jc w:val="center"/>
              <w:rPr>
                <w:iCs/>
                <w:sz w:val="20"/>
                <w:szCs w:val="20"/>
              </w:rPr>
            </w:pPr>
            <w:r w:rsidRPr="0054782C">
              <w:rPr>
                <w:iCs/>
                <w:sz w:val="20"/>
                <w:szCs w:val="20"/>
              </w:rPr>
              <w:t>X</w:t>
            </w:r>
          </w:p>
        </w:tc>
        <w:tc>
          <w:tcPr>
            <w:tcW w:w="1581" w:type="dxa"/>
            <w:hideMark/>
          </w:tcPr>
          <w:p w14:paraId="2D2A1A7B" w14:textId="596360AA" w:rsidR="00DA2692" w:rsidRPr="0054782C" w:rsidRDefault="00DA2692" w:rsidP="00777F48">
            <w:pPr>
              <w:jc w:val="center"/>
              <w:rPr>
                <w:iCs/>
                <w:sz w:val="20"/>
                <w:szCs w:val="20"/>
              </w:rPr>
            </w:pPr>
            <w:r w:rsidRPr="0054782C">
              <w:rPr>
                <w:iCs/>
                <w:sz w:val="20"/>
                <w:szCs w:val="20"/>
              </w:rPr>
              <w:t>-1 </w:t>
            </w:r>
            <w:r w:rsidR="00777F48">
              <w:rPr>
                <w:iCs/>
                <w:sz w:val="20"/>
                <w:szCs w:val="20"/>
              </w:rPr>
              <w:t>25</w:t>
            </w:r>
            <w:r w:rsidRPr="0054782C">
              <w:rPr>
                <w:iCs/>
                <w:sz w:val="20"/>
                <w:szCs w:val="20"/>
              </w:rPr>
              <w:t>0 000</w:t>
            </w:r>
          </w:p>
        </w:tc>
        <w:tc>
          <w:tcPr>
            <w:tcW w:w="847" w:type="dxa"/>
            <w:vMerge w:val="restart"/>
            <w:hideMark/>
          </w:tcPr>
          <w:p w14:paraId="4346998E" w14:textId="77777777" w:rsidR="00DA2692" w:rsidRPr="0054782C" w:rsidRDefault="00DA2692" w:rsidP="00DA2692">
            <w:pPr>
              <w:jc w:val="center"/>
              <w:rPr>
                <w:iCs/>
                <w:sz w:val="20"/>
                <w:szCs w:val="20"/>
              </w:rPr>
            </w:pPr>
          </w:p>
          <w:p w14:paraId="067DB142" w14:textId="77777777" w:rsidR="00DA2692" w:rsidRPr="0054782C" w:rsidRDefault="00DA2692" w:rsidP="00DA2692">
            <w:pPr>
              <w:jc w:val="center"/>
              <w:rPr>
                <w:iCs/>
                <w:sz w:val="20"/>
                <w:szCs w:val="20"/>
              </w:rPr>
            </w:pPr>
          </w:p>
          <w:p w14:paraId="1F05EE32" w14:textId="77777777" w:rsidR="00DA2692" w:rsidRPr="0054782C" w:rsidRDefault="00DA2692" w:rsidP="00DA2692">
            <w:pPr>
              <w:jc w:val="center"/>
              <w:rPr>
                <w:iCs/>
                <w:sz w:val="20"/>
                <w:szCs w:val="20"/>
              </w:rPr>
            </w:pPr>
          </w:p>
          <w:p w14:paraId="418FB700" w14:textId="77777777" w:rsidR="00DA2692" w:rsidRPr="0054782C" w:rsidRDefault="00DA2692" w:rsidP="00DA2692">
            <w:pPr>
              <w:jc w:val="center"/>
              <w:rPr>
                <w:iCs/>
                <w:sz w:val="20"/>
                <w:szCs w:val="20"/>
              </w:rPr>
            </w:pPr>
          </w:p>
          <w:p w14:paraId="416C55BD" w14:textId="77777777" w:rsidR="00DA2692" w:rsidRPr="0054782C" w:rsidRDefault="00DA2692" w:rsidP="00DA2692">
            <w:pPr>
              <w:jc w:val="center"/>
              <w:rPr>
                <w:iCs/>
                <w:sz w:val="20"/>
                <w:szCs w:val="20"/>
              </w:rPr>
            </w:pPr>
          </w:p>
          <w:p w14:paraId="74220C39" w14:textId="77777777" w:rsidR="00DA2692" w:rsidRPr="0054782C" w:rsidRDefault="00DA2692" w:rsidP="00DA2692">
            <w:pPr>
              <w:jc w:val="center"/>
              <w:rPr>
                <w:iCs/>
                <w:sz w:val="20"/>
                <w:szCs w:val="20"/>
              </w:rPr>
            </w:pPr>
            <w:r w:rsidRPr="0054782C">
              <w:rPr>
                <w:iCs/>
                <w:sz w:val="20"/>
                <w:szCs w:val="20"/>
              </w:rPr>
              <w:t>X</w:t>
            </w:r>
          </w:p>
        </w:tc>
        <w:tc>
          <w:tcPr>
            <w:tcW w:w="1025" w:type="dxa"/>
            <w:hideMark/>
          </w:tcPr>
          <w:p w14:paraId="593BDB5F" w14:textId="548030D3" w:rsidR="00DA2692" w:rsidRPr="0054782C" w:rsidRDefault="00DA2692" w:rsidP="00DA2692">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993" w:type="dxa"/>
            <w:vMerge w:val="restart"/>
            <w:hideMark/>
          </w:tcPr>
          <w:p w14:paraId="685B9E4E" w14:textId="77777777" w:rsidR="00DA2692" w:rsidRPr="0054782C" w:rsidRDefault="00DA2692" w:rsidP="00DA2692">
            <w:pPr>
              <w:jc w:val="center"/>
              <w:rPr>
                <w:iCs/>
                <w:sz w:val="20"/>
                <w:szCs w:val="20"/>
              </w:rPr>
            </w:pPr>
          </w:p>
          <w:p w14:paraId="1DD50B87" w14:textId="77777777" w:rsidR="00DA2692" w:rsidRPr="0054782C" w:rsidRDefault="00DA2692" w:rsidP="00DA2692">
            <w:pPr>
              <w:jc w:val="center"/>
              <w:rPr>
                <w:iCs/>
                <w:sz w:val="20"/>
                <w:szCs w:val="20"/>
              </w:rPr>
            </w:pPr>
          </w:p>
          <w:p w14:paraId="1127F0D2" w14:textId="77777777" w:rsidR="00DA2692" w:rsidRPr="0054782C" w:rsidRDefault="00DA2692" w:rsidP="00DA2692">
            <w:pPr>
              <w:jc w:val="center"/>
              <w:rPr>
                <w:iCs/>
                <w:sz w:val="20"/>
                <w:szCs w:val="20"/>
              </w:rPr>
            </w:pPr>
          </w:p>
          <w:p w14:paraId="444E534C" w14:textId="77777777" w:rsidR="00DA2692" w:rsidRPr="0054782C" w:rsidRDefault="00DA2692" w:rsidP="00DA2692">
            <w:pPr>
              <w:jc w:val="center"/>
              <w:rPr>
                <w:iCs/>
                <w:sz w:val="20"/>
                <w:szCs w:val="20"/>
              </w:rPr>
            </w:pPr>
          </w:p>
          <w:p w14:paraId="0BDE6E7E" w14:textId="77777777" w:rsidR="00DA2692" w:rsidRPr="0054782C" w:rsidRDefault="00DA2692" w:rsidP="00DA2692">
            <w:pPr>
              <w:jc w:val="center"/>
              <w:rPr>
                <w:iCs/>
                <w:sz w:val="20"/>
                <w:szCs w:val="20"/>
              </w:rPr>
            </w:pPr>
          </w:p>
          <w:p w14:paraId="6F41901E" w14:textId="77777777" w:rsidR="00DA2692" w:rsidRPr="0054782C" w:rsidRDefault="00DA2692" w:rsidP="00DA2692">
            <w:pPr>
              <w:jc w:val="center"/>
              <w:rPr>
                <w:iCs/>
                <w:sz w:val="20"/>
                <w:szCs w:val="20"/>
              </w:rPr>
            </w:pPr>
            <w:r w:rsidRPr="0054782C">
              <w:rPr>
                <w:iCs/>
                <w:sz w:val="20"/>
                <w:szCs w:val="20"/>
              </w:rPr>
              <w:t>X</w:t>
            </w:r>
          </w:p>
        </w:tc>
        <w:tc>
          <w:tcPr>
            <w:tcW w:w="1024" w:type="dxa"/>
            <w:hideMark/>
          </w:tcPr>
          <w:p w14:paraId="4142BF84" w14:textId="54DDEB0A" w:rsidR="00DA2692" w:rsidRPr="0054782C" w:rsidRDefault="00DA2692" w:rsidP="00777F48">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1270" w:type="dxa"/>
            <w:hideMark/>
          </w:tcPr>
          <w:p w14:paraId="38BA0518" w14:textId="5E112E16" w:rsidR="00DA2692" w:rsidRPr="0054782C" w:rsidRDefault="00DA2692" w:rsidP="00777F48">
            <w:pPr>
              <w:jc w:val="center"/>
              <w:rPr>
                <w:iCs/>
                <w:sz w:val="20"/>
                <w:szCs w:val="20"/>
              </w:rPr>
            </w:pPr>
            <w:r w:rsidRPr="0054782C">
              <w:rPr>
                <w:iCs/>
                <w:sz w:val="20"/>
                <w:szCs w:val="20"/>
              </w:rPr>
              <w:t>-</w:t>
            </w:r>
            <w:r w:rsidR="00777F48">
              <w:rPr>
                <w:iCs/>
                <w:sz w:val="20"/>
                <w:szCs w:val="20"/>
              </w:rPr>
              <w:t>25</w:t>
            </w:r>
            <w:r w:rsidRPr="0054782C">
              <w:rPr>
                <w:iCs/>
                <w:sz w:val="20"/>
                <w:szCs w:val="20"/>
              </w:rPr>
              <w:t>0 000</w:t>
            </w:r>
          </w:p>
        </w:tc>
      </w:tr>
      <w:tr w:rsidR="002A2E9A" w:rsidRPr="0054782C" w14:paraId="491DA753" w14:textId="77777777" w:rsidTr="000925B2">
        <w:tc>
          <w:tcPr>
            <w:tcW w:w="1718" w:type="dxa"/>
            <w:hideMark/>
          </w:tcPr>
          <w:p w14:paraId="78FAD6D2" w14:textId="77777777" w:rsidR="002A2E9A" w:rsidRPr="0054782C" w:rsidRDefault="002A2E9A" w:rsidP="002A2E9A">
            <w:pPr>
              <w:rPr>
                <w:iCs/>
                <w:sz w:val="20"/>
                <w:szCs w:val="20"/>
              </w:rPr>
            </w:pPr>
            <w:r w:rsidRPr="0054782C">
              <w:rPr>
                <w:iCs/>
                <w:sz w:val="20"/>
                <w:szCs w:val="20"/>
              </w:rPr>
              <w:t>5.1. valsts pamatbudžets</w:t>
            </w:r>
          </w:p>
        </w:tc>
        <w:tc>
          <w:tcPr>
            <w:tcW w:w="1006" w:type="dxa"/>
            <w:vMerge/>
            <w:hideMark/>
          </w:tcPr>
          <w:p w14:paraId="4A102C60" w14:textId="77777777" w:rsidR="002A2E9A" w:rsidRPr="0054782C" w:rsidRDefault="002A2E9A" w:rsidP="002A2E9A">
            <w:pPr>
              <w:jc w:val="center"/>
              <w:rPr>
                <w:iCs/>
                <w:sz w:val="20"/>
                <w:szCs w:val="20"/>
              </w:rPr>
            </w:pPr>
          </w:p>
        </w:tc>
        <w:tc>
          <w:tcPr>
            <w:tcW w:w="1581" w:type="dxa"/>
            <w:hideMark/>
          </w:tcPr>
          <w:p w14:paraId="698342E7" w14:textId="630D4D70" w:rsidR="002A2E9A" w:rsidRPr="0054782C" w:rsidRDefault="002A2E9A" w:rsidP="002A2E9A">
            <w:pPr>
              <w:jc w:val="center"/>
              <w:rPr>
                <w:iCs/>
                <w:sz w:val="20"/>
                <w:szCs w:val="20"/>
              </w:rPr>
            </w:pPr>
            <w:r w:rsidRPr="0054782C">
              <w:rPr>
                <w:iCs/>
                <w:sz w:val="20"/>
                <w:szCs w:val="20"/>
              </w:rPr>
              <w:t>0</w:t>
            </w:r>
          </w:p>
        </w:tc>
        <w:tc>
          <w:tcPr>
            <w:tcW w:w="847" w:type="dxa"/>
            <w:vMerge/>
            <w:hideMark/>
          </w:tcPr>
          <w:p w14:paraId="6BAA8490" w14:textId="77777777" w:rsidR="002A2E9A" w:rsidRPr="0054782C" w:rsidRDefault="002A2E9A" w:rsidP="002A2E9A">
            <w:pPr>
              <w:jc w:val="center"/>
              <w:rPr>
                <w:iCs/>
                <w:sz w:val="20"/>
                <w:szCs w:val="20"/>
              </w:rPr>
            </w:pPr>
          </w:p>
        </w:tc>
        <w:tc>
          <w:tcPr>
            <w:tcW w:w="1025" w:type="dxa"/>
            <w:hideMark/>
          </w:tcPr>
          <w:p w14:paraId="07AC70B1" w14:textId="77777777" w:rsidR="002A2E9A" w:rsidRPr="0054782C" w:rsidRDefault="002A2E9A" w:rsidP="002A2E9A">
            <w:pPr>
              <w:jc w:val="center"/>
              <w:rPr>
                <w:iCs/>
                <w:sz w:val="20"/>
                <w:szCs w:val="20"/>
              </w:rPr>
            </w:pPr>
            <w:r w:rsidRPr="0054782C">
              <w:rPr>
                <w:iCs/>
                <w:sz w:val="20"/>
                <w:szCs w:val="20"/>
              </w:rPr>
              <w:t>0</w:t>
            </w:r>
          </w:p>
        </w:tc>
        <w:tc>
          <w:tcPr>
            <w:tcW w:w="993" w:type="dxa"/>
            <w:vMerge/>
            <w:hideMark/>
          </w:tcPr>
          <w:p w14:paraId="7D6BEAD2" w14:textId="77777777" w:rsidR="002A2E9A" w:rsidRPr="0054782C" w:rsidRDefault="002A2E9A" w:rsidP="002A2E9A">
            <w:pPr>
              <w:jc w:val="center"/>
              <w:rPr>
                <w:iCs/>
                <w:sz w:val="20"/>
                <w:szCs w:val="20"/>
              </w:rPr>
            </w:pPr>
          </w:p>
        </w:tc>
        <w:tc>
          <w:tcPr>
            <w:tcW w:w="1024" w:type="dxa"/>
            <w:hideMark/>
          </w:tcPr>
          <w:p w14:paraId="301C8728"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5179CF97" w14:textId="77777777" w:rsidR="002A2E9A" w:rsidRPr="0054782C" w:rsidRDefault="002A2E9A" w:rsidP="002A2E9A">
            <w:pPr>
              <w:jc w:val="center"/>
              <w:rPr>
                <w:iCs/>
                <w:sz w:val="20"/>
                <w:szCs w:val="20"/>
              </w:rPr>
            </w:pPr>
            <w:r w:rsidRPr="0054782C">
              <w:rPr>
                <w:iCs/>
                <w:sz w:val="20"/>
                <w:szCs w:val="20"/>
              </w:rPr>
              <w:t>0</w:t>
            </w:r>
          </w:p>
        </w:tc>
      </w:tr>
      <w:tr w:rsidR="002A2E9A" w:rsidRPr="0054782C" w14:paraId="76E8F054" w14:textId="77777777" w:rsidTr="000925B2">
        <w:tc>
          <w:tcPr>
            <w:tcW w:w="1718" w:type="dxa"/>
            <w:hideMark/>
          </w:tcPr>
          <w:p w14:paraId="11A90255" w14:textId="77777777" w:rsidR="002A2E9A" w:rsidRPr="0054782C" w:rsidRDefault="002A2E9A" w:rsidP="002A2E9A">
            <w:pPr>
              <w:rPr>
                <w:iCs/>
                <w:sz w:val="20"/>
                <w:szCs w:val="20"/>
              </w:rPr>
            </w:pPr>
            <w:r w:rsidRPr="0054782C">
              <w:rPr>
                <w:iCs/>
                <w:sz w:val="20"/>
                <w:szCs w:val="20"/>
              </w:rPr>
              <w:t>5.2. speciālais budžets</w:t>
            </w:r>
          </w:p>
        </w:tc>
        <w:tc>
          <w:tcPr>
            <w:tcW w:w="1006" w:type="dxa"/>
            <w:vMerge/>
            <w:hideMark/>
          </w:tcPr>
          <w:p w14:paraId="1BCB2EEE" w14:textId="77777777" w:rsidR="002A2E9A" w:rsidRPr="0054782C" w:rsidRDefault="002A2E9A" w:rsidP="002A2E9A">
            <w:pPr>
              <w:jc w:val="center"/>
              <w:rPr>
                <w:iCs/>
                <w:sz w:val="20"/>
                <w:szCs w:val="20"/>
              </w:rPr>
            </w:pPr>
          </w:p>
        </w:tc>
        <w:tc>
          <w:tcPr>
            <w:tcW w:w="1581" w:type="dxa"/>
            <w:hideMark/>
          </w:tcPr>
          <w:p w14:paraId="5CD40ED7" w14:textId="77777777" w:rsidR="002A2E9A" w:rsidRPr="0054782C" w:rsidRDefault="002A2E9A" w:rsidP="002A2E9A">
            <w:pPr>
              <w:jc w:val="center"/>
              <w:rPr>
                <w:iCs/>
                <w:sz w:val="20"/>
                <w:szCs w:val="20"/>
              </w:rPr>
            </w:pPr>
            <w:r w:rsidRPr="0054782C">
              <w:rPr>
                <w:iCs/>
                <w:sz w:val="20"/>
                <w:szCs w:val="20"/>
              </w:rPr>
              <w:t>0</w:t>
            </w:r>
          </w:p>
        </w:tc>
        <w:tc>
          <w:tcPr>
            <w:tcW w:w="847" w:type="dxa"/>
            <w:vMerge/>
            <w:hideMark/>
          </w:tcPr>
          <w:p w14:paraId="4E4A38A7" w14:textId="77777777" w:rsidR="002A2E9A" w:rsidRPr="0054782C" w:rsidRDefault="002A2E9A" w:rsidP="002A2E9A">
            <w:pPr>
              <w:jc w:val="center"/>
              <w:rPr>
                <w:iCs/>
                <w:sz w:val="20"/>
                <w:szCs w:val="20"/>
              </w:rPr>
            </w:pPr>
          </w:p>
        </w:tc>
        <w:tc>
          <w:tcPr>
            <w:tcW w:w="1025" w:type="dxa"/>
            <w:hideMark/>
          </w:tcPr>
          <w:p w14:paraId="106C43C0" w14:textId="77777777" w:rsidR="002A2E9A" w:rsidRPr="0054782C" w:rsidRDefault="002A2E9A" w:rsidP="002A2E9A">
            <w:pPr>
              <w:jc w:val="center"/>
              <w:rPr>
                <w:iCs/>
                <w:sz w:val="20"/>
                <w:szCs w:val="20"/>
              </w:rPr>
            </w:pPr>
            <w:r w:rsidRPr="0054782C">
              <w:rPr>
                <w:iCs/>
                <w:sz w:val="20"/>
                <w:szCs w:val="20"/>
              </w:rPr>
              <w:t>0</w:t>
            </w:r>
          </w:p>
        </w:tc>
        <w:tc>
          <w:tcPr>
            <w:tcW w:w="993" w:type="dxa"/>
            <w:vMerge/>
            <w:hideMark/>
          </w:tcPr>
          <w:p w14:paraId="246FD180" w14:textId="77777777" w:rsidR="002A2E9A" w:rsidRPr="0054782C" w:rsidRDefault="002A2E9A" w:rsidP="002A2E9A">
            <w:pPr>
              <w:jc w:val="center"/>
              <w:rPr>
                <w:iCs/>
                <w:sz w:val="20"/>
                <w:szCs w:val="20"/>
              </w:rPr>
            </w:pPr>
          </w:p>
        </w:tc>
        <w:tc>
          <w:tcPr>
            <w:tcW w:w="1024" w:type="dxa"/>
            <w:hideMark/>
          </w:tcPr>
          <w:p w14:paraId="70C4F08A" w14:textId="77777777" w:rsidR="002A2E9A" w:rsidRPr="0054782C" w:rsidRDefault="002A2E9A" w:rsidP="002A2E9A">
            <w:pPr>
              <w:jc w:val="center"/>
              <w:rPr>
                <w:iCs/>
                <w:sz w:val="20"/>
                <w:szCs w:val="20"/>
              </w:rPr>
            </w:pPr>
            <w:r w:rsidRPr="0054782C">
              <w:rPr>
                <w:iCs/>
                <w:sz w:val="20"/>
                <w:szCs w:val="20"/>
              </w:rPr>
              <w:t>0</w:t>
            </w:r>
          </w:p>
        </w:tc>
        <w:tc>
          <w:tcPr>
            <w:tcW w:w="1270" w:type="dxa"/>
            <w:hideMark/>
          </w:tcPr>
          <w:p w14:paraId="4E4CE48E" w14:textId="77777777" w:rsidR="002A2E9A" w:rsidRPr="0054782C" w:rsidRDefault="002A2E9A" w:rsidP="002A2E9A">
            <w:pPr>
              <w:jc w:val="center"/>
              <w:rPr>
                <w:iCs/>
                <w:sz w:val="20"/>
                <w:szCs w:val="20"/>
              </w:rPr>
            </w:pPr>
            <w:r w:rsidRPr="0054782C">
              <w:rPr>
                <w:iCs/>
                <w:sz w:val="20"/>
                <w:szCs w:val="20"/>
              </w:rPr>
              <w:t>0</w:t>
            </w:r>
          </w:p>
        </w:tc>
      </w:tr>
      <w:tr w:rsidR="00DA2692" w:rsidRPr="0054782C" w14:paraId="01C2EC6C" w14:textId="77777777" w:rsidTr="000925B2">
        <w:tc>
          <w:tcPr>
            <w:tcW w:w="1718" w:type="dxa"/>
            <w:hideMark/>
          </w:tcPr>
          <w:p w14:paraId="6158B110" w14:textId="77777777" w:rsidR="00DA2692" w:rsidRPr="0054782C" w:rsidRDefault="00DA2692" w:rsidP="00DA2692">
            <w:pPr>
              <w:rPr>
                <w:iCs/>
                <w:sz w:val="20"/>
                <w:szCs w:val="20"/>
              </w:rPr>
            </w:pPr>
            <w:r w:rsidRPr="0054782C">
              <w:rPr>
                <w:iCs/>
                <w:sz w:val="20"/>
                <w:szCs w:val="20"/>
              </w:rPr>
              <w:t>5.3. pašvaldību budžets</w:t>
            </w:r>
          </w:p>
        </w:tc>
        <w:tc>
          <w:tcPr>
            <w:tcW w:w="1006" w:type="dxa"/>
            <w:vMerge/>
            <w:hideMark/>
          </w:tcPr>
          <w:p w14:paraId="228D980B" w14:textId="77777777" w:rsidR="00DA2692" w:rsidRPr="0054782C" w:rsidRDefault="00DA2692" w:rsidP="00DA2692">
            <w:pPr>
              <w:jc w:val="center"/>
              <w:rPr>
                <w:iCs/>
                <w:sz w:val="20"/>
                <w:szCs w:val="20"/>
              </w:rPr>
            </w:pPr>
          </w:p>
        </w:tc>
        <w:tc>
          <w:tcPr>
            <w:tcW w:w="1581" w:type="dxa"/>
            <w:hideMark/>
          </w:tcPr>
          <w:p w14:paraId="2D0EA0AF" w14:textId="5421DCF4" w:rsidR="00DA2692" w:rsidRPr="0054782C" w:rsidRDefault="00DA2692" w:rsidP="00777F48">
            <w:pPr>
              <w:jc w:val="center"/>
              <w:rPr>
                <w:iCs/>
                <w:sz w:val="20"/>
                <w:szCs w:val="20"/>
              </w:rPr>
            </w:pPr>
            <w:r w:rsidRPr="0054782C">
              <w:rPr>
                <w:iCs/>
                <w:sz w:val="20"/>
                <w:szCs w:val="20"/>
              </w:rPr>
              <w:t>-1 </w:t>
            </w:r>
            <w:r w:rsidR="00777F48">
              <w:rPr>
                <w:iCs/>
                <w:sz w:val="20"/>
                <w:szCs w:val="20"/>
              </w:rPr>
              <w:t>25</w:t>
            </w:r>
            <w:r w:rsidRPr="0054782C">
              <w:rPr>
                <w:iCs/>
                <w:sz w:val="20"/>
                <w:szCs w:val="20"/>
              </w:rPr>
              <w:t>0 000</w:t>
            </w:r>
          </w:p>
        </w:tc>
        <w:tc>
          <w:tcPr>
            <w:tcW w:w="847" w:type="dxa"/>
            <w:vMerge/>
            <w:hideMark/>
          </w:tcPr>
          <w:p w14:paraId="25372661" w14:textId="77777777" w:rsidR="00DA2692" w:rsidRPr="0054782C" w:rsidRDefault="00DA2692" w:rsidP="00DA2692">
            <w:pPr>
              <w:jc w:val="center"/>
              <w:rPr>
                <w:iCs/>
                <w:sz w:val="20"/>
                <w:szCs w:val="20"/>
              </w:rPr>
            </w:pPr>
          </w:p>
        </w:tc>
        <w:tc>
          <w:tcPr>
            <w:tcW w:w="1025" w:type="dxa"/>
            <w:hideMark/>
          </w:tcPr>
          <w:p w14:paraId="4FC811AF" w14:textId="32266A1D" w:rsidR="00DA2692" w:rsidRPr="0054782C" w:rsidRDefault="00DA2692" w:rsidP="00DA2692">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993" w:type="dxa"/>
            <w:vMerge/>
            <w:hideMark/>
          </w:tcPr>
          <w:p w14:paraId="495B3420" w14:textId="77777777" w:rsidR="00DA2692" w:rsidRPr="0054782C" w:rsidRDefault="00DA2692" w:rsidP="00DA2692">
            <w:pPr>
              <w:jc w:val="center"/>
              <w:rPr>
                <w:iCs/>
                <w:sz w:val="20"/>
                <w:szCs w:val="20"/>
              </w:rPr>
            </w:pPr>
          </w:p>
        </w:tc>
        <w:tc>
          <w:tcPr>
            <w:tcW w:w="1024" w:type="dxa"/>
            <w:hideMark/>
          </w:tcPr>
          <w:p w14:paraId="4AEB8964" w14:textId="06C19C7A" w:rsidR="00DA2692" w:rsidRPr="0054782C" w:rsidRDefault="00DA2692" w:rsidP="00DA2692">
            <w:pPr>
              <w:jc w:val="center"/>
              <w:rPr>
                <w:iCs/>
                <w:sz w:val="20"/>
                <w:szCs w:val="20"/>
              </w:rPr>
            </w:pPr>
            <w:r w:rsidRPr="0054782C">
              <w:rPr>
                <w:iCs/>
                <w:sz w:val="20"/>
                <w:szCs w:val="20"/>
              </w:rPr>
              <w:t>-</w:t>
            </w:r>
            <w:r w:rsidR="00777F48">
              <w:rPr>
                <w:iCs/>
                <w:sz w:val="20"/>
                <w:szCs w:val="20"/>
              </w:rPr>
              <w:t>5</w:t>
            </w:r>
            <w:r w:rsidRPr="0054782C">
              <w:rPr>
                <w:iCs/>
                <w:sz w:val="20"/>
                <w:szCs w:val="20"/>
              </w:rPr>
              <w:t>00 000</w:t>
            </w:r>
          </w:p>
        </w:tc>
        <w:tc>
          <w:tcPr>
            <w:tcW w:w="1270" w:type="dxa"/>
            <w:hideMark/>
          </w:tcPr>
          <w:p w14:paraId="49028C08" w14:textId="2FF81921" w:rsidR="00DA2692" w:rsidRPr="0054782C" w:rsidRDefault="00DA2692" w:rsidP="00777F48">
            <w:pPr>
              <w:jc w:val="center"/>
              <w:rPr>
                <w:iCs/>
                <w:sz w:val="20"/>
                <w:szCs w:val="20"/>
              </w:rPr>
            </w:pPr>
            <w:r w:rsidRPr="0054782C">
              <w:rPr>
                <w:iCs/>
                <w:sz w:val="20"/>
                <w:szCs w:val="20"/>
              </w:rPr>
              <w:t>-</w:t>
            </w:r>
            <w:r w:rsidR="00777F48">
              <w:rPr>
                <w:iCs/>
                <w:sz w:val="20"/>
                <w:szCs w:val="20"/>
              </w:rPr>
              <w:t>25</w:t>
            </w:r>
            <w:r w:rsidRPr="0054782C">
              <w:rPr>
                <w:iCs/>
                <w:sz w:val="20"/>
                <w:szCs w:val="20"/>
              </w:rPr>
              <w:t>0 000</w:t>
            </w:r>
          </w:p>
        </w:tc>
      </w:tr>
      <w:tr w:rsidR="002A2E9A" w:rsidRPr="0054782C" w14:paraId="6C8F7CAD" w14:textId="77777777" w:rsidTr="000925B2">
        <w:tc>
          <w:tcPr>
            <w:tcW w:w="1718" w:type="dxa"/>
            <w:hideMark/>
          </w:tcPr>
          <w:p w14:paraId="2DF492B9" w14:textId="77777777" w:rsidR="002A2E9A" w:rsidRPr="0054782C" w:rsidRDefault="002A2E9A" w:rsidP="002A2E9A">
            <w:pPr>
              <w:rPr>
                <w:iCs/>
                <w:sz w:val="20"/>
                <w:szCs w:val="20"/>
              </w:rPr>
            </w:pPr>
            <w:r w:rsidRPr="0054782C">
              <w:rPr>
                <w:iCs/>
                <w:sz w:val="20"/>
                <w:szCs w:val="20"/>
              </w:rPr>
              <w:t>6. Detalizēts ieņēmumu un izdevumu aprēķins (ja nepieciešams, detalizētu ieņēmumu un izdevumu aprēķinu var pievienot anotācijas pielikumā)</w:t>
            </w:r>
          </w:p>
        </w:tc>
        <w:tc>
          <w:tcPr>
            <w:tcW w:w="7746" w:type="dxa"/>
            <w:gridSpan w:val="7"/>
            <w:vMerge w:val="restart"/>
            <w:hideMark/>
          </w:tcPr>
          <w:p w14:paraId="3995545F" w14:textId="052FA9DA" w:rsidR="002A2E9A" w:rsidRPr="0054782C" w:rsidRDefault="002A2E9A" w:rsidP="002A2E9A">
            <w:pPr>
              <w:jc w:val="both"/>
              <w:rPr>
                <w:color w:val="000000" w:themeColor="text1"/>
                <w:sz w:val="20"/>
                <w:szCs w:val="20"/>
              </w:rPr>
            </w:pPr>
            <w:r w:rsidRPr="0054782C">
              <w:rPr>
                <w:sz w:val="20"/>
                <w:szCs w:val="20"/>
              </w:rPr>
              <w:t>2018. gadā plānoti avansa maksājumi atbilstoši MK noteikum</w:t>
            </w:r>
            <w:r w:rsidR="009B2997" w:rsidRPr="0054782C">
              <w:rPr>
                <w:sz w:val="20"/>
                <w:szCs w:val="20"/>
              </w:rPr>
              <w:t>u</w:t>
            </w:r>
            <w:r w:rsidRPr="0054782C">
              <w:rPr>
                <w:sz w:val="20"/>
                <w:szCs w:val="20"/>
              </w:rPr>
              <w:t xml:space="preserve"> projekta </w:t>
            </w:r>
            <w:r w:rsidR="00250B3C" w:rsidRPr="0054782C">
              <w:rPr>
                <w:sz w:val="20"/>
                <w:szCs w:val="20"/>
              </w:rPr>
              <w:t>6</w:t>
            </w:r>
            <w:r w:rsidR="00D9551C" w:rsidRPr="0054782C">
              <w:rPr>
                <w:sz w:val="20"/>
                <w:szCs w:val="20"/>
              </w:rPr>
              <w:t>4</w:t>
            </w:r>
            <w:r w:rsidRPr="0054782C">
              <w:rPr>
                <w:sz w:val="20"/>
                <w:szCs w:val="20"/>
              </w:rPr>
              <w:t>.1. </w:t>
            </w:r>
            <w:r w:rsidRPr="0054782C">
              <w:rPr>
                <w:color w:val="000000" w:themeColor="text1"/>
                <w:sz w:val="20"/>
                <w:szCs w:val="20"/>
              </w:rPr>
              <w:t xml:space="preserve">apakšpunktam, 2019. un 2020. gadā veicami starpposma maksājumi atbilstoši </w:t>
            </w:r>
            <w:r w:rsidR="00A42CEE" w:rsidRPr="0054782C">
              <w:rPr>
                <w:color w:val="000000" w:themeColor="text1"/>
                <w:sz w:val="20"/>
                <w:szCs w:val="20"/>
              </w:rPr>
              <w:t>MK noteikum</w:t>
            </w:r>
            <w:r w:rsidR="009B2997" w:rsidRPr="0054782C">
              <w:rPr>
                <w:color w:val="000000" w:themeColor="text1"/>
                <w:sz w:val="20"/>
                <w:szCs w:val="20"/>
              </w:rPr>
              <w:t>u</w:t>
            </w:r>
            <w:r w:rsidR="00A42CEE" w:rsidRPr="0054782C">
              <w:rPr>
                <w:color w:val="000000" w:themeColor="text1"/>
                <w:sz w:val="20"/>
                <w:szCs w:val="20"/>
              </w:rPr>
              <w:t xml:space="preserve"> projekta 6</w:t>
            </w:r>
            <w:r w:rsidR="00D9551C" w:rsidRPr="0054782C">
              <w:rPr>
                <w:color w:val="000000" w:themeColor="text1"/>
                <w:sz w:val="20"/>
                <w:szCs w:val="20"/>
              </w:rPr>
              <w:t>4</w:t>
            </w:r>
            <w:r w:rsidR="00A42CEE" w:rsidRPr="0054782C">
              <w:rPr>
                <w:color w:val="000000" w:themeColor="text1"/>
                <w:sz w:val="20"/>
                <w:szCs w:val="20"/>
              </w:rPr>
              <w:t xml:space="preserve">.2. apakšpunktam un </w:t>
            </w:r>
            <w:r w:rsidRPr="0054782C">
              <w:rPr>
                <w:color w:val="000000" w:themeColor="text1"/>
                <w:sz w:val="20"/>
                <w:szCs w:val="20"/>
              </w:rPr>
              <w:t xml:space="preserve">faktiski konkursa ietvaros apstiprināto projektu naudas plūsmu prognozēm. </w:t>
            </w:r>
            <w:r w:rsidR="00A42CEE" w:rsidRPr="0054782C">
              <w:rPr>
                <w:color w:val="000000" w:themeColor="text1"/>
                <w:sz w:val="20"/>
                <w:szCs w:val="20"/>
              </w:rPr>
              <w:t>Savukārt 2021.gadā veicams noslēguma maksājums atbilstoši MK noteikum</w:t>
            </w:r>
            <w:r w:rsidR="009B2997" w:rsidRPr="0054782C">
              <w:rPr>
                <w:color w:val="000000" w:themeColor="text1"/>
                <w:sz w:val="20"/>
                <w:szCs w:val="20"/>
              </w:rPr>
              <w:t>u</w:t>
            </w:r>
            <w:r w:rsidR="00A42CEE" w:rsidRPr="0054782C">
              <w:rPr>
                <w:color w:val="000000" w:themeColor="text1"/>
                <w:sz w:val="20"/>
                <w:szCs w:val="20"/>
              </w:rPr>
              <w:t xml:space="preserve"> projekta 6</w:t>
            </w:r>
            <w:r w:rsidR="00D9551C" w:rsidRPr="0054782C">
              <w:rPr>
                <w:color w:val="000000" w:themeColor="text1"/>
                <w:sz w:val="20"/>
                <w:szCs w:val="20"/>
              </w:rPr>
              <w:t>4</w:t>
            </w:r>
            <w:r w:rsidR="00A42CEE" w:rsidRPr="0054782C">
              <w:rPr>
                <w:color w:val="000000" w:themeColor="text1"/>
                <w:sz w:val="20"/>
                <w:szCs w:val="20"/>
              </w:rPr>
              <w:t>.3. apakšpunktam.</w:t>
            </w:r>
          </w:p>
          <w:p w14:paraId="4FB0B12F" w14:textId="20F912BA" w:rsidR="002A2E9A" w:rsidRDefault="002A2E9A" w:rsidP="00D41A7D">
            <w:pPr>
              <w:pStyle w:val="tvhtml"/>
              <w:spacing w:before="0" w:beforeAutospacing="0" w:after="0" w:afterAutospacing="0"/>
              <w:jc w:val="both"/>
              <w:rPr>
                <w:i/>
                <w:sz w:val="20"/>
                <w:szCs w:val="20"/>
              </w:rPr>
            </w:pPr>
            <w:r w:rsidRPr="0054782C">
              <w:rPr>
                <w:color w:val="000000" w:themeColor="text1"/>
                <w:sz w:val="20"/>
                <w:szCs w:val="20"/>
              </w:rPr>
              <w:t>Ņemot vērā, ka projekta iesniedzēji ir Latvijas Republikas pašvaldības</w:t>
            </w:r>
            <w:r w:rsidR="00A42CEE" w:rsidRPr="0054782C">
              <w:rPr>
                <w:color w:val="000000" w:themeColor="text1"/>
                <w:sz w:val="20"/>
                <w:szCs w:val="20"/>
              </w:rPr>
              <w:t xml:space="preserve"> un</w:t>
            </w:r>
            <w:r w:rsidRPr="0054782C">
              <w:rPr>
                <w:color w:val="000000" w:themeColor="text1"/>
                <w:sz w:val="20"/>
                <w:szCs w:val="20"/>
              </w:rPr>
              <w:t xml:space="preserve"> konkursa ietvaros maksimāli pieļaujamā finanšu instrumenta at</w:t>
            </w:r>
            <w:r w:rsidR="00A42CEE" w:rsidRPr="0054782C">
              <w:rPr>
                <w:color w:val="000000" w:themeColor="text1"/>
                <w:sz w:val="20"/>
                <w:szCs w:val="20"/>
              </w:rPr>
              <w:t>balsta intensitāte nepārsniedz 8</w:t>
            </w:r>
            <w:r w:rsidRPr="0054782C">
              <w:rPr>
                <w:color w:val="000000" w:themeColor="text1"/>
                <w:sz w:val="20"/>
                <w:szCs w:val="20"/>
              </w:rPr>
              <w:t xml:space="preserve">0 % no projekta kopējām attiecināmajām izmaksām prognozējamā MK noteikumu projekta finansiālā </w:t>
            </w:r>
            <w:r w:rsidR="00A42CEE" w:rsidRPr="0054782C">
              <w:rPr>
                <w:sz w:val="20"/>
                <w:szCs w:val="20"/>
              </w:rPr>
              <w:t>ietekme uz pašvaldību budžetiem</w:t>
            </w:r>
            <w:r w:rsidRPr="0054782C">
              <w:rPr>
                <w:sz w:val="20"/>
                <w:szCs w:val="20"/>
              </w:rPr>
              <w:t xml:space="preserve"> būs 2018.</w:t>
            </w:r>
            <w:r w:rsidR="00A42CEE" w:rsidRPr="0054782C">
              <w:rPr>
                <w:sz w:val="20"/>
                <w:szCs w:val="20"/>
              </w:rPr>
              <w:t> </w:t>
            </w:r>
            <w:r w:rsidRPr="0054782C">
              <w:rPr>
                <w:sz w:val="20"/>
                <w:szCs w:val="20"/>
              </w:rPr>
              <w:t>gadā 1</w:t>
            </w:r>
            <w:r w:rsidR="00A42CEE" w:rsidRPr="0054782C">
              <w:rPr>
                <w:sz w:val="20"/>
                <w:szCs w:val="20"/>
              </w:rPr>
              <w:t> </w:t>
            </w:r>
            <w:r w:rsidR="00D41A7D">
              <w:rPr>
                <w:sz w:val="20"/>
                <w:szCs w:val="20"/>
              </w:rPr>
              <w:t>25</w:t>
            </w:r>
            <w:r w:rsidR="00A42CEE" w:rsidRPr="0054782C">
              <w:rPr>
                <w:sz w:val="20"/>
                <w:szCs w:val="20"/>
              </w:rPr>
              <w:t>0 000</w:t>
            </w:r>
            <w:r w:rsidRPr="0054782C">
              <w:rPr>
                <w:sz w:val="20"/>
                <w:szCs w:val="20"/>
              </w:rPr>
              <w:t xml:space="preserve"> EUR, 2019.</w:t>
            </w:r>
            <w:r w:rsidR="00A42CEE" w:rsidRPr="0054782C">
              <w:rPr>
                <w:sz w:val="20"/>
                <w:szCs w:val="20"/>
              </w:rPr>
              <w:t> </w:t>
            </w:r>
            <w:r w:rsidRPr="0054782C">
              <w:rPr>
                <w:sz w:val="20"/>
                <w:szCs w:val="20"/>
              </w:rPr>
              <w:t xml:space="preserve">gadā un 2020. gadā </w:t>
            </w:r>
            <w:r w:rsidR="00D41A7D">
              <w:rPr>
                <w:sz w:val="20"/>
                <w:szCs w:val="20"/>
              </w:rPr>
              <w:t>5</w:t>
            </w:r>
            <w:r w:rsidR="00A42CEE" w:rsidRPr="0054782C">
              <w:rPr>
                <w:sz w:val="20"/>
                <w:szCs w:val="20"/>
              </w:rPr>
              <w:t>00</w:t>
            </w:r>
            <w:r w:rsidRPr="0054782C">
              <w:rPr>
                <w:sz w:val="20"/>
                <w:szCs w:val="20"/>
              </w:rPr>
              <w:t> </w:t>
            </w:r>
            <w:r w:rsidR="00A42CEE" w:rsidRPr="0054782C">
              <w:rPr>
                <w:sz w:val="20"/>
                <w:szCs w:val="20"/>
              </w:rPr>
              <w:t>000</w:t>
            </w:r>
            <w:r w:rsidRPr="0054782C">
              <w:rPr>
                <w:sz w:val="20"/>
                <w:szCs w:val="20"/>
              </w:rPr>
              <w:t xml:space="preserve"> EUR</w:t>
            </w:r>
            <w:r w:rsidR="00A42CEE" w:rsidRPr="0054782C">
              <w:rPr>
                <w:sz w:val="20"/>
                <w:szCs w:val="20"/>
              </w:rPr>
              <w:t xml:space="preserve">, un 2021. gadā </w:t>
            </w:r>
            <w:r w:rsidR="00D41A7D">
              <w:rPr>
                <w:sz w:val="20"/>
                <w:szCs w:val="20"/>
              </w:rPr>
              <w:t>25</w:t>
            </w:r>
            <w:r w:rsidR="00A42CEE" w:rsidRPr="0054782C">
              <w:rPr>
                <w:sz w:val="20"/>
                <w:szCs w:val="20"/>
              </w:rPr>
              <w:t>0 000 EUR</w:t>
            </w:r>
            <w:r w:rsidRPr="0054782C">
              <w:rPr>
                <w:i/>
                <w:sz w:val="20"/>
                <w:szCs w:val="20"/>
              </w:rPr>
              <w:t>.</w:t>
            </w:r>
          </w:p>
          <w:p w14:paraId="23B4DD03" w14:textId="4A3D8BB9" w:rsidR="00D41A7D" w:rsidRPr="00D41A7D" w:rsidRDefault="005E22E4" w:rsidP="005E22E4">
            <w:pPr>
              <w:pStyle w:val="tvhtml"/>
              <w:spacing w:before="0" w:beforeAutospacing="0" w:after="0" w:afterAutospacing="0"/>
              <w:jc w:val="both"/>
              <w:rPr>
                <w:bCs/>
                <w:sz w:val="20"/>
                <w:szCs w:val="20"/>
              </w:rPr>
            </w:pPr>
            <w:r>
              <w:rPr>
                <w:bCs/>
                <w:sz w:val="20"/>
                <w:szCs w:val="20"/>
              </w:rPr>
              <w:t>Izdevumu aprēķins ir veikts pieņemot, ka projektu konkursa nolikums tiks apstiprināts vasarā, projektu iesniegumu vērtēšana noslēgsies un līgumi par projektu īstenošanu tiks noslēgti rudenī. Līdz ar to avansa maksājumus būs iespējams veikt šī gada ietvaros. Savukārt turpmākajos gados izdevumi plānoti pieņemot, ka projekta īstenošana notiek pakāpeniski (bez krasām izmaiņām vai dīkstāves).</w:t>
            </w:r>
          </w:p>
        </w:tc>
      </w:tr>
      <w:tr w:rsidR="002A2E9A" w:rsidRPr="0054782C" w14:paraId="05D464CA" w14:textId="77777777" w:rsidTr="000925B2">
        <w:tc>
          <w:tcPr>
            <w:tcW w:w="1718" w:type="dxa"/>
            <w:hideMark/>
          </w:tcPr>
          <w:p w14:paraId="57AEE8B7" w14:textId="77777777" w:rsidR="002A2E9A" w:rsidRPr="0054782C" w:rsidRDefault="002A2E9A" w:rsidP="002A2E9A">
            <w:pPr>
              <w:rPr>
                <w:iCs/>
                <w:sz w:val="20"/>
                <w:szCs w:val="20"/>
              </w:rPr>
            </w:pPr>
            <w:r w:rsidRPr="0054782C">
              <w:rPr>
                <w:iCs/>
                <w:sz w:val="20"/>
                <w:szCs w:val="20"/>
              </w:rPr>
              <w:t>6.1. detalizēts ieņēmumu aprēķins</w:t>
            </w:r>
          </w:p>
        </w:tc>
        <w:tc>
          <w:tcPr>
            <w:tcW w:w="7746" w:type="dxa"/>
            <w:gridSpan w:val="7"/>
            <w:vMerge/>
            <w:vAlign w:val="center"/>
            <w:hideMark/>
          </w:tcPr>
          <w:p w14:paraId="6C2295A9" w14:textId="77777777" w:rsidR="002A2E9A" w:rsidRPr="0054782C" w:rsidRDefault="002A2E9A" w:rsidP="002A2E9A">
            <w:pPr>
              <w:rPr>
                <w:iCs/>
                <w:sz w:val="20"/>
                <w:szCs w:val="20"/>
              </w:rPr>
            </w:pPr>
          </w:p>
        </w:tc>
      </w:tr>
      <w:tr w:rsidR="002A2E9A" w:rsidRPr="0054782C" w14:paraId="7C9FEFCD" w14:textId="77777777" w:rsidTr="000925B2">
        <w:tc>
          <w:tcPr>
            <w:tcW w:w="1718" w:type="dxa"/>
            <w:hideMark/>
          </w:tcPr>
          <w:p w14:paraId="402B5E8B" w14:textId="77777777" w:rsidR="002A2E9A" w:rsidRPr="0054782C" w:rsidRDefault="002A2E9A" w:rsidP="002A2E9A">
            <w:pPr>
              <w:rPr>
                <w:iCs/>
                <w:sz w:val="20"/>
                <w:szCs w:val="20"/>
              </w:rPr>
            </w:pPr>
            <w:r w:rsidRPr="0054782C">
              <w:rPr>
                <w:iCs/>
                <w:sz w:val="20"/>
                <w:szCs w:val="20"/>
              </w:rPr>
              <w:t>6.2. detalizēts izdevumu aprēķins</w:t>
            </w:r>
          </w:p>
        </w:tc>
        <w:tc>
          <w:tcPr>
            <w:tcW w:w="7746" w:type="dxa"/>
            <w:gridSpan w:val="7"/>
            <w:vMerge/>
            <w:vAlign w:val="center"/>
            <w:hideMark/>
          </w:tcPr>
          <w:p w14:paraId="5AD6C712" w14:textId="77777777" w:rsidR="002A2E9A" w:rsidRPr="0054782C" w:rsidRDefault="002A2E9A" w:rsidP="002A2E9A">
            <w:pPr>
              <w:rPr>
                <w:iCs/>
                <w:sz w:val="20"/>
                <w:szCs w:val="20"/>
              </w:rPr>
            </w:pPr>
          </w:p>
        </w:tc>
      </w:tr>
      <w:tr w:rsidR="002A2E9A" w:rsidRPr="0054782C" w14:paraId="69B15A98" w14:textId="77777777" w:rsidTr="000925B2">
        <w:tc>
          <w:tcPr>
            <w:tcW w:w="1718" w:type="dxa"/>
            <w:hideMark/>
          </w:tcPr>
          <w:p w14:paraId="1EBF8BC1" w14:textId="77777777" w:rsidR="002A2E9A" w:rsidRPr="0054782C" w:rsidRDefault="002A2E9A" w:rsidP="002A2E9A">
            <w:pPr>
              <w:rPr>
                <w:iCs/>
                <w:sz w:val="20"/>
                <w:szCs w:val="20"/>
              </w:rPr>
            </w:pPr>
            <w:r w:rsidRPr="0054782C">
              <w:rPr>
                <w:iCs/>
                <w:sz w:val="20"/>
                <w:szCs w:val="20"/>
              </w:rPr>
              <w:t>7. Amata vietu skaita izmaiņas</w:t>
            </w:r>
          </w:p>
        </w:tc>
        <w:tc>
          <w:tcPr>
            <w:tcW w:w="7746" w:type="dxa"/>
            <w:gridSpan w:val="7"/>
            <w:hideMark/>
          </w:tcPr>
          <w:p w14:paraId="35611D64" w14:textId="1F52E5C2" w:rsidR="002A2E9A" w:rsidRPr="00196CF2" w:rsidRDefault="00196CF2" w:rsidP="00AE3591">
            <w:pPr>
              <w:jc w:val="both"/>
              <w:rPr>
                <w:iCs/>
                <w:sz w:val="20"/>
                <w:szCs w:val="20"/>
              </w:rPr>
            </w:pPr>
            <w:r w:rsidRPr="00196CF2">
              <w:rPr>
                <w:sz w:val="20"/>
                <w:szCs w:val="20"/>
              </w:rPr>
              <w:t>MK noteikumu  projekts šo jomu neskar.</w:t>
            </w:r>
          </w:p>
        </w:tc>
      </w:tr>
      <w:tr w:rsidR="002A2E9A" w:rsidRPr="0054782C" w14:paraId="35F9FC4C" w14:textId="77777777" w:rsidTr="000925B2">
        <w:tc>
          <w:tcPr>
            <w:tcW w:w="1718" w:type="dxa"/>
            <w:hideMark/>
          </w:tcPr>
          <w:p w14:paraId="53ED6E2E" w14:textId="77777777" w:rsidR="002A2E9A" w:rsidRPr="0054782C" w:rsidRDefault="002A2E9A" w:rsidP="002A2E9A">
            <w:pPr>
              <w:rPr>
                <w:iCs/>
                <w:sz w:val="20"/>
                <w:szCs w:val="20"/>
              </w:rPr>
            </w:pPr>
            <w:r w:rsidRPr="0054782C">
              <w:rPr>
                <w:iCs/>
                <w:sz w:val="20"/>
                <w:szCs w:val="20"/>
              </w:rPr>
              <w:t>8. Cita informācija</w:t>
            </w:r>
          </w:p>
        </w:tc>
        <w:tc>
          <w:tcPr>
            <w:tcW w:w="7746" w:type="dxa"/>
            <w:gridSpan w:val="7"/>
            <w:hideMark/>
          </w:tcPr>
          <w:p w14:paraId="3D214C2C" w14:textId="77777777" w:rsidR="00D9551C" w:rsidRPr="00F25389" w:rsidRDefault="00D9551C" w:rsidP="00D9551C">
            <w:pPr>
              <w:jc w:val="both"/>
              <w:rPr>
                <w:color w:val="000000" w:themeColor="text1"/>
                <w:sz w:val="20"/>
                <w:szCs w:val="20"/>
              </w:rPr>
            </w:pPr>
            <w:r w:rsidRPr="00F25389">
              <w:rPr>
                <w:color w:val="000000" w:themeColor="text1"/>
                <w:sz w:val="20"/>
                <w:szCs w:val="20"/>
              </w:rPr>
              <w:t>2018. gadā plānoti avansa maksājumi atbilstoši MK noteikumu projekta 64.1. apakšpunktam, 2019. un 2020. gadā veicami starpposma maksājumi atbilstoši MK noteikumu projekta 64.2. apakšpunktam un faktiski konkursa ietvaros apstiprināto projektu naudas plūsmu prognozēm. Savukārt 2021.gadā veicams noslēguma maksājums atbilstoši MK noteikumu projekta 64.3. apakšpunktam.</w:t>
            </w:r>
          </w:p>
          <w:p w14:paraId="6EFF6C31" w14:textId="61845679" w:rsidR="002A2E9A" w:rsidRPr="00F25389" w:rsidRDefault="00D9551C" w:rsidP="00D41A7D">
            <w:pPr>
              <w:jc w:val="both"/>
              <w:rPr>
                <w:i/>
                <w:color w:val="000000" w:themeColor="text1"/>
                <w:sz w:val="20"/>
                <w:szCs w:val="20"/>
              </w:rPr>
            </w:pPr>
            <w:r w:rsidRPr="00F25389">
              <w:rPr>
                <w:color w:val="000000" w:themeColor="text1"/>
                <w:sz w:val="20"/>
                <w:szCs w:val="20"/>
              </w:rPr>
              <w:t>Ņemot vērā, ka projekta iesniedzēji ir Latvijas Republikas pašvaldības un konkursa ietvaros maksimāli pieļaujamā finanšu instrumenta atbalsta intensitāte nepārsniedz 80 % no projekta kopējām attiecināmajām izmaksām prognozējamā MK noteikumu projekta finansiālā ietekme uz pašvaldību budžetiem būs 2018. gadā 1 </w:t>
            </w:r>
            <w:r w:rsidR="00D41A7D" w:rsidRPr="00F25389">
              <w:rPr>
                <w:color w:val="000000" w:themeColor="text1"/>
                <w:sz w:val="20"/>
                <w:szCs w:val="20"/>
              </w:rPr>
              <w:t>25</w:t>
            </w:r>
            <w:r w:rsidRPr="00F25389">
              <w:rPr>
                <w:color w:val="000000" w:themeColor="text1"/>
                <w:sz w:val="20"/>
                <w:szCs w:val="20"/>
              </w:rPr>
              <w:t xml:space="preserve">0 000 EUR, 2019. gadā un 2020. gadā </w:t>
            </w:r>
            <w:r w:rsidR="00D41A7D" w:rsidRPr="00F25389">
              <w:rPr>
                <w:color w:val="000000" w:themeColor="text1"/>
                <w:sz w:val="20"/>
                <w:szCs w:val="20"/>
              </w:rPr>
              <w:t>5</w:t>
            </w:r>
            <w:r w:rsidRPr="00F25389">
              <w:rPr>
                <w:color w:val="000000" w:themeColor="text1"/>
                <w:sz w:val="20"/>
                <w:szCs w:val="20"/>
              </w:rPr>
              <w:t xml:space="preserve">00 000 EUR, un 2021. gadā </w:t>
            </w:r>
            <w:r w:rsidR="00D41A7D" w:rsidRPr="00F25389">
              <w:rPr>
                <w:color w:val="000000" w:themeColor="text1"/>
                <w:sz w:val="20"/>
                <w:szCs w:val="20"/>
              </w:rPr>
              <w:t>25</w:t>
            </w:r>
            <w:r w:rsidRPr="00F25389">
              <w:rPr>
                <w:color w:val="000000" w:themeColor="text1"/>
                <w:sz w:val="20"/>
                <w:szCs w:val="20"/>
              </w:rPr>
              <w:t>0 000 EUR</w:t>
            </w:r>
            <w:r w:rsidRPr="00F25389">
              <w:rPr>
                <w:i/>
                <w:color w:val="000000" w:themeColor="text1"/>
                <w:sz w:val="20"/>
                <w:szCs w:val="20"/>
              </w:rPr>
              <w:t>.</w:t>
            </w:r>
          </w:p>
          <w:p w14:paraId="243F9313" w14:textId="3FEBE899" w:rsidR="00AE3591" w:rsidRPr="00F25389" w:rsidRDefault="00AE3591" w:rsidP="00D41A7D">
            <w:pPr>
              <w:jc w:val="both"/>
              <w:rPr>
                <w:iCs/>
                <w:color w:val="000000" w:themeColor="text1"/>
                <w:sz w:val="20"/>
                <w:szCs w:val="20"/>
              </w:rPr>
            </w:pPr>
            <w:r w:rsidRPr="00F25389">
              <w:rPr>
                <w:color w:val="000000" w:themeColor="text1"/>
                <w:sz w:val="20"/>
                <w:szCs w:val="20"/>
              </w:rPr>
              <w:t xml:space="preserve">  Konkursa ietvaros pieejamais finansējums ir 10 000 000 EUR. Finansējums tiks plānots Vides aizsardzības un reģionālās attīstības ministrijas programmas „Emisijas kvotu izsolīšanas instruments” (33.00.00) apakšprogrammā „Emisijas kvotu izsolīšanas instrumenta projekti” (33.02.00) atbilstoši faktiski konkursa ietvaros apstiprināto projektu naudas plūsmu prognozēm, papildu nepieciešamos finanšu līdzekļus pieprasot un saņemot normatīvajos aktos noteiktajā kārtībā no budžeta resora “74.Gadskārtējā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4ACFCA1A" w14:textId="77777777" w:rsidR="00972C84" w:rsidRPr="00250B3C"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250B3C" w14:paraId="5DBE8A2E" w14:textId="77777777" w:rsidTr="00B74F4C">
        <w:trPr>
          <w:jc w:val="center"/>
        </w:trPr>
        <w:tc>
          <w:tcPr>
            <w:tcW w:w="9209" w:type="dxa"/>
            <w:gridSpan w:val="3"/>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B74F4C" w:rsidRPr="00250B3C" w14:paraId="45683300" w14:textId="77777777" w:rsidTr="00B74F4C">
        <w:trPr>
          <w:jc w:val="center"/>
        </w:trPr>
        <w:tc>
          <w:tcPr>
            <w:tcW w:w="626" w:type="dxa"/>
          </w:tcPr>
          <w:p w14:paraId="71C7FCDF" w14:textId="77777777" w:rsidR="00B74F4C" w:rsidRPr="00250B3C" w:rsidRDefault="00B74F4C" w:rsidP="008614B5">
            <w:pPr>
              <w:pStyle w:val="naiskr"/>
              <w:tabs>
                <w:tab w:val="left" w:pos="2628"/>
              </w:tabs>
              <w:spacing w:before="0" w:after="0"/>
              <w:jc w:val="both"/>
              <w:rPr>
                <w:iCs/>
              </w:rPr>
            </w:pPr>
            <w:r w:rsidRPr="00250B3C">
              <w:rPr>
                <w:iCs/>
              </w:rPr>
              <w:t>1.</w:t>
            </w:r>
          </w:p>
        </w:tc>
        <w:tc>
          <w:tcPr>
            <w:tcW w:w="4320" w:type="dxa"/>
          </w:tcPr>
          <w:p w14:paraId="203CE203" w14:textId="77777777" w:rsidR="00B74F4C" w:rsidRPr="00250B3C" w:rsidRDefault="00647D6D" w:rsidP="008614B5">
            <w:pPr>
              <w:pStyle w:val="naiskr"/>
              <w:tabs>
                <w:tab w:val="left" w:pos="2628"/>
              </w:tabs>
              <w:spacing w:before="0" w:after="0"/>
              <w:jc w:val="both"/>
              <w:rPr>
                <w:iCs/>
              </w:rPr>
            </w:pPr>
            <w:r w:rsidRPr="00250B3C">
              <w:t>S</w:t>
            </w:r>
            <w:r w:rsidR="00B74F4C" w:rsidRPr="00250B3C">
              <w:t>aistītie tiesību aktu projekti</w:t>
            </w:r>
          </w:p>
        </w:tc>
        <w:tc>
          <w:tcPr>
            <w:tcW w:w="4263" w:type="dxa"/>
          </w:tcPr>
          <w:p w14:paraId="5AB74F40" w14:textId="2CF65419" w:rsidR="00B74F4C" w:rsidRPr="00250B3C" w:rsidRDefault="00D011E5" w:rsidP="00D011E5">
            <w:pPr>
              <w:pStyle w:val="naiskr"/>
              <w:tabs>
                <w:tab w:val="left" w:pos="2628"/>
              </w:tabs>
              <w:spacing w:before="0" w:after="0"/>
              <w:jc w:val="both"/>
              <w:rPr>
                <w:iCs/>
              </w:rPr>
            </w:pPr>
            <w:r>
              <w:t>MK noteikumu p</w:t>
            </w:r>
            <w:r w:rsidR="006D1404" w:rsidRPr="00250B3C">
              <w:t>rojekts šo jomu neskar.</w:t>
            </w:r>
          </w:p>
        </w:tc>
      </w:tr>
      <w:tr w:rsidR="00647D6D" w:rsidRPr="00250B3C" w14:paraId="0E4670E9" w14:textId="77777777" w:rsidTr="00B74F4C">
        <w:trPr>
          <w:jc w:val="center"/>
        </w:trPr>
        <w:tc>
          <w:tcPr>
            <w:tcW w:w="626" w:type="dxa"/>
          </w:tcPr>
          <w:p w14:paraId="49795E4B" w14:textId="77777777" w:rsidR="00647D6D" w:rsidRPr="00250B3C" w:rsidRDefault="00647D6D" w:rsidP="008614B5">
            <w:pPr>
              <w:pStyle w:val="naiskr"/>
              <w:tabs>
                <w:tab w:val="left" w:pos="2628"/>
              </w:tabs>
              <w:spacing w:before="0" w:after="0"/>
              <w:jc w:val="both"/>
              <w:rPr>
                <w:iCs/>
              </w:rPr>
            </w:pPr>
            <w:r w:rsidRPr="00250B3C">
              <w:rPr>
                <w:iCs/>
              </w:rPr>
              <w:t>2.</w:t>
            </w:r>
          </w:p>
        </w:tc>
        <w:tc>
          <w:tcPr>
            <w:tcW w:w="4320" w:type="dxa"/>
          </w:tcPr>
          <w:p w14:paraId="50232E2C" w14:textId="77777777" w:rsidR="00647D6D" w:rsidRPr="00250B3C" w:rsidRDefault="00647D6D" w:rsidP="008614B5">
            <w:pPr>
              <w:pStyle w:val="naiskr"/>
              <w:tabs>
                <w:tab w:val="left" w:pos="2628"/>
              </w:tabs>
              <w:spacing w:before="0" w:after="0"/>
              <w:jc w:val="both"/>
            </w:pPr>
            <w:r w:rsidRPr="00250B3C">
              <w:t>Atbildīgā institūcija</w:t>
            </w:r>
          </w:p>
        </w:tc>
        <w:tc>
          <w:tcPr>
            <w:tcW w:w="4263" w:type="dxa"/>
          </w:tcPr>
          <w:p w14:paraId="70AF4066" w14:textId="01050B64" w:rsidR="00647D6D" w:rsidRPr="00250B3C" w:rsidRDefault="00D011E5" w:rsidP="00D011E5">
            <w:pPr>
              <w:pStyle w:val="naiskr"/>
              <w:tabs>
                <w:tab w:val="left" w:pos="2628"/>
              </w:tabs>
              <w:spacing w:before="0" w:after="0"/>
              <w:jc w:val="both"/>
            </w:pPr>
            <w:r>
              <w:t>MK noteikumu p</w:t>
            </w:r>
            <w:r w:rsidR="006D1404" w:rsidRPr="00250B3C">
              <w:t>rojekts šo jomu neskar.</w:t>
            </w:r>
          </w:p>
        </w:tc>
      </w:tr>
      <w:tr w:rsidR="00B74F4C" w:rsidRPr="00250B3C" w14:paraId="3ECB2110" w14:textId="77777777" w:rsidTr="00B74F4C">
        <w:trPr>
          <w:jc w:val="center"/>
        </w:trPr>
        <w:tc>
          <w:tcPr>
            <w:tcW w:w="626" w:type="dxa"/>
          </w:tcPr>
          <w:p w14:paraId="3F6644D4" w14:textId="77777777" w:rsidR="00B74F4C" w:rsidRPr="00250B3C" w:rsidRDefault="00647D6D" w:rsidP="008614B5">
            <w:pPr>
              <w:pStyle w:val="naiskr"/>
              <w:tabs>
                <w:tab w:val="left" w:pos="2628"/>
              </w:tabs>
              <w:spacing w:before="0" w:after="0"/>
              <w:jc w:val="both"/>
              <w:rPr>
                <w:iCs/>
              </w:rPr>
            </w:pPr>
            <w:r w:rsidRPr="00250B3C">
              <w:rPr>
                <w:iCs/>
              </w:rPr>
              <w:t>3</w:t>
            </w:r>
            <w:r w:rsidR="00B74F4C" w:rsidRPr="00250B3C">
              <w:rPr>
                <w:iCs/>
              </w:rPr>
              <w:t>.</w:t>
            </w:r>
          </w:p>
        </w:tc>
        <w:tc>
          <w:tcPr>
            <w:tcW w:w="4320" w:type="dxa"/>
          </w:tcPr>
          <w:p w14:paraId="516B5CF8" w14:textId="77777777" w:rsidR="00B74F4C" w:rsidRPr="00250B3C" w:rsidRDefault="00B74F4C" w:rsidP="008614B5">
            <w:pPr>
              <w:pStyle w:val="naiskr"/>
              <w:tabs>
                <w:tab w:val="left" w:pos="2628"/>
              </w:tabs>
              <w:spacing w:before="0" w:after="0"/>
              <w:jc w:val="both"/>
              <w:rPr>
                <w:iCs/>
              </w:rPr>
            </w:pPr>
            <w:r w:rsidRPr="00250B3C">
              <w:t>Cita informācija</w:t>
            </w:r>
          </w:p>
        </w:tc>
        <w:tc>
          <w:tcPr>
            <w:tcW w:w="4263" w:type="dxa"/>
          </w:tcPr>
          <w:p w14:paraId="1EDA7BC6" w14:textId="3992B9AB" w:rsidR="00B74F4C" w:rsidRPr="00250B3C" w:rsidRDefault="00D011E5" w:rsidP="00D011E5">
            <w:pPr>
              <w:pStyle w:val="naiskr"/>
              <w:tabs>
                <w:tab w:val="left" w:pos="2628"/>
              </w:tabs>
              <w:spacing w:before="0" w:after="0"/>
              <w:jc w:val="both"/>
              <w:rPr>
                <w:iCs/>
              </w:rPr>
            </w:pPr>
            <w:r>
              <w:t>MK noteikumu p</w:t>
            </w:r>
            <w:r w:rsidR="006D1404" w:rsidRPr="00250B3C">
              <w:t>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
        <w:gridCol w:w="2750"/>
        <w:gridCol w:w="6085"/>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0E06C648" w:rsidR="003905DC" w:rsidRPr="00EF38E9" w:rsidRDefault="00EF38E9" w:rsidP="00EF38E9">
            <w:pPr>
              <w:jc w:val="both"/>
            </w:pPr>
            <w:r w:rsidRPr="00AE4634">
              <w:rPr>
                <w:color w:val="000000"/>
              </w:rPr>
              <w:t xml:space="preserve">Komisijas 2014. gada 17. jūnija Regula (ES) Nr.651/2014, </w:t>
            </w:r>
            <w:r w:rsidRPr="00AE4634">
              <w:rPr>
                <w:i/>
                <w:color w:val="000000"/>
              </w:rPr>
              <w:t xml:space="preserve">ar ko noteiktas atbalsta kategorijas atzīst par saderīgām ar iekšējo tirgu, piemērojot Līguma 107. un 108. pantu </w:t>
            </w:r>
            <w:r w:rsidRPr="00EF38E9">
              <w:t>(turpmāk – </w:t>
            </w:r>
            <w:r w:rsidR="00047183" w:rsidRPr="00EF38E9">
              <w:rPr>
                <w:color w:val="000000"/>
              </w:rPr>
              <w:t xml:space="preserve">Komisijas regula Nr. </w:t>
            </w:r>
            <w:r w:rsidR="00047183" w:rsidRPr="00EF38E9">
              <w:t>651/20</w:t>
            </w:r>
            <w:r w:rsidR="00047183" w:rsidRPr="00EF38E9">
              <w:rPr>
                <w:color w:val="000000"/>
              </w:rPr>
              <w:t>14</w:t>
            </w:r>
            <w:r w:rsidRPr="00EF38E9">
              <w:rPr>
                <w:color w:val="000000"/>
              </w:rPr>
              <w:t>)</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4CE9B3C2" w:rsidR="001A28EB" w:rsidRPr="00250B3C" w:rsidRDefault="00D011E5" w:rsidP="00D011E5">
            <w:pPr>
              <w:jc w:val="both"/>
            </w:pPr>
            <w:r>
              <w:t>MK noteikumu  p</w:t>
            </w:r>
            <w:r w:rsidR="00C21AFF" w:rsidRPr="00250B3C">
              <w:t>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3"/>
        <w:gridCol w:w="184"/>
        <w:gridCol w:w="1802"/>
        <w:gridCol w:w="1245"/>
        <w:gridCol w:w="1247"/>
        <w:gridCol w:w="238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047183" w:rsidRPr="00250B3C" w14:paraId="52D3B0D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229E6FD7" w14:textId="37DCA54D" w:rsidR="00047183" w:rsidRPr="00250B3C" w:rsidRDefault="00047183" w:rsidP="00047183">
            <w:r w:rsidRPr="008F09C0">
              <w:rPr>
                <w:color w:val="000000" w:themeColor="text1"/>
              </w:rPr>
              <w:t>Regulas 651/2014  5. panta 2. punkta a apakšpunkts</w:t>
            </w:r>
          </w:p>
        </w:tc>
        <w:tc>
          <w:tcPr>
            <w:tcW w:w="987" w:type="pct"/>
            <w:tcBorders>
              <w:top w:val="outset" w:sz="6" w:space="0" w:color="414142"/>
              <w:left w:val="outset" w:sz="6" w:space="0" w:color="414142"/>
              <w:bottom w:val="outset" w:sz="6" w:space="0" w:color="414142"/>
              <w:right w:val="outset" w:sz="6" w:space="0" w:color="414142"/>
            </w:tcBorders>
          </w:tcPr>
          <w:p w14:paraId="333551EA" w14:textId="41614A34" w:rsidR="00047183" w:rsidRPr="00250B3C" w:rsidRDefault="00047183" w:rsidP="00EC1D33">
            <w:r w:rsidRPr="008F09C0">
              <w:rPr>
                <w:color w:val="000000" w:themeColor="text1"/>
              </w:rPr>
              <w:t xml:space="preserve">Noteikumu projekta </w:t>
            </w:r>
            <w:r w:rsidR="00EC1D33">
              <w:rPr>
                <w:color w:val="000000" w:themeColor="text1"/>
              </w:rPr>
              <w:t>11</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1F944A70" w14:textId="704F6FA5" w:rsidR="00047183" w:rsidRPr="00250B3C" w:rsidRDefault="00047183" w:rsidP="00047183">
            <w:r w:rsidRPr="00FB4E30">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16F868A8" w14:textId="327AF551" w:rsidR="00047183" w:rsidRPr="00250B3C" w:rsidRDefault="00047183" w:rsidP="00047183">
            <w:r w:rsidRPr="00FB4E30">
              <w:rPr>
                <w:color w:val="000000" w:themeColor="text1"/>
                <w:spacing w:val="-2"/>
              </w:rPr>
              <w:t>Stingrākas prasības netiek piemērotas.</w:t>
            </w:r>
          </w:p>
        </w:tc>
      </w:tr>
      <w:tr w:rsidR="00047183" w:rsidRPr="00250B3C" w14:paraId="768A29E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5DDCD190" w14:textId="3221FF51" w:rsidR="00047183" w:rsidRPr="00250B3C" w:rsidRDefault="00047183" w:rsidP="00047183">
            <w:r w:rsidRPr="008F09C0">
              <w:rPr>
                <w:color w:val="000000" w:themeColor="text1"/>
              </w:rPr>
              <w:t>Regulas 651/2014  1. panta 3. punkta a) un b) apakšpunkts un 1.panta 2.punkta c) un d) apakšpunkts</w:t>
            </w:r>
          </w:p>
        </w:tc>
        <w:tc>
          <w:tcPr>
            <w:tcW w:w="987" w:type="pct"/>
            <w:tcBorders>
              <w:top w:val="outset" w:sz="6" w:space="0" w:color="414142"/>
              <w:left w:val="outset" w:sz="6" w:space="0" w:color="414142"/>
              <w:bottom w:val="outset" w:sz="6" w:space="0" w:color="414142"/>
              <w:right w:val="outset" w:sz="6" w:space="0" w:color="414142"/>
            </w:tcBorders>
          </w:tcPr>
          <w:p w14:paraId="7B60724D" w14:textId="6003AC0D" w:rsidR="00047183" w:rsidRPr="00250B3C" w:rsidRDefault="00047183" w:rsidP="00EC1D33">
            <w:r w:rsidRPr="008F09C0">
              <w:rPr>
                <w:color w:val="000000" w:themeColor="text1"/>
              </w:rPr>
              <w:t xml:space="preserve">Noteikumu projekta </w:t>
            </w:r>
            <w:r w:rsidR="00EC1D33">
              <w:rPr>
                <w:color w:val="000000" w:themeColor="text1"/>
              </w:rPr>
              <w:t>13</w:t>
            </w:r>
            <w:r w:rsidR="006C6D46">
              <w:rPr>
                <w:color w:val="000000" w:themeColor="text1"/>
              </w:rPr>
              <w:t>.4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E0DF0E1" w14:textId="5BD32EBB" w:rsidR="00047183" w:rsidRPr="00250B3C" w:rsidRDefault="00047183" w:rsidP="00047183">
            <w:r w:rsidRPr="00BF6013">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37DEB9C9" w14:textId="4FB4B5C4" w:rsidR="00047183" w:rsidRPr="00250B3C" w:rsidRDefault="00047183" w:rsidP="00047183">
            <w:r w:rsidRPr="00BF6013">
              <w:rPr>
                <w:color w:val="000000" w:themeColor="text1"/>
                <w:spacing w:val="-2"/>
              </w:rPr>
              <w:t>Stingrākas prasības netiek piemērotas.</w:t>
            </w:r>
          </w:p>
        </w:tc>
      </w:tr>
      <w:tr w:rsidR="00047183" w:rsidRPr="00250B3C" w14:paraId="4602E2DE"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55253B71" w14:textId="62AE0761" w:rsidR="00047183" w:rsidRPr="00250B3C" w:rsidRDefault="00047183" w:rsidP="00047183">
            <w:r w:rsidRPr="008F09C0">
              <w:rPr>
                <w:color w:val="000000" w:themeColor="text1"/>
              </w:rPr>
              <w:t>Regulas 651/2014  1. panta 3. punkta otrā daļa</w:t>
            </w:r>
          </w:p>
        </w:tc>
        <w:tc>
          <w:tcPr>
            <w:tcW w:w="987" w:type="pct"/>
            <w:tcBorders>
              <w:top w:val="outset" w:sz="6" w:space="0" w:color="414142"/>
              <w:left w:val="outset" w:sz="6" w:space="0" w:color="414142"/>
              <w:bottom w:val="outset" w:sz="6" w:space="0" w:color="414142"/>
              <w:right w:val="outset" w:sz="6" w:space="0" w:color="414142"/>
            </w:tcBorders>
          </w:tcPr>
          <w:p w14:paraId="10663DBD" w14:textId="6CC67C77" w:rsidR="00047183" w:rsidRPr="00250B3C" w:rsidRDefault="00047183" w:rsidP="00EC1D33">
            <w:r w:rsidRPr="008F09C0">
              <w:rPr>
                <w:color w:val="000000" w:themeColor="text1"/>
              </w:rPr>
              <w:t xml:space="preserve">Noteikumu projekta </w:t>
            </w:r>
            <w:r w:rsidR="00EC1D33">
              <w:rPr>
                <w:color w:val="000000" w:themeColor="text1"/>
              </w:rPr>
              <w:t>14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D5B2D6A" w14:textId="34329F0D" w:rsidR="00047183" w:rsidRPr="00250B3C" w:rsidRDefault="00047183" w:rsidP="00047183">
            <w:r w:rsidRPr="00BF6013">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6DEA065C" w14:textId="150C79E9" w:rsidR="00047183" w:rsidRPr="00250B3C" w:rsidRDefault="00047183" w:rsidP="00047183">
            <w:r w:rsidRPr="00BF6013">
              <w:rPr>
                <w:color w:val="000000" w:themeColor="text1"/>
                <w:spacing w:val="-2"/>
              </w:rPr>
              <w:t>Stingrākas prasības netiek piemērotas.</w:t>
            </w:r>
          </w:p>
        </w:tc>
      </w:tr>
      <w:tr w:rsidR="00047183" w:rsidRPr="00250B3C" w14:paraId="6F0A0478"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25F698A9" w14:textId="1AAD9E5D" w:rsidR="00047183" w:rsidRPr="00250B3C" w:rsidRDefault="00047183" w:rsidP="00047183">
            <w:r w:rsidRPr="008F09C0">
              <w:rPr>
                <w:color w:val="000000" w:themeColor="text1"/>
              </w:rPr>
              <w:t>Regulas 651/2014  53.panta 6.punkts</w:t>
            </w:r>
          </w:p>
        </w:tc>
        <w:tc>
          <w:tcPr>
            <w:tcW w:w="987" w:type="pct"/>
            <w:tcBorders>
              <w:top w:val="outset" w:sz="6" w:space="0" w:color="414142"/>
              <w:left w:val="outset" w:sz="6" w:space="0" w:color="414142"/>
              <w:bottom w:val="outset" w:sz="6" w:space="0" w:color="414142"/>
              <w:right w:val="outset" w:sz="6" w:space="0" w:color="414142"/>
            </w:tcBorders>
          </w:tcPr>
          <w:p w14:paraId="004B47CA" w14:textId="66F77B10" w:rsidR="00047183" w:rsidRPr="00250B3C" w:rsidRDefault="00047183" w:rsidP="00EC1D33">
            <w:r w:rsidRPr="008F09C0">
              <w:rPr>
                <w:color w:val="000000" w:themeColor="text1"/>
              </w:rPr>
              <w:t xml:space="preserve">Noteikumu projekta </w:t>
            </w:r>
            <w:r w:rsidR="00EC1D33">
              <w:rPr>
                <w:color w:val="000000" w:themeColor="text1"/>
              </w:rPr>
              <w:t>18</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30DD34B" w14:textId="6A1DFED0" w:rsidR="00047183" w:rsidRPr="00250B3C" w:rsidRDefault="00047183" w:rsidP="00047183">
            <w:r w:rsidRPr="00C1713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46FC5F5" w14:textId="1BC551A0" w:rsidR="00047183" w:rsidRPr="00250B3C" w:rsidRDefault="00047183" w:rsidP="00047183">
            <w:r w:rsidRPr="00C1713A">
              <w:rPr>
                <w:color w:val="000000" w:themeColor="text1"/>
                <w:spacing w:val="-2"/>
              </w:rPr>
              <w:t>Stingrākas prasības netiek piemērotas.</w:t>
            </w:r>
          </w:p>
        </w:tc>
      </w:tr>
      <w:tr w:rsidR="00047183" w:rsidRPr="00250B3C" w14:paraId="29000326"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1ACE22F9" w14:textId="568C1898" w:rsidR="00047183" w:rsidRPr="00250B3C" w:rsidRDefault="00047183" w:rsidP="00047183">
            <w:r w:rsidRPr="008F09C0">
              <w:rPr>
                <w:color w:val="000000" w:themeColor="text1"/>
              </w:rPr>
              <w:t>Regulas 651/2014  53.panta 3.punkta a) apakšpunkts</w:t>
            </w:r>
          </w:p>
        </w:tc>
        <w:tc>
          <w:tcPr>
            <w:tcW w:w="987" w:type="pct"/>
            <w:tcBorders>
              <w:top w:val="outset" w:sz="6" w:space="0" w:color="414142"/>
              <w:left w:val="outset" w:sz="6" w:space="0" w:color="414142"/>
              <w:bottom w:val="outset" w:sz="6" w:space="0" w:color="414142"/>
              <w:right w:val="outset" w:sz="6" w:space="0" w:color="414142"/>
            </w:tcBorders>
          </w:tcPr>
          <w:p w14:paraId="71207947" w14:textId="22588D43" w:rsidR="00047183" w:rsidRPr="00250B3C" w:rsidRDefault="00047183" w:rsidP="006C6D46">
            <w:r w:rsidRPr="008F09C0">
              <w:rPr>
                <w:color w:val="000000" w:themeColor="text1"/>
              </w:rPr>
              <w:t xml:space="preserve">Noteikumu projekta </w:t>
            </w:r>
            <w:r w:rsidR="006C6D46">
              <w:rPr>
                <w:color w:val="000000" w:themeColor="text1"/>
              </w:rPr>
              <w:t>26</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05D99C4C" w14:textId="0BF9367A"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084DBAB2" w14:textId="72AB996B" w:rsidR="00047183" w:rsidRPr="00250B3C" w:rsidRDefault="00047183" w:rsidP="00047183">
            <w:r w:rsidRPr="00AB33CA">
              <w:rPr>
                <w:color w:val="000000" w:themeColor="text1"/>
                <w:spacing w:val="-2"/>
              </w:rPr>
              <w:t>Stingrākas prasības netiek piemērotas.</w:t>
            </w:r>
          </w:p>
        </w:tc>
      </w:tr>
      <w:tr w:rsidR="00047183" w:rsidRPr="00250B3C" w14:paraId="49A27C7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0A137F98" w14:textId="3C29996E" w:rsidR="00047183" w:rsidRPr="00250B3C" w:rsidRDefault="00047183" w:rsidP="00047183">
            <w:r w:rsidRPr="008F09C0">
              <w:rPr>
                <w:color w:val="000000" w:themeColor="text1"/>
              </w:rPr>
              <w:t>Regulas 651/2014  53.panta 4.punkta a) apakšpunkts</w:t>
            </w:r>
          </w:p>
        </w:tc>
        <w:tc>
          <w:tcPr>
            <w:tcW w:w="987" w:type="pct"/>
            <w:tcBorders>
              <w:top w:val="outset" w:sz="6" w:space="0" w:color="414142"/>
              <w:left w:val="outset" w:sz="6" w:space="0" w:color="414142"/>
              <w:bottom w:val="outset" w:sz="6" w:space="0" w:color="414142"/>
              <w:right w:val="outset" w:sz="6" w:space="0" w:color="414142"/>
            </w:tcBorders>
          </w:tcPr>
          <w:p w14:paraId="2912A244" w14:textId="2B0133DA" w:rsidR="00047183" w:rsidRPr="00250B3C" w:rsidRDefault="00047183" w:rsidP="00EC1D33">
            <w:r w:rsidRPr="008F09C0">
              <w:rPr>
                <w:color w:val="000000" w:themeColor="text1"/>
              </w:rPr>
              <w:t xml:space="preserve">Noteikumu projekta </w:t>
            </w:r>
            <w:r w:rsidR="00EC1D33">
              <w:rPr>
                <w:color w:val="000000" w:themeColor="text1"/>
              </w:rPr>
              <w:t>23</w:t>
            </w:r>
            <w:r w:rsidRPr="008F09C0">
              <w:rPr>
                <w:color w:val="000000" w:themeColor="text1"/>
              </w:rPr>
              <w:t xml:space="preserve">. un </w:t>
            </w:r>
            <w:r w:rsidR="00EC1D33">
              <w:rPr>
                <w:color w:val="000000" w:themeColor="text1"/>
              </w:rPr>
              <w:t>24</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4AE7DF72" w14:textId="6657EB70"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3C7402F6" w14:textId="55F0274A" w:rsidR="00047183" w:rsidRPr="00250B3C" w:rsidRDefault="00047183" w:rsidP="00047183">
            <w:r w:rsidRPr="00AB33CA">
              <w:rPr>
                <w:color w:val="000000" w:themeColor="text1"/>
                <w:spacing w:val="-2"/>
              </w:rPr>
              <w:t>Stingrākas prasības netiek piemērotas.</w:t>
            </w:r>
          </w:p>
        </w:tc>
      </w:tr>
      <w:tr w:rsidR="00047183" w:rsidRPr="00250B3C" w14:paraId="5AC7634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4E11456F" w14:textId="79202888" w:rsidR="00047183" w:rsidRPr="00250B3C" w:rsidRDefault="00047183" w:rsidP="00047183">
            <w:r w:rsidRPr="008F09C0">
              <w:rPr>
                <w:color w:val="000000" w:themeColor="text1"/>
              </w:rPr>
              <w:t>Regulas 651/2014  53.panta 4.punkta d) apakšpunkts</w:t>
            </w:r>
          </w:p>
        </w:tc>
        <w:tc>
          <w:tcPr>
            <w:tcW w:w="987" w:type="pct"/>
            <w:tcBorders>
              <w:top w:val="outset" w:sz="6" w:space="0" w:color="414142"/>
              <w:left w:val="outset" w:sz="6" w:space="0" w:color="414142"/>
              <w:bottom w:val="outset" w:sz="6" w:space="0" w:color="414142"/>
              <w:right w:val="outset" w:sz="6" w:space="0" w:color="414142"/>
            </w:tcBorders>
          </w:tcPr>
          <w:p w14:paraId="07A18380" w14:textId="26E57FA8" w:rsidR="00047183" w:rsidRPr="00250B3C" w:rsidRDefault="00047183" w:rsidP="00EC1D33">
            <w:r w:rsidRPr="008F09C0">
              <w:rPr>
                <w:color w:val="000000" w:themeColor="text1"/>
              </w:rPr>
              <w:t xml:space="preserve">Noteikumu projekta </w:t>
            </w:r>
            <w:r w:rsidR="00EC1D33">
              <w:rPr>
                <w:color w:val="000000" w:themeColor="text1"/>
              </w:rPr>
              <w:t>23</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5A3E869D" w14:textId="1991A182" w:rsidR="00047183" w:rsidRPr="00250B3C" w:rsidRDefault="00047183" w:rsidP="00047183">
            <w:r w:rsidRPr="00AB33CA">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BBF08F5" w14:textId="02EDC0C3" w:rsidR="00047183" w:rsidRPr="00250B3C" w:rsidRDefault="00047183" w:rsidP="00047183">
            <w:r w:rsidRPr="00AB33CA">
              <w:rPr>
                <w:color w:val="000000" w:themeColor="text1"/>
                <w:spacing w:val="-2"/>
              </w:rPr>
              <w:t>Stingrākas prasības netiek piemērotas.</w:t>
            </w:r>
          </w:p>
        </w:tc>
      </w:tr>
      <w:tr w:rsidR="00047183" w:rsidRPr="00250B3C" w14:paraId="3E5BEC8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65BA8E43" w14:textId="7608A5B8" w:rsidR="00047183" w:rsidRPr="00250B3C" w:rsidRDefault="00047183" w:rsidP="00047183">
            <w:r w:rsidRPr="008F09C0">
              <w:rPr>
                <w:color w:val="000000" w:themeColor="text1"/>
              </w:rPr>
              <w:t>Regulas 651/2014  6.panta 5.punkta h) apakšpunkts</w:t>
            </w:r>
          </w:p>
        </w:tc>
        <w:tc>
          <w:tcPr>
            <w:tcW w:w="987" w:type="pct"/>
            <w:tcBorders>
              <w:top w:val="outset" w:sz="6" w:space="0" w:color="414142"/>
              <w:left w:val="outset" w:sz="6" w:space="0" w:color="414142"/>
              <w:bottom w:val="outset" w:sz="6" w:space="0" w:color="414142"/>
              <w:right w:val="outset" w:sz="6" w:space="0" w:color="414142"/>
            </w:tcBorders>
          </w:tcPr>
          <w:p w14:paraId="40F08545" w14:textId="635F53E8" w:rsidR="00047183" w:rsidRPr="00250B3C" w:rsidRDefault="00047183" w:rsidP="00EC1D33">
            <w:r w:rsidRPr="008F09C0">
              <w:rPr>
                <w:color w:val="000000" w:themeColor="text1"/>
              </w:rPr>
              <w:t xml:space="preserve">Noteikumu projekta </w:t>
            </w:r>
            <w:r w:rsidR="00EC1D33">
              <w:rPr>
                <w:color w:val="000000" w:themeColor="text1"/>
              </w:rPr>
              <w:t>28</w:t>
            </w:r>
            <w:r w:rsidRPr="008F09C0">
              <w:rPr>
                <w:color w:val="000000" w:themeColor="text1"/>
              </w:rPr>
              <w:t>.</w:t>
            </w:r>
            <w:r>
              <w:rPr>
                <w:color w:val="000000" w:themeColor="text1"/>
              </w:rPr>
              <w:t>3</w:t>
            </w:r>
            <w:r w:rsidRPr="008F09C0">
              <w:rPr>
                <w:color w:val="000000" w:themeColor="text1"/>
              </w:rPr>
              <w:t>.apakšpunkts.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635753E" w14:textId="2716562C" w:rsidR="00047183" w:rsidRPr="00250B3C" w:rsidRDefault="00047183" w:rsidP="00047183">
            <w:r w:rsidRPr="00CA2546">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2BDFA8D0" w14:textId="1EF4A782" w:rsidR="00047183" w:rsidRPr="00250B3C" w:rsidRDefault="00047183" w:rsidP="00047183">
            <w:r w:rsidRPr="00CA2546">
              <w:rPr>
                <w:color w:val="000000" w:themeColor="text1"/>
                <w:spacing w:val="-2"/>
              </w:rPr>
              <w:t>Stingrākas prasības netiek piemērotas.</w:t>
            </w:r>
          </w:p>
        </w:tc>
      </w:tr>
      <w:tr w:rsidR="00047183" w:rsidRPr="00250B3C" w14:paraId="6E5A2D4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6C6DADBA" w14:textId="2ACAF1AE" w:rsidR="00047183" w:rsidRPr="00250B3C" w:rsidRDefault="00047183" w:rsidP="00047183">
            <w:r w:rsidRPr="008F09C0">
              <w:rPr>
                <w:color w:val="000000" w:themeColor="text1"/>
              </w:rPr>
              <w:t>Regulas 651/2014  58.panta 4.punkts</w:t>
            </w:r>
          </w:p>
        </w:tc>
        <w:tc>
          <w:tcPr>
            <w:tcW w:w="987" w:type="pct"/>
            <w:tcBorders>
              <w:top w:val="outset" w:sz="6" w:space="0" w:color="414142"/>
              <w:left w:val="outset" w:sz="6" w:space="0" w:color="414142"/>
              <w:bottom w:val="outset" w:sz="6" w:space="0" w:color="414142"/>
              <w:right w:val="outset" w:sz="6" w:space="0" w:color="414142"/>
            </w:tcBorders>
          </w:tcPr>
          <w:p w14:paraId="46AEAB6F" w14:textId="19BF4263" w:rsidR="00047183" w:rsidRPr="00250B3C" w:rsidRDefault="00047183" w:rsidP="00EC1D33">
            <w:r w:rsidRPr="008F09C0">
              <w:rPr>
                <w:color w:val="000000" w:themeColor="text1"/>
              </w:rPr>
              <w:t xml:space="preserve">Noteikumu projekta </w:t>
            </w:r>
            <w:r w:rsidR="00EC1D33">
              <w:rPr>
                <w:color w:val="000000" w:themeColor="text1"/>
              </w:rPr>
              <w:t>51</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35F3ACB3" w14:textId="7B23BC36" w:rsidR="00047183" w:rsidRPr="00250B3C" w:rsidRDefault="00047183" w:rsidP="00047183">
            <w:r w:rsidRPr="00F14007">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60350DAA" w14:textId="24F85D01" w:rsidR="00047183" w:rsidRPr="00250B3C" w:rsidRDefault="00047183" w:rsidP="00047183">
            <w:r w:rsidRPr="00F14007">
              <w:rPr>
                <w:color w:val="000000" w:themeColor="text1"/>
                <w:spacing w:val="-2"/>
              </w:rPr>
              <w:t>Stingrākas prasības netiek piemērotas.</w:t>
            </w:r>
          </w:p>
        </w:tc>
      </w:tr>
      <w:tr w:rsidR="00047183" w:rsidRPr="00250B3C" w14:paraId="41BE1714"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34132157" w14:textId="65A8AE69" w:rsidR="00047183" w:rsidRPr="00250B3C" w:rsidRDefault="00047183" w:rsidP="00EC1D33">
            <w:pPr>
              <w:ind w:left="57"/>
            </w:pPr>
            <w:r w:rsidRPr="008F09C0">
              <w:rPr>
                <w:rFonts w:eastAsia="Calibri"/>
                <w:color w:val="000000" w:themeColor="text1"/>
              </w:rPr>
              <w:t>Regulas 651/2014  9.panta 1. un 4.apakšpunkts</w:t>
            </w:r>
            <w:r w:rsidRPr="008F09C0">
              <w:rPr>
                <w:color w:val="000000" w:themeColor="text1"/>
              </w:rPr>
              <w:t>.</w:t>
            </w:r>
          </w:p>
        </w:tc>
        <w:tc>
          <w:tcPr>
            <w:tcW w:w="987" w:type="pct"/>
            <w:tcBorders>
              <w:top w:val="outset" w:sz="6" w:space="0" w:color="414142"/>
              <w:left w:val="outset" w:sz="6" w:space="0" w:color="414142"/>
              <w:bottom w:val="outset" w:sz="6" w:space="0" w:color="414142"/>
              <w:right w:val="outset" w:sz="6" w:space="0" w:color="414142"/>
            </w:tcBorders>
          </w:tcPr>
          <w:p w14:paraId="5CF2CC36" w14:textId="0D715573" w:rsidR="00047183" w:rsidRPr="00250B3C" w:rsidRDefault="00047183" w:rsidP="00EC1D33">
            <w:r w:rsidRPr="008F09C0">
              <w:rPr>
                <w:color w:val="000000" w:themeColor="text1"/>
              </w:rPr>
              <w:t xml:space="preserve">Noteikumu projekta </w:t>
            </w:r>
            <w:r w:rsidR="00EC1D33">
              <w:rPr>
                <w:color w:val="000000" w:themeColor="text1"/>
              </w:rPr>
              <w:t>88</w:t>
            </w:r>
            <w:r w:rsidRPr="008F09C0">
              <w:rPr>
                <w:color w:val="000000" w:themeColor="text1"/>
              </w:rPr>
              <w:t>.punkts.</w:t>
            </w:r>
          </w:p>
        </w:tc>
        <w:tc>
          <w:tcPr>
            <w:tcW w:w="1365" w:type="pct"/>
            <w:gridSpan w:val="2"/>
            <w:tcBorders>
              <w:top w:val="outset" w:sz="6" w:space="0" w:color="414142"/>
              <w:left w:val="outset" w:sz="6" w:space="0" w:color="414142"/>
              <w:bottom w:val="outset" w:sz="6" w:space="0" w:color="414142"/>
              <w:right w:val="outset" w:sz="6" w:space="0" w:color="414142"/>
            </w:tcBorders>
          </w:tcPr>
          <w:p w14:paraId="69912A00" w14:textId="0EF8BC41" w:rsidR="00047183" w:rsidRPr="00250B3C" w:rsidRDefault="00047183" w:rsidP="00047183">
            <w:r>
              <w:rPr>
                <w:iCs/>
                <w:color w:val="000000" w:themeColor="text1"/>
              </w:rPr>
              <w:t>Tiesību norma izpildīta pilnībā.</w:t>
            </w:r>
          </w:p>
        </w:tc>
        <w:tc>
          <w:tcPr>
            <w:tcW w:w="1303" w:type="pct"/>
            <w:tcBorders>
              <w:top w:val="outset" w:sz="6" w:space="0" w:color="414142"/>
              <w:left w:val="outset" w:sz="6" w:space="0" w:color="414142"/>
              <w:bottom w:val="outset" w:sz="6" w:space="0" w:color="414142"/>
              <w:right w:val="outset" w:sz="6" w:space="0" w:color="414142"/>
            </w:tcBorders>
          </w:tcPr>
          <w:p w14:paraId="010541E8" w14:textId="775ABC90" w:rsidR="00047183" w:rsidRPr="00250B3C" w:rsidRDefault="00047183" w:rsidP="00047183">
            <w:r>
              <w:rPr>
                <w:color w:val="000000" w:themeColor="text1"/>
                <w:spacing w:val="-2"/>
              </w:rPr>
              <w:t>Stingrākas prasības netiek piemērotas.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1E6006F9" w:rsidR="00C95B8E" w:rsidRPr="00250B3C" w:rsidRDefault="00C95B8E" w:rsidP="00C95B8E">
            <w:pPr>
              <w:jc w:val="both"/>
            </w:pPr>
            <w:r w:rsidRPr="00250B3C">
              <w:rPr>
                <w:color w:val="000000" w:themeColor="text1"/>
                <w:spacing w:val="-2"/>
              </w:rPr>
              <w:t>Stingrākas prasības netiek piemērotas.</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00716D3C" w:rsidR="00C95B8E" w:rsidRPr="00250B3C" w:rsidRDefault="00047183" w:rsidP="00C95B8E">
            <w:pPr>
              <w:jc w:val="both"/>
            </w:pPr>
            <w:r w:rsidRPr="008F09C0">
              <w:rPr>
                <w:color w:val="000000" w:themeColor="text1"/>
              </w:rPr>
              <w:t>20 darba dienu laikā pēc atbalsta pasākuma stāšanās spēkā VARAM, izmantojot Eiropas Komisijas pārziņā esošo atbalsta paziņojumu elektronisko sistēmu SANI2, nosūtīs Eiropas Komisijai kopsavilkuma informāciju</w:t>
            </w:r>
            <w:r w:rsidRPr="008F09C0">
              <w:rPr>
                <w:color w:val="000000" w:themeColor="text1"/>
                <w:spacing w:val="-2"/>
              </w:rPr>
              <w:t>.</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3CA1E83A" w:rsidR="00166CF6" w:rsidRPr="00250B3C" w:rsidRDefault="00D011E5" w:rsidP="00D011E5">
            <w:r>
              <w:t>MK noteikumu p</w:t>
            </w:r>
            <w:r w:rsidR="00166CF6" w:rsidRPr="00250B3C">
              <w:t>rojekts šo jomu neskar.</w:t>
            </w:r>
          </w:p>
        </w:tc>
      </w:tr>
      <w:tr w:rsidR="00166CF6" w:rsidRPr="00250B3C" w14:paraId="1322A0E0"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2A56CF3D" w:rsidR="00166CF6" w:rsidRPr="00250B3C" w:rsidRDefault="00D011E5" w:rsidP="00D011E5">
            <w:r>
              <w:t>MK noteikumu  p</w:t>
            </w:r>
            <w:r w:rsidR="00166CF6" w:rsidRPr="00250B3C">
              <w:t>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5F592CA7" w:rsidR="00166CF6" w:rsidRPr="00250B3C" w:rsidRDefault="00D011E5" w:rsidP="00D011E5">
            <w:r>
              <w:t>MK noteikumu  p</w:t>
            </w:r>
            <w:r w:rsidR="00166CF6" w:rsidRPr="00250B3C">
              <w:t>rojekts šo jomu neskar.</w:t>
            </w:r>
          </w:p>
        </w:tc>
      </w:tr>
      <w:tr w:rsidR="00166CF6" w:rsidRPr="00250B3C" w14:paraId="2CA7E458"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B12E62B" w:rsidR="00166CF6" w:rsidRPr="00250B3C" w:rsidRDefault="00D011E5" w:rsidP="00D011E5">
            <w:r>
              <w:t>MK noteikumu p</w:t>
            </w:r>
            <w:r w:rsidR="00166CF6" w:rsidRPr="00250B3C">
              <w:t>rojekts šo jomu neskar.</w:t>
            </w:r>
          </w:p>
        </w:tc>
      </w:tr>
      <w:tr w:rsidR="00166CF6" w:rsidRPr="00250B3C" w14:paraId="5F8F4AE6" w14:textId="77777777" w:rsidTr="00EC1D33">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D957C5" w:rsidRPr="00250B3C" w14:paraId="4BB0BBB1" w14:textId="77777777" w:rsidTr="00BB0D8D">
        <w:trPr>
          <w:trHeight w:val="553"/>
          <w:jc w:val="center"/>
        </w:trPr>
        <w:tc>
          <w:tcPr>
            <w:tcW w:w="407" w:type="dxa"/>
          </w:tcPr>
          <w:p w14:paraId="1FB72CB9" w14:textId="77777777" w:rsidR="00D957C5" w:rsidRPr="00250B3C" w:rsidRDefault="00D957C5" w:rsidP="00D957C5">
            <w:pPr>
              <w:pStyle w:val="naiskr"/>
              <w:spacing w:before="0" w:after="0"/>
              <w:ind w:left="57" w:right="57"/>
              <w:rPr>
                <w:bCs/>
                <w:sz w:val="28"/>
                <w:szCs w:val="28"/>
              </w:rPr>
            </w:pPr>
            <w:r w:rsidRPr="00250B3C">
              <w:rPr>
                <w:bCs/>
                <w:sz w:val="28"/>
                <w:szCs w:val="28"/>
              </w:rPr>
              <w:t>1.</w:t>
            </w:r>
          </w:p>
        </w:tc>
        <w:tc>
          <w:tcPr>
            <w:tcW w:w="3991" w:type="dxa"/>
          </w:tcPr>
          <w:p w14:paraId="513B7A37" w14:textId="77777777" w:rsidR="00D957C5" w:rsidRPr="00250B3C" w:rsidRDefault="00D957C5" w:rsidP="00D957C5">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3A3A2B29" w:rsidR="00D957C5" w:rsidRPr="00250B3C" w:rsidRDefault="00D957C5" w:rsidP="00A43ACB">
            <w:pPr>
              <w:pStyle w:val="naiskr"/>
              <w:spacing w:before="0" w:after="0"/>
              <w:ind w:left="57" w:right="57"/>
              <w:jc w:val="both"/>
            </w:pPr>
            <w:r w:rsidRPr="00250B3C">
              <w:t xml:space="preserve">  2018. gada 2</w:t>
            </w:r>
            <w:r w:rsidR="00A43ACB">
              <w:t>7</w:t>
            </w:r>
            <w:r w:rsidRPr="00250B3C">
              <w:t xml:space="preserve">. martā MK noteikumu projekts publicēts </w:t>
            </w:r>
            <w:r w:rsidR="002042D0">
              <w:t>VARAM</w:t>
            </w:r>
            <w:r w:rsidR="002042D0" w:rsidRPr="00250B3C">
              <w:t xml:space="preserve"> </w:t>
            </w:r>
            <w:r w:rsidRPr="00250B3C">
              <w:t xml:space="preserve">tīmekļvietnē publiskai apspriešanai līdz </w:t>
            </w:r>
            <w:r w:rsidR="00A43ACB">
              <w:t>10</w:t>
            </w:r>
            <w:r w:rsidRPr="00250B3C">
              <w:t>. aprīlim. Ieinteresētās puses var sniegt viedokli arī pēc MK noteikumu projekta izsludināšanas Valsts sekretāru sanāksmē.</w:t>
            </w:r>
          </w:p>
        </w:tc>
      </w:tr>
      <w:tr w:rsidR="00AC22E0" w:rsidRPr="00250B3C" w14:paraId="3ADD65AF" w14:textId="77777777" w:rsidTr="00BB0D8D">
        <w:trPr>
          <w:trHeight w:val="487"/>
          <w:jc w:val="center"/>
        </w:trPr>
        <w:tc>
          <w:tcPr>
            <w:tcW w:w="407" w:type="dxa"/>
          </w:tcPr>
          <w:p w14:paraId="561D4E8A" w14:textId="77777777" w:rsidR="00AC22E0" w:rsidRPr="00250B3C" w:rsidRDefault="00AC22E0" w:rsidP="00AC22E0">
            <w:pPr>
              <w:pStyle w:val="naiskr"/>
              <w:spacing w:before="0" w:after="0"/>
              <w:ind w:left="57" w:right="57"/>
              <w:rPr>
                <w:bCs/>
              </w:rPr>
            </w:pPr>
            <w:r w:rsidRPr="00250B3C">
              <w:rPr>
                <w:bCs/>
              </w:rPr>
              <w:t>2.</w:t>
            </w:r>
          </w:p>
        </w:tc>
        <w:tc>
          <w:tcPr>
            <w:tcW w:w="3991" w:type="dxa"/>
          </w:tcPr>
          <w:p w14:paraId="3D5AEAC9" w14:textId="77777777" w:rsidR="00AC22E0" w:rsidRPr="00250B3C" w:rsidRDefault="00AC22E0" w:rsidP="00AC22E0">
            <w:pPr>
              <w:pStyle w:val="naiskr"/>
              <w:spacing w:before="0" w:after="0"/>
              <w:ind w:left="57" w:right="57"/>
            </w:pPr>
            <w:r w:rsidRPr="00250B3C">
              <w:t xml:space="preserve">Sabiedrības līdzdalība projekta izstrādē </w:t>
            </w:r>
          </w:p>
        </w:tc>
        <w:tc>
          <w:tcPr>
            <w:tcW w:w="4921" w:type="dxa"/>
          </w:tcPr>
          <w:p w14:paraId="419E3BB6" w14:textId="1D22AD45" w:rsidR="00AC22E0" w:rsidRDefault="00AC22E0" w:rsidP="00AC22E0">
            <w:pPr>
              <w:pStyle w:val="naiskr"/>
              <w:spacing w:before="0" w:after="0"/>
              <w:ind w:right="57"/>
              <w:jc w:val="both"/>
            </w:pPr>
            <w:r>
              <w:t xml:space="preserve">Viedokli par VARAM </w:t>
            </w:r>
            <w:r w:rsidR="009D76B1">
              <w:t>tīmekļvietnē</w:t>
            </w:r>
            <w:r>
              <w:t xml:space="preserve"> publicēto MK noteikumu projektu ir snieguši biedrība “Latvijas Būvinženieru savienība”, biedrība “Latvijas Ilgtspējīgas būvniecības padome”, Cēsu novada pašvaldība un Ogres novada pašvaldība.</w:t>
            </w:r>
          </w:p>
          <w:p w14:paraId="63EDF503" w14:textId="6E658956" w:rsidR="00AC22E0" w:rsidRPr="00250B3C" w:rsidRDefault="00AC22E0" w:rsidP="00AC22E0">
            <w:pPr>
              <w:pStyle w:val="naiskr"/>
              <w:spacing w:before="0" w:after="0"/>
              <w:ind w:right="57"/>
              <w:jc w:val="both"/>
            </w:pPr>
            <w:r>
              <w:t>Viedokli MK noteikumu projekta saskaņošanas laikā ir sniegusi Bauskas novada pašvaldība.</w:t>
            </w:r>
          </w:p>
        </w:tc>
      </w:tr>
      <w:tr w:rsidR="00AC22E0" w:rsidRPr="00250B3C" w14:paraId="73465FF9" w14:textId="77777777" w:rsidTr="00BB0D8D">
        <w:trPr>
          <w:trHeight w:val="375"/>
          <w:jc w:val="center"/>
        </w:trPr>
        <w:tc>
          <w:tcPr>
            <w:tcW w:w="407" w:type="dxa"/>
          </w:tcPr>
          <w:p w14:paraId="5A92AC23" w14:textId="77777777" w:rsidR="00AC22E0" w:rsidRPr="00250B3C" w:rsidRDefault="00AC22E0" w:rsidP="00AC22E0">
            <w:pPr>
              <w:pStyle w:val="naiskr"/>
              <w:spacing w:before="0" w:after="0"/>
              <w:ind w:left="57" w:right="57"/>
              <w:rPr>
                <w:bCs/>
              </w:rPr>
            </w:pPr>
            <w:r w:rsidRPr="00250B3C">
              <w:rPr>
                <w:bCs/>
              </w:rPr>
              <w:t>3.</w:t>
            </w:r>
          </w:p>
        </w:tc>
        <w:tc>
          <w:tcPr>
            <w:tcW w:w="3991" w:type="dxa"/>
          </w:tcPr>
          <w:p w14:paraId="47E29215" w14:textId="77777777" w:rsidR="00AC22E0" w:rsidRPr="00250B3C" w:rsidRDefault="00AC22E0" w:rsidP="00AC22E0">
            <w:pPr>
              <w:pStyle w:val="naiskr"/>
              <w:spacing w:before="0" w:after="0"/>
              <w:ind w:left="57" w:right="57"/>
            </w:pPr>
            <w:r w:rsidRPr="00250B3C">
              <w:t xml:space="preserve">Sabiedrības līdzdalības rezultāti </w:t>
            </w:r>
          </w:p>
        </w:tc>
        <w:tc>
          <w:tcPr>
            <w:tcW w:w="4921" w:type="dxa"/>
          </w:tcPr>
          <w:p w14:paraId="2146A684" w14:textId="77777777" w:rsidR="00AC22E0" w:rsidRDefault="00AC22E0" w:rsidP="00AC22E0">
            <w:pPr>
              <w:pStyle w:val="naiskr"/>
              <w:spacing w:before="0" w:after="0"/>
              <w:ind w:right="57"/>
              <w:jc w:val="both"/>
            </w:pPr>
            <w:r>
              <w:t>Biedrības “Latvijas Būvinženieru Savienība” izteiktais priekšlikums precizēt MK noteikumu projekta nosaukumu ir ņemts vērā.</w:t>
            </w:r>
          </w:p>
          <w:p w14:paraId="5A0B0186" w14:textId="2E6ECF0D" w:rsidR="00AC22E0" w:rsidRPr="00250B3C" w:rsidRDefault="00AC22E0" w:rsidP="00AC22E0">
            <w:pPr>
              <w:pStyle w:val="naiskr"/>
              <w:spacing w:before="0" w:after="0"/>
              <w:ind w:right="57"/>
              <w:jc w:val="both"/>
            </w:pPr>
            <w:r>
              <w:t>Biedrības “Latvijas Ilgtspējīgas būvniecības padome” priekšlikumi attiecībā uz i</w:t>
            </w:r>
            <w:r>
              <w:rPr>
                <w:bCs/>
              </w:rPr>
              <w:t>lgtspējīgas būvniecības kvalitātes vērtēšanas sistēmas iekļaušanu MK noteikumu projektā</w:t>
            </w:r>
            <w:r>
              <w:t>, Cēsu novada pašvaldības, Ogres novada pašvaldības un Bauskas novada pašvaldības izteiktie priekšlikumi par tiesību normu pilnveidošanu vai skaidrošanu un kvalitātes vērtēšanas kritērijiem ir ņemti vērā daļēji.</w:t>
            </w:r>
          </w:p>
        </w:tc>
      </w:tr>
      <w:tr w:rsidR="00D957C5" w:rsidRPr="00250B3C" w14:paraId="74EB9EAF" w14:textId="77777777" w:rsidTr="00BB0D8D">
        <w:trPr>
          <w:trHeight w:val="476"/>
          <w:jc w:val="center"/>
        </w:trPr>
        <w:tc>
          <w:tcPr>
            <w:tcW w:w="407" w:type="dxa"/>
          </w:tcPr>
          <w:p w14:paraId="6DDCBBAE" w14:textId="0255EF01" w:rsidR="00D957C5" w:rsidRPr="00250B3C" w:rsidRDefault="00D957C5" w:rsidP="00D957C5">
            <w:pPr>
              <w:pStyle w:val="naiskr"/>
              <w:spacing w:before="0" w:after="0"/>
              <w:ind w:left="57" w:right="57"/>
              <w:rPr>
                <w:bCs/>
              </w:rPr>
            </w:pPr>
            <w:r w:rsidRPr="00250B3C">
              <w:rPr>
                <w:bCs/>
              </w:rPr>
              <w:t>4.</w:t>
            </w:r>
          </w:p>
        </w:tc>
        <w:tc>
          <w:tcPr>
            <w:tcW w:w="3991" w:type="dxa"/>
          </w:tcPr>
          <w:p w14:paraId="4818F587" w14:textId="77777777" w:rsidR="00D957C5" w:rsidRPr="00250B3C" w:rsidRDefault="00D957C5" w:rsidP="00D957C5">
            <w:pPr>
              <w:pStyle w:val="naiskr"/>
              <w:spacing w:before="0" w:after="0"/>
              <w:ind w:left="57" w:right="57"/>
            </w:pPr>
            <w:r w:rsidRPr="00250B3C">
              <w:t>Cita informācija</w:t>
            </w:r>
          </w:p>
          <w:p w14:paraId="00900481" w14:textId="77777777" w:rsidR="00D957C5" w:rsidRPr="00250B3C" w:rsidRDefault="00D957C5" w:rsidP="00D957C5">
            <w:pPr>
              <w:pStyle w:val="naiskr"/>
              <w:spacing w:before="0" w:after="0"/>
              <w:ind w:left="57" w:right="57"/>
            </w:pPr>
          </w:p>
        </w:tc>
        <w:tc>
          <w:tcPr>
            <w:tcW w:w="4921" w:type="dxa"/>
          </w:tcPr>
          <w:p w14:paraId="30096EC7" w14:textId="0EF8EBAA" w:rsidR="00D957C5" w:rsidRPr="00250B3C" w:rsidRDefault="00D957C5" w:rsidP="00D957C5">
            <w:pPr>
              <w:pStyle w:val="naiskr"/>
              <w:spacing w:before="0" w:after="0"/>
              <w:ind w:left="57" w:right="57"/>
              <w:jc w:val="both"/>
            </w:pPr>
            <w:r w:rsidRPr="00250B3C">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D957C5" w:rsidRPr="00250B3C" w14:paraId="147F4932" w14:textId="77777777" w:rsidTr="00BB0D8D">
        <w:trPr>
          <w:trHeight w:val="427"/>
        </w:trPr>
        <w:tc>
          <w:tcPr>
            <w:tcW w:w="601" w:type="dxa"/>
          </w:tcPr>
          <w:p w14:paraId="28ADF3B4" w14:textId="77777777" w:rsidR="00D957C5" w:rsidRPr="00250B3C" w:rsidRDefault="00D957C5" w:rsidP="00D957C5">
            <w:pPr>
              <w:pStyle w:val="naisnod"/>
              <w:spacing w:before="0" w:after="0"/>
              <w:ind w:left="57" w:right="57"/>
              <w:jc w:val="left"/>
              <w:rPr>
                <w:b w:val="0"/>
              </w:rPr>
            </w:pPr>
            <w:r w:rsidRPr="00250B3C">
              <w:rPr>
                <w:b w:val="0"/>
              </w:rPr>
              <w:t>1.</w:t>
            </w:r>
          </w:p>
        </w:tc>
        <w:tc>
          <w:tcPr>
            <w:tcW w:w="4961" w:type="dxa"/>
          </w:tcPr>
          <w:p w14:paraId="346B0BD8" w14:textId="77777777" w:rsidR="00D957C5" w:rsidRPr="00250B3C" w:rsidRDefault="00D957C5" w:rsidP="00D957C5">
            <w:pPr>
              <w:pStyle w:val="naisf"/>
              <w:spacing w:before="0" w:after="0"/>
              <w:ind w:left="57" w:right="57" w:firstLine="0"/>
              <w:jc w:val="left"/>
            </w:pPr>
            <w:r w:rsidRPr="00250B3C">
              <w:t xml:space="preserve">Projekta izpildē iesaistītās institūcijas </w:t>
            </w:r>
          </w:p>
        </w:tc>
        <w:tc>
          <w:tcPr>
            <w:tcW w:w="3827" w:type="dxa"/>
          </w:tcPr>
          <w:p w14:paraId="09B233F1" w14:textId="35611C0F" w:rsidR="00D957C5" w:rsidRPr="00250B3C" w:rsidRDefault="00D957C5" w:rsidP="00D957C5">
            <w:pPr>
              <w:pStyle w:val="naisnod"/>
              <w:spacing w:before="0" w:after="0"/>
              <w:ind w:left="57" w:right="57"/>
              <w:jc w:val="both"/>
              <w:rPr>
                <w:b w:val="0"/>
              </w:rPr>
            </w:pPr>
            <w:r w:rsidRPr="00250B3C">
              <w:rPr>
                <w:b w:val="0"/>
                <w:color w:val="000000"/>
              </w:rPr>
              <w:t xml:space="preserve">Uzdevumus, kas saistīti projektu iesniegumu pieņemšanu, vērtēšanu, apstiprināšanu un finanšu instrumenta finansējuma piešķiršanu, kā arī par līgumu par projekta īstenošanu  sagatavošanu, noslēgšanu, grozīšanu un laušanu, projektu pārskatu pārbaudi un projektu īstenošanas kontroli, veiks valsts sabiedrībai ar ierobežotu atbildību “Vides investīciju fonds”. </w:t>
            </w:r>
          </w:p>
        </w:tc>
      </w:tr>
      <w:tr w:rsidR="00D957C5" w:rsidRPr="00250B3C" w14:paraId="24B24A4D" w14:textId="77777777" w:rsidTr="00BB0D8D">
        <w:trPr>
          <w:trHeight w:val="463"/>
        </w:trPr>
        <w:tc>
          <w:tcPr>
            <w:tcW w:w="601" w:type="dxa"/>
          </w:tcPr>
          <w:p w14:paraId="7227AFD2" w14:textId="77777777" w:rsidR="00D957C5" w:rsidRPr="00250B3C" w:rsidRDefault="00D957C5" w:rsidP="00D957C5">
            <w:pPr>
              <w:pStyle w:val="naisnod"/>
              <w:spacing w:before="0" w:after="0"/>
              <w:ind w:left="57" w:right="57"/>
              <w:jc w:val="left"/>
              <w:rPr>
                <w:b w:val="0"/>
              </w:rPr>
            </w:pPr>
            <w:r w:rsidRPr="00250B3C">
              <w:rPr>
                <w:b w:val="0"/>
              </w:rPr>
              <w:t>2.</w:t>
            </w:r>
          </w:p>
        </w:tc>
        <w:tc>
          <w:tcPr>
            <w:tcW w:w="4961" w:type="dxa"/>
          </w:tcPr>
          <w:p w14:paraId="7790EF04" w14:textId="77777777" w:rsidR="00D957C5" w:rsidRPr="00250B3C" w:rsidRDefault="00D957C5" w:rsidP="00D957C5">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250B3C" w:rsidRDefault="00D957C5" w:rsidP="00D957C5">
            <w:pPr>
              <w:pStyle w:val="naisnod"/>
              <w:spacing w:before="0" w:after="0"/>
              <w:ind w:left="57" w:right="57"/>
              <w:jc w:val="both"/>
              <w:rPr>
                <w:b w:val="0"/>
              </w:rPr>
            </w:pPr>
            <w:r w:rsidRPr="00250B3C">
              <w:rPr>
                <w:b w:val="0"/>
              </w:rPr>
              <w:t>Jaunas institūcijas netiks veidotas.</w:t>
            </w:r>
          </w:p>
        </w:tc>
      </w:tr>
      <w:tr w:rsidR="00D957C5" w:rsidRPr="00250B3C" w14:paraId="2F036722" w14:textId="77777777" w:rsidTr="00BB0D8D">
        <w:trPr>
          <w:trHeight w:val="476"/>
        </w:trPr>
        <w:tc>
          <w:tcPr>
            <w:tcW w:w="601" w:type="dxa"/>
          </w:tcPr>
          <w:p w14:paraId="66D921C5" w14:textId="77777777" w:rsidR="00D957C5" w:rsidRPr="00250B3C" w:rsidRDefault="00D957C5" w:rsidP="00D957C5">
            <w:pPr>
              <w:pStyle w:val="naiskr"/>
              <w:spacing w:before="0" w:after="0"/>
              <w:ind w:left="57" w:right="57"/>
            </w:pPr>
            <w:r w:rsidRPr="00250B3C">
              <w:t>3.</w:t>
            </w:r>
          </w:p>
        </w:tc>
        <w:tc>
          <w:tcPr>
            <w:tcW w:w="4961" w:type="dxa"/>
          </w:tcPr>
          <w:p w14:paraId="32F16C71" w14:textId="77777777" w:rsidR="00D957C5" w:rsidRPr="00250B3C" w:rsidRDefault="00D957C5" w:rsidP="00D957C5">
            <w:pPr>
              <w:pStyle w:val="naiskr"/>
              <w:spacing w:before="0" w:after="0"/>
              <w:ind w:left="57" w:right="57"/>
            </w:pPr>
            <w:r w:rsidRPr="00250B3C">
              <w:t>Cita informācija</w:t>
            </w:r>
          </w:p>
        </w:tc>
        <w:tc>
          <w:tcPr>
            <w:tcW w:w="3827" w:type="dxa"/>
          </w:tcPr>
          <w:p w14:paraId="72D9F7C6" w14:textId="2C93D54A" w:rsidR="00D957C5" w:rsidRPr="00250B3C" w:rsidRDefault="00D957C5" w:rsidP="00D957C5">
            <w:pPr>
              <w:pStyle w:val="naiskr"/>
              <w:spacing w:before="0" w:after="0"/>
              <w:ind w:left="57" w:right="57"/>
            </w:pPr>
            <w:r w:rsidRPr="00250B3C">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C4C8F33" w14:textId="0A9C3C11" w:rsidR="00F14FF1" w:rsidRDefault="00F14FF1" w:rsidP="00F14FF1">
      <w:pPr>
        <w:pStyle w:val="ListBullet"/>
        <w:tabs>
          <w:tab w:val="clear" w:pos="360"/>
        </w:tabs>
        <w:spacing w:after="0" w:line="240" w:lineRule="auto"/>
        <w:jc w:val="both"/>
        <w:rPr>
          <w:rFonts w:ascii="Times New Roman" w:hAnsi="Times New Roman"/>
          <w:color w:val="000000" w:themeColor="text1"/>
          <w:sz w:val="28"/>
          <w:lang w:val="lv-LV"/>
        </w:rPr>
      </w:pPr>
      <w:r>
        <w:rPr>
          <w:rFonts w:ascii="Times New Roman" w:hAnsi="Times New Roman"/>
          <w:color w:val="000000" w:themeColor="text1"/>
          <w:sz w:val="28"/>
          <w:lang w:val="lv-LV"/>
        </w:rPr>
        <w:t>V</w:t>
      </w:r>
      <w:r>
        <w:rPr>
          <w:rFonts w:ascii="Times New Roman" w:hAnsi="Times New Roman"/>
          <w:color w:val="000000" w:themeColor="text1"/>
          <w:sz w:val="28"/>
          <w:lang w:val="lv-LV"/>
        </w:rPr>
        <w:t>ides aizsardzības un reģionālās attīstības</w:t>
      </w:r>
    </w:p>
    <w:p w14:paraId="09267FA9" w14:textId="2E69031C" w:rsidR="00F47D5E" w:rsidRPr="00250B3C" w:rsidRDefault="00F14FF1" w:rsidP="00F14FF1">
      <w:pPr>
        <w:pStyle w:val="naisf"/>
        <w:tabs>
          <w:tab w:val="left" w:pos="6840"/>
        </w:tabs>
        <w:spacing w:before="0" w:after="0"/>
        <w:ind w:firstLine="0"/>
        <w:rPr>
          <w:sz w:val="28"/>
          <w:szCs w:val="28"/>
        </w:rPr>
      </w:pPr>
      <w:r w:rsidRPr="0047416A">
        <w:rPr>
          <w:color w:val="000000" w:themeColor="text1"/>
          <w:sz w:val="28"/>
        </w:rPr>
        <w:t>ministr</w:t>
      </w:r>
      <w:r>
        <w:rPr>
          <w:color w:val="000000" w:themeColor="text1"/>
          <w:sz w:val="28"/>
        </w:rPr>
        <w:t>a vietā – tieslietu ministrs</w:t>
      </w:r>
      <w:r w:rsidRPr="0047416A">
        <w:rPr>
          <w:color w:val="000000" w:themeColor="text1"/>
          <w:sz w:val="28"/>
        </w:rPr>
        <w:tab/>
      </w:r>
      <w:r w:rsidRPr="0047416A">
        <w:rPr>
          <w:color w:val="000000" w:themeColor="text1"/>
          <w:sz w:val="28"/>
        </w:rPr>
        <w:tab/>
      </w:r>
      <w:r>
        <w:rPr>
          <w:color w:val="000000" w:themeColor="text1"/>
          <w:sz w:val="28"/>
        </w:rPr>
        <w:t xml:space="preserve">    Dz</w:t>
      </w:r>
      <w:r>
        <w:rPr>
          <w:color w:val="000000" w:themeColor="text1"/>
          <w:sz w:val="28"/>
        </w:rPr>
        <w:t>. </w:t>
      </w:r>
      <w:r>
        <w:rPr>
          <w:color w:val="000000" w:themeColor="text1"/>
          <w:sz w:val="28"/>
        </w:rPr>
        <w:t>Rasnačs</w:t>
      </w:r>
    </w:p>
    <w:p w14:paraId="23C4C5B4" w14:textId="77777777" w:rsidR="009232AB" w:rsidRPr="00250B3C" w:rsidRDefault="009232AB" w:rsidP="00D957C5">
      <w:pPr>
        <w:pStyle w:val="naisf"/>
        <w:tabs>
          <w:tab w:val="left" w:pos="6840"/>
        </w:tabs>
        <w:spacing w:before="0" w:after="0"/>
        <w:ind w:firstLine="0"/>
        <w:rPr>
          <w:sz w:val="28"/>
          <w:szCs w:val="28"/>
        </w:rPr>
      </w:pPr>
    </w:p>
    <w:p w14:paraId="50BA122B"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24FC3EDA" w14:textId="0DA90352" w:rsidR="00F47D5E" w:rsidRDefault="00D957C5" w:rsidP="00D957C5">
      <w:pPr>
        <w:pStyle w:val="naisf"/>
        <w:tabs>
          <w:tab w:val="left" w:pos="6840"/>
        </w:tabs>
        <w:spacing w:before="0" w:after="0"/>
        <w:ind w:firstLine="0"/>
        <w:rPr>
          <w:sz w:val="28"/>
          <w:szCs w:val="28"/>
        </w:rPr>
      </w:pPr>
      <w:r w:rsidRPr="00250B3C">
        <w:rPr>
          <w:sz w:val="28"/>
          <w:szCs w:val="28"/>
        </w:rPr>
        <w:t xml:space="preserve">reģionālās attīstības </w:t>
      </w:r>
      <w:r w:rsidR="009232AB" w:rsidRPr="00250B3C">
        <w:rPr>
          <w:sz w:val="28"/>
          <w:szCs w:val="28"/>
        </w:rPr>
        <w:t>ministrijas v</w:t>
      </w:r>
      <w:r w:rsidRPr="00250B3C">
        <w:rPr>
          <w:sz w:val="28"/>
          <w:szCs w:val="28"/>
        </w:rPr>
        <w:t>alsts sekretārs</w:t>
      </w:r>
      <w:r w:rsidR="009232AB" w:rsidRPr="00250B3C">
        <w:rPr>
          <w:sz w:val="28"/>
          <w:szCs w:val="28"/>
        </w:rPr>
        <w:tab/>
      </w:r>
      <w:r w:rsidRPr="00250B3C">
        <w:rPr>
          <w:sz w:val="28"/>
          <w:szCs w:val="28"/>
        </w:rPr>
        <w:tab/>
      </w:r>
      <w:r w:rsidR="00F14FF1">
        <w:rPr>
          <w:sz w:val="28"/>
          <w:szCs w:val="28"/>
        </w:rPr>
        <w:t xml:space="preserve">      </w:t>
      </w:r>
      <w:r w:rsidRPr="00250B3C">
        <w:rPr>
          <w:sz w:val="28"/>
          <w:szCs w:val="28"/>
        </w:rPr>
        <w:t>R. Muciņš</w:t>
      </w:r>
    </w:p>
    <w:p w14:paraId="3B9F752C" w14:textId="77777777" w:rsidR="00E111D5" w:rsidRDefault="00E111D5" w:rsidP="00D957C5">
      <w:pPr>
        <w:pStyle w:val="naisf"/>
        <w:tabs>
          <w:tab w:val="left" w:pos="6840"/>
        </w:tabs>
        <w:spacing w:before="0" w:after="0"/>
        <w:ind w:firstLine="0"/>
        <w:rPr>
          <w:sz w:val="28"/>
          <w:szCs w:val="28"/>
        </w:rPr>
      </w:pPr>
    </w:p>
    <w:p w14:paraId="7F2484C7" w14:textId="4A45021E" w:rsidR="00E111D5" w:rsidRPr="004D1D43" w:rsidRDefault="00E111D5" w:rsidP="00E111D5">
      <w:pPr>
        <w:jc w:val="both"/>
        <w:rPr>
          <w:sz w:val="20"/>
          <w:szCs w:val="20"/>
        </w:rPr>
      </w:pPr>
      <w:r w:rsidRPr="004D1D43">
        <w:rPr>
          <w:sz w:val="20"/>
          <w:szCs w:val="20"/>
        </w:rPr>
        <w:fldChar w:fldCharType="begin"/>
      </w:r>
      <w:r w:rsidRPr="004D1D43">
        <w:rPr>
          <w:sz w:val="20"/>
          <w:szCs w:val="20"/>
        </w:rPr>
        <w:instrText xml:space="preserve"> TIME  \@ "yyyy.MM.dd. H:mm"  \* MERGEFORMAT </w:instrText>
      </w:r>
      <w:r w:rsidRPr="004D1D43">
        <w:rPr>
          <w:sz w:val="20"/>
          <w:szCs w:val="20"/>
        </w:rPr>
        <w:fldChar w:fldCharType="separate"/>
      </w:r>
      <w:r w:rsidR="00F14FF1">
        <w:rPr>
          <w:noProof/>
          <w:sz w:val="20"/>
          <w:szCs w:val="20"/>
        </w:rPr>
        <w:t>2018.07.04. 9:14</w:t>
      </w:r>
      <w:r w:rsidRPr="004D1D43">
        <w:rPr>
          <w:sz w:val="20"/>
          <w:szCs w:val="20"/>
        </w:rPr>
        <w:fldChar w:fldCharType="end"/>
      </w:r>
    </w:p>
    <w:p w14:paraId="3706C080" w14:textId="7A6E642A" w:rsidR="00E111D5" w:rsidRPr="004D1D43" w:rsidRDefault="00F14FF1" w:rsidP="00E111D5">
      <w:pPr>
        <w:tabs>
          <w:tab w:val="center" w:pos="4536"/>
          <w:tab w:val="right" w:pos="8306"/>
        </w:tabs>
        <w:rPr>
          <w:sz w:val="20"/>
          <w:szCs w:val="20"/>
        </w:rPr>
      </w:pPr>
      <w:r>
        <w:fldChar w:fldCharType="begin"/>
      </w:r>
      <w:r>
        <w:instrText xml:space="preserve"> NUMWORDS   \* MERGEFORMAT </w:instrText>
      </w:r>
      <w:r>
        <w:fldChar w:fldCharType="separate"/>
      </w:r>
      <w:r w:rsidRPr="00F14FF1">
        <w:rPr>
          <w:noProof/>
          <w:sz w:val="20"/>
          <w:szCs w:val="20"/>
          <w:lang w:eastAsia="en-US"/>
        </w:rPr>
        <w:t>3070</w:t>
      </w:r>
      <w:r>
        <w:rPr>
          <w:noProof/>
          <w:sz w:val="20"/>
          <w:szCs w:val="20"/>
          <w:lang w:eastAsia="en-US"/>
        </w:rPr>
        <w:fldChar w:fldCharType="end"/>
      </w:r>
      <w:bookmarkStart w:id="2" w:name="_GoBack"/>
      <w:bookmarkEnd w:id="2"/>
    </w:p>
    <w:p w14:paraId="1913D23B" w14:textId="77777777" w:rsidR="00E111D5" w:rsidRPr="004D1D43" w:rsidRDefault="00E111D5" w:rsidP="00E111D5">
      <w:pPr>
        <w:jc w:val="both"/>
        <w:rPr>
          <w:sz w:val="20"/>
          <w:szCs w:val="20"/>
        </w:rPr>
      </w:pPr>
      <w:r>
        <w:rPr>
          <w:sz w:val="20"/>
          <w:szCs w:val="20"/>
        </w:rPr>
        <w:t>R</w:t>
      </w:r>
      <w:r w:rsidRPr="004D1D43">
        <w:rPr>
          <w:sz w:val="20"/>
          <w:szCs w:val="20"/>
        </w:rPr>
        <w:t>.</w:t>
      </w:r>
      <w:r>
        <w:rPr>
          <w:sz w:val="20"/>
          <w:szCs w:val="20"/>
        </w:rPr>
        <w:t>Kašs</w:t>
      </w:r>
    </w:p>
    <w:p w14:paraId="6F5EE928" w14:textId="297CADC0" w:rsidR="00E111D5" w:rsidRPr="005B5AC4" w:rsidRDefault="00E111D5" w:rsidP="00E111D5">
      <w:pPr>
        <w:jc w:val="both"/>
        <w:rPr>
          <w:sz w:val="28"/>
          <w:szCs w:val="28"/>
        </w:rPr>
      </w:pPr>
      <w:r>
        <w:rPr>
          <w:sz w:val="20"/>
          <w:szCs w:val="20"/>
        </w:rPr>
        <w:t>67026538</w:t>
      </w:r>
      <w:r w:rsidRPr="004D1D43">
        <w:rPr>
          <w:sz w:val="20"/>
          <w:szCs w:val="20"/>
        </w:rPr>
        <w:t xml:space="preserve">, </w:t>
      </w:r>
      <w:hyperlink r:id="rId8" w:history="1">
        <w:r w:rsidRPr="00667441">
          <w:rPr>
            <w:rStyle w:val="Hyperlink"/>
            <w:sz w:val="20"/>
            <w:szCs w:val="20"/>
          </w:rPr>
          <w:t>r</w:t>
        </w:r>
        <w:r w:rsidRPr="00DE0B30">
          <w:rPr>
            <w:rStyle w:val="Hyperlink"/>
            <w:sz w:val="20"/>
            <w:szCs w:val="20"/>
          </w:rPr>
          <w:t>aimonds.kass</w:t>
        </w:r>
        <w:r w:rsidRPr="008C47F1">
          <w:rPr>
            <w:rStyle w:val="Hyperlink"/>
            <w:sz w:val="20"/>
            <w:szCs w:val="20"/>
          </w:rPr>
          <w:t>@varam.gov.lv</w:t>
        </w:r>
      </w:hyperlink>
    </w:p>
    <w:sectPr w:rsidR="00E111D5" w:rsidRPr="005B5AC4" w:rsidSect="009232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4D5B" w14:textId="77777777" w:rsidR="0092158D" w:rsidRDefault="0092158D">
      <w:r>
        <w:separator/>
      </w:r>
    </w:p>
  </w:endnote>
  <w:endnote w:type="continuationSeparator" w:id="0">
    <w:p w14:paraId="2955D16A" w14:textId="77777777" w:rsidR="0092158D" w:rsidRDefault="0092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7FFC2E7F" w:rsidR="00777F48" w:rsidRPr="003A09C1" w:rsidRDefault="00292037" w:rsidP="003A09C1">
    <w:pPr>
      <w:pStyle w:val="Footer"/>
    </w:pPr>
    <w:r>
      <w:rPr>
        <w:sz w:val="20"/>
        <w:szCs w:val="20"/>
      </w:rPr>
      <w:t>VARAMA</w:t>
    </w:r>
    <w:r w:rsidRPr="009232AB">
      <w:rPr>
        <w:sz w:val="20"/>
        <w:szCs w:val="20"/>
      </w:rPr>
      <w:t>not_</w:t>
    </w:r>
    <w:r w:rsidR="00F14FF1">
      <w:rPr>
        <w:sz w:val="20"/>
        <w:szCs w:val="20"/>
      </w:rPr>
      <w:t>0407</w:t>
    </w:r>
    <w:r w:rsidRPr="009232AB">
      <w:rPr>
        <w:sz w:val="20"/>
        <w:szCs w:val="20"/>
      </w:rPr>
      <w:t>18_</w:t>
    </w:r>
    <w:r>
      <w:rPr>
        <w:sz w:val="20"/>
        <w:szCs w:val="20"/>
      </w:rPr>
      <w:t>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7F441E91" w:rsidR="00777F48" w:rsidRPr="009232AB" w:rsidRDefault="00777F48" w:rsidP="00996F2C">
    <w:pPr>
      <w:pStyle w:val="Footer"/>
    </w:pPr>
    <w:r>
      <w:rPr>
        <w:sz w:val="20"/>
        <w:szCs w:val="20"/>
      </w:rPr>
      <w:t>VARAMA</w:t>
    </w:r>
    <w:r w:rsidRPr="009232AB">
      <w:rPr>
        <w:sz w:val="20"/>
        <w:szCs w:val="20"/>
      </w:rPr>
      <w:t>not_</w:t>
    </w:r>
    <w:r w:rsidR="00F14FF1">
      <w:rPr>
        <w:sz w:val="20"/>
        <w:szCs w:val="20"/>
      </w:rPr>
      <w:t>0407</w:t>
    </w:r>
    <w:r w:rsidRPr="009232AB">
      <w:rPr>
        <w:sz w:val="20"/>
        <w:szCs w:val="20"/>
      </w:rPr>
      <w:t>18_</w:t>
    </w:r>
    <w:r>
      <w:rPr>
        <w:sz w:val="20"/>
        <w:szCs w:val="20"/>
      </w:rPr>
      <w:t>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2272" w14:textId="77777777" w:rsidR="0092158D" w:rsidRDefault="0092158D">
      <w:r>
        <w:separator/>
      </w:r>
    </w:p>
  </w:footnote>
  <w:footnote w:type="continuationSeparator" w:id="0">
    <w:p w14:paraId="68B095C7" w14:textId="77777777" w:rsidR="0092158D" w:rsidRDefault="0092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777F48" w:rsidRDefault="00777F4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777F48" w:rsidRDefault="00777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BA8F913" w:rsidR="00777F48" w:rsidRDefault="00777F4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FF1">
      <w:rPr>
        <w:rStyle w:val="PageNumber"/>
        <w:noProof/>
      </w:rPr>
      <w:t>10</w:t>
    </w:r>
    <w:r>
      <w:rPr>
        <w:rStyle w:val="PageNumber"/>
      </w:rPr>
      <w:fldChar w:fldCharType="end"/>
    </w:r>
  </w:p>
  <w:p w14:paraId="237C5921" w14:textId="77777777" w:rsidR="00777F48" w:rsidRDefault="00777F48"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4F3585"/>
    <w:multiLevelType w:val="hybridMultilevel"/>
    <w:tmpl w:val="A0485472"/>
    <w:lvl w:ilvl="0" w:tplc="50DEE00A">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6F51A11"/>
    <w:multiLevelType w:val="hybridMultilevel"/>
    <w:tmpl w:val="760AE16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3"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6"/>
  </w:num>
  <w:num w:numId="4">
    <w:abstractNumId w:val="11"/>
  </w:num>
  <w:num w:numId="5">
    <w:abstractNumId w:val="20"/>
  </w:num>
  <w:num w:numId="6">
    <w:abstractNumId w:val="5"/>
  </w:num>
  <w:num w:numId="7">
    <w:abstractNumId w:val="0"/>
  </w:num>
  <w:num w:numId="8">
    <w:abstractNumId w:val="1"/>
  </w:num>
  <w:num w:numId="9">
    <w:abstractNumId w:val="27"/>
  </w:num>
  <w:num w:numId="10">
    <w:abstractNumId w:val="10"/>
  </w:num>
  <w:num w:numId="11">
    <w:abstractNumId w:val="24"/>
  </w:num>
  <w:num w:numId="12">
    <w:abstractNumId w:val="21"/>
  </w:num>
  <w:num w:numId="13">
    <w:abstractNumId w:val="3"/>
  </w:num>
  <w:num w:numId="14">
    <w:abstractNumId w:val="28"/>
  </w:num>
  <w:num w:numId="15">
    <w:abstractNumId w:val="17"/>
  </w:num>
  <w:num w:numId="16">
    <w:abstractNumId w:val="4"/>
  </w:num>
  <w:num w:numId="17">
    <w:abstractNumId w:val="2"/>
  </w:num>
  <w:num w:numId="18">
    <w:abstractNumId w:val="14"/>
  </w:num>
  <w:num w:numId="19">
    <w:abstractNumId w:val="12"/>
  </w:num>
  <w:num w:numId="20">
    <w:abstractNumId w:val="19"/>
  </w:num>
  <w:num w:numId="21">
    <w:abstractNumId w:val="16"/>
  </w:num>
  <w:num w:numId="22">
    <w:abstractNumId w:val="13"/>
  </w:num>
  <w:num w:numId="23">
    <w:abstractNumId w:val="31"/>
  </w:num>
  <w:num w:numId="24">
    <w:abstractNumId w:val="7"/>
  </w:num>
  <w:num w:numId="25">
    <w:abstractNumId w:val="32"/>
  </w:num>
  <w:num w:numId="26">
    <w:abstractNumId w:val="18"/>
  </w:num>
  <w:num w:numId="27">
    <w:abstractNumId w:val="26"/>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061E"/>
    <w:rsid w:val="00005826"/>
    <w:rsid w:val="000071F5"/>
    <w:rsid w:val="00010FE3"/>
    <w:rsid w:val="000112B1"/>
    <w:rsid w:val="00014002"/>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4359"/>
    <w:rsid w:val="000845D8"/>
    <w:rsid w:val="0008488A"/>
    <w:rsid w:val="00085B89"/>
    <w:rsid w:val="00090302"/>
    <w:rsid w:val="000925B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DF1"/>
    <w:rsid w:val="000C0EDB"/>
    <w:rsid w:val="000C230C"/>
    <w:rsid w:val="000C2D43"/>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4759"/>
    <w:rsid w:val="000E6F4B"/>
    <w:rsid w:val="000E7BB7"/>
    <w:rsid w:val="000F0876"/>
    <w:rsid w:val="000F35FE"/>
    <w:rsid w:val="000F3C86"/>
    <w:rsid w:val="000F3DBD"/>
    <w:rsid w:val="000F5E59"/>
    <w:rsid w:val="000F6A6D"/>
    <w:rsid w:val="001029C5"/>
    <w:rsid w:val="001032E7"/>
    <w:rsid w:val="00103B63"/>
    <w:rsid w:val="00105047"/>
    <w:rsid w:val="00110173"/>
    <w:rsid w:val="001114E0"/>
    <w:rsid w:val="00114052"/>
    <w:rsid w:val="00115550"/>
    <w:rsid w:val="00115C93"/>
    <w:rsid w:val="001176C1"/>
    <w:rsid w:val="0012082E"/>
    <w:rsid w:val="001209A4"/>
    <w:rsid w:val="001214F2"/>
    <w:rsid w:val="00123E30"/>
    <w:rsid w:val="001242F0"/>
    <w:rsid w:val="00125941"/>
    <w:rsid w:val="00127C6E"/>
    <w:rsid w:val="00130C2D"/>
    <w:rsid w:val="001338C1"/>
    <w:rsid w:val="00133CF3"/>
    <w:rsid w:val="001347ED"/>
    <w:rsid w:val="001359E3"/>
    <w:rsid w:val="00136946"/>
    <w:rsid w:val="00137BF2"/>
    <w:rsid w:val="00141294"/>
    <w:rsid w:val="001425FF"/>
    <w:rsid w:val="00143528"/>
    <w:rsid w:val="0014460C"/>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6B61"/>
    <w:rsid w:val="00196CF2"/>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3735"/>
    <w:rsid w:val="001D6C4F"/>
    <w:rsid w:val="001D6E4F"/>
    <w:rsid w:val="001E11D4"/>
    <w:rsid w:val="001E19E2"/>
    <w:rsid w:val="001E2891"/>
    <w:rsid w:val="001E2C9A"/>
    <w:rsid w:val="001E6337"/>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171A"/>
    <w:rsid w:val="00223974"/>
    <w:rsid w:val="002249BA"/>
    <w:rsid w:val="0022722B"/>
    <w:rsid w:val="00231B9D"/>
    <w:rsid w:val="002321B7"/>
    <w:rsid w:val="00232A10"/>
    <w:rsid w:val="00233607"/>
    <w:rsid w:val="00233815"/>
    <w:rsid w:val="00234C65"/>
    <w:rsid w:val="00235098"/>
    <w:rsid w:val="0024097C"/>
    <w:rsid w:val="00241978"/>
    <w:rsid w:val="00243419"/>
    <w:rsid w:val="002436CE"/>
    <w:rsid w:val="00244669"/>
    <w:rsid w:val="00244732"/>
    <w:rsid w:val="002448E0"/>
    <w:rsid w:val="00245A40"/>
    <w:rsid w:val="002460AD"/>
    <w:rsid w:val="00247677"/>
    <w:rsid w:val="00250B3C"/>
    <w:rsid w:val="00250DA9"/>
    <w:rsid w:val="00254327"/>
    <w:rsid w:val="0025436E"/>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037"/>
    <w:rsid w:val="0029223E"/>
    <w:rsid w:val="0029259B"/>
    <w:rsid w:val="00292C47"/>
    <w:rsid w:val="002931C2"/>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0BAC"/>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23C4"/>
    <w:rsid w:val="002E45DE"/>
    <w:rsid w:val="002E5162"/>
    <w:rsid w:val="002F0CDC"/>
    <w:rsid w:val="002F2ABF"/>
    <w:rsid w:val="002F5CD1"/>
    <w:rsid w:val="002F714B"/>
    <w:rsid w:val="002F722A"/>
    <w:rsid w:val="002F73C4"/>
    <w:rsid w:val="00301319"/>
    <w:rsid w:val="00301D9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6FB2"/>
    <w:rsid w:val="003279F0"/>
    <w:rsid w:val="0033075B"/>
    <w:rsid w:val="00330A1A"/>
    <w:rsid w:val="00333B38"/>
    <w:rsid w:val="00334184"/>
    <w:rsid w:val="003354DE"/>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48A9"/>
    <w:rsid w:val="0038507B"/>
    <w:rsid w:val="00385916"/>
    <w:rsid w:val="003868F7"/>
    <w:rsid w:val="003905DC"/>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5A60"/>
    <w:rsid w:val="003D1AA2"/>
    <w:rsid w:val="003D1E06"/>
    <w:rsid w:val="003D303F"/>
    <w:rsid w:val="003D761D"/>
    <w:rsid w:val="003D7A75"/>
    <w:rsid w:val="003E34FE"/>
    <w:rsid w:val="003E3849"/>
    <w:rsid w:val="003E42A1"/>
    <w:rsid w:val="003E7DAA"/>
    <w:rsid w:val="003F04E9"/>
    <w:rsid w:val="003F1515"/>
    <w:rsid w:val="003F2FD3"/>
    <w:rsid w:val="003F3E5B"/>
    <w:rsid w:val="003F427C"/>
    <w:rsid w:val="003F42CA"/>
    <w:rsid w:val="003F5986"/>
    <w:rsid w:val="004054BD"/>
    <w:rsid w:val="00405DE9"/>
    <w:rsid w:val="00406090"/>
    <w:rsid w:val="00406FBA"/>
    <w:rsid w:val="00407C5B"/>
    <w:rsid w:val="00413028"/>
    <w:rsid w:val="004144C6"/>
    <w:rsid w:val="00415AEE"/>
    <w:rsid w:val="00417019"/>
    <w:rsid w:val="00417111"/>
    <w:rsid w:val="0042133A"/>
    <w:rsid w:val="00423183"/>
    <w:rsid w:val="00423761"/>
    <w:rsid w:val="00423791"/>
    <w:rsid w:val="00424D38"/>
    <w:rsid w:val="004279CC"/>
    <w:rsid w:val="00432C1E"/>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1ED2"/>
    <w:rsid w:val="00466245"/>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75"/>
    <w:rsid w:val="004962CF"/>
    <w:rsid w:val="004A0B46"/>
    <w:rsid w:val="004A2CC2"/>
    <w:rsid w:val="004A377D"/>
    <w:rsid w:val="004A46AE"/>
    <w:rsid w:val="004A6317"/>
    <w:rsid w:val="004A6460"/>
    <w:rsid w:val="004B0D14"/>
    <w:rsid w:val="004B1167"/>
    <w:rsid w:val="004B2129"/>
    <w:rsid w:val="004B352C"/>
    <w:rsid w:val="004B5BD2"/>
    <w:rsid w:val="004C094F"/>
    <w:rsid w:val="004C115B"/>
    <w:rsid w:val="004C59A6"/>
    <w:rsid w:val="004C5ECD"/>
    <w:rsid w:val="004C651A"/>
    <w:rsid w:val="004C6E9E"/>
    <w:rsid w:val="004D0CA0"/>
    <w:rsid w:val="004D132D"/>
    <w:rsid w:val="004D1BC6"/>
    <w:rsid w:val="004D3A7E"/>
    <w:rsid w:val="004D3CCF"/>
    <w:rsid w:val="004D7E9B"/>
    <w:rsid w:val="004E17E3"/>
    <w:rsid w:val="004E17F1"/>
    <w:rsid w:val="004E1CA7"/>
    <w:rsid w:val="004E4342"/>
    <w:rsid w:val="004E6664"/>
    <w:rsid w:val="004F077E"/>
    <w:rsid w:val="004F3D66"/>
    <w:rsid w:val="004F50A7"/>
    <w:rsid w:val="004F7114"/>
    <w:rsid w:val="00500F6A"/>
    <w:rsid w:val="00500FFC"/>
    <w:rsid w:val="00501475"/>
    <w:rsid w:val="0050280C"/>
    <w:rsid w:val="00504080"/>
    <w:rsid w:val="00505353"/>
    <w:rsid w:val="005055FE"/>
    <w:rsid w:val="00507AD7"/>
    <w:rsid w:val="00507DB7"/>
    <w:rsid w:val="00512AB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4782C"/>
    <w:rsid w:val="00552038"/>
    <w:rsid w:val="00553E28"/>
    <w:rsid w:val="0055446B"/>
    <w:rsid w:val="00560665"/>
    <w:rsid w:val="00560B3F"/>
    <w:rsid w:val="00562991"/>
    <w:rsid w:val="0056398B"/>
    <w:rsid w:val="00563C16"/>
    <w:rsid w:val="005641E8"/>
    <w:rsid w:val="00564B0C"/>
    <w:rsid w:val="00564D72"/>
    <w:rsid w:val="0056675A"/>
    <w:rsid w:val="0056729A"/>
    <w:rsid w:val="00567F45"/>
    <w:rsid w:val="00567FF8"/>
    <w:rsid w:val="00572162"/>
    <w:rsid w:val="00572AE9"/>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1BF"/>
    <w:rsid w:val="005C42A1"/>
    <w:rsid w:val="005D06C3"/>
    <w:rsid w:val="005D294C"/>
    <w:rsid w:val="005D3048"/>
    <w:rsid w:val="005D31B4"/>
    <w:rsid w:val="005D48A9"/>
    <w:rsid w:val="005E22E4"/>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06E57"/>
    <w:rsid w:val="00610E61"/>
    <w:rsid w:val="00613413"/>
    <w:rsid w:val="006149CC"/>
    <w:rsid w:val="00615FBE"/>
    <w:rsid w:val="00616E1B"/>
    <w:rsid w:val="00617747"/>
    <w:rsid w:val="00620457"/>
    <w:rsid w:val="00620F17"/>
    <w:rsid w:val="00621706"/>
    <w:rsid w:val="00623C95"/>
    <w:rsid w:val="00623D2A"/>
    <w:rsid w:val="00624C39"/>
    <w:rsid w:val="00625D72"/>
    <w:rsid w:val="00631837"/>
    <w:rsid w:val="00632FD0"/>
    <w:rsid w:val="0063554C"/>
    <w:rsid w:val="00635963"/>
    <w:rsid w:val="0063775E"/>
    <w:rsid w:val="0063776A"/>
    <w:rsid w:val="00637FBF"/>
    <w:rsid w:val="006407A9"/>
    <w:rsid w:val="00641112"/>
    <w:rsid w:val="0064253C"/>
    <w:rsid w:val="00643603"/>
    <w:rsid w:val="00645165"/>
    <w:rsid w:val="0064635B"/>
    <w:rsid w:val="00647D6D"/>
    <w:rsid w:val="006504F9"/>
    <w:rsid w:val="006511EE"/>
    <w:rsid w:val="00652BE5"/>
    <w:rsid w:val="00653A6A"/>
    <w:rsid w:val="00653CBF"/>
    <w:rsid w:val="00655EB2"/>
    <w:rsid w:val="00660A46"/>
    <w:rsid w:val="00661BC9"/>
    <w:rsid w:val="00662EFB"/>
    <w:rsid w:val="006633C1"/>
    <w:rsid w:val="00663ECC"/>
    <w:rsid w:val="00664BBD"/>
    <w:rsid w:val="006652A4"/>
    <w:rsid w:val="0066639B"/>
    <w:rsid w:val="0066766E"/>
    <w:rsid w:val="0067019C"/>
    <w:rsid w:val="00670A62"/>
    <w:rsid w:val="006711FE"/>
    <w:rsid w:val="00671375"/>
    <w:rsid w:val="006724FB"/>
    <w:rsid w:val="006749F8"/>
    <w:rsid w:val="006755B6"/>
    <w:rsid w:val="00676A30"/>
    <w:rsid w:val="006772AB"/>
    <w:rsid w:val="00677B70"/>
    <w:rsid w:val="006805FB"/>
    <w:rsid w:val="00680F67"/>
    <w:rsid w:val="006828A9"/>
    <w:rsid w:val="0068440D"/>
    <w:rsid w:val="00685B67"/>
    <w:rsid w:val="00686E08"/>
    <w:rsid w:val="00687F7F"/>
    <w:rsid w:val="00691F57"/>
    <w:rsid w:val="006925E5"/>
    <w:rsid w:val="0069761D"/>
    <w:rsid w:val="006A0D3E"/>
    <w:rsid w:val="006A2D89"/>
    <w:rsid w:val="006A3A31"/>
    <w:rsid w:val="006A3CE6"/>
    <w:rsid w:val="006A5063"/>
    <w:rsid w:val="006A6B6F"/>
    <w:rsid w:val="006A6C84"/>
    <w:rsid w:val="006A6D9F"/>
    <w:rsid w:val="006B0BF4"/>
    <w:rsid w:val="006B1114"/>
    <w:rsid w:val="006B1453"/>
    <w:rsid w:val="006B197E"/>
    <w:rsid w:val="006B3C54"/>
    <w:rsid w:val="006B50F2"/>
    <w:rsid w:val="006B59A5"/>
    <w:rsid w:val="006C18D4"/>
    <w:rsid w:val="006C26AE"/>
    <w:rsid w:val="006C38AC"/>
    <w:rsid w:val="006C6D46"/>
    <w:rsid w:val="006C7105"/>
    <w:rsid w:val="006D033F"/>
    <w:rsid w:val="006D1404"/>
    <w:rsid w:val="006D3D2A"/>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CE9"/>
    <w:rsid w:val="00700398"/>
    <w:rsid w:val="00701FF8"/>
    <w:rsid w:val="007038C9"/>
    <w:rsid w:val="00704566"/>
    <w:rsid w:val="00706385"/>
    <w:rsid w:val="007063DF"/>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D95"/>
    <w:rsid w:val="007545D0"/>
    <w:rsid w:val="0075465B"/>
    <w:rsid w:val="0075481D"/>
    <w:rsid w:val="007554AD"/>
    <w:rsid w:val="007555B5"/>
    <w:rsid w:val="007560FE"/>
    <w:rsid w:val="00757B2D"/>
    <w:rsid w:val="007606B4"/>
    <w:rsid w:val="00760E38"/>
    <w:rsid w:val="007628F0"/>
    <w:rsid w:val="007633F7"/>
    <w:rsid w:val="00763CA3"/>
    <w:rsid w:val="00764EC8"/>
    <w:rsid w:val="0077155C"/>
    <w:rsid w:val="00771AF9"/>
    <w:rsid w:val="00772B86"/>
    <w:rsid w:val="00773DB4"/>
    <w:rsid w:val="00774982"/>
    <w:rsid w:val="00774E25"/>
    <w:rsid w:val="00775DD1"/>
    <w:rsid w:val="007762A8"/>
    <w:rsid w:val="00777F48"/>
    <w:rsid w:val="00782C4C"/>
    <w:rsid w:val="007834ED"/>
    <w:rsid w:val="00784AAD"/>
    <w:rsid w:val="007856FE"/>
    <w:rsid w:val="007873AE"/>
    <w:rsid w:val="00787433"/>
    <w:rsid w:val="00790358"/>
    <w:rsid w:val="00792962"/>
    <w:rsid w:val="007944B3"/>
    <w:rsid w:val="007A39C9"/>
    <w:rsid w:val="007A3DEC"/>
    <w:rsid w:val="007A5C89"/>
    <w:rsid w:val="007B4D2D"/>
    <w:rsid w:val="007B6861"/>
    <w:rsid w:val="007B6B6E"/>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6BB3"/>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3D95"/>
    <w:rsid w:val="008A5706"/>
    <w:rsid w:val="008A570F"/>
    <w:rsid w:val="008A57F2"/>
    <w:rsid w:val="008A57F8"/>
    <w:rsid w:val="008A619D"/>
    <w:rsid w:val="008A6726"/>
    <w:rsid w:val="008A678C"/>
    <w:rsid w:val="008A67D0"/>
    <w:rsid w:val="008A7FEC"/>
    <w:rsid w:val="008B011C"/>
    <w:rsid w:val="008B1560"/>
    <w:rsid w:val="008B4D9E"/>
    <w:rsid w:val="008B5603"/>
    <w:rsid w:val="008B5DCB"/>
    <w:rsid w:val="008B6871"/>
    <w:rsid w:val="008B6F5B"/>
    <w:rsid w:val="008C0547"/>
    <w:rsid w:val="008C1F38"/>
    <w:rsid w:val="008C5336"/>
    <w:rsid w:val="008C5690"/>
    <w:rsid w:val="008D0185"/>
    <w:rsid w:val="008D1B71"/>
    <w:rsid w:val="008D2B21"/>
    <w:rsid w:val="008D56A6"/>
    <w:rsid w:val="008D6FF8"/>
    <w:rsid w:val="008E198D"/>
    <w:rsid w:val="008E20C6"/>
    <w:rsid w:val="008E24BC"/>
    <w:rsid w:val="008E32A1"/>
    <w:rsid w:val="008E4062"/>
    <w:rsid w:val="008F13E3"/>
    <w:rsid w:val="008F2297"/>
    <w:rsid w:val="008F7088"/>
    <w:rsid w:val="008F775F"/>
    <w:rsid w:val="00901073"/>
    <w:rsid w:val="00901458"/>
    <w:rsid w:val="00901BC6"/>
    <w:rsid w:val="009061A0"/>
    <w:rsid w:val="00906967"/>
    <w:rsid w:val="009079E0"/>
    <w:rsid w:val="009106F7"/>
    <w:rsid w:val="00913B5A"/>
    <w:rsid w:val="0092158D"/>
    <w:rsid w:val="00921F6F"/>
    <w:rsid w:val="009232AB"/>
    <w:rsid w:val="00924A11"/>
    <w:rsid w:val="00926517"/>
    <w:rsid w:val="009274C3"/>
    <w:rsid w:val="00930C7F"/>
    <w:rsid w:val="00931354"/>
    <w:rsid w:val="00932E56"/>
    <w:rsid w:val="00933A70"/>
    <w:rsid w:val="009343F9"/>
    <w:rsid w:val="00934D05"/>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6F2C"/>
    <w:rsid w:val="0099705B"/>
    <w:rsid w:val="009A07BA"/>
    <w:rsid w:val="009A1CA4"/>
    <w:rsid w:val="009A2AAA"/>
    <w:rsid w:val="009A4F8A"/>
    <w:rsid w:val="009B0ED7"/>
    <w:rsid w:val="009B2997"/>
    <w:rsid w:val="009B4D08"/>
    <w:rsid w:val="009B6BA5"/>
    <w:rsid w:val="009C3AD2"/>
    <w:rsid w:val="009D1AB5"/>
    <w:rsid w:val="009D23C6"/>
    <w:rsid w:val="009D3309"/>
    <w:rsid w:val="009D4770"/>
    <w:rsid w:val="009D7632"/>
    <w:rsid w:val="009D76B1"/>
    <w:rsid w:val="009E12EA"/>
    <w:rsid w:val="009E31BC"/>
    <w:rsid w:val="009E358C"/>
    <w:rsid w:val="009E40E2"/>
    <w:rsid w:val="009E4785"/>
    <w:rsid w:val="009E4845"/>
    <w:rsid w:val="009E5179"/>
    <w:rsid w:val="009E5F7E"/>
    <w:rsid w:val="009E67B3"/>
    <w:rsid w:val="009F3724"/>
    <w:rsid w:val="009F4772"/>
    <w:rsid w:val="009F6C07"/>
    <w:rsid w:val="009F7D8C"/>
    <w:rsid w:val="009F7FDD"/>
    <w:rsid w:val="00A006B5"/>
    <w:rsid w:val="00A03106"/>
    <w:rsid w:val="00A03411"/>
    <w:rsid w:val="00A05A84"/>
    <w:rsid w:val="00A068A8"/>
    <w:rsid w:val="00A10BF2"/>
    <w:rsid w:val="00A11196"/>
    <w:rsid w:val="00A15BCE"/>
    <w:rsid w:val="00A16288"/>
    <w:rsid w:val="00A1677D"/>
    <w:rsid w:val="00A16DAD"/>
    <w:rsid w:val="00A17DCD"/>
    <w:rsid w:val="00A20225"/>
    <w:rsid w:val="00A21738"/>
    <w:rsid w:val="00A21845"/>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2CEE"/>
    <w:rsid w:val="00A43ACB"/>
    <w:rsid w:val="00A45A0C"/>
    <w:rsid w:val="00A4659C"/>
    <w:rsid w:val="00A50202"/>
    <w:rsid w:val="00A5168C"/>
    <w:rsid w:val="00A520E5"/>
    <w:rsid w:val="00A52F59"/>
    <w:rsid w:val="00A56621"/>
    <w:rsid w:val="00A57760"/>
    <w:rsid w:val="00A627CD"/>
    <w:rsid w:val="00A63064"/>
    <w:rsid w:val="00A63C8E"/>
    <w:rsid w:val="00A6424F"/>
    <w:rsid w:val="00A6579D"/>
    <w:rsid w:val="00A67EE1"/>
    <w:rsid w:val="00A738C7"/>
    <w:rsid w:val="00A73D57"/>
    <w:rsid w:val="00A73F65"/>
    <w:rsid w:val="00A74A6B"/>
    <w:rsid w:val="00A802EA"/>
    <w:rsid w:val="00A8116E"/>
    <w:rsid w:val="00A816B4"/>
    <w:rsid w:val="00A81B09"/>
    <w:rsid w:val="00A8508F"/>
    <w:rsid w:val="00A9369B"/>
    <w:rsid w:val="00A93E4D"/>
    <w:rsid w:val="00A95EB9"/>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5FDA"/>
    <w:rsid w:val="00AB6936"/>
    <w:rsid w:val="00AB734C"/>
    <w:rsid w:val="00AB7E9F"/>
    <w:rsid w:val="00AC035A"/>
    <w:rsid w:val="00AC0AEE"/>
    <w:rsid w:val="00AC22E0"/>
    <w:rsid w:val="00AC288C"/>
    <w:rsid w:val="00AC29FB"/>
    <w:rsid w:val="00AC38EF"/>
    <w:rsid w:val="00AD0E27"/>
    <w:rsid w:val="00AD1E35"/>
    <w:rsid w:val="00AD519F"/>
    <w:rsid w:val="00AD5222"/>
    <w:rsid w:val="00AE07F6"/>
    <w:rsid w:val="00AE088A"/>
    <w:rsid w:val="00AE1506"/>
    <w:rsid w:val="00AE15C2"/>
    <w:rsid w:val="00AE3591"/>
    <w:rsid w:val="00AE3BA6"/>
    <w:rsid w:val="00AE4634"/>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4600"/>
    <w:rsid w:val="00B153BB"/>
    <w:rsid w:val="00B15487"/>
    <w:rsid w:val="00B17946"/>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D49"/>
    <w:rsid w:val="00B470B0"/>
    <w:rsid w:val="00B50237"/>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6EC6"/>
    <w:rsid w:val="00B87814"/>
    <w:rsid w:val="00B924B0"/>
    <w:rsid w:val="00B95DB1"/>
    <w:rsid w:val="00B96503"/>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85D"/>
    <w:rsid w:val="00BF39AC"/>
    <w:rsid w:val="00BF6416"/>
    <w:rsid w:val="00BF651D"/>
    <w:rsid w:val="00BF6E5B"/>
    <w:rsid w:val="00BF7615"/>
    <w:rsid w:val="00BF7912"/>
    <w:rsid w:val="00C0002C"/>
    <w:rsid w:val="00C006C6"/>
    <w:rsid w:val="00C00836"/>
    <w:rsid w:val="00C013EE"/>
    <w:rsid w:val="00C01C76"/>
    <w:rsid w:val="00C01D88"/>
    <w:rsid w:val="00C0287F"/>
    <w:rsid w:val="00C049A7"/>
    <w:rsid w:val="00C04C37"/>
    <w:rsid w:val="00C06D02"/>
    <w:rsid w:val="00C11441"/>
    <w:rsid w:val="00C12A70"/>
    <w:rsid w:val="00C13A48"/>
    <w:rsid w:val="00C14BC9"/>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5B91"/>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1F72"/>
    <w:rsid w:val="00CB2ED4"/>
    <w:rsid w:val="00CB3168"/>
    <w:rsid w:val="00CB3EE5"/>
    <w:rsid w:val="00CB44B3"/>
    <w:rsid w:val="00CB5719"/>
    <w:rsid w:val="00CB6209"/>
    <w:rsid w:val="00CB62DF"/>
    <w:rsid w:val="00CC028F"/>
    <w:rsid w:val="00CC090A"/>
    <w:rsid w:val="00CC53F0"/>
    <w:rsid w:val="00CD045A"/>
    <w:rsid w:val="00CD159D"/>
    <w:rsid w:val="00CD1961"/>
    <w:rsid w:val="00CD2812"/>
    <w:rsid w:val="00CD2D67"/>
    <w:rsid w:val="00CE1D98"/>
    <w:rsid w:val="00CE21C9"/>
    <w:rsid w:val="00CE3567"/>
    <w:rsid w:val="00CE59B5"/>
    <w:rsid w:val="00CF1828"/>
    <w:rsid w:val="00CF1E84"/>
    <w:rsid w:val="00CF543E"/>
    <w:rsid w:val="00CF5648"/>
    <w:rsid w:val="00D00A1C"/>
    <w:rsid w:val="00D011E5"/>
    <w:rsid w:val="00D030BB"/>
    <w:rsid w:val="00D033C6"/>
    <w:rsid w:val="00D036E9"/>
    <w:rsid w:val="00D06B16"/>
    <w:rsid w:val="00D0756A"/>
    <w:rsid w:val="00D123A4"/>
    <w:rsid w:val="00D129A5"/>
    <w:rsid w:val="00D12B4A"/>
    <w:rsid w:val="00D13778"/>
    <w:rsid w:val="00D13F9C"/>
    <w:rsid w:val="00D145FB"/>
    <w:rsid w:val="00D148E1"/>
    <w:rsid w:val="00D15628"/>
    <w:rsid w:val="00D20567"/>
    <w:rsid w:val="00D24B79"/>
    <w:rsid w:val="00D26062"/>
    <w:rsid w:val="00D30C05"/>
    <w:rsid w:val="00D30FDF"/>
    <w:rsid w:val="00D3173D"/>
    <w:rsid w:val="00D31A2D"/>
    <w:rsid w:val="00D32369"/>
    <w:rsid w:val="00D361DB"/>
    <w:rsid w:val="00D37ABD"/>
    <w:rsid w:val="00D418C3"/>
    <w:rsid w:val="00D41A7D"/>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51C"/>
    <w:rsid w:val="00D957C5"/>
    <w:rsid w:val="00D964CA"/>
    <w:rsid w:val="00DA0000"/>
    <w:rsid w:val="00DA02DC"/>
    <w:rsid w:val="00DA0E02"/>
    <w:rsid w:val="00DA1508"/>
    <w:rsid w:val="00DA2692"/>
    <w:rsid w:val="00DA2AC2"/>
    <w:rsid w:val="00DA3D85"/>
    <w:rsid w:val="00DA51AD"/>
    <w:rsid w:val="00DA78A0"/>
    <w:rsid w:val="00DB0AE3"/>
    <w:rsid w:val="00DB25B9"/>
    <w:rsid w:val="00DB3796"/>
    <w:rsid w:val="00DB6DEA"/>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4F6"/>
    <w:rsid w:val="00DF1D5A"/>
    <w:rsid w:val="00DF1F89"/>
    <w:rsid w:val="00DF3206"/>
    <w:rsid w:val="00DF4D6A"/>
    <w:rsid w:val="00DF4E67"/>
    <w:rsid w:val="00DF4F96"/>
    <w:rsid w:val="00DF65F5"/>
    <w:rsid w:val="00DF755C"/>
    <w:rsid w:val="00DF7999"/>
    <w:rsid w:val="00E00227"/>
    <w:rsid w:val="00E0228A"/>
    <w:rsid w:val="00E10FA0"/>
    <w:rsid w:val="00E111D5"/>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859"/>
    <w:rsid w:val="00E63F02"/>
    <w:rsid w:val="00E650C7"/>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C01"/>
    <w:rsid w:val="00EB60AD"/>
    <w:rsid w:val="00EB7226"/>
    <w:rsid w:val="00EB788C"/>
    <w:rsid w:val="00EB798E"/>
    <w:rsid w:val="00EC09BA"/>
    <w:rsid w:val="00EC0A47"/>
    <w:rsid w:val="00EC1600"/>
    <w:rsid w:val="00EC1D33"/>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0382"/>
    <w:rsid w:val="00EE14F6"/>
    <w:rsid w:val="00EE29C4"/>
    <w:rsid w:val="00EE3242"/>
    <w:rsid w:val="00EE43E2"/>
    <w:rsid w:val="00EE550C"/>
    <w:rsid w:val="00EE71FD"/>
    <w:rsid w:val="00EE7C78"/>
    <w:rsid w:val="00EF014A"/>
    <w:rsid w:val="00EF22CC"/>
    <w:rsid w:val="00EF38E9"/>
    <w:rsid w:val="00EF6762"/>
    <w:rsid w:val="00EF6B64"/>
    <w:rsid w:val="00F017C0"/>
    <w:rsid w:val="00F01FE6"/>
    <w:rsid w:val="00F06809"/>
    <w:rsid w:val="00F100A7"/>
    <w:rsid w:val="00F11356"/>
    <w:rsid w:val="00F11970"/>
    <w:rsid w:val="00F11E0E"/>
    <w:rsid w:val="00F13C08"/>
    <w:rsid w:val="00F14FF1"/>
    <w:rsid w:val="00F15778"/>
    <w:rsid w:val="00F16606"/>
    <w:rsid w:val="00F25389"/>
    <w:rsid w:val="00F265B2"/>
    <w:rsid w:val="00F27E54"/>
    <w:rsid w:val="00F3015A"/>
    <w:rsid w:val="00F30EFA"/>
    <w:rsid w:val="00F33460"/>
    <w:rsid w:val="00F34F2F"/>
    <w:rsid w:val="00F35487"/>
    <w:rsid w:val="00F40B0E"/>
    <w:rsid w:val="00F410B4"/>
    <w:rsid w:val="00F41146"/>
    <w:rsid w:val="00F44BDA"/>
    <w:rsid w:val="00F463C1"/>
    <w:rsid w:val="00F465C3"/>
    <w:rsid w:val="00F46B69"/>
    <w:rsid w:val="00F47D5E"/>
    <w:rsid w:val="00F50A2E"/>
    <w:rsid w:val="00F50C41"/>
    <w:rsid w:val="00F5342E"/>
    <w:rsid w:val="00F542E0"/>
    <w:rsid w:val="00F60C8F"/>
    <w:rsid w:val="00F616D3"/>
    <w:rsid w:val="00F621A9"/>
    <w:rsid w:val="00F65B2E"/>
    <w:rsid w:val="00F72296"/>
    <w:rsid w:val="00F724A2"/>
    <w:rsid w:val="00F7597D"/>
    <w:rsid w:val="00F7796B"/>
    <w:rsid w:val="00F848F2"/>
    <w:rsid w:val="00F84B9B"/>
    <w:rsid w:val="00F87759"/>
    <w:rsid w:val="00F94318"/>
    <w:rsid w:val="00F957C9"/>
    <w:rsid w:val="00F97D2D"/>
    <w:rsid w:val="00FA0963"/>
    <w:rsid w:val="00FA22A4"/>
    <w:rsid w:val="00FA24AB"/>
    <w:rsid w:val="00FA4CB5"/>
    <w:rsid w:val="00FA4DAE"/>
    <w:rsid w:val="00FA51D2"/>
    <w:rsid w:val="00FA5AFB"/>
    <w:rsid w:val="00FA632A"/>
    <w:rsid w:val="00FB085B"/>
    <w:rsid w:val="00FB0D4A"/>
    <w:rsid w:val="00FB3554"/>
    <w:rsid w:val="00FB3B93"/>
    <w:rsid w:val="00FB60A3"/>
    <w:rsid w:val="00FC3525"/>
    <w:rsid w:val="00FC3F69"/>
    <w:rsid w:val="00FC51EB"/>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2431FBD9"/>
  <w15:docId w15:val="{D64358CA-B0DC-4333-8EA1-00C31368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F76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uiPriority w:val="99"/>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character" w:customStyle="1" w:styleId="Heading2Char">
    <w:name w:val="Heading 2 Char"/>
    <w:basedOn w:val="DefaultParagraphFont"/>
    <w:link w:val="Heading2"/>
    <w:rsid w:val="00BF7615"/>
    <w:rPr>
      <w:rFonts w:asciiTheme="majorHAnsi" w:eastAsiaTheme="majorEastAsia" w:hAnsiTheme="majorHAnsi" w:cstheme="majorBidi"/>
      <w:color w:val="2E74B5" w:themeColor="accent1" w:themeShade="BF"/>
      <w:sz w:val="26"/>
      <w:szCs w:val="26"/>
    </w:rPr>
  </w:style>
  <w:style w:type="character" w:customStyle="1" w:styleId="CommentTextChar">
    <w:name w:val="Comment Text Char"/>
    <w:basedOn w:val="DefaultParagraphFont"/>
    <w:link w:val="CommentText"/>
    <w:uiPriority w:val="99"/>
    <w:rsid w:val="00DA2AC2"/>
  </w:style>
  <w:style w:type="character" w:customStyle="1" w:styleId="body1">
    <w:name w:val="body1"/>
    <w:rsid w:val="00F14FF1"/>
    <w:rPr>
      <w:rFonts w:ascii="Verdana" w:hAnsi="Verdana" w:hint="default"/>
      <w:color w:val="000000"/>
      <w:sz w:val="14"/>
      <w:szCs w:val="14"/>
    </w:rPr>
  </w:style>
  <w:style w:type="paragraph" w:styleId="ListBullet">
    <w:name w:val="List Bullet"/>
    <w:basedOn w:val="Normal"/>
    <w:uiPriority w:val="99"/>
    <w:unhideWhenUsed/>
    <w:rsid w:val="00F14FF1"/>
    <w:pPr>
      <w:widowControl w:val="0"/>
      <w:tabs>
        <w:tab w:val="num" w:pos="360"/>
      </w:tabs>
      <w:spacing w:after="200" w:line="276" w:lineRule="auto"/>
      <w:ind w:left="360" w:hanging="36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184712815">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04825012">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0565">
      <w:bodyDiv w:val="1"/>
      <w:marLeft w:val="0"/>
      <w:marRight w:val="0"/>
      <w:marTop w:val="0"/>
      <w:marBottom w:val="0"/>
      <w:divBdr>
        <w:top w:val="none" w:sz="0" w:space="0" w:color="auto"/>
        <w:left w:val="none" w:sz="0" w:space="0" w:color="auto"/>
        <w:bottom w:val="none" w:sz="0" w:space="0" w:color="auto"/>
        <w:right w:val="none" w:sz="0" w:space="0" w:color="auto"/>
      </w:divBdr>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s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8E21-A559-4CE0-859A-3B40D386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10</Pages>
  <Words>3117</Words>
  <Characters>21234</Characters>
  <Application>Microsoft Office Word</Application>
  <DocSecurity>0</DocSecurity>
  <Lines>923</Lines>
  <Paragraphs>412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“Emisijas kvotu izsolīšanas instrumenta finansēto projektu atklāta konkursa “Siltumnīcefekta gāzu emisiju samazināšana, attīstot enerģētiski pašpietiekamu ēku būvniecību” nolikums” projekts</vt:lpstr>
      <vt:lpstr>“Eiropas Savienības ārkārtas atbalsta piešķiršanas kārtība lauksaimniekiem sakarā ar plūdiem un spēcīgām lietusgāzēm”</vt:lpstr>
    </vt:vector>
  </TitlesOfParts>
  <Company>ZM</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“Emisijas kvotu izsolīšanas instrumenta finansēto projektu atklāta konkursa “Siltumnīcefekta gāzu emisiju samazināšana, attīstot enerģētiski pašpietiekamu ēku būvniecību” nolikums” projekts</dc:title>
  <dc:subject>Anotācija</dc:subject>
  <dc:creator>Sintija Inne</dc:creator>
  <cp:keywords/>
  <dc:description>raimonds.kass@varam.gov.lv; 67026538</dc:description>
  <cp:lastModifiedBy>Raimonds Kašs</cp:lastModifiedBy>
  <cp:revision>100</cp:revision>
  <cp:lastPrinted>2017-03-09T07:20:00Z</cp:lastPrinted>
  <dcterms:created xsi:type="dcterms:W3CDTF">2018-03-20T14:10:00Z</dcterms:created>
  <dcterms:modified xsi:type="dcterms:W3CDTF">2018-07-04T06:14:00Z</dcterms:modified>
</cp:coreProperties>
</file>