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70829" w:rsidRPr="00432F1B" w:rsidP="00DA7768" w14:paraId="54091B70" w14:textId="6DDEE74D">
      <w:pPr>
        <w:pStyle w:val="Title"/>
        <w:ind w:firstLine="539"/>
        <w:contextualSpacing/>
        <w:rPr>
          <w:b/>
          <w:bCs/>
          <w:sz w:val="24"/>
          <w:szCs w:val="24"/>
        </w:rPr>
      </w:pPr>
      <w:r w:rsidRPr="00432F1B">
        <w:rPr>
          <w:b/>
          <w:bCs/>
          <w:sz w:val="24"/>
          <w:szCs w:val="24"/>
        </w:rPr>
        <w:t>Ministru kabineta noteikumu projekta “</w:t>
      </w:r>
      <w:r w:rsidRPr="00432F1B">
        <w:rPr>
          <w:b/>
          <w:sz w:val="24"/>
          <w:szCs w:val="24"/>
        </w:rPr>
        <w:t>Grozījumi Ministru kabineta 2011.</w:t>
      </w:r>
      <w:r w:rsidRPr="00432F1B" w:rsidR="008C3DC3">
        <w:rPr>
          <w:b/>
          <w:sz w:val="24"/>
          <w:szCs w:val="24"/>
        </w:rPr>
        <w:t> </w:t>
      </w:r>
      <w:r w:rsidRPr="00432F1B">
        <w:rPr>
          <w:b/>
          <w:sz w:val="24"/>
          <w:szCs w:val="24"/>
        </w:rPr>
        <w:t>gada 13.</w:t>
      </w:r>
      <w:r w:rsidRPr="00432F1B" w:rsidR="008C3DC3">
        <w:rPr>
          <w:b/>
          <w:sz w:val="24"/>
          <w:szCs w:val="24"/>
        </w:rPr>
        <w:t> </w:t>
      </w:r>
      <w:r w:rsidRPr="00432F1B">
        <w:rPr>
          <w:b/>
          <w:sz w:val="24"/>
          <w:szCs w:val="24"/>
        </w:rPr>
        <w:t>septembra noteikumos Nr.</w:t>
      </w:r>
      <w:r w:rsidRPr="00432F1B" w:rsidR="008C3DC3">
        <w:rPr>
          <w:b/>
          <w:sz w:val="24"/>
          <w:szCs w:val="24"/>
        </w:rPr>
        <w:t> </w:t>
      </w:r>
      <w:r w:rsidRPr="00432F1B">
        <w:rPr>
          <w:b/>
          <w:sz w:val="24"/>
          <w:szCs w:val="24"/>
        </w:rPr>
        <w:t>703 “Noteikumi par atkritumu apsaimniekošanas atļaujas izsniegšanas un anulēšanas kārtību, atkritumu tirgotāju un atkritumu apsaimniekošanas starpnieku reģistrācijas kārtību, kā arī par valsts nodevu un tās maksāšanas kārtību””</w:t>
      </w:r>
      <w:r w:rsidRPr="00432F1B">
        <w:rPr>
          <w:sz w:val="24"/>
          <w:szCs w:val="24"/>
        </w:rPr>
        <w:t xml:space="preserve"> </w:t>
      </w:r>
      <w:r w:rsidRPr="00432F1B">
        <w:rPr>
          <w:b/>
          <w:bCs/>
          <w:sz w:val="24"/>
          <w:szCs w:val="24"/>
        </w:rPr>
        <w:t>sākotnējās ietekmes novērtējuma ziņojums (anotācija)</w:t>
      </w:r>
    </w:p>
    <w:p w:rsidR="00693853" w:rsidRPr="0024658E" w:rsidP="00DA7768" w14:paraId="7FA279F4" w14:textId="77777777">
      <w:pPr>
        <w:pStyle w:val="Title"/>
        <w:ind w:firstLine="539"/>
        <w:contextualSpacing/>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171"/>
        <w:gridCol w:w="4195"/>
      </w:tblGrid>
      <w:tr w14:paraId="0E3B2A6F" w14:textId="77777777" w:rsidTr="0024658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2"/>
            <w:vAlign w:val="center"/>
            <w:hideMark/>
          </w:tcPr>
          <w:p w:rsidR="00870829" w:rsidRPr="0024658E" w:rsidP="00DA7768" w14:paraId="5A5F1F28" w14:textId="77777777">
            <w:pPr>
              <w:contextualSpacing/>
              <w:jc w:val="center"/>
              <w:rPr>
                <w:b/>
                <w:bCs/>
                <w:sz w:val="23"/>
                <w:szCs w:val="23"/>
              </w:rPr>
            </w:pPr>
            <w:r w:rsidRPr="0024658E">
              <w:rPr>
                <w:b/>
                <w:bCs/>
                <w:sz w:val="23"/>
                <w:szCs w:val="23"/>
              </w:rPr>
              <w:t>Tiesību akta projekta anotācijas kopsavilkums</w:t>
            </w:r>
          </w:p>
        </w:tc>
      </w:tr>
      <w:tr w14:paraId="019C517E" w14:textId="47AFA718" w:rsidTr="004A6884">
        <w:tblPrEx>
          <w:tblW w:w="5000" w:type="pct"/>
          <w:tblCellMar>
            <w:top w:w="30" w:type="dxa"/>
            <w:left w:w="30" w:type="dxa"/>
            <w:bottom w:w="30" w:type="dxa"/>
            <w:right w:w="30" w:type="dxa"/>
          </w:tblCellMar>
          <w:tblLook w:val="04A0"/>
        </w:tblPrEx>
        <w:trPr>
          <w:cantSplit/>
          <w:trHeight w:val="325"/>
        </w:trPr>
        <w:tc>
          <w:tcPr>
            <w:tcW w:w="2493" w:type="pct"/>
          </w:tcPr>
          <w:p w:rsidR="004A6884" w:rsidRPr="004A6884" w:rsidP="004A6884" w14:paraId="0ED7A331" w14:textId="2405B6D9">
            <w:pPr>
              <w:contextualSpacing/>
              <w:rPr>
                <w:sz w:val="23"/>
                <w:szCs w:val="23"/>
              </w:rPr>
            </w:pPr>
            <w:r w:rsidRPr="004A6884">
              <w:rPr>
                <w:sz w:val="23"/>
                <w:szCs w:val="23"/>
              </w:rPr>
              <w:t>Mērķis, risinājums un projekta spēkā stāšanās laiks (500 zīmes bez atstarpēm)</w:t>
            </w:r>
          </w:p>
        </w:tc>
        <w:tc>
          <w:tcPr>
            <w:tcW w:w="2507" w:type="pct"/>
          </w:tcPr>
          <w:p w:rsidR="004A6884" w:rsidRPr="004A6884" w:rsidP="004A6884" w14:paraId="38AA2CD8" w14:textId="7FBD55B7">
            <w:pPr>
              <w:contextualSpacing/>
              <w:rPr>
                <w:sz w:val="23"/>
                <w:szCs w:val="23"/>
              </w:rPr>
            </w:pPr>
            <w:r>
              <w:rPr>
                <w:sz w:val="23"/>
                <w:szCs w:val="23"/>
              </w:rPr>
              <w:t>Nav attiecināms.</w:t>
            </w:r>
          </w:p>
        </w:tc>
      </w:tr>
    </w:tbl>
    <w:p w:rsidR="0024658E" w:rsidRPr="0024658E" w:rsidP="00DA7768" w14:paraId="38C4445E" w14:textId="77777777">
      <w:pPr>
        <w:contextual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33"/>
        <w:gridCol w:w="2776"/>
        <w:gridCol w:w="5357"/>
      </w:tblGrid>
      <w:tr w14:paraId="021B56C2" w14:textId="77777777" w:rsidTr="00DA77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0" w:type="auto"/>
            <w:gridSpan w:val="3"/>
            <w:vAlign w:val="center"/>
            <w:hideMark/>
          </w:tcPr>
          <w:p w:rsidR="00BD5588" w:rsidRPr="0024658E" w:rsidP="00DA7768" w14:paraId="27339D03" w14:textId="11EDA21B">
            <w:pPr>
              <w:contextualSpacing/>
              <w:jc w:val="center"/>
              <w:rPr>
                <w:b/>
                <w:bCs/>
                <w:sz w:val="23"/>
                <w:szCs w:val="23"/>
              </w:rPr>
            </w:pPr>
            <w:r w:rsidRPr="0024658E">
              <w:rPr>
                <w:b/>
                <w:bCs/>
                <w:sz w:val="23"/>
                <w:szCs w:val="23"/>
              </w:rPr>
              <w:t>I.</w:t>
            </w:r>
            <w:r w:rsidRPr="0024658E" w:rsidR="008C3DC3">
              <w:rPr>
                <w:b/>
                <w:bCs/>
                <w:sz w:val="23"/>
                <w:szCs w:val="23"/>
              </w:rPr>
              <w:t> </w:t>
            </w:r>
            <w:r w:rsidRPr="0024658E">
              <w:rPr>
                <w:b/>
                <w:bCs/>
                <w:sz w:val="23"/>
                <w:szCs w:val="23"/>
              </w:rPr>
              <w:t>Tiesību akta projekta izstrādes nepieciešamība</w:t>
            </w:r>
          </w:p>
        </w:tc>
      </w:tr>
      <w:tr w14:paraId="2956D13B"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6DDBFBB5" w14:textId="77777777">
            <w:pPr>
              <w:contextualSpacing/>
              <w:jc w:val="center"/>
              <w:rPr>
                <w:sz w:val="23"/>
                <w:szCs w:val="23"/>
              </w:rPr>
            </w:pPr>
            <w:r w:rsidRPr="0024658E">
              <w:rPr>
                <w:sz w:val="23"/>
                <w:szCs w:val="23"/>
              </w:rPr>
              <w:t>1.</w:t>
            </w:r>
          </w:p>
        </w:tc>
        <w:tc>
          <w:tcPr>
            <w:tcW w:w="0" w:type="auto"/>
            <w:hideMark/>
          </w:tcPr>
          <w:p w:rsidR="00BD5588" w:rsidRPr="0024658E" w:rsidP="00DA7768" w14:paraId="2B54478B" w14:textId="77777777">
            <w:pPr>
              <w:contextualSpacing/>
              <w:rPr>
                <w:sz w:val="23"/>
                <w:szCs w:val="23"/>
              </w:rPr>
            </w:pPr>
            <w:r w:rsidRPr="0024658E">
              <w:rPr>
                <w:sz w:val="23"/>
                <w:szCs w:val="23"/>
              </w:rPr>
              <w:t>Pamatojums</w:t>
            </w:r>
          </w:p>
        </w:tc>
        <w:tc>
          <w:tcPr>
            <w:tcW w:w="0" w:type="auto"/>
            <w:hideMark/>
          </w:tcPr>
          <w:p w:rsidR="00BD5588" w:rsidRPr="0024658E" w:rsidP="00DA7768" w14:paraId="5B49628E" w14:textId="0202127B">
            <w:pPr>
              <w:contextualSpacing/>
              <w:jc w:val="both"/>
              <w:rPr>
                <w:sz w:val="23"/>
                <w:szCs w:val="23"/>
              </w:rPr>
            </w:pPr>
            <w:r w:rsidRPr="0024658E">
              <w:rPr>
                <w:sz w:val="23"/>
                <w:szCs w:val="23"/>
              </w:rPr>
              <w:t>Atkritumu apsaimniekošanas likuma (turpmāk – AAL) 12.</w:t>
            </w:r>
            <w:r w:rsidRPr="0024658E">
              <w:rPr>
                <w:sz w:val="23"/>
                <w:szCs w:val="23"/>
                <w:vertAlign w:val="superscript"/>
              </w:rPr>
              <w:t>1</w:t>
            </w:r>
            <w:r w:rsidRPr="0024658E" w:rsidR="008C3DC3">
              <w:rPr>
                <w:sz w:val="23"/>
                <w:szCs w:val="23"/>
                <w:vertAlign w:val="superscript"/>
              </w:rPr>
              <w:t> </w:t>
            </w:r>
            <w:r w:rsidRPr="0024658E">
              <w:rPr>
                <w:sz w:val="23"/>
                <w:szCs w:val="23"/>
              </w:rPr>
              <w:t>panta ceturtā daļa</w:t>
            </w:r>
            <w:r w:rsidR="00F56756">
              <w:rPr>
                <w:sz w:val="23"/>
                <w:szCs w:val="23"/>
              </w:rPr>
              <w:t>.</w:t>
            </w:r>
          </w:p>
        </w:tc>
      </w:tr>
      <w:tr w14:paraId="56AB3B98" w14:textId="77777777" w:rsidTr="008C35AE">
        <w:tblPrEx>
          <w:tblW w:w="0" w:type="auto"/>
          <w:tblCellMar>
            <w:top w:w="30" w:type="dxa"/>
            <w:left w:w="30" w:type="dxa"/>
            <w:bottom w:w="30" w:type="dxa"/>
            <w:right w:w="30" w:type="dxa"/>
          </w:tblCellMar>
          <w:tblLook w:val="04A0"/>
        </w:tblPrEx>
        <w:trPr>
          <w:cantSplit/>
          <w:trHeight w:val="9808"/>
        </w:trPr>
        <w:tc>
          <w:tcPr>
            <w:tcW w:w="0" w:type="auto"/>
            <w:vMerge w:val="restart"/>
            <w:hideMark/>
          </w:tcPr>
          <w:p w:rsidR="008C35AE" w:rsidRPr="0024658E" w:rsidP="00DA7768" w14:paraId="02A590A4" w14:textId="77777777">
            <w:pPr>
              <w:contextualSpacing/>
              <w:jc w:val="center"/>
              <w:rPr>
                <w:sz w:val="23"/>
                <w:szCs w:val="23"/>
              </w:rPr>
            </w:pPr>
            <w:r w:rsidRPr="0024658E">
              <w:rPr>
                <w:sz w:val="23"/>
                <w:szCs w:val="23"/>
              </w:rPr>
              <w:t>2.</w:t>
            </w:r>
          </w:p>
        </w:tc>
        <w:tc>
          <w:tcPr>
            <w:tcW w:w="0" w:type="auto"/>
            <w:vMerge w:val="restart"/>
            <w:hideMark/>
          </w:tcPr>
          <w:p w:rsidR="008C35AE" w:rsidRPr="0024658E" w:rsidP="00DA7768" w14:paraId="24AA8CA4" w14:textId="77777777">
            <w:pPr>
              <w:contextualSpacing/>
              <w:rPr>
                <w:sz w:val="23"/>
                <w:szCs w:val="23"/>
              </w:rPr>
            </w:pPr>
            <w:r w:rsidRPr="0024658E">
              <w:rPr>
                <w:sz w:val="23"/>
                <w:szCs w:val="23"/>
              </w:rPr>
              <w:t>Pašreizējā situācija un problēmas, kuru risināšanai tiesību akta projekts izstrādāts, tiesiskā regulējuma mērķis un būtība</w:t>
            </w:r>
          </w:p>
        </w:tc>
        <w:tc>
          <w:tcPr>
            <w:tcW w:w="0" w:type="auto"/>
            <w:hideMark/>
          </w:tcPr>
          <w:p w:rsidR="008C35AE" w:rsidRPr="0024658E" w:rsidP="00DA7768" w14:paraId="3DE237BD" w14:textId="26F048A9">
            <w:pPr>
              <w:contextualSpacing/>
              <w:jc w:val="both"/>
              <w:rPr>
                <w:sz w:val="23"/>
                <w:szCs w:val="23"/>
              </w:rPr>
            </w:pPr>
            <w:r w:rsidRPr="0024658E">
              <w:rPr>
                <w:sz w:val="23"/>
                <w:szCs w:val="23"/>
              </w:rPr>
              <w:t xml:space="preserve">2018. gada 1. janvārī ir stājušies spēkā AAL grozījumi, kas paredz, ka atkritumu tirgotājiem vai atkritumu apsaimniekošanas starpniekiem jāziņo par noslēgtajiem līgumiem ar atkritumu apsaimniekotājiem un veiktajiem darījumiem, norādot atkritumu vai otrreizējo izejvielu veidu, apjomu un saņēmēju. </w:t>
            </w:r>
            <w:r>
              <w:rPr>
                <w:sz w:val="23"/>
                <w:szCs w:val="23"/>
              </w:rPr>
              <w:t>Pirms AAL grozījumu stāšanās spēkā atkritumu tirgotājiem un atkritumu apsaimniekošanas starpniekiem nebija noteikta prasība ziņot Valsts vides dienestam (turpmāk – VVD) par noslēgtajiem līgumiem un veiktajiem darīju</w:t>
            </w:r>
            <w:r w:rsidR="00432F1B">
              <w:rPr>
                <w:sz w:val="23"/>
                <w:szCs w:val="23"/>
              </w:rPr>
              <w:t>miem, tomēr, ievērojot 2017. </w:t>
            </w:r>
            <w:r>
              <w:rPr>
                <w:sz w:val="23"/>
                <w:szCs w:val="23"/>
              </w:rPr>
              <w:t>gada notikumus atkritumu apsaimniekošanas jomā ar nelikumīgu atkritumu ievešanu Latvijā, tika pieņemts lēmums pastiprināt kontroli arī attiecībā uz atkritumu tirgotājiem un atkritumu apsaimniekošan</w:t>
            </w:r>
            <w:bookmarkStart w:id="0" w:name="_GoBack"/>
            <w:bookmarkEnd w:id="0"/>
            <w:r>
              <w:rPr>
                <w:sz w:val="23"/>
                <w:szCs w:val="23"/>
              </w:rPr>
              <w:t>as starpniekiem. Papildus AAL deleģējumam par kārtību, kādā atkritumu tirgotāji un atkritumu apsaimniekošanas starpnieki ziņo par noslēgtajiem līgumiem un darījumiem, ALL grozījumos tika izstrādāta prasība, ka atkritumu tirgotāji un atkritumu apsaimniekošanas starpnieki var darboties tikai tad, ja tiem ir noslēgti līgumi ar atkritumu apsaimniekotājiem.</w:t>
            </w:r>
          </w:p>
          <w:p w:rsidR="008C35AE" w:rsidRPr="0024658E" w:rsidP="00DA7768" w14:paraId="1C1B196D" w14:textId="3AA25313">
            <w:pPr>
              <w:contextualSpacing/>
              <w:jc w:val="both"/>
              <w:rPr>
                <w:color w:val="000000"/>
                <w:sz w:val="23"/>
                <w:szCs w:val="23"/>
                <w:shd w:val="clear" w:color="auto" w:fill="FFFFFF"/>
              </w:rPr>
            </w:pPr>
            <w:r w:rsidRPr="0024658E">
              <w:rPr>
                <w:sz w:val="23"/>
                <w:szCs w:val="23"/>
              </w:rPr>
              <w:t xml:space="preserve">Ministru kabineta noteikumu projekts “Grozījumi Ministru kabineta 2011. gada 13. septembra noteikumos Nr. 703 “Noteikumi par atkritumu apsaimniekošanas atļaujas izsniegšanas un anulēšanas kārtību, atkritumu tirgotāju un atkritumu apsaimniekošanas starpnieku reģistrācijas kārtību, kā arī par valsts nodevu un tās maksāšanas kārtību” (turpmāk – noteikumu projekts) paredz kārtību, kādā atkritumu tirgotāji vai atkritumu apsaimniekošanas starpnieki paziņo par noslēgtajiem līgumiem un veiktajiem darījumiem. Tādējādi tiks nodrošināta iespēja kontrolēt atkritumu plūsmas, kas iet caur atkritumu tirgotājiem vai atkritumu apsaimniekošanas starpniekiem, kā arī tiks nodrošināta iespēja uzskaitīt šo atkritumu plūsmu un otrreizējo izejvielu gala saņēmējus. </w:t>
            </w:r>
          </w:p>
        </w:tc>
      </w:tr>
      <w:tr w14:paraId="74B17396" w14:textId="77777777" w:rsidTr="00DA7768">
        <w:tblPrEx>
          <w:tblW w:w="0" w:type="auto"/>
          <w:tblCellMar>
            <w:top w:w="30" w:type="dxa"/>
            <w:left w:w="30" w:type="dxa"/>
            <w:bottom w:w="30" w:type="dxa"/>
            <w:right w:w="30" w:type="dxa"/>
          </w:tblCellMar>
          <w:tblLook w:val="04A0"/>
        </w:tblPrEx>
        <w:trPr>
          <w:cantSplit/>
          <w:trHeight w:val="3152"/>
        </w:trPr>
        <w:tc>
          <w:tcPr>
            <w:tcW w:w="0" w:type="auto"/>
            <w:vMerge/>
          </w:tcPr>
          <w:p w:rsidR="008C35AE" w:rsidRPr="0024658E" w:rsidP="00DA7768" w14:paraId="5372C8F3" w14:textId="77777777">
            <w:pPr>
              <w:contextualSpacing/>
              <w:jc w:val="center"/>
              <w:rPr>
                <w:sz w:val="23"/>
                <w:szCs w:val="23"/>
              </w:rPr>
            </w:pPr>
          </w:p>
        </w:tc>
        <w:tc>
          <w:tcPr>
            <w:tcW w:w="0" w:type="auto"/>
            <w:vMerge/>
          </w:tcPr>
          <w:p w:rsidR="008C35AE" w:rsidRPr="0024658E" w:rsidP="00DA7768" w14:paraId="75940417" w14:textId="77777777">
            <w:pPr>
              <w:contextualSpacing/>
              <w:rPr>
                <w:sz w:val="23"/>
                <w:szCs w:val="23"/>
              </w:rPr>
            </w:pPr>
          </w:p>
        </w:tc>
        <w:tc>
          <w:tcPr>
            <w:tcW w:w="0" w:type="auto"/>
          </w:tcPr>
          <w:p w:rsidR="008C35AE" w:rsidRPr="0024658E" w:rsidP="00DA7768" w14:paraId="61441DCC" w14:textId="77777777">
            <w:pPr>
              <w:contextualSpacing/>
              <w:jc w:val="both"/>
              <w:rPr>
                <w:b/>
                <w:sz w:val="23"/>
                <w:szCs w:val="23"/>
              </w:rPr>
            </w:pPr>
            <w:r w:rsidRPr="0024658E">
              <w:rPr>
                <w:sz w:val="23"/>
                <w:szCs w:val="23"/>
              </w:rPr>
              <w:t xml:space="preserve">Noteikumu projekts uzliek pienākumu atkritumu tirgotājiem vai atkritumu apsaimniekošanas starpniekiem par katru ceturksni </w:t>
            </w:r>
            <w:r>
              <w:rPr>
                <w:sz w:val="23"/>
                <w:szCs w:val="23"/>
              </w:rPr>
              <w:t>sniegt VVD</w:t>
            </w:r>
            <w:r w:rsidRPr="0024658E">
              <w:rPr>
                <w:sz w:val="23"/>
                <w:szCs w:val="23"/>
              </w:rPr>
              <w:t xml:space="preserve"> pārskatus par noslēgtajiem līgumiem ar atkritumu apsaimniekotājiem un pārskatus par veiktajiem darījumiem, tādējādi nodrošinot VVD pilnīgu, pārskatāmu un viegli izsekojamu informāciju par atkritumu vai otrreizējo izejvielu uzskaiti. </w:t>
            </w:r>
          </w:p>
          <w:p w:rsidR="008C35AE" w:rsidRPr="0024658E" w:rsidP="00DA7768" w14:paraId="4A6DE330" w14:textId="0D380EF4">
            <w:pPr>
              <w:contextualSpacing/>
              <w:jc w:val="both"/>
              <w:rPr>
                <w:sz w:val="23"/>
                <w:szCs w:val="23"/>
              </w:rPr>
            </w:pPr>
            <w:r w:rsidRPr="0024658E">
              <w:rPr>
                <w:sz w:val="23"/>
                <w:szCs w:val="23"/>
              </w:rPr>
              <w:t>I</w:t>
            </w:r>
            <w:r w:rsidRPr="0024658E">
              <w:rPr>
                <w:color w:val="000000"/>
                <w:sz w:val="23"/>
                <w:szCs w:val="23"/>
                <w:shd w:val="clear" w:color="auto" w:fill="FFFFFF"/>
              </w:rPr>
              <w:t>evērojot noteikumu projektā minēto kārtību, tiks nodrošināta pārredzama atkritumu vai otrreizējo izejvielu plūsmas uzskaite, kas kopumā uzlabos atkritumu apsaimniekošanas sistēmu un sekmēs vides kvalitāti.</w:t>
            </w:r>
          </w:p>
        </w:tc>
      </w:tr>
      <w:tr w14:paraId="028D0F9A"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021A1DA0" w14:textId="77777777">
            <w:pPr>
              <w:contextualSpacing/>
              <w:jc w:val="center"/>
              <w:rPr>
                <w:sz w:val="23"/>
                <w:szCs w:val="23"/>
              </w:rPr>
            </w:pPr>
            <w:r w:rsidRPr="0024658E">
              <w:rPr>
                <w:sz w:val="23"/>
                <w:szCs w:val="23"/>
              </w:rPr>
              <w:t>3.</w:t>
            </w:r>
          </w:p>
        </w:tc>
        <w:tc>
          <w:tcPr>
            <w:tcW w:w="0" w:type="auto"/>
            <w:hideMark/>
          </w:tcPr>
          <w:p w:rsidR="00BD5588" w:rsidRPr="0024658E" w:rsidP="00DA7768" w14:paraId="3EEF29B7" w14:textId="77777777">
            <w:pPr>
              <w:contextualSpacing/>
              <w:rPr>
                <w:sz w:val="23"/>
                <w:szCs w:val="23"/>
              </w:rPr>
            </w:pPr>
            <w:r w:rsidRPr="0024658E">
              <w:rPr>
                <w:sz w:val="23"/>
                <w:szCs w:val="23"/>
              </w:rPr>
              <w:t>Projekta izstrādē iesaistītās institūcijas un publiskas personas kapitālsabiedrības</w:t>
            </w:r>
          </w:p>
        </w:tc>
        <w:tc>
          <w:tcPr>
            <w:tcW w:w="0" w:type="auto"/>
            <w:hideMark/>
          </w:tcPr>
          <w:p w:rsidR="00BD5588" w:rsidRPr="0024658E" w:rsidP="00DA7768" w14:paraId="782019DC" w14:textId="3A522FCE">
            <w:pPr>
              <w:contextualSpacing/>
              <w:jc w:val="both"/>
              <w:rPr>
                <w:sz w:val="23"/>
                <w:szCs w:val="23"/>
              </w:rPr>
            </w:pPr>
            <w:r w:rsidRPr="0024658E">
              <w:rPr>
                <w:sz w:val="23"/>
                <w:szCs w:val="23"/>
              </w:rPr>
              <w:t>Vides aizsardzības un reģionālās attī</w:t>
            </w:r>
            <w:r w:rsidRPr="0024658E" w:rsidR="007F0A4B">
              <w:rPr>
                <w:sz w:val="23"/>
                <w:szCs w:val="23"/>
              </w:rPr>
              <w:t>stības ministrija, VVD</w:t>
            </w:r>
          </w:p>
        </w:tc>
      </w:tr>
      <w:tr w14:paraId="07F5012C"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789C3207" w14:textId="77777777">
            <w:pPr>
              <w:contextualSpacing/>
              <w:jc w:val="center"/>
              <w:rPr>
                <w:sz w:val="23"/>
                <w:szCs w:val="23"/>
              </w:rPr>
            </w:pPr>
            <w:r w:rsidRPr="0024658E">
              <w:rPr>
                <w:sz w:val="23"/>
                <w:szCs w:val="23"/>
              </w:rPr>
              <w:t>4.</w:t>
            </w:r>
          </w:p>
        </w:tc>
        <w:tc>
          <w:tcPr>
            <w:tcW w:w="0" w:type="auto"/>
            <w:hideMark/>
          </w:tcPr>
          <w:p w:rsidR="00BD5588" w:rsidRPr="0024658E" w:rsidP="00DA7768" w14:paraId="1B382165" w14:textId="77777777">
            <w:pPr>
              <w:contextualSpacing/>
              <w:rPr>
                <w:sz w:val="23"/>
                <w:szCs w:val="23"/>
              </w:rPr>
            </w:pPr>
            <w:r w:rsidRPr="0024658E">
              <w:rPr>
                <w:sz w:val="23"/>
                <w:szCs w:val="23"/>
              </w:rPr>
              <w:t>Cita informācija</w:t>
            </w:r>
          </w:p>
        </w:tc>
        <w:tc>
          <w:tcPr>
            <w:tcW w:w="0" w:type="auto"/>
            <w:hideMark/>
          </w:tcPr>
          <w:p w:rsidR="00BD5588" w:rsidRPr="0024658E" w:rsidP="00DA7768" w14:paraId="5365EAFE" w14:textId="6A353DAB">
            <w:pPr>
              <w:contextualSpacing/>
              <w:rPr>
                <w:sz w:val="23"/>
                <w:szCs w:val="23"/>
              </w:rPr>
            </w:pPr>
            <w:r w:rsidRPr="0024658E">
              <w:rPr>
                <w:sz w:val="23"/>
                <w:szCs w:val="23"/>
              </w:rPr>
              <w:t>Nav</w:t>
            </w:r>
          </w:p>
        </w:tc>
      </w:tr>
    </w:tbl>
    <w:p w:rsidR="00D23EE4" w:rsidRPr="0024658E" w:rsidP="00DA7768" w14:paraId="12D3186C" w14:textId="77777777">
      <w:pPr>
        <w:contextual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33"/>
        <w:gridCol w:w="2200"/>
        <w:gridCol w:w="5933"/>
      </w:tblGrid>
      <w:tr w14:paraId="6D178924" w14:textId="77777777" w:rsidTr="00DA77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0" w:type="auto"/>
            <w:gridSpan w:val="3"/>
            <w:vAlign w:val="center"/>
            <w:hideMark/>
          </w:tcPr>
          <w:p w:rsidR="00BD5588" w:rsidRPr="0024658E" w:rsidP="00DA7768" w14:paraId="2D6093EC" w14:textId="26EA376E">
            <w:pPr>
              <w:contextualSpacing/>
              <w:jc w:val="center"/>
              <w:rPr>
                <w:b/>
                <w:bCs/>
                <w:sz w:val="23"/>
                <w:szCs w:val="23"/>
              </w:rPr>
            </w:pPr>
            <w:r w:rsidRPr="0024658E">
              <w:rPr>
                <w:b/>
                <w:bCs/>
                <w:sz w:val="23"/>
                <w:szCs w:val="23"/>
              </w:rPr>
              <w:t>II.</w:t>
            </w:r>
            <w:r w:rsidRPr="0024658E" w:rsidR="00887F1F">
              <w:rPr>
                <w:b/>
                <w:bCs/>
                <w:sz w:val="23"/>
                <w:szCs w:val="23"/>
              </w:rPr>
              <w:t> </w:t>
            </w:r>
            <w:r w:rsidRPr="0024658E">
              <w:rPr>
                <w:b/>
                <w:bCs/>
                <w:sz w:val="23"/>
                <w:szCs w:val="23"/>
              </w:rPr>
              <w:t>Tiesību akta projekta ietekme uz sabiedrību, tautsaimniecības attīstību un administratīvo slogu</w:t>
            </w:r>
          </w:p>
        </w:tc>
      </w:tr>
      <w:tr w14:paraId="2D994E2E"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3AF52410" w14:textId="77777777">
            <w:pPr>
              <w:contextualSpacing/>
              <w:jc w:val="center"/>
              <w:rPr>
                <w:sz w:val="23"/>
                <w:szCs w:val="23"/>
              </w:rPr>
            </w:pPr>
            <w:r w:rsidRPr="0024658E">
              <w:rPr>
                <w:sz w:val="23"/>
                <w:szCs w:val="23"/>
              </w:rPr>
              <w:t>1.</w:t>
            </w:r>
          </w:p>
        </w:tc>
        <w:tc>
          <w:tcPr>
            <w:tcW w:w="0" w:type="auto"/>
            <w:hideMark/>
          </w:tcPr>
          <w:p w:rsidR="00BD5588" w:rsidRPr="0024658E" w:rsidP="00DA7768" w14:paraId="6975488F" w14:textId="77777777">
            <w:pPr>
              <w:contextualSpacing/>
              <w:rPr>
                <w:sz w:val="23"/>
                <w:szCs w:val="23"/>
              </w:rPr>
            </w:pPr>
            <w:r w:rsidRPr="0024658E">
              <w:rPr>
                <w:sz w:val="23"/>
                <w:szCs w:val="23"/>
              </w:rPr>
              <w:t>Sabiedrības mērķgrupas, kuras tiesiskais regulējums ietekmē vai varētu ietekmēt</w:t>
            </w:r>
          </w:p>
        </w:tc>
        <w:tc>
          <w:tcPr>
            <w:tcW w:w="0" w:type="auto"/>
            <w:hideMark/>
          </w:tcPr>
          <w:p w:rsidR="00BD5588" w:rsidRPr="0024658E" w:rsidP="00DA7768" w14:paraId="536D927B" w14:textId="60A94731">
            <w:pPr>
              <w:contextualSpacing/>
              <w:jc w:val="both"/>
              <w:rPr>
                <w:sz w:val="23"/>
                <w:szCs w:val="23"/>
              </w:rPr>
            </w:pPr>
            <w:r w:rsidRPr="0024658E">
              <w:rPr>
                <w:sz w:val="23"/>
                <w:szCs w:val="23"/>
              </w:rPr>
              <w:t>Atkritumu apsaimniekošanas tirgotāji, atkrit</w:t>
            </w:r>
            <w:r w:rsidRPr="0024658E" w:rsidR="00F6149C">
              <w:rPr>
                <w:sz w:val="23"/>
                <w:szCs w:val="23"/>
              </w:rPr>
              <w:t xml:space="preserve">umu apsaimniekošanas starpnieki, </w:t>
            </w:r>
            <w:r w:rsidRPr="0024658E" w:rsidR="007F0A4B">
              <w:rPr>
                <w:sz w:val="23"/>
                <w:szCs w:val="23"/>
              </w:rPr>
              <w:t>VVD</w:t>
            </w:r>
            <w:r w:rsidRPr="0024658E" w:rsidR="00F6149C">
              <w:rPr>
                <w:sz w:val="23"/>
                <w:szCs w:val="23"/>
              </w:rPr>
              <w:t>.</w:t>
            </w:r>
          </w:p>
        </w:tc>
      </w:tr>
      <w:tr w14:paraId="2AB7B6FB" w14:textId="77777777" w:rsidTr="008C35AE">
        <w:tblPrEx>
          <w:tblW w:w="0" w:type="auto"/>
          <w:tblCellMar>
            <w:top w:w="30" w:type="dxa"/>
            <w:left w:w="30" w:type="dxa"/>
            <w:bottom w:w="30" w:type="dxa"/>
            <w:right w:w="30" w:type="dxa"/>
          </w:tblCellMar>
          <w:tblLook w:val="04A0"/>
        </w:tblPrEx>
        <w:trPr>
          <w:cantSplit/>
          <w:trHeight w:val="5013"/>
        </w:trPr>
        <w:tc>
          <w:tcPr>
            <w:tcW w:w="0" w:type="auto"/>
            <w:hideMark/>
          </w:tcPr>
          <w:p w:rsidR="00BD5588" w:rsidRPr="0024658E" w:rsidP="00DA7768" w14:paraId="6D58F7DA" w14:textId="77777777">
            <w:pPr>
              <w:contextualSpacing/>
              <w:jc w:val="center"/>
              <w:rPr>
                <w:sz w:val="23"/>
                <w:szCs w:val="23"/>
              </w:rPr>
            </w:pPr>
            <w:r w:rsidRPr="0024658E">
              <w:rPr>
                <w:sz w:val="23"/>
                <w:szCs w:val="23"/>
              </w:rPr>
              <w:t>2.</w:t>
            </w:r>
          </w:p>
        </w:tc>
        <w:tc>
          <w:tcPr>
            <w:tcW w:w="0" w:type="auto"/>
            <w:hideMark/>
          </w:tcPr>
          <w:p w:rsidR="00BD5588" w:rsidRPr="0024658E" w:rsidP="00DA7768" w14:paraId="0929486E" w14:textId="77777777">
            <w:pPr>
              <w:contextualSpacing/>
              <w:rPr>
                <w:sz w:val="23"/>
                <w:szCs w:val="23"/>
              </w:rPr>
            </w:pPr>
            <w:r w:rsidRPr="0024658E">
              <w:rPr>
                <w:sz w:val="23"/>
                <w:szCs w:val="23"/>
              </w:rPr>
              <w:t>Tiesiskā regulējuma ietekme uz tautsaimniecību un administratīvo slogu</w:t>
            </w:r>
          </w:p>
        </w:tc>
        <w:tc>
          <w:tcPr>
            <w:tcW w:w="0" w:type="auto"/>
            <w:hideMark/>
          </w:tcPr>
          <w:p w:rsidR="007F0A4B" w:rsidRPr="0024658E" w:rsidP="00DA7768" w14:paraId="7CD108D0" w14:textId="77777777">
            <w:pPr>
              <w:contextualSpacing/>
              <w:jc w:val="both"/>
              <w:rPr>
                <w:sz w:val="23"/>
                <w:szCs w:val="23"/>
              </w:rPr>
            </w:pPr>
            <w:r w:rsidRPr="0024658E">
              <w:rPr>
                <w:sz w:val="23"/>
                <w:szCs w:val="23"/>
              </w:rPr>
              <w:t>Noteikumu projekts pilnveidos atkritumu apsaimniekošanas sistēmu, nosakot kārtību A</w:t>
            </w:r>
            <w:r w:rsidRPr="0024658E" w:rsidR="008302D6">
              <w:rPr>
                <w:sz w:val="23"/>
                <w:szCs w:val="23"/>
              </w:rPr>
              <w:t xml:space="preserve">AL ietverto prasību īstenošanai, līgumu uzskaitei </w:t>
            </w:r>
            <w:r w:rsidRPr="0024658E" w:rsidR="00853D1D">
              <w:rPr>
                <w:sz w:val="23"/>
                <w:szCs w:val="23"/>
              </w:rPr>
              <w:t xml:space="preserve">starp atkritumu tirgotājiem vai atkritumu apsaimniekošanas starpniekiem ar atkritumu apsaimniekotājiem </w:t>
            </w:r>
            <w:r w:rsidRPr="0024658E" w:rsidR="008302D6">
              <w:rPr>
                <w:sz w:val="23"/>
                <w:szCs w:val="23"/>
              </w:rPr>
              <w:t>un atkritumu vai</w:t>
            </w:r>
            <w:r w:rsidRPr="0024658E">
              <w:rPr>
                <w:sz w:val="23"/>
                <w:szCs w:val="23"/>
              </w:rPr>
              <w:t xml:space="preserve"> otrreizējo </w:t>
            </w:r>
            <w:r w:rsidRPr="0024658E" w:rsidR="00C57EA0">
              <w:rPr>
                <w:sz w:val="23"/>
                <w:szCs w:val="23"/>
              </w:rPr>
              <w:t>izejvielu plūsmas izsekojamībai</w:t>
            </w:r>
            <w:r w:rsidRPr="0024658E">
              <w:rPr>
                <w:sz w:val="23"/>
                <w:szCs w:val="23"/>
              </w:rPr>
              <w:t>.</w:t>
            </w:r>
            <w:r w:rsidRPr="0024658E" w:rsidR="00C57EA0">
              <w:rPr>
                <w:sz w:val="23"/>
                <w:szCs w:val="23"/>
              </w:rPr>
              <w:t xml:space="preserve"> </w:t>
            </w:r>
          </w:p>
          <w:p w:rsidR="007F0A4B" w:rsidRPr="0024658E" w:rsidP="00DA7768" w14:paraId="12AAA769" w14:textId="01ADF128">
            <w:pPr>
              <w:contextualSpacing/>
              <w:jc w:val="both"/>
              <w:rPr>
                <w:sz w:val="23"/>
                <w:szCs w:val="23"/>
              </w:rPr>
            </w:pPr>
            <w:r w:rsidRPr="0024658E">
              <w:rPr>
                <w:sz w:val="23"/>
                <w:szCs w:val="23"/>
              </w:rPr>
              <w:t>Atkritumu</w:t>
            </w:r>
            <w:r w:rsidRPr="0024658E" w:rsidR="00CA741F">
              <w:rPr>
                <w:sz w:val="23"/>
                <w:szCs w:val="23"/>
              </w:rPr>
              <w:t xml:space="preserve"> tirgotājiem</w:t>
            </w:r>
            <w:r w:rsidRPr="0024658E">
              <w:rPr>
                <w:sz w:val="23"/>
                <w:szCs w:val="23"/>
              </w:rPr>
              <w:t>, veicot pirkuma vai pārdošanas darījumus</w:t>
            </w:r>
            <w:r w:rsidRPr="0024658E" w:rsidR="00D62377">
              <w:rPr>
                <w:sz w:val="23"/>
                <w:szCs w:val="23"/>
              </w:rPr>
              <w:t xml:space="preserve"> savā vārdā</w:t>
            </w:r>
            <w:r w:rsidRPr="0024658E">
              <w:rPr>
                <w:sz w:val="23"/>
                <w:szCs w:val="23"/>
              </w:rPr>
              <w:t>,</w:t>
            </w:r>
            <w:r w:rsidRPr="0024658E" w:rsidR="00CA741F">
              <w:rPr>
                <w:sz w:val="23"/>
                <w:szCs w:val="23"/>
              </w:rPr>
              <w:t xml:space="preserve"> un atkritumu apsaimniekošanas starpniekam, organizējot atkritumu reģenerāciju vai apglabāšanu citu personu vārdā,</w:t>
            </w:r>
            <w:r w:rsidRPr="0024658E">
              <w:rPr>
                <w:sz w:val="23"/>
                <w:szCs w:val="23"/>
              </w:rPr>
              <w:t xml:space="preserve"> būs jāsniedz VVD</w:t>
            </w:r>
            <w:r w:rsidRPr="0024658E" w:rsidR="00D62377">
              <w:rPr>
                <w:sz w:val="23"/>
                <w:szCs w:val="23"/>
              </w:rPr>
              <w:t xml:space="preserve"> pārskati par noslēgtajiem līgumiem un veiktajiem darījumiem, </w:t>
            </w:r>
            <w:r w:rsidRPr="0024658E" w:rsidR="00EC7992">
              <w:rPr>
                <w:sz w:val="23"/>
                <w:szCs w:val="23"/>
              </w:rPr>
              <w:t>saskaņā ar</w:t>
            </w:r>
            <w:r w:rsidR="00432F1B">
              <w:rPr>
                <w:sz w:val="23"/>
                <w:szCs w:val="23"/>
              </w:rPr>
              <w:t xml:space="preserve"> noteikumu projektu, ar kuru paredzēts papildināt </w:t>
            </w:r>
            <w:r w:rsidRPr="00432F1B" w:rsidR="00432F1B">
              <w:rPr>
                <w:sz w:val="23"/>
                <w:szCs w:val="23"/>
              </w:rPr>
              <w:t>Ministru kabineta 2011. gada 13. septembra noteikumus Nr. 703 “Noteikumi par atkritumu apsaimniekošanas atļaujas izsniegšanas un anulēšanas kārtību, atkritumu tirgotāju un atkritumu apsaimniekošanas starpnieku reģistrācijas kārtību, kā arī par valsts nodevu un tās maksāšanas kārtību”</w:t>
            </w:r>
            <w:r w:rsidRPr="0024658E" w:rsidR="00D62377">
              <w:rPr>
                <w:sz w:val="23"/>
                <w:szCs w:val="23"/>
              </w:rPr>
              <w:t xml:space="preserve"> </w:t>
            </w:r>
            <w:r w:rsidR="00432F1B">
              <w:rPr>
                <w:sz w:val="23"/>
                <w:szCs w:val="23"/>
              </w:rPr>
              <w:t xml:space="preserve">ar </w:t>
            </w:r>
            <w:r w:rsidRPr="0024658E" w:rsidR="00D62377">
              <w:rPr>
                <w:sz w:val="23"/>
                <w:szCs w:val="23"/>
              </w:rPr>
              <w:t>37.</w:t>
            </w:r>
            <w:r w:rsidRPr="0024658E" w:rsidR="00D62377">
              <w:rPr>
                <w:sz w:val="23"/>
                <w:szCs w:val="23"/>
                <w:vertAlign w:val="superscript"/>
              </w:rPr>
              <w:t>15</w:t>
            </w:r>
            <w:r w:rsidR="00432F1B">
              <w:rPr>
                <w:sz w:val="23"/>
                <w:szCs w:val="23"/>
              </w:rPr>
              <w:t> </w:t>
            </w:r>
            <w:r w:rsidRPr="0024658E" w:rsidR="00D62377">
              <w:rPr>
                <w:sz w:val="23"/>
                <w:szCs w:val="23"/>
              </w:rPr>
              <w:t>punk</w:t>
            </w:r>
            <w:r w:rsidRPr="0024658E" w:rsidR="00EC7992">
              <w:rPr>
                <w:sz w:val="23"/>
                <w:szCs w:val="23"/>
              </w:rPr>
              <w:t>tu</w:t>
            </w:r>
            <w:r w:rsidRPr="0024658E">
              <w:rPr>
                <w:sz w:val="23"/>
                <w:szCs w:val="23"/>
              </w:rPr>
              <w:t xml:space="preserve">. </w:t>
            </w:r>
          </w:p>
          <w:p w:rsidR="00594C5F" w:rsidRPr="0024658E" w:rsidP="00DA7768" w14:paraId="3ED92044" w14:textId="1C622EC9">
            <w:pPr>
              <w:contextualSpacing/>
              <w:jc w:val="both"/>
              <w:rPr>
                <w:sz w:val="23"/>
                <w:szCs w:val="23"/>
              </w:rPr>
            </w:pPr>
            <w:r w:rsidRPr="0024658E">
              <w:rPr>
                <w:sz w:val="23"/>
                <w:szCs w:val="23"/>
              </w:rPr>
              <w:t xml:space="preserve">Noteikumu projektam būs pozitīva ietekme uz vidi, tas </w:t>
            </w:r>
            <w:r w:rsidRPr="0024658E" w:rsidR="00D17A29">
              <w:rPr>
                <w:sz w:val="23"/>
                <w:szCs w:val="23"/>
              </w:rPr>
              <w:t>nodrošinās atkritumu tirgotāju vai atkritumu apsaimniekošanas starpnieku veikto darījumu uzskaiti, kā rezultātā būs uzskatāmi redzams, kas ir atkritumu vai otrreizējo izejvielu gala saņēmēji, kā arī būs redzams, vai atkritumu vai otrreizējo izejvielu plūsma, kas iet caur atkritumu tirgotājiem vai atkritumu apsaimniekošanas starpniekiem tiek pārstrādāta vai reģenerēta.</w:t>
            </w:r>
          </w:p>
        </w:tc>
      </w:tr>
      <w:tr w14:paraId="62097992" w14:textId="77777777" w:rsidTr="00DA7768">
        <w:tblPrEx>
          <w:tblW w:w="0" w:type="auto"/>
          <w:tblCellMar>
            <w:top w:w="30" w:type="dxa"/>
            <w:left w:w="30" w:type="dxa"/>
            <w:bottom w:w="30" w:type="dxa"/>
            <w:right w:w="30" w:type="dxa"/>
          </w:tblCellMar>
          <w:tblLook w:val="04A0"/>
        </w:tblPrEx>
        <w:trPr>
          <w:cantSplit/>
          <w:trHeight w:val="9278"/>
        </w:trPr>
        <w:tc>
          <w:tcPr>
            <w:tcW w:w="0" w:type="auto"/>
          </w:tcPr>
          <w:p w:rsidR="008C35AE" w:rsidRPr="0024658E" w:rsidP="00DA7768" w14:paraId="7942D9E2" w14:textId="77777777">
            <w:pPr>
              <w:contextualSpacing/>
              <w:jc w:val="center"/>
              <w:rPr>
                <w:sz w:val="23"/>
                <w:szCs w:val="23"/>
              </w:rPr>
            </w:pPr>
          </w:p>
        </w:tc>
        <w:tc>
          <w:tcPr>
            <w:tcW w:w="0" w:type="auto"/>
          </w:tcPr>
          <w:p w:rsidR="008C35AE" w:rsidRPr="0024658E" w:rsidP="00DA7768" w14:paraId="14ADA692" w14:textId="77777777">
            <w:pPr>
              <w:contextualSpacing/>
              <w:rPr>
                <w:sz w:val="23"/>
                <w:szCs w:val="23"/>
              </w:rPr>
            </w:pPr>
          </w:p>
        </w:tc>
        <w:tc>
          <w:tcPr>
            <w:tcW w:w="0" w:type="auto"/>
          </w:tcPr>
          <w:p w:rsidR="008C35AE" w:rsidRPr="008C35AE" w:rsidP="00DA7768" w14:paraId="3EA64EE4" w14:textId="0BC4F07E">
            <w:pPr>
              <w:contextualSpacing/>
              <w:jc w:val="both"/>
              <w:rPr>
                <w:sz w:val="23"/>
                <w:szCs w:val="23"/>
                <w:highlight w:val="yellow"/>
              </w:rPr>
            </w:pPr>
            <w:r w:rsidRPr="0024658E">
              <w:rPr>
                <w:sz w:val="23"/>
                <w:szCs w:val="23"/>
              </w:rPr>
              <w:t xml:space="preserve"> Lai nodrošinātu atkritumu tirgotāju vai atkritumu apsaimniekošanas starpnieku noslēgto līgumu ar atkritumu apsaimniekotājiem un atkritumu tirgotāju vai atkritumu apsaimniekošanas starpnieku veikto darījumu uzskaiti, atkritumu tirgotājiem vai atkritumu apsaimniekošanas starpniekiem būs nepieciešams iesniegt VVD atbilstošus pārskatus, kur</w:t>
            </w:r>
            <w:r w:rsidR="009C156C">
              <w:rPr>
                <w:sz w:val="23"/>
                <w:szCs w:val="23"/>
              </w:rPr>
              <w:t xml:space="preserve">us saskaņā ar noteikumu projektu, kas paredz papildināt </w:t>
            </w:r>
            <w:r w:rsidRPr="009C156C" w:rsidR="009C156C">
              <w:rPr>
                <w:sz w:val="23"/>
                <w:szCs w:val="23"/>
              </w:rPr>
              <w:t>Ministru kabineta 2011. gada 13. </w:t>
            </w:r>
            <w:r w:rsidRPr="009C156C" w:rsidR="009C156C">
              <w:rPr>
                <w:sz w:val="23"/>
                <w:szCs w:val="23"/>
              </w:rPr>
              <w:t>septembra noteikumus</w:t>
            </w:r>
            <w:r w:rsidRPr="009C156C" w:rsidR="009C156C">
              <w:rPr>
                <w:sz w:val="23"/>
                <w:szCs w:val="23"/>
              </w:rPr>
              <w:t xml:space="preserve"> Nr. 703 “Noteikumi par atkritumu apsaimniekošanas atļaujas izsniegšanas un anulēšanas kārtību, atkritumu tirgotāju un atkritumu apsaimniekošanas starpnieku reģistrācijas kārtību, kā arī par valsts nodevu un tās maksāšanas kārtību”</w:t>
            </w:r>
            <w:r w:rsidRPr="0024658E">
              <w:rPr>
                <w:sz w:val="23"/>
                <w:szCs w:val="23"/>
              </w:rPr>
              <w:t xml:space="preserve"> </w:t>
            </w:r>
            <w:r w:rsidR="009C156C">
              <w:rPr>
                <w:sz w:val="23"/>
                <w:szCs w:val="23"/>
              </w:rPr>
              <w:t xml:space="preserve">ar </w:t>
            </w:r>
            <w:r w:rsidRPr="0024658E">
              <w:rPr>
                <w:sz w:val="23"/>
                <w:szCs w:val="23"/>
              </w:rPr>
              <w:t>37.</w:t>
            </w:r>
            <w:r w:rsidRPr="0024658E">
              <w:rPr>
                <w:sz w:val="23"/>
                <w:szCs w:val="23"/>
                <w:vertAlign w:val="superscript"/>
              </w:rPr>
              <w:t>16</w:t>
            </w:r>
            <w:r w:rsidR="009C156C">
              <w:rPr>
                <w:sz w:val="23"/>
                <w:szCs w:val="23"/>
              </w:rPr>
              <w:t> </w:t>
            </w:r>
            <w:r w:rsidRPr="0024658E">
              <w:rPr>
                <w:sz w:val="23"/>
                <w:szCs w:val="23"/>
              </w:rPr>
              <w:t>punktu</w:t>
            </w:r>
            <w:r w:rsidR="009C156C">
              <w:rPr>
                <w:sz w:val="23"/>
                <w:szCs w:val="23"/>
              </w:rPr>
              <w:t>,</w:t>
            </w:r>
            <w:r w:rsidRPr="0024658E">
              <w:rPr>
                <w:sz w:val="23"/>
                <w:szCs w:val="23"/>
              </w:rPr>
              <w:t xml:space="preserve"> varēs iesniegt papīra formā (attiecīgo informāciju iesniedzot arī elektroniski) vai elektroniska dokumenta formā atbilstoši normatīvajiem aktiem par elektronisko dokumentu noformēšanu. </w:t>
            </w:r>
          </w:p>
          <w:p w:rsidR="008C35AE" w:rsidRPr="0024658E" w:rsidP="00DA7768" w14:paraId="0D2D5101" w14:textId="1D4AD789">
            <w:pPr>
              <w:contextualSpacing/>
              <w:jc w:val="both"/>
              <w:rPr>
                <w:sz w:val="23"/>
                <w:szCs w:val="23"/>
              </w:rPr>
            </w:pPr>
            <w:r w:rsidRPr="0024658E">
              <w:rPr>
                <w:sz w:val="23"/>
                <w:szCs w:val="23"/>
              </w:rPr>
              <w:t>Lai VVD iesniegtos datus varētu operatīvāk apstrādāt, tie ir nepieciešami elektroniskā formā, tomēr atkritumu tirgotājiem vai atkritumu apsaimniekošanas starpniekiem būs iespēja iesniegt pārskatus ne tikai elektroniska dokumenta veidā, bet arī papīra formā, nodrošinot, ka attiecīgā informācija tiek iesniegta arī elektroniskā formā, piemēram, pievienojot elektroniskai pasta vēstulei un nenoformējot kā elektronisko dokumentu.</w:t>
            </w:r>
            <w:r w:rsidR="009C156C">
              <w:rPr>
                <w:sz w:val="23"/>
                <w:szCs w:val="23"/>
              </w:rPr>
              <w:t xml:space="preserve"> </w:t>
            </w:r>
            <w:r w:rsidRPr="0024658E">
              <w:rPr>
                <w:sz w:val="23"/>
                <w:szCs w:val="23"/>
              </w:rPr>
              <w:t xml:space="preserve">Plānots, ka pārskatu iesniegšana atkritumu tirgotājiem vai atkritumu apsaimniekošanas starpniekiem neradīs būtisku administratīvo slogu. </w:t>
            </w:r>
          </w:p>
          <w:p w:rsidR="008C35AE" w:rsidRPr="0024658E" w:rsidP="00DA7768" w14:paraId="1E89547A" w14:textId="77777777">
            <w:pPr>
              <w:contextualSpacing/>
              <w:jc w:val="both"/>
              <w:rPr>
                <w:sz w:val="23"/>
                <w:szCs w:val="23"/>
              </w:rPr>
            </w:pPr>
            <w:r w:rsidRPr="0024658E">
              <w:rPr>
                <w:sz w:val="23"/>
                <w:szCs w:val="23"/>
              </w:rPr>
              <w:t>Noteikumu projekta tiesiskā regulējuma ietekme uz tautsaimniecību un sabiedrības mērķgrupām – uz maziem, vidējiem uzņēmumiem, mikrouzņēmumiem un jaunuzņēmumiem un uz nevalstiskajām organizācijām nebūs ievērojama. Noteikumu projektam būs pozitīva ietekme uz vidi, veselību, Nacionālā attīstības plāna rādītājiem mikrolīmenī un makrolīmenī, jo tiesiskais regulējums nodrošinās pārskatāmu un aktuālu informāciju par atkritumu tirgotājiem vai atkritumu apsaimniekošanas starpniekiem.</w:t>
            </w:r>
          </w:p>
          <w:p w:rsidR="008C35AE" w:rsidRPr="0024658E" w:rsidP="00DA7768" w14:paraId="64DBDF11" w14:textId="26D20905">
            <w:pPr>
              <w:contextualSpacing/>
              <w:jc w:val="both"/>
              <w:rPr>
                <w:sz w:val="23"/>
                <w:szCs w:val="23"/>
              </w:rPr>
            </w:pPr>
            <w:r w:rsidRPr="0024658E">
              <w:rPr>
                <w:sz w:val="23"/>
                <w:szCs w:val="23"/>
              </w:rPr>
              <w:t xml:space="preserve">Noteikumu projekta </w:t>
            </w:r>
            <w:r w:rsidR="00E9147C">
              <w:rPr>
                <w:sz w:val="23"/>
                <w:szCs w:val="23"/>
              </w:rPr>
              <w:t xml:space="preserve">5. punkts paredz papildināt </w:t>
            </w:r>
            <w:r w:rsidRPr="009C156C" w:rsidR="00E9147C">
              <w:rPr>
                <w:sz w:val="23"/>
                <w:szCs w:val="23"/>
              </w:rPr>
              <w:t>Ministru kabineta 2011. gada 13. septembra noteikumus Nr. 703 “Noteikumi par atkritumu apsaimniekošanas atļaujas izsniegšanas un anulēšanas kārtību, atkritumu tirgotāju un atkritumu apsaimniekošanas starpnieku reģistrācijas kārtību, kā arī par valsts nodevu un tās maksāšanas kārtību”</w:t>
            </w:r>
            <w:r w:rsidR="00E9147C">
              <w:rPr>
                <w:sz w:val="23"/>
                <w:szCs w:val="23"/>
              </w:rPr>
              <w:t xml:space="preserve"> ar 46. punktu</w:t>
            </w:r>
            <w:r w:rsidRPr="0024658E">
              <w:rPr>
                <w:sz w:val="23"/>
                <w:szCs w:val="23"/>
              </w:rPr>
              <w:t xml:space="preserve"> paredz</w:t>
            </w:r>
            <w:r w:rsidR="00E9147C">
              <w:rPr>
                <w:sz w:val="23"/>
                <w:szCs w:val="23"/>
              </w:rPr>
              <w:t>ot</w:t>
            </w:r>
            <w:r w:rsidRPr="0024658E">
              <w:rPr>
                <w:sz w:val="23"/>
                <w:szCs w:val="23"/>
              </w:rPr>
              <w:t>, ka atkritumu tirgotājiem vai atkritumu apsaimniekošanas starpniekiem šo noteikumu 37.</w:t>
            </w:r>
            <w:r w:rsidRPr="0024658E">
              <w:rPr>
                <w:sz w:val="23"/>
                <w:szCs w:val="23"/>
                <w:vertAlign w:val="superscript"/>
              </w:rPr>
              <w:t>15</w:t>
            </w:r>
            <w:r w:rsidR="00E9147C">
              <w:rPr>
                <w:sz w:val="23"/>
                <w:szCs w:val="23"/>
              </w:rPr>
              <w:t> </w:t>
            </w:r>
            <w:r w:rsidRPr="0024658E">
              <w:rPr>
                <w:sz w:val="23"/>
                <w:szCs w:val="23"/>
              </w:rPr>
              <w:t>punktā minēto informāciju VVD pirmo reizi jāiesniedz viena mēneša laikā pēc noteikumu projekta stāšanās spēkā par laika periodu kopš 2018. gada 1. janvāra.</w:t>
            </w:r>
          </w:p>
        </w:tc>
      </w:tr>
      <w:tr w14:paraId="51101E95" w14:textId="77777777" w:rsidTr="002F4951">
        <w:tblPrEx>
          <w:tblW w:w="0" w:type="auto"/>
          <w:tblCellMar>
            <w:top w:w="30" w:type="dxa"/>
            <w:left w:w="30" w:type="dxa"/>
            <w:bottom w:w="30" w:type="dxa"/>
            <w:right w:w="30" w:type="dxa"/>
          </w:tblCellMar>
          <w:tblLook w:val="04A0"/>
        </w:tblPrEx>
        <w:trPr>
          <w:cantSplit/>
          <w:trHeight w:val="4062"/>
        </w:trPr>
        <w:tc>
          <w:tcPr>
            <w:tcW w:w="0" w:type="auto"/>
            <w:hideMark/>
          </w:tcPr>
          <w:p w:rsidR="00BB0130" w:rsidRPr="0024658E" w:rsidP="00DA7768" w14:paraId="64F392B3" w14:textId="77777777">
            <w:pPr>
              <w:contextualSpacing/>
              <w:jc w:val="center"/>
              <w:rPr>
                <w:sz w:val="23"/>
                <w:szCs w:val="23"/>
              </w:rPr>
            </w:pPr>
            <w:r w:rsidRPr="0024658E">
              <w:rPr>
                <w:sz w:val="23"/>
                <w:szCs w:val="23"/>
              </w:rPr>
              <w:t>3.</w:t>
            </w:r>
          </w:p>
        </w:tc>
        <w:tc>
          <w:tcPr>
            <w:tcW w:w="0" w:type="auto"/>
            <w:hideMark/>
          </w:tcPr>
          <w:p w:rsidR="00BB0130" w:rsidRPr="0024658E" w:rsidP="00DA7768" w14:paraId="6F4FBCDC" w14:textId="77777777">
            <w:pPr>
              <w:contextualSpacing/>
              <w:rPr>
                <w:sz w:val="23"/>
                <w:szCs w:val="23"/>
              </w:rPr>
            </w:pPr>
            <w:r w:rsidRPr="0024658E">
              <w:rPr>
                <w:sz w:val="23"/>
                <w:szCs w:val="23"/>
              </w:rPr>
              <w:t>Administratīvo izmaksu monetārs novērtējums</w:t>
            </w:r>
          </w:p>
        </w:tc>
        <w:tc>
          <w:tcPr>
            <w:tcW w:w="0" w:type="auto"/>
            <w:hideMark/>
          </w:tcPr>
          <w:p w:rsidR="0072609E" w:rsidRPr="0024658E" w:rsidP="00DA7768" w14:paraId="512A65C9" w14:textId="77777777">
            <w:pPr>
              <w:ind w:left="110" w:right="108"/>
              <w:contextualSpacing/>
              <w:jc w:val="both"/>
              <w:rPr>
                <w:sz w:val="23"/>
                <w:szCs w:val="23"/>
              </w:rPr>
            </w:pPr>
            <w:r w:rsidRPr="0024658E">
              <w:rPr>
                <w:sz w:val="23"/>
                <w:szCs w:val="23"/>
              </w:rPr>
              <w:t>Administratīvo izmaksu novērtējumā iekļauts aprēķins par informācijas sagatavošanu, kas jāveic reizi ceturksnī.</w:t>
            </w:r>
          </w:p>
          <w:p w:rsidR="0072609E" w:rsidRPr="0024658E" w:rsidP="00DA7768" w14:paraId="628FB0FA" w14:textId="77777777">
            <w:pPr>
              <w:ind w:left="110" w:right="108"/>
              <w:contextualSpacing/>
              <w:jc w:val="both"/>
              <w:rPr>
                <w:sz w:val="23"/>
                <w:szCs w:val="23"/>
                <w:lang w:eastAsia="en-US"/>
              </w:rPr>
            </w:pPr>
            <w:r w:rsidRPr="0024658E">
              <w:rPr>
                <w:sz w:val="23"/>
                <w:szCs w:val="23"/>
              </w:rPr>
              <w:t>C = (f x l) x (n x b), kur</w:t>
            </w:r>
          </w:p>
          <w:p w:rsidR="0072609E" w:rsidRPr="0024658E" w:rsidP="00DA7768" w14:paraId="3D85424F" w14:textId="77777777">
            <w:pPr>
              <w:ind w:left="110" w:right="108"/>
              <w:contextualSpacing/>
              <w:jc w:val="both"/>
              <w:rPr>
                <w:sz w:val="23"/>
                <w:szCs w:val="23"/>
              </w:rPr>
            </w:pPr>
            <w:r w:rsidRPr="0024658E">
              <w:rPr>
                <w:bCs/>
                <w:sz w:val="23"/>
                <w:szCs w:val="23"/>
              </w:rPr>
              <w:t>C</w:t>
            </w:r>
            <w:r w:rsidRPr="0024658E">
              <w:rPr>
                <w:sz w:val="23"/>
                <w:szCs w:val="23"/>
              </w:rPr>
              <w:t xml:space="preserve"> – iesniegto pārskatu par noslēgtajiem līgumiem un veiktajiem darījumiem uzskaites un apkopošanas izmaksas jeb administratīvās izmaksas;</w:t>
            </w:r>
          </w:p>
          <w:p w:rsidR="00BB0130" w:rsidRPr="0024658E" w:rsidP="00DA7768" w14:paraId="610D29F9" w14:textId="366EC3CC">
            <w:pPr>
              <w:pStyle w:val="tv213"/>
              <w:spacing w:before="0" w:after="0"/>
              <w:ind w:left="110" w:right="108"/>
              <w:contextualSpacing/>
              <w:jc w:val="both"/>
              <w:rPr>
                <w:sz w:val="23"/>
                <w:szCs w:val="23"/>
              </w:rPr>
            </w:pPr>
            <w:r w:rsidRPr="0024658E">
              <w:rPr>
                <w:bCs/>
                <w:sz w:val="23"/>
                <w:szCs w:val="23"/>
              </w:rPr>
              <w:t>f</w:t>
            </w:r>
            <w:r w:rsidRPr="0024658E">
              <w:rPr>
                <w:sz w:val="23"/>
                <w:szCs w:val="23"/>
              </w:rPr>
              <w:t xml:space="preserve"> – finanšu līdzekļu apjoms, kas nepieciešams, lai nodrošinātu noteikumu projektā paredzēto iesniegto pārskatu uzskaiti un apkopošanu (stundas samaksas likme) – privātajā sektorā stundas likme ir aprēķināta, dalot vidējo mēneša algu privātajā sektorā (pēc Centrālā</w:t>
            </w:r>
            <w:r w:rsidR="00E9147C">
              <w:rPr>
                <w:sz w:val="23"/>
                <w:szCs w:val="23"/>
              </w:rPr>
              <w:t>s statistikas pārvaldes tīmekļ</w:t>
            </w:r>
            <w:r w:rsidRPr="0024658E">
              <w:rPr>
                <w:sz w:val="23"/>
                <w:szCs w:val="23"/>
              </w:rPr>
              <w:t xml:space="preserve">vietnes </w:t>
            </w:r>
            <w:r>
              <w:fldChar w:fldCharType="begin"/>
            </w:r>
            <w:r>
              <w:instrText xml:space="preserve"> HYPERLINK "http://www.csb.gov.lv" </w:instrText>
            </w:r>
            <w:r>
              <w:fldChar w:fldCharType="separate"/>
            </w:r>
            <w:r w:rsidRPr="0024658E">
              <w:rPr>
                <w:rStyle w:val="Hyperlink"/>
                <w:sz w:val="23"/>
                <w:szCs w:val="23"/>
              </w:rPr>
              <w:t>www.csb.gov.lv</w:t>
            </w:r>
            <w:r>
              <w:fldChar w:fldCharType="end"/>
            </w:r>
            <w:r w:rsidRPr="0024658E">
              <w:rPr>
                <w:sz w:val="23"/>
                <w:szCs w:val="23"/>
              </w:rPr>
              <w:t xml:space="preserve"> datiem 2016. gadā tā bija 855,00 </w:t>
            </w:r>
            <w:r w:rsidRPr="0024658E">
              <w:rPr>
                <w:i/>
                <w:iCs/>
                <w:sz w:val="23"/>
                <w:szCs w:val="23"/>
              </w:rPr>
              <w:t>euro/</w:t>
            </w:r>
            <w:r w:rsidRPr="0024658E">
              <w:rPr>
                <w:sz w:val="23"/>
                <w:szCs w:val="23"/>
              </w:rPr>
              <w:t xml:space="preserve">mēnesī) ar Darba likuma 131. panta pirmajā daļā minēto normālo darba laiku (40 stundas nedēļā x 4 = 160 stundas mēnesī) = </w:t>
            </w:r>
            <w:r w:rsidRPr="0024658E">
              <w:rPr>
                <w:bCs/>
                <w:sz w:val="23"/>
                <w:szCs w:val="23"/>
              </w:rPr>
              <w:t>5,34 </w:t>
            </w:r>
            <w:r w:rsidRPr="0024658E">
              <w:rPr>
                <w:bCs/>
                <w:i/>
                <w:iCs/>
                <w:sz w:val="23"/>
                <w:szCs w:val="23"/>
              </w:rPr>
              <w:t>euro</w:t>
            </w:r>
            <w:r w:rsidRPr="0024658E">
              <w:rPr>
                <w:bCs/>
                <w:sz w:val="23"/>
                <w:szCs w:val="23"/>
              </w:rPr>
              <w:t>/stundā</w:t>
            </w:r>
            <w:r w:rsidRPr="0024658E">
              <w:rPr>
                <w:sz w:val="23"/>
                <w:szCs w:val="23"/>
              </w:rPr>
              <w:t>;</w:t>
            </w:r>
          </w:p>
        </w:tc>
      </w:tr>
      <w:tr w14:paraId="60B22A9E" w14:textId="77777777" w:rsidTr="00DA7768">
        <w:tblPrEx>
          <w:tblW w:w="0" w:type="auto"/>
          <w:tblCellMar>
            <w:top w:w="30" w:type="dxa"/>
            <w:left w:w="30" w:type="dxa"/>
            <w:bottom w:w="30" w:type="dxa"/>
            <w:right w:w="30" w:type="dxa"/>
          </w:tblCellMar>
          <w:tblLook w:val="04A0"/>
        </w:tblPrEx>
        <w:trPr>
          <w:cantSplit/>
          <w:trHeight w:val="2812"/>
        </w:trPr>
        <w:tc>
          <w:tcPr>
            <w:tcW w:w="0" w:type="auto"/>
          </w:tcPr>
          <w:p w:rsidR="002F4951" w:rsidRPr="0024658E" w:rsidP="00DA7768" w14:paraId="79E791FE" w14:textId="77777777">
            <w:pPr>
              <w:contextualSpacing/>
              <w:jc w:val="center"/>
              <w:rPr>
                <w:sz w:val="23"/>
                <w:szCs w:val="23"/>
              </w:rPr>
            </w:pPr>
          </w:p>
        </w:tc>
        <w:tc>
          <w:tcPr>
            <w:tcW w:w="0" w:type="auto"/>
          </w:tcPr>
          <w:p w:rsidR="002F4951" w:rsidRPr="0024658E" w:rsidP="00DA7768" w14:paraId="43D8C50B" w14:textId="77777777">
            <w:pPr>
              <w:contextualSpacing/>
              <w:rPr>
                <w:sz w:val="23"/>
                <w:szCs w:val="23"/>
              </w:rPr>
            </w:pPr>
          </w:p>
        </w:tc>
        <w:tc>
          <w:tcPr>
            <w:tcW w:w="0" w:type="auto"/>
          </w:tcPr>
          <w:p w:rsidR="002F4951" w:rsidRPr="0024658E" w:rsidP="00DA7768" w14:paraId="05127593" w14:textId="77777777">
            <w:pPr>
              <w:pStyle w:val="tv213"/>
              <w:spacing w:before="0" w:beforeAutospacing="0" w:after="0" w:afterAutospacing="0"/>
              <w:ind w:left="110" w:right="108"/>
              <w:contextualSpacing/>
              <w:jc w:val="both"/>
              <w:rPr>
                <w:sz w:val="23"/>
                <w:szCs w:val="23"/>
              </w:rPr>
            </w:pPr>
            <w:r w:rsidRPr="0024658E">
              <w:rPr>
                <w:bCs/>
                <w:sz w:val="23"/>
                <w:szCs w:val="23"/>
              </w:rPr>
              <w:t xml:space="preserve">l </w:t>
            </w:r>
            <w:r w:rsidRPr="0024658E">
              <w:rPr>
                <w:sz w:val="23"/>
                <w:szCs w:val="23"/>
              </w:rPr>
              <w:t xml:space="preserve">– laika patēriņš, kas nepieciešams, lai veiktu informācijas sagatavošanu – </w:t>
            </w:r>
            <w:r w:rsidRPr="0024658E">
              <w:rPr>
                <w:bCs/>
                <w:sz w:val="23"/>
                <w:szCs w:val="23"/>
              </w:rPr>
              <w:t>8 stundas</w:t>
            </w:r>
            <w:r w:rsidRPr="0024658E">
              <w:rPr>
                <w:sz w:val="23"/>
                <w:szCs w:val="23"/>
              </w:rPr>
              <w:t>;</w:t>
            </w:r>
          </w:p>
          <w:p w:rsidR="002F4951" w:rsidRPr="0024658E" w:rsidP="00DA7768" w14:paraId="30354758" w14:textId="6D23064C">
            <w:pPr>
              <w:pStyle w:val="tv213"/>
              <w:spacing w:before="0" w:beforeAutospacing="0" w:after="0" w:afterAutospacing="0"/>
              <w:ind w:left="110" w:right="108"/>
              <w:contextualSpacing/>
              <w:jc w:val="both"/>
              <w:rPr>
                <w:sz w:val="23"/>
                <w:szCs w:val="23"/>
              </w:rPr>
            </w:pPr>
            <w:r w:rsidRPr="0024658E">
              <w:rPr>
                <w:bCs/>
                <w:sz w:val="23"/>
                <w:szCs w:val="23"/>
              </w:rPr>
              <w:t>n</w:t>
            </w:r>
            <w:r w:rsidRPr="0024658E">
              <w:rPr>
                <w:sz w:val="23"/>
                <w:szCs w:val="23"/>
              </w:rPr>
              <w:t xml:space="preserve"> – atkritumu tirgotāju/starpnieku skaits, uz ko attiecas projektā paredzētās prasības – </w:t>
            </w:r>
            <w:r w:rsidRPr="0024658E">
              <w:rPr>
                <w:bCs/>
                <w:sz w:val="23"/>
                <w:szCs w:val="23"/>
              </w:rPr>
              <w:t>69 atkritumu tirgotāji/sta</w:t>
            </w:r>
            <w:r w:rsidR="00E9147C">
              <w:rPr>
                <w:bCs/>
                <w:sz w:val="23"/>
                <w:szCs w:val="23"/>
              </w:rPr>
              <w:t>rpnieki (saskaņā ar VVD tīmekļ</w:t>
            </w:r>
            <w:r w:rsidRPr="0024658E">
              <w:rPr>
                <w:bCs/>
                <w:sz w:val="23"/>
                <w:szCs w:val="23"/>
              </w:rPr>
              <w:t>vietnē ievietoto sarakstu ar atkritumu tirgotājiem/starpniekiem, kuriem ir derīga atļauja)</w:t>
            </w:r>
            <w:r w:rsidRPr="0024658E">
              <w:rPr>
                <w:sz w:val="23"/>
                <w:szCs w:val="23"/>
              </w:rPr>
              <w:t>;</w:t>
            </w:r>
          </w:p>
          <w:p w:rsidR="002F4951" w:rsidRPr="0024658E" w:rsidP="00DA7768" w14:paraId="06FEC4A1" w14:textId="77777777">
            <w:pPr>
              <w:pStyle w:val="tv213"/>
              <w:spacing w:before="0" w:beforeAutospacing="0" w:after="0" w:afterAutospacing="0"/>
              <w:ind w:left="110" w:right="108"/>
              <w:contextualSpacing/>
              <w:jc w:val="both"/>
              <w:rPr>
                <w:sz w:val="23"/>
                <w:szCs w:val="23"/>
              </w:rPr>
            </w:pPr>
            <w:r w:rsidRPr="0024658E">
              <w:rPr>
                <w:bCs/>
                <w:sz w:val="23"/>
                <w:szCs w:val="23"/>
              </w:rPr>
              <w:t>b</w:t>
            </w:r>
            <w:r w:rsidRPr="0024658E">
              <w:rPr>
                <w:sz w:val="23"/>
                <w:szCs w:val="23"/>
              </w:rPr>
              <w:t xml:space="preserve"> – informācijas sagatavošanas biežums - </w:t>
            </w:r>
            <w:r w:rsidRPr="0024658E">
              <w:rPr>
                <w:bCs/>
                <w:sz w:val="23"/>
                <w:szCs w:val="23"/>
              </w:rPr>
              <w:t>reizi ceturksnī jeb 4 reizes gadā</w:t>
            </w:r>
            <w:r w:rsidRPr="0024658E">
              <w:rPr>
                <w:sz w:val="23"/>
                <w:szCs w:val="23"/>
              </w:rPr>
              <w:t>.</w:t>
            </w:r>
          </w:p>
          <w:p w:rsidR="002F4951" w:rsidRPr="0024658E" w:rsidP="00DA7768" w14:paraId="6E0C15EE" w14:textId="17994B09">
            <w:pPr>
              <w:ind w:firstLine="114"/>
              <w:contextualSpacing/>
              <w:jc w:val="both"/>
              <w:rPr>
                <w:sz w:val="23"/>
                <w:szCs w:val="23"/>
              </w:rPr>
            </w:pPr>
            <w:r w:rsidRPr="0024658E">
              <w:rPr>
                <w:i/>
                <w:sz w:val="23"/>
                <w:szCs w:val="23"/>
              </w:rPr>
              <w:t>Aprēķins: (5,34 x 8) x (69</w:t>
            </w:r>
            <w:r w:rsidR="00E9147C">
              <w:rPr>
                <w:i/>
                <w:sz w:val="23"/>
                <w:szCs w:val="23"/>
              </w:rPr>
              <w:t xml:space="preserve"> x 4) = 42,72 x 276 = 11 790,72 </w:t>
            </w:r>
            <w:r w:rsidRPr="0024658E">
              <w:rPr>
                <w:i/>
                <w:sz w:val="23"/>
                <w:szCs w:val="23"/>
              </w:rPr>
              <w:t>euro</w:t>
            </w:r>
            <w:r w:rsidRPr="0024658E">
              <w:rPr>
                <w:sz w:val="23"/>
                <w:szCs w:val="23"/>
              </w:rPr>
              <w:t>.</w:t>
            </w:r>
          </w:p>
        </w:tc>
      </w:tr>
      <w:tr w14:paraId="3C46DEE4" w14:textId="77777777" w:rsidTr="00DA7768">
        <w:tblPrEx>
          <w:tblW w:w="0" w:type="auto"/>
          <w:tblCellMar>
            <w:top w:w="30" w:type="dxa"/>
            <w:left w:w="30" w:type="dxa"/>
            <w:bottom w:w="30" w:type="dxa"/>
            <w:right w:w="30" w:type="dxa"/>
          </w:tblCellMar>
          <w:tblLook w:val="04A0"/>
        </w:tblPrEx>
        <w:trPr>
          <w:cantSplit/>
        </w:trPr>
        <w:tc>
          <w:tcPr>
            <w:tcW w:w="0" w:type="auto"/>
            <w:hideMark/>
          </w:tcPr>
          <w:p w:rsidR="00BB0130" w:rsidRPr="0024658E" w:rsidP="00DA7768" w14:paraId="72720DE5" w14:textId="77777777">
            <w:pPr>
              <w:contextualSpacing/>
              <w:jc w:val="center"/>
              <w:rPr>
                <w:sz w:val="23"/>
                <w:szCs w:val="23"/>
              </w:rPr>
            </w:pPr>
            <w:r w:rsidRPr="0024658E">
              <w:rPr>
                <w:sz w:val="23"/>
                <w:szCs w:val="23"/>
              </w:rPr>
              <w:t>4.</w:t>
            </w:r>
          </w:p>
        </w:tc>
        <w:tc>
          <w:tcPr>
            <w:tcW w:w="0" w:type="auto"/>
            <w:hideMark/>
          </w:tcPr>
          <w:p w:rsidR="00BB0130" w:rsidRPr="0024658E" w:rsidP="00DA7768" w14:paraId="1C8C0D3E" w14:textId="77777777">
            <w:pPr>
              <w:contextualSpacing/>
              <w:rPr>
                <w:sz w:val="23"/>
                <w:szCs w:val="23"/>
              </w:rPr>
            </w:pPr>
            <w:r w:rsidRPr="0024658E">
              <w:rPr>
                <w:sz w:val="23"/>
                <w:szCs w:val="23"/>
              </w:rPr>
              <w:t>Atbilstības izmaksu monetārs novērtējums</w:t>
            </w:r>
          </w:p>
        </w:tc>
        <w:tc>
          <w:tcPr>
            <w:tcW w:w="0" w:type="auto"/>
            <w:hideMark/>
          </w:tcPr>
          <w:p w:rsidR="00BB0130" w:rsidRPr="0024658E" w:rsidP="00DA7768" w14:paraId="43E4D186" w14:textId="2D25B74D">
            <w:pPr>
              <w:contextualSpacing/>
              <w:jc w:val="both"/>
              <w:rPr>
                <w:sz w:val="23"/>
                <w:szCs w:val="23"/>
              </w:rPr>
            </w:pPr>
            <w:r w:rsidRPr="0024658E">
              <w:rPr>
                <w:sz w:val="23"/>
                <w:szCs w:val="23"/>
              </w:rPr>
              <w:t>Atbilstības nodrošināšanas izmaksas ir līdzvērtīgas administratīvajām izmaksām, kas tiek rēķinātas pēc anotācijas II. sadaļas 3.</w:t>
            </w:r>
            <w:r w:rsidR="00E9147C">
              <w:rPr>
                <w:sz w:val="23"/>
                <w:szCs w:val="23"/>
              </w:rPr>
              <w:t> </w:t>
            </w:r>
            <w:r w:rsidRPr="0024658E">
              <w:rPr>
                <w:sz w:val="23"/>
                <w:szCs w:val="23"/>
              </w:rPr>
              <w:t xml:space="preserve">punktā minētās formulas, tomēr precīzu novērtējumu ir iespējams veikti tikai brīdī, kad ir skaidrs komersantu skaits, kas sniegs šo noteikumu ietvarā nepieciešamo informāciju </w:t>
            </w:r>
            <w:r w:rsidRPr="0024658E" w:rsidR="007F0A4B">
              <w:rPr>
                <w:sz w:val="23"/>
                <w:szCs w:val="23"/>
              </w:rPr>
              <w:t>VVD</w:t>
            </w:r>
            <w:r w:rsidRPr="0024658E">
              <w:rPr>
                <w:sz w:val="23"/>
                <w:szCs w:val="23"/>
              </w:rPr>
              <w:t>.</w:t>
            </w:r>
          </w:p>
        </w:tc>
      </w:tr>
      <w:tr w14:paraId="2DE5E4E3" w14:textId="77777777" w:rsidTr="00DA7768">
        <w:tblPrEx>
          <w:tblW w:w="0" w:type="auto"/>
          <w:tblCellMar>
            <w:top w:w="30" w:type="dxa"/>
            <w:left w:w="30" w:type="dxa"/>
            <w:bottom w:w="30" w:type="dxa"/>
            <w:right w:w="30" w:type="dxa"/>
          </w:tblCellMar>
          <w:tblLook w:val="04A0"/>
        </w:tblPrEx>
        <w:trPr>
          <w:cantSplit/>
        </w:trPr>
        <w:tc>
          <w:tcPr>
            <w:tcW w:w="0" w:type="auto"/>
            <w:hideMark/>
          </w:tcPr>
          <w:p w:rsidR="00BB0130" w:rsidRPr="0024658E" w:rsidP="00DA7768" w14:paraId="05E1A92C" w14:textId="77777777">
            <w:pPr>
              <w:contextualSpacing/>
              <w:jc w:val="center"/>
              <w:rPr>
                <w:sz w:val="23"/>
                <w:szCs w:val="23"/>
              </w:rPr>
            </w:pPr>
            <w:r w:rsidRPr="0024658E">
              <w:rPr>
                <w:sz w:val="23"/>
                <w:szCs w:val="23"/>
              </w:rPr>
              <w:t>5.</w:t>
            </w:r>
          </w:p>
        </w:tc>
        <w:tc>
          <w:tcPr>
            <w:tcW w:w="0" w:type="auto"/>
            <w:hideMark/>
          </w:tcPr>
          <w:p w:rsidR="00BB0130" w:rsidRPr="0024658E" w:rsidP="00DA7768" w14:paraId="3D23B661" w14:textId="77777777">
            <w:pPr>
              <w:contextualSpacing/>
              <w:rPr>
                <w:sz w:val="23"/>
                <w:szCs w:val="23"/>
              </w:rPr>
            </w:pPr>
            <w:r w:rsidRPr="0024658E">
              <w:rPr>
                <w:sz w:val="23"/>
                <w:szCs w:val="23"/>
              </w:rPr>
              <w:t>Cita informācija</w:t>
            </w:r>
          </w:p>
        </w:tc>
        <w:tc>
          <w:tcPr>
            <w:tcW w:w="0" w:type="auto"/>
            <w:hideMark/>
          </w:tcPr>
          <w:p w:rsidR="00BB0130" w:rsidRPr="0024658E" w:rsidP="00DA7768" w14:paraId="1E188653" w14:textId="03D6D3B0">
            <w:pPr>
              <w:contextualSpacing/>
              <w:rPr>
                <w:sz w:val="23"/>
                <w:szCs w:val="23"/>
              </w:rPr>
            </w:pPr>
            <w:r w:rsidRPr="0024658E">
              <w:rPr>
                <w:sz w:val="23"/>
                <w:szCs w:val="23"/>
              </w:rPr>
              <w:t>Nav</w:t>
            </w:r>
          </w:p>
        </w:tc>
      </w:tr>
    </w:tbl>
    <w:p w:rsidR="0024658E" w:rsidRPr="0024658E" w:rsidP="00DA7768" w14:paraId="5C7F9107" w14:textId="77777777">
      <w:pPr>
        <w:contextualSpacing/>
        <w:rPr>
          <w:sz w:val="23"/>
          <w:szCs w:val="23"/>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5"/>
      </w:tblGrid>
      <w:tr w14:paraId="6ABF9FDA" w14:textId="77777777" w:rsidTr="0024658E">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cantSplit/>
        </w:trPr>
        <w:tc>
          <w:tcPr>
            <w:tcW w:w="5000" w:type="pct"/>
            <w:shd w:val="clear" w:color="auto" w:fill="auto"/>
            <w:vAlign w:val="center"/>
            <w:hideMark/>
          </w:tcPr>
          <w:p w:rsidR="00BD5588" w:rsidRPr="0024658E" w:rsidP="00DA7768" w14:paraId="4BD94F2F" w14:textId="33E89E5D">
            <w:pPr>
              <w:contextualSpacing/>
              <w:jc w:val="center"/>
              <w:rPr>
                <w:b/>
                <w:bCs/>
                <w:sz w:val="23"/>
                <w:szCs w:val="23"/>
                <w:lang w:eastAsia="en-US"/>
              </w:rPr>
            </w:pPr>
            <w:r w:rsidRPr="0024658E">
              <w:rPr>
                <w:sz w:val="23"/>
                <w:szCs w:val="23"/>
              </w:rPr>
              <w:br w:type="page"/>
            </w:r>
            <w:r w:rsidRPr="0024658E">
              <w:rPr>
                <w:b/>
                <w:bCs/>
                <w:sz w:val="23"/>
                <w:szCs w:val="23"/>
                <w:lang w:eastAsia="en-US"/>
              </w:rPr>
              <w:t>III.</w:t>
            </w:r>
            <w:r w:rsidRPr="0024658E" w:rsidR="00BC1BE3">
              <w:rPr>
                <w:b/>
                <w:bCs/>
                <w:sz w:val="23"/>
                <w:szCs w:val="23"/>
                <w:lang w:eastAsia="en-US"/>
              </w:rPr>
              <w:t> </w:t>
            </w:r>
            <w:r w:rsidRPr="0024658E">
              <w:rPr>
                <w:b/>
                <w:bCs/>
                <w:sz w:val="23"/>
                <w:szCs w:val="23"/>
                <w:lang w:eastAsia="en-US"/>
              </w:rPr>
              <w:t>Tiesību akta projekta ietekme uz valsts budžetu un pašvaldību budžetiem</w:t>
            </w:r>
          </w:p>
        </w:tc>
      </w:tr>
      <w:tr w14:paraId="2C286E03" w14:textId="77777777" w:rsidTr="0024658E">
        <w:tblPrEx>
          <w:tblW w:w="5002" w:type="pct"/>
          <w:tblInd w:w="-2" w:type="dxa"/>
          <w:tblCellMar>
            <w:top w:w="28" w:type="dxa"/>
            <w:left w:w="28" w:type="dxa"/>
            <w:bottom w:w="28" w:type="dxa"/>
            <w:right w:w="28" w:type="dxa"/>
          </w:tblCellMar>
          <w:tblLook w:val="04A0"/>
        </w:tblPrEx>
        <w:trPr>
          <w:cantSplit/>
        </w:trPr>
        <w:tc>
          <w:tcPr>
            <w:tcW w:w="5000" w:type="pct"/>
            <w:shd w:val="clear" w:color="auto" w:fill="auto"/>
          </w:tcPr>
          <w:p w:rsidR="00357D0A" w:rsidRPr="0024658E" w:rsidP="00DA7768" w14:paraId="54646FF8" w14:textId="77777777">
            <w:pPr>
              <w:contextualSpacing/>
              <w:jc w:val="center"/>
              <w:rPr>
                <w:sz w:val="23"/>
                <w:szCs w:val="23"/>
                <w:lang w:eastAsia="en-US"/>
              </w:rPr>
            </w:pPr>
            <w:r w:rsidRPr="0024658E">
              <w:rPr>
                <w:sz w:val="23"/>
                <w:szCs w:val="23"/>
              </w:rPr>
              <w:t>Projekts šo jomu neskar.</w:t>
            </w:r>
          </w:p>
        </w:tc>
      </w:tr>
    </w:tbl>
    <w:p w:rsidR="0024658E" w:rsidRPr="0024658E" w:rsidP="00DA7768" w14:paraId="24EBB34E" w14:textId="77777777">
      <w:pPr>
        <w:contextualSpacing/>
        <w:rPr>
          <w:sz w:val="23"/>
          <w:szCs w:val="23"/>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364"/>
      </w:tblGrid>
      <w:tr w14:paraId="09AF24B9" w14:textId="77777777" w:rsidTr="0024658E">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BD5588" w:rsidRPr="0024658E" w:rsidP="00DA7768" w14:paraId="7DB7A7D9" w14:textId="7E101F70">
            <w:pPr>
              <w:contextualSpacing/>
              <w:jc w:val="center"/>
              <w:rPr>
                <w:b/>
                <w:bCs/>
                <w:sz w:val="23"/>
                <w:szCs w:val="23"/>
              </w:rPr>
            </w:pPr>
            <w:r w:rsidRPr="0024658E">
              <w:rPr>
                <w:b/>
                <w:bCs/>
                <w:sz w:val="23"/>
                <w:szCs w:val="23"/>
              </w:rPr>
              <w:t>IV.</w:t>
            </w:r>
            <w:r w:rsidRPr="0024658E" w:rsidR="00BC1BE3">
              <w:rPr>
                <w:b/>
                <w:bCs/>
                <w:sz w:val="23"/>
                <w:szCs w:val="23"/>
              </w:rPr>
              <w:t> </w:t>
            </w:r>
            <w:r w:rsidRPr="0024658E">
              <w:rPr>
                <w:b/>
                <w:bCs/>
                <w:sz w:val="23"/>
                <w:szCs w:val="23"/>
              </w:rPr>
              <w:t>Tiesību akta projekta ietekme uz spēkā esošo tiesību normu sistēmu</w:t>
            </w:r>
          </w:p>
        </w:tc>
      </w:tr>
      <w:tr w14:paraId="3F067373" w14:textId="77777777" w:rsidTr="0024658E">
        <w:tblPrEx>
          <w:tblW w:w="4999" w:type="pct"/>
          <w:tblCellMar>
            <w:top w:w="30" w:type="dxa"/>
            <w:left w:w="30" w:type="dxa"/>
            <w:bottom w:w="30" w:type="dxa"/>
            <w:right w:w="30" w:type="dxa"/>
          </w:tblCellMar>
          <w:tblLook w:val="04A0"/>
        </w:tblPrEx>
        <w:trPr>
          <w:cantSplit/>
        </w:trPr>
        <w:tc>
          <w:tcPr>
            <w:tcW w:w="5000" w:type="pct"/>
          </w:tcPr>
          <w:p w:rsidR="00A76D2F" w:rsidRPr="0024658E" w:rsidP="00DA7768" w14:paraId="1F208E79" w14:textId="77777777">
            <w:pPr>
              <w:contextualSpacing/>
              <w:jc w:val="center"/>
              <w:rPr>
                <w:sz w:val="23"/>
                <w:szCs w:val="23"/>
              </w:rPr>
            </w:pPr>
            <w:r w:rsidRPr="0024658E">
              <w:rPr>
                <w:sz w:val="23"/>
                <w:szCs w:val="23"/>
              </w:rPr>
              <w:t>Projekts šo jomu neskar.</w:t>
            </w:r>
          </w:p>
        </w:tc>
      </w:tr>
    </w:tbl>
    <w:p w:rsidR="0024658E" w:rsidRPr="0024658E" w:rsidP="00DA7768" w14:paraId="014A712F" w14:textId="77777777">
      <w:pPr>
        <w:contextualSpacing/>
        <w:rPr>
          <w:sz w:val="23"/>
          <w:szCs w:val="23"/>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364"/>
      </w:tblGrid>
      <w:tr w14:paraId="369E9277" w14:textId="77777777" w:rsidTr="0024658E">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BD5588" w:rsidRPr="0024658E" w:rsidP="00DA7768" w14:paraId="796F1C53" w14:textId="4B92FABB">
            <w:pPr>
              <w:contextualSpacing/>
              <w:jc w:val="center"/>
              <w:rPr>
                <w:b/>
                <w:bCs/>
                <w:sz w:val="23"/>
                <w:szCs w:val="23"/>
              </w:rPr>
            </w:pPr>
            <w:r w:rsidRPr="0024658E">
              <w:rPr>
                <w:b/>
                <w:bCs/>
                <w:sz w:val="23"/>
                <w:szCs w:val="23"/>
              </w:rPr>
              <w:t>V.</w:t>
            </w:r>
            <w:r w:rsidRPr="0024658E" w:rsidR="00BC1BE3">
              <w:rPr>
                <w:b/>
                <w:bCs/>
                <w:sz w:val="23"/>
                <w:szCs w:val="23"/>
              </w:rPr>
              <w:t> </w:t>
            </w:r>
            <w:r w:rsidRPr="0024658E">
              <w:rPr>
                <w:b/>
                <w:bCs/>
                <w:sz w:val="23"/>
                <w:szCs w:val="23"/>
              </w:rPr>
              <w:t>Tiesību akta projekta atbilstība Latvijas Republikas starptautiskajām saistībām</w:t>
            </w:r>
          </w:p>
        </w:tc>
      </w:tr>
      <w:tr w14:paraId="6465C5A0" w14:textId="77777777" w:rsidTr="0024658E">
        <w:tblPrEx>
          <w:tblW w:w="4999" w:type="pct"/>
          <w:tblCellMar>
            <w:top w:w="30" w:type="dxa"/>
            <w:left w:w="30" w:type="dxa"/>
            <w:bottom w:w="30" w:type="dxa"/>
            <w:right w:w="30" w:type="dxa"/>
          </w:tblCellMar>
          <w:tblLook w:val="04A0"/>
        </w:tblPrEx>
        <w:trPr>
          <w:cantSplit/>
          <w:trHeight w:val="477"/>
        </w:trPr>
        <w:tc>
          <w:tcPr>
            <w:tcW w:w="5000" w:type="pct"/>
            <w:tcBorders>
              <w:bottom w:val="single" w:sz="4" w:space="0" w:color="auto"/>
            </w:tcBorders>
          </w:tcPr>
          <w:p w:rsidR="00A76D2F" w:rsidRPr="0024658E" w:rsidP="00DA7768" w14:paraId="7C65B1DF" w14:textId="6B21D735">
            <w:pPr>
              <w:contextualSpacing/>
              <w:jc w:val="center"/>
              <w:rPr>
                <w:sz w:val="23"/>
                <w:szCs w:val="23"/>
              </w:rPr>
            </w:pPr>
            <w:r w:rsidRPr="0024658E">
              <w:rPr>
                <w:sz w:val="23"/>
                <w:szCs w:val="23"/>
              </w:rPr>
              <w:t>Projekts šo jomu neskar.</w:t>
            </w:r>
            <w:r w:rsidRPr="0024658E" w:rsidR="00A6718D">
              <w:rPr>
                <w:sz w:val="23"/>
                <w:szCs w:val="23"/>
              </w:rPr>
              <w:t xml:space="preserve"> </w:t>
            </w:r>
          </w:p>
        </w:tc>
      </w:tr>
    </w:tbl>
    <w:p w:rsidR="0024658E" w:rsidRPr="0024658E" w:rsidP="00DA7768" w14:paraId="1FE4D43E" w14:textId="77777777">
      <w:pPr>
        <w:contextual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33"/>
        <w:gridCol w:w="2231"/>
        <w:gridCol w:w="5902"/>
      </w:tblGrid>
      <w:tr w14:paraId="5852B4C0" w14:textId="77777777" w:rsidTr="00DA77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0" w:type="auto"/>
            <w:gridSpan w:val="3"/>
            <w:vAlign w:val="center"/>
            <w:hideMark/>
          </w:tcPr>
          <w:p w:rsidR="00BD5588" w:rsidRPr="0024658E" w:rsidP="00DA7768" w14:paraId="61FD953A" w14:textId="60A9B944">
            <w:pPr>
              <w:contextualSpacing/>
              <w:jc w:val="center"/>
              <w:rPr>
                <w:b/>
                <w:bCs/>
                <w:sz w:val="23"/>
                <w:szCs w:val="23"/>
              </w:rPr>
            </w:pPr>
            <w:r w:rsidRPr="0024658E">
              <w:rPr>
                <w:b/>
                <w:bCs/>
                <w:sz w:val="23"/>
                <w:szCs w:val="23"/>
              </w:rPr>
              <w:t>VI.</w:t>
            </w:r>
            <w:r w:rsidRPr="0024658E" w:rsidR="00BC1BE3">
              <w:rPr>
                <w:b/>
                <w:bCs/>
                <w:sz w:val="23"/>
                <w:szCs w:val="23"/>
              </w:rPr>
              <w:t> </w:t>
            </w:r>
            <w:r w:rsidRPr="0024658E">
              <w:rPr>
                <w:b/>
                <w:bCs/>
                <w:sz w:val="23"/>
                <w:szCs w:val="23"/>
              </w:rPr>
              <w:t>Sabiedrības līdzdalība un komunikācijas aktivitātes</w:t>
            </w:r>
          </w:p>
        </w:tc>
      </w:tr>
      <w:tr w14:paraId="56C38C55"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77ED0C0E" w14:textId="77777777">
            <w:pPr>
              <w:contextualSpacing/>
              <w:jc w:val="center"/>
              <w:rPr>
                <w:sz w:val="23"/>
                <w:szCs w:val="23"/>
              </w:rPr>
            </w:pPr>
            <w:r w:rsidRPr="0024658E">
              <w:rPr>
                <w:sz w:val="23"/>
                <w:szCs w:val="23"/>
              </w:rPr>
              <w:t>1.</w:t>
            </w:r>
          </w:p>
        </w:tc>
        <w:tc>
          <w:tcPr>
            <w:tcW w:w="0" w:type="auto"/>
            <w:hideMark/>
          </w:tcPr>
          <w:p w:rsidR="00BD5588" w:rsidRPr="0024658E" w:rsidP="00DA7768" w14:paraId="5BF45AEA" w14:textId="77777777">
            <w:pPr>
              <w:contextualSpacing/>
              <w:rPr>
                <w:sz w:val="23"/>
                <w:szCs w:val="23"/>
              </w:rPr>
            </w:pPr>
            <w:r w:rsidRPr="0024658E">
              <w:rPr>
                <w:sz w:val="23"/>
                <w:szCs w:val="23"/>
              </w:rPr>
              <w:t>Plānotās sabiedrības līdzdalības un komunikācijas aktivitātes saistībā ar projektu</w:t>
            </w:r>
          </w:p>
        </w:tc>
        <w:tc>
          <w:tcPr>
            <w:tcW w:w="0" w:type="auto"/>
            <w:hideMark/>
          </w:tcPr>
          <w:p w:rsidR="00BD5588" w:rsidRPr="0024658E" w:rsidP="00DA7768" w14:paraId="48509727" w14:textId="77777777">
            <w:pPr>
              <w:contextualSpacing/>
              <w:jc w:val="both"/>
              <w:rPr>
                <w:sz w:val="23"/>
                <w:szCs w:val="23"/>
              </w:rPr>
            </w:pPr>
            <w:r w:rsidRPr="0024658E">
              <w:rPr>
                <w:sz w:val="23"/>
                <w:szCs w:val="23"/>
              </w:rPr>
              <w:t>Saskaņā ar Ministru kabineta 2009. gada 25. augusta noteikumu Nr. 970 “Sabiedrības līdzdalības kārtība attīstības plānošanas procesā” 7.4.</w:t>
            </w:r>
            <w:r w:rsidRPr="0024658E">
              <w:rPr>
                <w:sz w:val="23"/>
                <w:szCs w:val="23"/>
                <w:vertAlign w:val="superscript"/>
              </w:rPr>
              <w:t>1</w:t>
            </w:r>
            <w:r w:rsidRPr="0024658E">
              <w:rPr>
                <w:sz w:val="23"/>
                <w:szCs w:val="23"/>
              </w:rPr>
              <w:t> apakšpunktu, sabiedrības pārstāvji ir aicināti līdzdarboties, rakstiski sniedzot viedokli par noteikumu projektu tā izstrādes stadijā.</w:t>
            </w:r>
          </w:p>
        </w:tc>
      </w:tr>
      <w:tr w14:paraId="394EA903"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26EB7890" w14:textId="77777777">
            <w:pPr>
              <w:contextualSpacing/>
              <w:jc w:val="center"/>
              <w:rPr>
                <w:sz w:val="23"/>
                <w:szCs w:val="23"/>
              </w:rPr>
            </w:pPr>
            <w:r w:rsidRPr="0024658E">
              <w:rPr>
                <w:sz w:val="23"/>
                <w:szCs w:val="23"/>
              </w:rPr>
              <w:t>2.</w:t>
            </w:r>
          </w:p>
        </w:tc>
        <w:tc>
          <w:tcPr>
            <w:tcW w:w="0" w:type="auto"/>
            <w:hideMark/>
          </w:tcPr>
          <w:p w:rsidR="00BD5588" w:rsidRPr="0024658E" w:rsidP="00DA7768" w14:paraId="327D046E" w14:textId="77777777">
            <w:pPr>
              <w:contextualSpacing/>
              <w:rPr>
                <w:sz w:val="23"/>
                <w:szCs w:val="23"/>
              </w:rPr>
            </w:pPr>
            <w:r w:rsidRPr="0024658E">
              <w:rPr>
                <w:sz w:val="23"/>
                <w:szCs w:val="23"/>
              </w:rPr>
              <w:t>Sabiedrības līdzdalība projekta izstrādē</w:t>
            </w:r>
          </w:p>
        </w:tc>
        <w:tc>
          <w:tcPr>
            <w:tcW w:w="0" w:type="auto"/>
            <w:hideMark/>
          </w:tcPr>
          <w:p w:rsidR="00BD5588" w:rsidRPr="0024658E" w:rsidP="00DA7768" w14:paraId="011FBAD2" w14:textId="5AA05200">
            <w:pPr>
              <w:contextualSpacing/>
              <w:jc w:val="both"/>
              <w:rPr>
                <w:sz w:val="23"/>
                <w:szCs w:val="23"/>
              </w:rPr>
            </w:pPr>
            <w:r w:rsidRPr="0024658E">
              <w:rPr>
                <w:sz w:val="23"/>
                <w:szCs w:val="23"/>
              </w:rPr>
              <w:t xml:space="preserve">Noteikumu projekts ievietots Vides aizsardzības un reģionālās attīstības ministrijas tīmekļvietnē </w:t>
            </w:r>
            <w:r>
              <w:fldChar w:fldCharType="begin"/>
            </w:r>
            <w:r>
              <w:instrText xml:space="preserve"> HYPERLINK "http://www.varam.gov.lv" </w:instrText>
            </w:r>
            <w:r>
              <w:fldChar w:fldCharType="separate"/>
            </w:r>
            <w:r w:rsidRPr="0024658E">
              <w:rPr>
                <w:color w:val="0000FF"/>
                <w:sz w:val="23"/>
                <w:szCs w:val="23"/>
                <w:u w:val="single"/>
              </w:rPr>
              <w:t>www.varam.gov.lv</w:t>
            </w:r>
            <w:r>
              <w:fldChar w:fldCharType="end"/>
            </w:r>
            <w:r w:rsidRPr="0024658E">
              <w:rPr>
                <w:sz w:val="23"/>
                <w:szCs w:val="23"/>
              </w:rPr>
              <w:t xml:space="preserve"> 2018. gada </w:t>
            </w:r>
            <w:r w:rsidRPr="0024658E" w:rsidR="008514F0">
              <w:rPr>
                <w:sz w:val="23"/>
                <w:szCs w:val="23"/>
              </w:rPr>
              <w:t>8</w:t>
            </w:r>
            <w:r w:rsidRPr="0024658E">
              <w:rPr>
                <w:sz w:val="23"/>
                <w:szCs w:val="23"/>
              </w:rPr>
              <w:t>. februārī, sniedzot ieinteresētajām personām iespēju izteikt viedokli un iesniegt priekšlikumus.</w:t>
            </w:r>
          </w:p>
        </w:tc>
      </w:tr>
      <w:tr w14:paraId="4E8357C6"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19B69DB4" w14:textId="77777777">
            <w:pPr>
              <w:contextualSpacing/>
              <w:jc w:val="center"/>
              <w:rPr>
                <w:sz w:val="23"/>
                <w:szCs w:val="23"/>
              </w:rPr>
            </w:pPr>
            <w:r w:rsidRPr="0024658E">
              <w:rPr>
                <w:sz w:val="23"/>
                <w:szCs w:val="23"/>
              </w:rPr>
              <w:t>3.</w:t>
            </w:r>
          </w:p>
        </w:tc>
        <w:tc>
          <w:tcPr>
            <w:tcW w:w="0" w:type="auto"/>
            <w:hideMark/>
          </w:tcPr>
          <w:p w:rsidR="00BD5588" w:rsidRPr="0024658E" w:rsidP="00DA7768" w14:paraId="0DCCB785" w14:textId="77777777">
            <w:pPr>
              <w:contextualSpacing/>
              <w:rPr>
                <w:sz w:val="23"/>
                <w:szCs w:val="23"/>
              </w:rPr>
            </w:pPr>
            <w:r w:rsidRPr="0024658E">
              <w:rPr>
                <w:sz w:val="23"/>
                <w:szCs w:val="23"/>
              </w:rPr>
              <w:t>Sabiedrības līdzdalības rezultāti</w:t>
            </w:r>
          </w:p>
        </w:tc>
        <w:tc>
          <w:tcPr>
            <w:tcW w:w="0" w:type="auto"/>
            <w:hideMark/>
          </w:tcPr>
          <w:p w:rsidR="00BD5588" w:rsidRPr="0024658E" w:rsidP="00DA7768" w14:paraId="01A9147B" w14:textId="21181616">
            <w:pPr>
              <w:contextualSpacing/>
              <w:jc w:val="both"/>
              <w:rPr>
                <w:sz w:val="23"/>
                <w:szCs w:val="23"/>
              </w:rPr>
            </w:pPr>
            <w:r w:rsidRPr="0024658E">
              <w:rPr>
                <w:sz w:val="23"/>
                <w:szCs w:val="23"/>
              </w:rPr>
              <w:t>Tika saņemts priekšlikums no SIA “ZAAO” mainīt p</w:t>
            </w:r>
            <w:r w:rsidRPr="0024658E" w:rsidR="0068237E">
              <w:rPr>
                <w:sz w:val="23"/>
                <w:szCs w:val="23"/>
              </w:rPr>
              <w:t>ārskatu</w:t>
            </w:r>
            <w:r w:rsidRPr="0024658E">
              <w:rPr>
                <w:sz w:val="23"/>
                <w:szCs w:val="23"/>
              </w:rPr>
              <w:t xml:space="preserve"> par noslēgtajiem līgumiem un veiktajiem darījumiem iesniegšanas termiņu VVD, mainot to no “līdz ceturksnim sekojošā nākamā mēneša 10.datumam”</w:t>
            </w:r>
            <w:r w:rsidRPr="0024658E" w:rsidR="0068237E">
              <w:rPr>
                <w:sz w:val="23"/>
                <w:szCs w:val="23"/>
              </w:rPr>
              <w:t xml:space="preserve"> uz “līdz ceturksnim sekojošā nākamā mēneša 20.datumam”, salāgojot to ar grāmatvedības uzskaiti regulējošiem normatīvajiem aktiem.</w:t>
            </w:r>
          </w:p>
        </w:tc>
      </w:tr>
      <w:tr w14:paraId="38C8F798"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1FCB1D67" w14:textId="77777777">
            <w:pPr>
              <w:contextualSpacing/>
              <w:jc w:val="center"/>
              <w:rPr>
                <w:sz w:val="23"/>
                <w:szCs w:val="23"/>
              </w:rPr>
            </w:pPr>
            <w:r w:rsidRPr="0024658E">
              <w:rPr>
                <w:sz w:val="23"/>
                <w:szCs w:val="23"/>
              </w:rPr>
              <w:t>4.</w:t>
            </w:r>
          </w:p>
        </w:tc>
        <w:tc>
          <w:tcPr>
            <w:tcW w:w="0" w:type="auto"/>
            <w:hideMark/>
          </w:tcPr>
          <w:p w:rsidR="00BD5588" w:rsidRPr="0024658E" w:rsidP="00DA7768" w14:paraId="4E33A885" w14:textId="77777777">
            <w:pPr>
              <w:contextualSpacing/>
              <w:rPr>
                <w:sz w:val="23"/>
                <w:szCs w:val="23"/>
              </w:rPr>
            </w:pPr>
            <w:r w:rsidRPr="0024658E">
              <w:rPr>
                <w:sz w:val="23"/>
                <w:szCs w:val="23"/>
              </w:rPr>
              <w:t>Cita informācija</w:t>
            </w:r>
          </w:p>
        </w:tc>
        <w:tc>
          <w:tcPr>
            <w:tcW w:w="0" w:type="auto"/>
            <w:hideMark/>
          </w:tcPr>
          <w:p w:rsidR="00BD5588" w:rsidRPr="0024658E" w:rsidP="00DA7768" w14:paraId="2ED4E7AF" w14:textId="1DCA2474">
            <w:pPr>
              <w:contextualSpacing/>
              <w:rPr>
                <w:sz w:val="23"/>
                <w:szCs w:val="23"/>
              </w:rPr>
            </w:pPr>
            <w:r w:rsidRPr="0024658E">
              <w:rPr>
                <w:sz w:val="23"/>
                <w:szCs w:val="23"/>
              </w:rPr>
              <w:t>Nav</w:t>
            </w:r>
          </w:p>
        </w:tc>
      </w:tr>
    </w:tbl>
    <w:p w:rsidR="0024658E" w:rsidP="00DA7768" w14:paraId="28AF22E5" w14:textId="77777777">
      <w:pPr>
        <w:contextualSpacing/>
        <w:rPr>
          <w:sz w:val="23"/>
          <w:szCs w:val="23"/>
        </w:rPr>
      </w:pPr>
    </w:p>
    <w:p w:rsidR="002F4951" w:rsidP="00DA7768" w14:paraId="2FAC7CDD" w14:textId="77777777">
      <w:pPr>
        <w:contextualSpacing/>
        <w:rPr>
          <w:sz w:val="23"/>
          <w:szCs w:val="23"/>
        </w:rPr>
      </w:pPr>
    </w:p>
    <w:p w:rsidR="002F4951" w:rsidP="00DA7768" w14:paraId="073EF2BF" w14:textId="77777777">
      <w:pPr>
        <w:contextualSpacing/>
        <w:rPr>
          <w:sz w:val="23"/>
          <w:szCs w:val="23"/>
        </w:rPr>
      </w:pPr>
    </w:p>
    <w:p w:rsidR="002F4951" w:rsidP="00DA7768" w14:paraId="14F32F4E" w14:textId="77777777">
      <w:pPr>
        <w:contextualSpacing/>
        <w:rPr>
          <w:sz w:val="23"/>
          <w:szCs w:val="23"/>
        </w:rPr>
      </w:pPr>
    </w:p>
    <w:p w:rsidR="002F4951" w:rsidRPr="0024658E" w:rsidP="00DA7768" w14:paraId="506A735D" w14:textId="77777777">
      <w:pPr>
        <w:contextual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33"/>
        <w:gridCol w:w="4152"/>
        <w:gridCol w:w="3981"/>
      </w:tblGrid>
      <w:tr w14:paraId="761A8137" w14:textId="77777777" w:rsidTr="00DA77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0" w:type="auto"/>
            <w:gridSpan w:val="3"/>
            <w:vAlign w:val="center"/>
            <w:hideMark/>
          </w:tcPr>
          <w:p w:rsidR="00BD5588" w:rsidRPr="0024658E" w:rsidP="00DA7768" w14:paraId="7F86EC0C" w14:textId="7CE616D1">
            <w:pPr>
              <w:contextualSpacing/>
              <w:jc w:val="center"/>
              <w:rPr>
                <w:b/>
                <w:bCs/>
                <w:sz w:val="23"/>
                <w:szCs w:val="23"/>
              </w:rPr>
            </w:pPr>
            <w:r w:rsidRPr="0024658E">
              <w:rPr>
                <w:b/>
                <w:bCs/>
                <w:sz w:val="23"/>
                <w:szCs w:val="23"/>
              </w:rPr>
              <w:t>VII.</w:t>
            </w:r>
            <w:r w:rsidRPr="0024658E" w:rsidR="00BC1BE3">
              <w:rPr>
                <w:b/>
                <w:bCs/>
                <w:sz w:val="23"/>
                <w:szCs w:val="23"/>
              </w:rPr>
              <w:t> </w:t>
            </w:r>
            <w:r w:rsidRPr="0024658E">
              <w:rPr>
                <w:b/>
                <w:bCs/>
                <w:sz w:val="23"/>
                <w:szCs w:val="23"/>
              </w:rPr>
              <w:t>Tiesību akta projekta izpildes nodrošināšana un tās ietekme uz institūcijām</w:t>
            </w:r>
          </w:p>
        </w:tc>
      </w:tr>
      <w:tr w14:paraId="7AF2E40F"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71DC1ABB" w14:textId="77777777">
            <w:pPr>
              <w:contextualSpacing/>
              <w:jc w:val="center"/>
              <w:rPr>
                <w:sz w:val="23"/>
                <w:szCs w:val="23"/>
              </w:rPr>
            </w:pPr>
            <w:r w:rsidRPr="0024658E">
              <w:rPr>
                <w:sz w:val="23"/>
                <w:szCs w:val="23"/>
              </w:rPr>
              <w:t>1.</w:t>
            </w:r>
          </w:p>
        </w:tc>
        <w:tc>
          <w:tcPr>
            <w:tcW w:w="0" w:type="auto"/>
            <w:hideMark/>
          </w:tcPr>
          <w:p w:rsidR="00BD5588" w:rsidRPr="0024658E" w:rsidP="00DA7768" w14:paraId="23FA6C99" w14:textId="77777777">
            <w:pPr>
              <w:contextualSpacing/>
              <w:rPr>
                <w:sz w:val="23"/>
                <w:szCs w:val="23"/>
              </w:rPr>
            </w:pPr>
            <w:r w:rsidRPr="0024658E">
              <w:rPr>
                <w:sz w:val="23"/>
                <w:szCs w:val="23"/>
              </w:rPr>
              <w:t>Projekta izpildē iesaistītās institūcijas</w:t>
            </w:r>
          </w:p>
        </w:tc>
        <w:tc>
          <w:tcPr>
            <w:tcW w:w="0" w:type="auto"/>
            <w:hideMark/>
          </w:tcPr>
          <w:p w:rsidR="00BD5588" w:rsidRPr="0024658E" w:rsidP="00DA7768" w14:paraId="5924FC60" w14:textId="0A26CC91">
            <w:pPr>
              <w:contextualSpacing/>
              <w:rPr>
                <w:sz w:val="23"/>
                <w:szCs w:val="23"/>
              </w:rPr>
            </w:pPr>
            <w:r w:rsidRPr="0024658E">
              <w:rPr>
                <w:sz w:val="23"/>
                <w:szCs w:val="23"/>
              </w:rPr>
              <w:t>VVD</w:t>
            </w:r>
          </w:p>
        </w:tc>
      </w:tr>
      <w:tr w14:paraId="3166347B"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532416F3" w14:textId="77777777">
            <w:pPr>
              <w:contextualSpacing/>
              <w:jc w:val="center"/>
              <w:rPr>
                <w:sz w:val="23"/>
                <w:szCs w:val="23"/>
              </w:rPr>
            </w:pPr>
            <w:r w:rsidRPr="0024658E">
              <w:rPr>
                <w:sz w:val="23"/>
                <w:szCs w:val="23"/>
              </w:rPr>
              <w:t>2.</w:t>
            </w:r>
          </w:p>
        </w:tc>
        <w:tc>
          <w:tcPr>
            <w:tcW w:w="0" w:type="auto"/>
            <w:hideMark/>
          </w:tcPr>
          <w:p w:rsidR="004A4FEB" w:rsidRPr="0024658E" w:rsidP="00DA7768" w14:paraId="2A9139BA" w14:textId="77777777">
            <w:pPr>
              <w:contextualSpacing/>
              <w:rPr>
                <w:sz w:val="23"/>
                <w:szCs w:val="23"/>
              </w:rPr>
            </w:pPr>
            <w:r w:rsidRPr="0024658E">
              <w:rPr>
                <w:sz w:val="23"/>
                <w:szCs w:val="23"/>
              </w:rPr>
              <w:t>Projekta izpildes ietekme uz pārvaldes funkcijām un institucionālo struktūru.</w:t>
            </w:r>
          </w:p>
          <w:p w:rsidR="00BD5588" w:rsidRPr="0024658E" w:rsidP="00DA7768" w14:paraId="2060590F" w14:textId="77777777">
            <w:pPr>
              <w:contextualSpacing/>
              <w:rPr>
                <w:sz w:val="23"/>
                <w:szCs w:val="23"/>
              </w:rPr>
            </w:pPr>
            <w:r w:rsidRPr="0024658E">
              <w:rPr>
                <w:sz w:val="23"/>
                <w:szCs w:val="23"/>
              </w:rPr>
              <w:br/>
              <w:t>Jaunu institūciju izveide, esošu institūciju likvidācija vai reorganizācija, to ietekme uz institūcijas cilvēkresursiem</w:t>
            </w:r>
          </w:p>
        </w:tc>
        <w:tc>
          <w:tcPr>
            <w:tcW w:w="0" w:type="auto"/>
            <w:hideMark/>
          </w:tcPr>
          <w:p w:rsidR="004A4FEB" w:rsidRPr="0024658E" w:rsidP="00DA7768" w14:paraId="2B4548AD" w14:textId="77777777">
            <w:pPr>
              <w:pStyle w:val="naisnod"/>
              <w:spacing w:before="0" w:after="0"/>
              <w:ind w:right="57"/>
              <w:contextualSpacing/>
              <w:jc w:val="both"/>
              <w:rPr>
                <w:b w:val="0"/>
                <w:sz w:val="23"/>
                <w:szCs w:val="23"/>
              </w:rPr>
            </w:pPr>
            <w:r w:rsidRPr="0024658E">
              <w:rPr>
                <w:b w:val="0"/>
                <w:sz w:val="23"/>
                <w:szCs w:val="23"/>
              </w:rPr>
              <w:t>Noteikumu projekts neietekmē iesaistīto institūciju funkcijas un uzdevumus.</w:t>
            </w:r>
          </w:p>
          <w:p w:rsidR="0009338F" w:rsidRPr="0024658E" w:rsidP="00DA7768" w14:paraId="75169CA9" w14:textId="77777777">
            <w:pPr>
              <w:contextualSpacing/>
              <w:jc w:val="both"/>
              <w:rPr>
                <w:sz w:val="23"/>
                <w:szCs w:val="23"/>
              </w:rPr>
            </w:pPr>
            <w:r w:rsidRPr="0024658E">
              <w:rPr>
                <w:sz w:val="23"/>
                <w:szCs w:val="23"/>
              </w:rPr>
              <w:t>Noteikumu projekta izpildes rezultātā nav nepieciešams veidot jaunas institūcijas.</w:t>
            </w:r>
          </w:p>
          <w:p w:rsidR="0009338F" w:rsidRPr="0024658E" w:rsidP="00DA7768" w14:paraId="33E4A1D4" w14:textId="77777777">
            <w:pPr>
              <w:contextualSpacing/>
              <w:jc w:val="both"/>
              <w:rPr>
                <w:sz w:val="23"/>
                <w:szCs w:val="23"/>
              </w:rPr>
            </w:pPr>
            <w:r w:rsidRPr="0024658E">
              <w:rPr>
                <w:sz w:val="23"/>
                <w:szCs w:val="23"/>
              </w:rPr>
              <w:t>Noteikumu projekta izpildes rezultātā nav plānots likvidēt kādu esošu institūciju.</w:t>
            </w:r>
          </w:p>
          <w:p w:rsidR="0009338F" w:rsidRPr="0024658E" w:rsidP="00DA7768" w14:paraId="2D3CF7AC" w14:textId="3E98DBE0">
            <w:pPr>
              <w:contextualSpacing/>
              <w:jc w:val="both"/>
              <w:rPr>
                <w:sz w:val="23"/>
                <w:szCs w:val="23"/>
              </w:rPr>
            </w:pPr>
            <w:r w:rsidRPr="0024658E">
              <w:rPr>
                <w:sz w:val="23"/>
                <w:szCs w:val="23"/>
              </w:rPr>
              <w:t>Noteikumu projekta izpildes rezultātā nav plānots reorganizēt esošu institūciju vai arī apvienot esošas institūcijas.</w:t>
            </w:r>
          </w:p>
          <w:p w:rsidR="0009338F" w:rsidRPr="0024658E" w:rsidP="00DA7768" w14:paraId="1C6F4E2C" w14:textId="77777777">
            <w:pPr>
              <w:pStyle w:val="naisnod"/>
              <w:spacing w:before="0" w:after="0"/>
              <w:ind w:right="57"/>
              <w:contextualSpacing/>
              <w:jc w:val="both"/>
              <w:rPr>
                <w:b w:val="0"/>
                <w:sz w:val="23"/>
                <w:szCs w:val="23"/>
              </w:rPr>
            </w:pPr>
          </w:p>
          <w:p w:rsidR="00BD5588" w:rsidRPr="0024658E" w:rsidP="00DA7768" w14:paraId="423CCBE0" w14:textId="6ADEA886">
            <w:pPr>
              <w:contextualSpacing/>
              <w:rPr>
                <w:sz w:val="23"/>
                <w:szCs w:val="23"/>
              </w:rPr>
            </w:pPr>
          </w:p>
        </w:tc>
      </w:tr>
      <w:tr w14:paraId="262C2828" w14:textId="77777777" w:rsidTr="00DA7768">
        <w:tblPrEx>
          <w:tblW w:w="0" w:type="auto"/>
          <w:tblCellMar>
            <w:top w:w="30" w:type="dxa"/>
            <w:left w:w="30" w:type="dxa"/>
            <w:bottom w:w="30" w:type="dxa"/>
            <w:right w:w="30" w:type="dxa"/>
          </w:tblCellMar>
          <w:tblLook w:val="04A0"/>
        </w:tblPrEx>
        <w:trPr>
          <w:cantSplit/>
        </w:trPr>
        <w:tc>
          <w:tcPr>
            <w:tcW w:w="0" w:type="auto"/>
            <w:hideMark/>
          </w:tcPr>
          <w:p w:rsidR="00BD5588" w:rsidRPr="0024658E" w:rsidP="00DA7768" w14:paraId="38F81FEF" w14:textId="77777777">
            <w:pPr>
              <w:contextualSpacing/>
              <w:jc w:val="center"/>
              <w:rPr>
                <w:sz w:val="23"/>
                <w:szCs w:val="23"/>
              </w:rPr>
            </w:pPr>
            <w:r w:rsidRPr="0024658E">
              <w:rPr>
                <w:sz w:val="23"/>
                <w:szCs w:val="23"/>
              </w:rPr>
              <w:t>3.</w:t>
            </w:r>
          </w:p>
        </w:tc>
        <w:tc>
          <w:tcPr>
            <w:tcW w:w="0" w:type="auto"/>
            <w:hideMark/>
          </w:tcPr>
          <w:p w:rsidR="00BD5588" w:rsidRPr="0024658E" w:rsidP="00DA7768" w14:paraId="21EDF815" w14:textId="77777777">
            <w:pPr>
              <w:contextualSpacing/>
              <w:rPr>
                <w:sz w:val="23"/>
                <w:szCs w:val="23"/>
              </w:rPr>
            </w:pPr>
            <w:r w:rsidRPr="0024658E">
              <w:rPr>
                <w:sz w:val="23"/>
                <w:szCs w:val="23"/>
              </w:rPr>
              <w:t>Cita informācija</w:t>
            </w:r>
          </w:p>
        </w:tc>
        <w:tc>
          <w:tcPr>
            <w:tcW w:w="0" w:type="auto"/>
            <w:hideMark/>
          </w:tcPr>
          <w:p w:rsidR="00BD5588" w:rsidRPr="0024658E" w:rsidP="00DA7768" w14:paraId="4152F274" w14:textId="7AF3FAB6">
            <w:pPr>
              <w:contextualSpacing/>
              <w:rPr>
                <w:sz w:val="23"/>
                <w:szCs w:val="23"/>
              </w:rPr>
            </w:pPr>
            <w:r w:rsidRPr="0024658E">
              <w:rPr>
                <w:sz w:val="23"/>
                <w:szCs w:val="23"/>
              </w:rPr>
              <w:t>Nav</w:t>
            </w:r>
          </w:p>
        </w:tc>
      </w:tr>
    </w:tbl>
    <w:p w:rsidR="00E44472" w:rsidRPr="0024658E" w:rsidP="00DA7768" w14:paraId="070D3C1C" w14:textId="77777777">
      <w:pPr>
        <w:contextualSpacing/>
        <w:rPr>
          <w:sz w:val="23"/>
          <w:szCs w:val="23"/>
        </w:rPr>
      </w:pPr>
    </w:p>
    <w:p w:rsidR="004A4FEB" w:rsidRPr="0024658E" w:rsidP="00DA7768" w14:paraId="21C7ACC8" w14:textId="77777777">
      <w:pPr>
        <w:contextualSpacing/>
        <w:rPr>
          <w:sz w:val="23"/>
          <w:szCs w:val="23"/>
        </w:rPr>
      </w:pPr>
    </w:p>
    <w:p w:rsidR="004A4FEB" w:rsidRPr="0024658E" w:rsidP="00DA7768" w14:paraId="043C2763" w14:textId="77777777">
      <w:pPr>
        <w:tabs>
          <w:tab w:val="left" w:pos="6237"/>
        </w:tabs>
        <w:contextualSpacing/>
        <w:rPr>
          <w:sz w:val="23"/>
          <w:szCs w:val="23"/>
        </w:rPr>
      </w:pPr>
      <w:r w:rsidRPr="0024658E">
        <w:rPr>
          <w:sz w:val="23"/>
          <w:szCs w:val="23"/>
        </w:rPr>
        <w:t xml:space="preserve">Vides aizsardzības un </w:t>
      </w:r>
    </w:p>
    <w:p w:rsidR="004A4FEB" w:rsidRPr="0024658E" w:rsidP="00DA7768" w14:paraId="12BFB352" w14:textId="657D22B7">
      <w:pPr>
        <w:tabs>
          <w:tab w:val="left" w:pos="6237"/>
        </w:tabs>
        <w:contextualSpacing/>
        <w:rPr>
          <w:sz w:val="23"/>
          <w:szCs w:val="23"/>
        </w:rPr>
      </w:pPr>
      <w:r w:rsidRPr="0024658E">
        <w:rPr>
          <w:sz w:val="23"/>
          <w:szCs w:val="23"/>
        </w:rPr>
        <w:t>reģionā</w:t>
      </w:r>
      <w:r w:rsidR="00E9147C">
        <w:rPr>
          <w:sz w:val="23"/>
          <w:szCs w:val="23"/>
        </w:rPr>
        <w:t>lās attīstības ministrs</w:t>
      </w:r>
      <w:r w:rsidR="00E9147C">
        <w:rPr>
          <w:sz w:val="23"/>
          <w:szCs w:val="23"/>
        </w:rPr>
        <w:tab/>
        <w:t>Kaspars </w:t>
      </w:r>
      <w:r w:rsidRPr="0024658E">
        <w:rPr>
          <w:sz w:val="23"/>
          <w:szCs w:val="23"/>
        </w:rPr>
        <w:t>Gerhards</w:t>
      </w:r>
    </w:p>
    <w:p w:rsidR="004A4FEB" w:rsidRPr="0024658E" w:rsidP="00DA7768" w14:paraId="5F4F06A9" w14:textId="77777777">
      <w:pPr>
        <w:tabs>
          <w:tab w:val="left" w:pos="6237"/>
        </w:tabs>
        <w:contextualSpacing/>
        <w:rPr>
          <w:sz w:val="23"/>
          <w:szCs w:val="23"/>
        </w:rPr>
      </w:pPr>
    </w:p>
    <w:p w:rsidR="004A4FEB" w:rsidRPr="0024658E" w:rsidP="00DA7768" w14:paraId="75BF723C" w14:textId="77777777">
      <w:pPr>
        <w:tabs>
          <w:tab w:val="left" w:pos="6237"/>
        </w:tabs>
        <w:contextualSpacing/>
        <w:rPr>
          <w:sz w:val="23"/>
          <w:szCs w:val="23"/>
        </w:rPr>
      </w:pPr>
    </w:p>
    <w:p w:rsidR="004A4FEB" w:rsidRPr="0024658E" w:rsidP="00DA7768" w14:paraId="4C8E56C4" w14:textId="77777777">
      <w:pPr>
        <w:tabs>
          <w:tab w:val="left" w:pos="6237"/>
        </w:tabs>
        <w:contextualSpacing/>
        <w:rPr>
          <w:sz w:val="23"/>
          <w:szCs w:val="23"/>
        </w:rPr>
      </w:pPr>
      <w:r w:rsidRPr="0024658E">
        <w:rPr>
          <w:sz w:val="23"/>
          <w:szCs w:val="23"/>
        </w:rPr>
        <w:t xml:space="preserve">Šūba 67026569 </w:t>
      </w:r>
    </w:p>
    <w:p w:rsidR="004A4FEB" w:rsidRPr="0024658E" w:rsidP="00DA7768" w14:paraId="0BA3777F" w14:textId="77777777">
      <w:pPr>
        <w:contextualSpacing/>
        <w:rPr>
          <w:sz w:val="23"/>
          <w:szCs w:val="23"/>
        </w:rPr>
      </w:pPr>
      <w:r>
        <w:fldChar w:fldCharType="begin"/>
      </w:r>
      <w:r>
        <w:instrText xml:space="preserve"> HYPERLINK "mailto:undine.suba@varam.gov.lv" </w:instrText>
      </w:r>
      <w:r>
        <w:fldChar w:fldCharType="separate"/>
      </w:r>
      <w:r w:rsidRPr="0024658E">
        <w:rPr>
          <w:rStyle w:val="Hyperlink"/>
          <w:sz w:val="23"/>
          <w:szCs w:val="23"/>
        </w:rPr>
        <w:t>undine.suba@varam.gov.lv</w:t>
      </w:r>
      <w:r>
        <w:fldChar w:fldCharType="end"/>
      </w:r>
    </w:p>
    <w:sectPr w:rsidSect="00432F1B">
      <w:headerReference w:type="default" r:id="rId4"/>
      <w:footerReference w:type="default" r:id="rId5"/>
      <w:footerReference w:type="first" r:id="rId6"/>
      <w:pgSz w:w="11906" w:h="16838"/>
      <w:pgMar w:top="1276" w:right="1800" w:bottom="709"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F1B" w:rsidRPr="00F4559D" w:rsidP="00F4559D" w14:paraId="3E8D6CC3" w14:textId="73CDF934">
    <w:pPr>
      <w:pStyle w:val="Footer"/>
    </w:pPr>
    <w:r>
      <w:rPr>
        <w:sz w:val="20"/>
        <w:szCs w:val="20"/>
      </w:rPr>
      <w:t>VARAMAnot_1106</w:t>
    </w:r>
    <w:r w:rsidRPr="00F4559D">
      <w:rPr>
        <w:sz w:val="20"/>
        <w:szCs w:val="20"/>
      </w:rPr>
      <w:t>18_Groz_MK703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F1B" w:rsidRPr="00F4559D" w:rsidP="00F4559D" w14:paraId="3808DCB9" w14:textId="6D1130F9">
    <w:pPr>
      <w:pStyle w:val="Footer"/>
    </w:pPr>
    <w:r>
      <w:rPr>
        <w:sz w:val="20"/>
        <w:szCs w:val="20"/>
      </w:rPr>
      <w:t>VARAMAnot_1106</w:t>
    </w:r>
    <w:r w:rsidRPr="00F4559D">
      <w:rPr>
        <w:sz w:val="20"/>
        <w:szCs w:val="20"/>
      </w:rPr>
      <w:t>18_Groz_MK703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6526385"/>
      <w:docPartObj>
        <w:docPartGallery w:val="Page Numbers (Top of Page)"/>
        <w:docPartUnique/>
      </w:docPartObj>
    </w:sdtPr>
    <w:sdtEndPr>
      <w:rPr>
        <w:noProof/>
      </w:rPr>
    </w:sdtEndPr>
    <w:sdtContent>
      <w:p w:rsidR="00432F1B" w14:paraId="526D4B54" w14:textId="1AC77DF6">
        <w:pPr>
          <w:pStyle w:val="Header"/>
          <w:jc w:val="center"/>
        </w:pPr>
        <w:r>
          <w:fldChar w:fldCharType="begin"/>
        </w:r>
        <w:r>
          <w:instrText xml:space="preserve"> PAGE   \* MERGEFORMAT </w:instrText>
        </w:r>
        <w:r>
          <w:fldChar w:fldCharType="separate"/>
        </w:r>
        <w:r w:rsidR="00E9147C">
          <w:rPr>
            <w:noProof/>
          </w:rPr>
          <w:t>5</w:t>
        </w:r>
        <w:r>
          <w:rPr>
            <w:noProof/>
          </w:rPr>
          <w:fldChar w:fldCharType="end"/>
        </w:r>
      </w:p>
    </w:sdtContent>
  </w:sdt>
  <w:p w:rsidR="00432F1B" w14:paraId="2C25B75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26C0"/>
    <w:rsid w:val="0009338F"/>
    <w:rsid w:val="000C239A"/>
    <w:rsid w:val="000E5D55"/>
    <w:rsid w:val="001111C7"/>
    <w:rsid w:val="001143E4"/>
    <w:rsid w:val="0013414C"/>
    <w:rsid w:val="00152C2B"/>
    <w:rsid w:val="001A67FF"/>
    <w:rsid w:val="00234B70"/>
    <w:rsid w:val="0024658E"/>
    <w:rsid w:val="002C2839"/>
    <w:rsid w:val="002F4951"/>
    <w:rsid w:val="00354446"/>
    <w:rsid w:val="00357D0A"/>
    <w:rsid w:val="003775BA"/>
    <w:rsid w:val="003C6E87"/>
    <w:rsid w:val="00432F1B"/>
    <w:rsid w:val="00464DA0"/>
    <w:rsid w:val="0047188E"/>
    <w:rsid w:val="004A1496"/>
    <w:rsid w:val="004A4FEB"/>
    <w:rsid w:val="004A6884"/>
    <w:rsid w:val="004B472F"/>
    <w:rsid w:val="004B715D"/>
    <w:rsid w:val="005267B6"/>
    <w:rsid w:val="0053642D"/>
    <w:rsid w:val="00594C5F"/>
    <w:rsid w:val="005E5195"/>
    <w:rsid w:val="005F6019"/>
    <w:rsid w:val="005F74B3"/>
    <w:rsid w:val="0063438F"/>
    <w:rsid w:val="0068237E"/>
    <w:rsid w:val="00693853"/>
    <w:rsid w:val="00697AC6"/>
    <w:rsid w:val="006B2D55"/>
    <w:rsid w:val="006C7DC5"/>
    <w:rsid w:val="006D2F41"/>
    <w:rsid w:val="0071790E"/>
    <w:rsid w:val="0072609E"/>
    <w:rsid w:val="00771BE1"/>
    <w:rsid w:val="007E0E72"/>
    <w:rsid w:val="007F0A4B"/>
    <w:rsid w:val="007F0D66"/>
    <w:rsid w:val="00804EDA"/>
    <w:rsid w:val="008302D6"/>
    <w:rsid w:val="008334C3"/>
    <w:rsid w:val="008514F0"/>
    <w:rsid w:val="00853D1D"/>
    <w:rsid w:val="00860BEB"/>
    <w:rsid w:val="00870829"/>
    <w:rsid w:val="00876397"/>
    <w:rsid w:val="00887F1F"/>
    <w:rsid w:val="008933CF"/>
    <w:rsid w:val="008C35AE"/>
    <w:rsid w:val="008C3DC3"/>
    <w:rsid w:val="008D0025"/>
    <w:rsid w:val="008D3A36"/>
    <w:rsid w:val="008D3BBC"/>
    <w:rsid w:val="008D4942"/>
    <w:rsid w:val="009446D2"/>
    <w:rsid w:val="00954E11"/>
    <w:rsid w:val="00956547"/>
    <w:rsid w:val="009C156C"/>
    <w:rsid w:val="009D2B0E"/>
    <w:rsid w:val="009D569E"/>
    <w:rsid w:val="009E2CBF"/>
    <w:rsid w:val="009F075C"/>
    <w:rsid w:val="00A6718D"/>
    <w:rsid w:val="00A70DA7"/>
    <w:rsid w:val="00A76D2F"/>
    <w:rsid w:val="00A82414"/>
    <w:rsid w:val="00A96A57"/>
    <w:rsid w:val="00AA120B"/>
    <w:rsid w:val="00AC6282"/>
    <w:rsid w:val="00AE01E1"/>
    <w:rsid w:val="00AF33BD"/>
    <w:rsid w:val="00B4339C"/>
    <w:rsid w:val="00B87BC8"/>
    <w:rsid w:val="00B94112"/>
    <w:rsid w:val="00BB0130"/>
    <w:rsid w:val="00BB2CF9"/>
    <w:rsid w:val="00BC1BE3"/>
    <w:rsid w:val="00BC5F97"/>
    <w:rsid w:val="00BD5588"/>
    <w:rsid w:val="00C322A3"/>
    <w:rsid w:val="00C57EA0"/>
    <w:rsid w:val="00CA741F"/>
    <w:rsid w:val="00CE3D3A"/>
    <w:rsid w:val="00D06E0C"/>
    <w:rsid w:val="00D17A29"/>
    <w:rsid w:val="00D23EE4"/>
    <w:rsid w:val="00D62377"/>
    <w:rsid w:val="00D85596"/>
    <w:rsid w:val="00DA0667"/>
    <w:rsid w:val="00DA7768"/>
    <w:rsid w:val="00E013FE"/>
    <w:rsid w:val="00E05FA8"/>
    <w:rsid w:val="00E20BCA"/>
    <w:rsid w:val="00E44472"/>
    <w:rsid w:val="00E53E71"/>
    <w:rsid w:val="00E547E3"/>
    <w:rsid w:val="00E6255D"/>
    <w:rsid w:val="00E64F63"/>
    <w:rsid w:val="00E9147C"/>
    <w:rsid w:val="00EC4934"/>
    <w:rsid w:val="00EC6A57"/>
    <w:rsid w:val="00EC7992"/>
    <w:rsid w:val="00EF274F"/>
    <w:rsid w:val="00EF713C"/>
    <w:rsid w:val="00F44CFF"/>
    <w:rsid w:val="00F4559D"/>
    <w:rsid w:val="00F56756"/>
    <w:rsid w:val="00F6149C"/>
    <w:rsid w:val="00F728BD"/>
    <w:rsid w:val="00F91676"/>
    <w:rsid w:val="00FA172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FB9E50E-0D56-40E7-B0F4-50311FE2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87F1F"/>
    <w:rPr>
      <w:sz w:val="16"/>
      <w:szCs w:val="16"/>
    </w:rPr>
  </w:style>
  <w:style w:type="paragraph" w:styleId="CommentText">
    <w:name w:val="annotation text"/>
    <w:basedOn w:val="Normal"/>
    <w:link w:val="CommentTextChar"/>
    <w:uiPriority w:val="99"/>
    <w:semiHidden/>
    <w:unhideWhenUsed/>
    <w:rsid w:val="00887F1F"/>
    <w:rPr>
      <w:sz w:val="20"/>
      <w:szCs w:val="20"/>
    </w:rPr>
  </w:style>
  <w:style w:type="character" w:customStyle="1" w:styleId="CommentTextChar">
    <w:name w:val="Comment Text Char"/>
    <w:basedOn w:val="DefaultParagraphFont"/>
    <w:link w:val="CommentText"/>
    <w:uiPriority w:val="99"/>
    <w:semiHidden/>
    <w:rsid w:val="00887F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F1F"/>
    <w:rPr>
      <w:b/>
      <w:bCs/>
    </w:rPr>
  </w:style>
  <w:style w:type="character" w:customStyle="1" w:styleId="CommentSubjectChar">
    <w:name w:val="Comment Subject Char"/>
    <w:basedOn w:val="CommentTextChar"/>
    <w:link w:val="CommentSubject"/>
    <w:uiPriority w:val="99"/>
    <w:semiHidden/>
    <w:rsid w:val="00887F1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13.septembra noteikumos Nr.703 “Noteikumi par atkritumu apsaimniekošanas atļaujas izsniegšanas un anulēšanas kārtību, atkritumu tirgotāju un atkritumu apsaimniekošanas starpnieku</vt:lpstr>
    </vt:vector>
  </TitlesOfParts>
  <Company>VARAM</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 sākotnējās ietekmes novērtējuma ziņojums (anotācija)</dc:title>
  <dc:subject>Noteikumu projekta anotācija</dc:subject>
  <dc:creator>Undīne Šūba</dc:creator>
  <dc:description>67026569, undine.suba@varam.gov.lv</dc:description>
  <cp:lastModifiedBy>Marta Ošleja</cp:lastModifiedBy>
  <cp:revision>13</cp:revision>
  <dcterms:created xsi:type="dcterms:W3CDTF">2018-05-22T13:51:00Z</dcterms:created>
  <dcterms:modified xsi:type="dcterms:W3CDTF">2018-06-15T12:27:00Z</dcterms:modified>
</cp:coreProperties>
</file>