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1B6623" w:rsidP="00870829" w14:paraId="2E33DD2A" w14:textId="77777777">
      <w:pPr>
        <w:pStyle w:val="Title"/>
        <w:spacing w:before="130"/>
        <w:ind w:firstLine="539"/>
        <w:contextualSpacing/>
        <w:rPr>
          <w:b/>
          <w:bCs/>
          <w:szCs w:val="28"/>
        </w:rPr>
      </w:pPr>
    </w:p>
    <w:p w:rsidR="00347CF0" w:rsidRPr="00485AC9" w:rsidP="00870829" w14:paraId="11D22DA9" w14:textId="77777777">
      <w:pPr>
        <w:pStyle w:val="Title"/>
        <w:spacing w:before="130"/>
        <w:ind w:firstLine="539"/>
        <w:contextualSpacing/>
        <w:rPr>
          <w:b/>
          <w:bCs/>
          <w:sz w:val="24"/>
          <w:szCs w:val="24"/>
        </w:rPr>
      </w:pPr>
      <w:r w:rsidRPr="00485AC9">
        <w:rPr>
          <w:b/>
          <w:bCs/>
          <w:sz w:val="24"/>
          <w:szCs w:val="24"/>
        </w:rPr>
        <w:t xml:space="preserve">Ministru kabineta noteikumu projekta </w:t>
      </w:r>
    </w:p>
    <w:p w:rsidR="0044326A" w:rsidP="003C1CA4" w14:paraId="597799DA" w14:textId="6774880D">
      <w:pPr>
        <w:jc w:val="center"/>
        <w:rPr>
          <w:b/>
          <w:bCs/>
        </w:rPr>
      </w:pPr>
      <w:r w:rsidRPr="00485AC9">
        <w:rPr>
          <w:b/>
        </w:rPr>
        <w:t>“</w:t>
      </w:r>
      <w:r w:rsidRPr="00485AC9" w:rsidR="00A674E5">
        <w:rPr>
          <w:b/>
        </w:rPr>
        <w:t>Transportlīdzekļu sastāvdaļu un materiālu, kuri drīkst saturēt svinu, dzīvsudrabu, kadmiju un sešvērtīgā hroma savienojumus, noteikumi</w:t>
      </w:r>
      <w:r w:rsidRPr="00485AC9" w:rsidR="00582F6C">
        <w:rPr>
          <w:b/>
        </w:rPr>
        <w:t>”</w:t>
      </w:r>
      <w:r w:rsidRPr="00485AC9" w:rsidR="00BB0130">
        <w:t xml:space="preserve"> </w:t>
      </w:r>
      <w:r w:rsidRPr="00485AC9" w:rsidR="00BB0130">
        <w:rPr>
          <w:b/>
          <w:bCs/>
        </w:rPr>
        <w:t>sākotnējās ietekmes novērtējuma ziņojums (anotācija)</w:t>
      </w:r>
    </w:p>
    <w:p w:rsidR="003C1CA4" w:rsidRPr="003C1CA4" w:rsidP="003C1CA4" w14:paraId="7C9440C6" w14:textId="77777777">
      <w:pPr>
        <w:jc w:val="center"/>
        <w:rPr>
          <w:b/>
          <w:sz w:val="10"/>
          <w:szCs w:val="10"/>
        </w:rPr>
      </w:pPr>
    </w:p>
    <w:tbl>
      <w:tblPr>
        <w:tblW w:w="537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197"/>
        <w:gridCol w:w="374"/>
        <w:gridCol w:w="63"/>
        <w:gridCol w:w="1012"/>
        <w:gridCol w:w="802"/>
        <w:gridCol w:w="663"/>
        <w:gridCol w:w="795"/>
        <w:gridCol w:w="453"/>
        <w:gridCol w:w="2100"/>
        <w:gridCol w:w="2333"/>
        <w:gridCol w:w="196"/>
      </w:tblGrid>
      <w:tr w14:paraId="26DBAFD2" w14:textId="77777777" w:rsidTr="00CF7399">
        <w:tblPrEx>
          <w:tblW w:w="537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gridAfter w:val="1"/>
          <w:wAfter w:w="109" w:type="dxa"/>
          <w:cantSplit/>
        </w:trPr>
        <w:tc>
          <w:tcPr>
            <w:tcW w:w="4891" w:type="pct"/>
            <w:gridSpan w:val="10"/>
            <w:vAlign w:val="center"/>
            <w:hideMark/>
          </w:tcPr>
          <w:p w:rsidR="002E7468" w:rsidRPr="00485AC9" w:rsidP="002E7468" w14:paraId="21A08A05" w14:textId="77777777">
            <w:pPr>
              <w:jc w:val="center"/>
              <w:rPr>
                <w:b/>
                <w:bCs/>
              </w:rPr>
            </w:pPr>
            <w:r w:rsidRPr="00485AC9">
              <w:rPr>
                <w:b/>
                <w:bCs/>
              </w:rPr>
              <w:t>Tiesību akta projekta anotācijas kopsavilkums</w:t>
            </w:r>
          </w:p>
        </w:tc>
      </w:tr>
      <w:tr w14:paraId="4571A5D8"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Height w:val="258"/>
        </w:trPr>
        <w:tc>
          <w:tcPr>
            <w:tcW w:w="2425" w:type="pct"/>
            <w:gridSpan w:val="8"/>
            <w:tcBorders>
              <w:bottom w:val="single" w:sz="4" w:space="0" w:color="auto"/>
            </w:tcBorders>
          </w:tcPr>
          <w:p w:rsidR="002E7468" w:rsidRPr="00485AC9" w:rsidP="002E7468" w14:paraId="54F4C223" w14:textId="77777777">
            <w:r w:rsidRPr="00485AC9">
              <w:t>Mērķis, risinājums un projekta spēkā stāšanās laiks (500 zīmes bez atstarpēm)</w:t>
            </w:r>
          </w:p>
        </w:tc>
        <w:tc>
          <w:tcPr>
            <w:tcW w:w="2466" w:type="pct"/>
            <w:gridSpan w:val="2"/>
            <w:tcBorders>
              <w:bottom w:val="single" w:sz="4" w:space="0" w:color="auto"/>
            </w:tcBorders>
          </w:tcPr>
          <w:p w:rsidR="002E7468" w:rsidRPr="00485AC9" w:rsidP="001D5558" w14:paraId="4CC8910E" w14:textId="7A0D51C1">
            <w:pPr>
              <w:jc w:val="both"/>
            </w:pPr>
            <w:r w:rsidRPr="00485AC9">
              <w:t>Saskaņā ar M</w:t>
            </w:r>
            <w:r w:rsidR="001D5558">
              <w:t>inistru kabineta 2009. gada 15. </w:t>
            </w:r>
            <w:r w:rsidRPr="00485AC9">
              <w:t>decembra instrukcijas Nr. 19 “Tiesību akta projekta sākotnējās ietekmes izvērtēšanas kārtība” 5.</w:t>
            </w:r>
            <w:r w:rsidRPr="00485AC9">
              <w:rPr>
                <w:vertAlign w:val="superscript"/>
              </w:rPr>
              <w:t>1</w:t>
            </w:r>
            <w:r w:rsidRPr="00485AC9">
              <w:t xml:space="preserve"> punktu anotācijas kopsavilkums netiek aizpildīts.</w:t>
            </w:r>
          </w:p>
        </w:tc>
      </w:tr>
      <w:tr w14:paraId="151AEB6D"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Height w:val="258"/>
        </w:trPr>
        <w:tc>
          <w:tcPr>
            <w:tcW w:w="2425" w:type="pct"/>
            <w:gridSpan w:val="8"/>
            <w:tcBorders>
              <w:left w:val="nil"/>
              <w:bottom w:val="single" w:sz="4" w:space="0" w:color="auto"/>
              <w:right w:val="nil"/>
            </w:tcBorders>
          </w:tcPr>
          <w:p w:rsidR="001D5558" w:rsidRPr="00485AC9" w:rsidP="002E7468" w14:paraId="2BDBBC94" w14:textId="77777777"/>
        </w:tc>
        <w:tc>
          <w:tcPr>
            <w:tcW w:w="2466" w:type="pct"/>
            <w:gridSpan w:val="2"/>
            <w:tcBorders>
              <w:left w:val="nil"/>
              <w:bottom w:val="single" w:sz="4" w:space="0" w:color="auto"/>
              <w:right w:val="nil"/>
            </w:tcBorders>
          </w:tcPr>
          <w:p w:rsidR="001D5558" w:rsidRPr="00485AC9" w:rsidP="002E7468" w14:paraId="27DE4572" w14:textId="77777777"/>
        </w:tc>
      </w:tr>
      <w:tr w14:paraId="021B56C2"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4891" w:type="pct"/>
            <w:gridSpan w:val="10"/>
            <w:vAlign w:val="center"/>
            <w:hideMark/>
          </w:tcPr>
          <w:p w:rsidR="00BD5588" w:rsidRPr="00485AC9" w:rsidP="002E7468" w14:paraId="27339D03" w14:textId="11EDA21B">
            <w:pPr>
              <w:jc w:val="center"/>
              <w:rPr>
                <w:b/>
                <w:bCs/>
              </w:rPr>
            </w:pPr>
            <w:r w:rsidRPr="00485AC9">
              <w:rPr>
                <w:b/>
                <w:bCs/>
              </w:rPr>
              <w:t>I.</w:t>
            </w:r>
            <w:r w:rsidRPr="00485AC9" w:rsidR="008C3DC3">
              <w:rPr>
                <w:b/>
                <w:bCs/>
              </w:rPr>
              <w:t> </w:t>
            </w:r>
            <w:r w:rsidRPr="00485AC9">
              <w:rPr>
                <w:b/>
                <w:bCs/>
              </w:rPr>
              <w:t>Tiesību akta projekta izstrādes nepieciešamība</w:t>
            </w:r>
          </w:p>
        </w:tc>
      </w:tr>
      <w:tr w14:paraId="2956D13B"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Height w:val="6575"/>
        </w:trPr>
        <w:tc>
          <w:tcPr>
            <w:tcW w:w="353" w:type="pct"/>
            <w:gridSpan w:val="3"/>
            <w:hideMark/>
          </w:tcPr>
          <w:p w:rsidR="00BD5588" w:rsidRPr="00485AC9" w:rsidP="00046CFA" w14:paraId="6DDBFBB5" w14:textId="77777777">
            <w:r w:rsidRPr="00485AC9">
              <w:t>1.</w:t>
            </w:r>
          </w:p>
        </w:tc>
        <w:tc>
          <w:tcPr>
            <w:tcW w:w="1378" w:type="pct"/>
            <w:gridSpan w:val="3"/>
            <w:hideMark/>
          </w:tcPr>
          <w:p w:rsidR="00BD5588" w:rsidRPr="00485AC9" w:rsidP="0075683E" w14:paraId="2B54478B" w14:textId="77777777">
            <w:r w:rsidRPr="00485AC9">
              <w:t>Pamatojums</w:t>
            </w:r>
          </w:p>
        </w:tc>
        <w:tc>
          <w:tcPr>
            <w:tcW w:w="3160" w:type="pct"/>
            <w:gridSpan w:val="4"/>
            <w:hideMark/>
          </w:tcPr>
          <w:p w:rsidR="00BD5588" w:rsidRPr="00485AC9" w:rsidP="001D4A90" w14:paraId="58EC9460" w14:textId="364BEB25">
            <w:pPr>
              <w:jc w:val="both"/>
            </w:pPr>
            <w:r w:rsidRPr="00485AC9">
              <w:t xml:space="preserve">Ministru kabineta noteikumu projekts </w:t>
            </w:r>
            <w:r w:rsidRPr="00485AC9" w:rsidR="003D75D7">
              <w:t>“Transportlīdzekļu sastāvdaļu un materiālu, kuri drīkst saturēt svinu, dzīvsudrabu, kadmiju un sešvērtīgā hroma savienojumus, noteikumi</w:t>
            </w:r>
            <w:r w:rsidRPr="00485AC9" w:rsidR="00D855A6">
              <w:t xml:space="preserve">” </w:t>
            </w:r>
            <w:r w:rsidRPr="00485AC9" w:rsidR="00451233">
              <w:t xml:space="preserve">(turpmāk – noteikumu projekts) </w:t>
            </w:r>
            <w:r w:rsidRPr="00485AC9">
              <w:t>izstrādāts, lai pārņemtu Eiropas Komisijas 2017.</w:t>
            </w:r>
            <w:r w:rsidRPr="00485AC9" w:rsidR="001019C4">
              <w:t> </w:t>
            </w:r>
            <w:r w:rsidRPr="00485AC9">
              <w:t>gada 15.</w:t>
            </w:r>
            <w:r w:rsidRPr="00485AC9" w:rsidR="001019C4">
              <w:t> </w:t>
            </w:r>
            <w:r w:rsidRPr="00485AC9" w:rsidR="00193181">
              <w:t>n</w:t>
            </w:r>
            <w:r w:rsidRPr="00485AC9">
              <w:t>ovembra</w:t>
            </w:r>
            <w:r w:rsidRPr="00485AC9" w:rsidR="003D35B9">
              <w:t xml:space="preserve"> Direktīvas</w:t>
            </w:r>
            <w:r w:rsidRPr="00485AC9">
              <w:t xml:space="preserve"> 2017/2096</w:t>
            </w:r>
            <w:r w:rsidRPr="00485AC9" w:rsidR="00A320DE">
              <w:t>/ES</w:t>
            </w:r>
            <w:r w:rsidRPr="00485AC9">
              <w:t>, ar ko groza II pielikumu Eiropas Parlamenta un Padomes Direktīvā 2000/53/EK par nolietotiem transportlīdzekļiem (turpmāk – Direktīva 2017/2096</w:t>
            </w:r>
            <w:r w:rsidRPr="00485AC9" w:rsidR="00A320DE">
              <w:t>/ES</w:t>
            </w:r>
            <w:r w:rsidRPr="00485AC9">
              <w:t>) prasības.</w:t>
            </w:r>
          </w:p>
          <w:p w:rsidR="002C6C44" w:rsidP="004B2DEF" w14:paraId="453E35A9" w14:textId="77777777">
            <w:pPr>
              <w:jc w:val="both"/>
              <w:rPr>
                <w:color w:val="000000"/>
                <w:shd w:val="clear" w:color="auto" w:fill="FFFFFF"/>
              </w:rPr>
            </w:pPr>
            <w:r w:rsidRPr="00485AC9">
              <w:rPr>
                <w:color w:val="000000"/>
                <w:shd w:val="clear" w:color="auto" w:fill="FFFFFF"/>
              </w:rPr>
              <w:t>Eiropas Parlamenta un Padomes 20</w:t>
            </w:r>
            <w:r w:rsidRPr="00485AC9" w:rsidR="001F7C6C">
              <w:rPr>
                <w:color w:val="000000"/>
                <w:shd w:val="clear" w:color="auto" w:fill="FFFFFF"/>
              </w:rPr>
              <w:t>00. gada 18. </w:t>
            </w:r>
            <w:r w:rsidRPr="00485AC9">
              <w:rPr>
                <w:color w:val="000000"/>
                <w:shd w:val="clear" w:color="auto" w:fill="FFFFFF"/>
              </w:rPr>
              <w:t xml:space="preserve">septembra Direktīvas 2000/53/EK par nolietotiem transportlīdzekļiem II pielikumā iekļauts to transportlīdzekļu materiālu un detaļu saraksts, kam nepiemēro direktīvas 4. panta 2. punkta a) apakšpunktā noteikto aizliegumu. </w:t>
            </w:r>
          </w:p>
          <w:p w:rsidR="002C6C44" w:rsidP="004B2DEF" w14:paraId="7A4FB1CF" w14:textId="77777777">
            <w:pPr>
              <w:jc w:val="both"/>
              <w:rPr>
                <w:color w:val="000000"/>
                <w:shd w:val="clear" w:color="auto" w:fill="FFFFFF"/>
              </w:rPr>
            </w:pPr>
          </w:p>
          <w:p w:rsidR="004B2DEF" w:rsidRPr="00485AC9" w:rsidP="004B2DEF" w14:paraId="07050CB5" w14:textId="1B883370">
            <w:pPr>
              <w:jc w:val="both"/>
              <w:rPr>
                <w:color w:val="000000"/>
                <w:shd w:val="clear" w:color="auto" w:fill="FFFFFF"/>
              </w:rPr>
            </w:pPr>
            <w:r w:rsidRPr="002C6C44">
              <w:rPr>
                <w:color w:val="000000"/>
                <w:shd w:val="clear" w:color="auto" w:fill="FFFFFF"/>
              </w:rPr>
              <w:t xml:space="preserve">Eiropas Parlamenta un Padomes 2000. gada 18. septembra Direktīvas 2000/53/EK par nolietotiem transportlīdzekļiem II  </w:t>
            </w:r>
            <w:r w:rsidRPr="00485AC9">
              <w:rPr>
                <w:color w:val="000000"/>
                <w:shd w:val="clear" w:color="auto" w:fill="FFFFFF"/>
              </w:rPr>
              <w:t xml:space="preserve">pielikums ir regulāri jāgroza saskaņā ar tehnikas un zinātnes attīstību, un 2.c, 3. un 5. izņēmums attiecībā uz svinu ir jāpārskata. </w:t>
            </w:r>
            <w:r w:rsidRPr="00485AC9">
              <w:rPr>
                <w:color w:val="000000"/>
                <w:shd w:val="clear" w:color="auto" w:fill="FFFFFF"/>
              </w:rPr>
              <w:tab/>
            </w:r>
          </w:p>
          <w:p w:rsidR="004B2DEF" w:rsidP="004B2DEF" w14:paraId="5D3E33B6" w14:textId="2B81752D">
            <w:pPr>
              <w:jc w:val="both"/>
              <w:rPr>
                <w:color w:val="000000"/>
                <w:shd w:val="clear" w:color="auto" w:fill="FFFFFF"/>
              </w:rPr>
            </w:pPr>
            <w:r w:rsidRPr="00485AC9">
              <w:rPr>
                <w:color w:val="000000"/>
                <w:shd w:val="clear" w:color="auto" w:fill="FFFFFF"/>
              </w:rPr>
              <w:t xml:space="preserve">Zinātnes un tehnikas sasniegumu izvērtēšana liecina, ka joprojām nav iespējams izvairīties no svina izmantošanas materiālos un detaļās, uz ko attiecas </w:t>
            </w:r>
            <w:r w:rsidRPr="002C6C44" w:rsidR="002C6C44">
              <w:rPr>
                <w:color w:val="000000"/>
                <w:shd w:val="clear" w:color="auto" w:fill="FFFFFF"/>
              </w:rPr>
              <w:t xml:space="preserve">Eiropas Parlamenta un Padomes 2000. gada 18. septembra Direktīvas 2000/53/EK par nolietotiem transportlīdzekļiem II  </w:t>
            </w:r>
            <w:r w:rsidR="002C6C44">
              <w:rPr>
                <w:color w:val="000000"/>
                <w:shd w:val="clear" w:color="auto" w:fill="FFFFFF"/>
              </w:rPr>
              <w:t xml:space="preserve">pielikuma </w:t>
            </w:r>
            <w:r w:rsidRPr="00485AC9">
              <w:rPr>
                <w:color w:val="000000"/>
                <w:shd w:val="clear" w:color="auto" w:fill="FFFFFF"/>
              </w:rPr>
              <w:t>2.c un 3. izņēmums. Tomēr pašlaik pieejamā informācija liecina, ka šādiem materiāliem un detaļām jau tuvākajā nākotnē varētu būt pieejami svina aizstājēji.</w:t>
            </w:r>
          </w:p>
          <w:p w:rsidR="00B93F72" w:rsidP="004B2DEF" w14:paraId="3652BD96" w14:textId="77777777">
            <w:pPr>
              <w:jc w:val="both"/>
              <w:rPr>
                <w:color w:val="000000"/>
                <w:shd w:val="clear" w:color="auto" w:fill="FFFFFF"/>
              </w:rPr>
            </w:pPr>
          </w:p>
          <w:p w:rsidR="00B93F72" w:rsidP="004B2DEF" w14:paraId="1F3FEF9F" w14:textId="77777777">
            <w:pPr>
              <w:jc w:val="both"/>
              <w:rPr>
                <w:color w:val="000000"/>
                <w:shd w:val="clear" w:color="auto" w:fill="FFFFFF"/>
              </w:rPr>
            </w:pPr>
          </w:p>
          <w:p w:rsidR="00B93F72" w:rsidP="004B2DEF" w14:paraId="72D86F37" w14:textId="77777777">
            <w:pPr>
              <w:jc w:val="both"/>
              <w:rPr>
                <w:color w:val="000000"/>
                <w:shd w:val="clear" w:color="auto" w:fill="FFFFFF"/>
              </w:rPr>
            </w:pPr>
          </w:p>
          <w:p w:rsidR="00B93F72" w:rsidP="004B2DEF" w14:paraId="742F839E" w14:textId="77777777">
            <w:pPr>
              <w:jc w:val="both"/>
              <w:rPr>
                <w:color w:val="000000"/>
                <w:shd w:val="clear" w:color="auto" w:fill="FFFFFF"/>
              </w:rPr>
            </w:pPr>
          </w:p>
          <w:p w:rsidR="00B93F72" w:rsidP="004B2DEF" w14:paraId="3BC47175" w14:textId="77777777">
            <w:pPr>
              <w:jc w:val="both"/>
            </w:pPr>
          </w:p>
          <w:p w:rsidR="008A0A33" w:rsidP="004B2DEF" w14:paraId="7A415BC9" w14:textId="77777777">
            <w:pPr>
              <w:jc w:val="both"/>
            </w:pPr>
          </w:p>
          <w:p w:rsidR="008A0A33" w:rsidP="004B2DEF" w14:paraId="386B1665" w14:textId="77777777">
            <w:pPr>
              <w:jc w:val="both"/>
            </w:pPr>
          </w:p>
          <w:p w:rsidR="008A0A33" w:rsidP="004B2DEF" w14:paraId="7F46FB93" w14:textId="77777777">
            <w:pPr>
              <w:jc w:val="both"/>
            </w:pPr>
          </w:p>
          <w:p w:rsidR="008A0A33" w:rsidP="004B2DEF" w14:paraId="612E4344" w14:textId="77777777">
            <w:pPr>
              <w:jc w:val="both"/>
            </w:pPr>
          </w:p>
          <w:p w:rsidR="008A0A33" w:rsidP="004B2DEF" w14:paraId="46D77420" w14:textId="77777777">
            <w:pPr>
              <w:jc w:val="both"/>
            </w:pPr>
          </w:p>
          <w:p w:rsidR="008A0A33" w:rsidRPr="00485AC9" w:rsidP="004B2DEF" w14:paraId="5B49628E" w14:textId="67C52975">
            <w:pPr>
              <w:jc w:val="both"/>
            </w:pPr>
          </w:p>
        </w:tc>
      </w:tr>
      <w:tr w14:paraId="56AB3B98"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353" w:type="pct"/>
            <w:gridSpan w:val="3"/>
            <w:hideMark/>
          </w:tcPr>
          <w:p w:rsidR="00BD5588" w:rsidRPr="00485AC9" w:rsidP="0075683E" w14:paraId="02A590A4" w14:textId="77777777">
            <w:pPr>
              <w:jc w:val="center"/>
            </w:pPr>
            <w:r w:rsidRPr="00485AC9">
              <w:t>2.</w:t>
            </w:r>
          </w:p>
        </w:tc>
        <w:tc>
          <w:tcPr>
            <w:tcW w:w="1378" w:type="pct"/>
            <w:gridSpan w:val="3"/>
            <w:hideMark/>
          </w:tcPr>
          <w:p w:rsidR="00BD5588" w:rsidRPr="00485AC9" w:rsidP="0075683E" w14:paraId="24AA8CA4" w14:textId="77777777">
            <w:r w:rsidRPr="00485AC9">
              <w:t>Pašreizējā situācija un problēmas, kuru risināšanai tiesību akta projekts izstrādāts, tiesiskā regulējuma mērķis un būtība</w:t>
            </w:r>
          </w:p>
        </w:tc>
        <w:tc>
          <w:tcPr>
            <w:tcW w:w="3160" w:type="pct"/>
            <w:gridSpan w:val="4"/>
            <w:hideMark/>
          </w:tcPr>
          <w:p w:rsidR="0072609E" w:rsidRPr="00485AC9" w:rsidP="00D855A6" w14:paraId="1C1B196D" w14:textId="3DB6F112">
            <w:pPr>
              <w:jc w:val="both"/>
              <w:rPr>
                <w:color w:val="000000"/>
                <w:shd w:val="clear" w:color="auto" w:fill="FFFFFF"/>
              </w:rPr>
            </w:pPr>
            <w:r w:rsidRPr="00485AC9">
              <w:t xml:space="preserve">Spēkā esošajos </w:t>
            </w:r>
            <w:r w:rsidRPr="00485AC9" w:rsidR="001D4A90">
              <w:t>Ministru kabineta 2004</w:t>
            </w:r>
            <w:r w:rsidRPr="00485AC9" w:rsidR="001019C4">
              <w:t>. </w:t>
            </w:r>
            <w:r w:rsidRPr="00485AC9" w:rsidR="001D4A90">
              <w:t>gada 6.</w:t>
            </w:r>
            <w:r w:rsidRPr="00485AC9" w:rsidR="001019C4">
              <w:t> </w:t>
            </w:r>
            <w:r w:rsidRPr="00485AC9" w:rsidR="001D4A90">
              <w:t>aprīļa noteikumos Nr.</w:t>
            </w:r>
            <w:r w:rsidRPr="00485AC9" w:rsidR="001019C4">
              <w:t> </w:t>
            </w:r>
            <w:r w:rsidRPr="00485AC9" w:rsidR="001F7C6C">
              <w:t>242 “</w:t>
            </w:r>
            <w:r w:rsidRPr="00485AC9" w:rsidR="001D4A90">
              <w:t>Noteikumi par transportlīdzekļu sastāvdaļām un materiāliem, kuri drīkst saturēt svinu, dzīvsudrabu, kadmiju un sešvērtīgā hroma savienojumus” (turpmāk – MK noteikumi Nr.</w:t>
            </w:r>
            <w:r w:rsidRPr="00485AC9" w:rsidR="001019C4">
              <w:t> </w:t>
            </w:r>
            <w:r w:rsidRPr="00485AC9" w:rsidR="001D4A90">
              <w:t>242) ir noteiktas transportlīdzekļu sastāvdaļas un materiāli, kuri drīkst saturēt svinu, dzīvsudrabu, kadmiju un sešvērtīgā hroma savienojumu, kas minēti šo noteikumu pielikumā. Šobrīd MK noteikumu Nr.</w:t>
            </w:r>
            <w:r w:rsidRPr="00485AC9" w:rsidR="00A320DE">
              <w:t> </w:t>
            </w:r>
            <w:r w:rsidRPr="00485AC9" w:rsidR="001D4A90">
              <w:t>242 pielikuma 1.3., 1.4., 1.5., 1.6., 1.7., 1.8., 2.1., 2.3., 2.4., 2.6., 2.8., 2.13., 2.14., 2.15., 2.16., 2.17., 2.20., 3.2., 3.3., 4.1., 4.2. un 5.1.</w:t>
            </w:r>
            <w:r w:rsidRPr="00485AC9" w:rsidR="00A320DE">
              <w:t> </w:t>
            </w:r>
            <w:r w:rsidRPr="00485AC9" w:rsidR="001D4A90">
              <w:t>apakšpunkts neatbilst Direktīvas 2017/2096</w:t>
            </w:r>
            <w:r w:rsidRPr="00485AC9" w:rsidR="00451233">
              <w:t>/ES</w:t>
            </w:r>
            <w:r w:rsidRPr="00485AC9" w:rsidR="001D4A90">
              <w:t xml:space="preserve"> prasībām, kā arī MK noteikumu Nr.</w:t>
            </w:r>
            <w:r w:rsidRPr="00485AC9" w:rsidR="00451233">
              <w:t> </w:t>
            </w:r>
            <w:r w:rsidRPr="00485AC9" w:rsidR="001D4A90">
              <w:t>242 pielikumu ir nepieciešams papildināt ar diviem jauniem apakšpunktiem saskaņā ar Direktīvas 2017/2096</w:t>
            </w:r>
            <w:r w:rsidRPr="00485AC9" w:rsidR="00451233">
              <w:t>/ES</w:t>
            </w:r>
            <w:r w:rsidRPr="00485AC9" w:rsidR="001D4A90">
              <w:t xml:space="preserve"> prasībām. </w:t>
            </w:r>
            <w:r w:rsidRPr="00485AC9">
              <w:t xml:space="preserve">Tā kā nepieciešamais grozījumu apjoms pārsniedz pusi no spēkā esošo noteikumu normu apjoma, </w:t>
            </w:r>
            <w:r w:rsidRPr="00485AC9" w:rsidR="00B26E8D">
              <w:t>saskaņā ar Ministru kabineta 2009.</w:t>
            </w:r>
            <w:r w:rsidR="00B93F72">
              <w:t> </w:t>
            </w:r>
            <w:r w:rsidRPr="00485AC9" w:rsidR="00B26E8D">
              <w:t>gada 3.</w:t>
            </w:r>
            <w:r w:rsidR="00B93F72">
              <w:t> </w:t>
            </w:r>
            <w:r w:rsidRPr="00485AC9" w:rsidR="00B26E8D">
              <w:t>februāra noteikumu Nr. 108 “</w:t>
            </w:r>
            <w:r w:rsidRPr="00485AC9" w:rsidR="00B26E8D">
              <w:rPr>
                <w:bCs/>
              </w:rPr>
              <w:t>Normatīvo aktu projektu sagatavošanas noteikumi</w:t>
            </w:r>
            <w:r w:rsidRPr="00485AC9" w:rsidR="00B26E8D">
              <w:t xml:space="preserve"> ”140. punktu, </w:t>
            </w:r>
            <w:r w:rsidRPr="00485AC9">
              <w:t>ir nepieciešams</w:t>
            </w:r>
            <w:r w:rsidR="00DA72B0">
              <w:t xml:space="preserve"> izdot jaunu</w:t>
            </w:r>
            <w:bookmarkStart w:id="0" w:name="_GoBack"/>
            <w:bookmarkEnd w:id="0"/>
            <w:r w:rsidRPr="00485AC9" w:rsidR="001F7C6C">
              <w:t xml:space="preserve">s Ministru kabineta noteikumus. </w:t>
            </w:r>
          </w:p>
        </w:tc>
      </w:tr>
      <w:tr w14:paraId="028D0F9A"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353" w:type="pct"/>
            <w:gridSpan w:val="3"/>
            <w:hideMark/>
          </w:tcPr>
          <w:p w:rsidR="00BD5588" w:rsidRPr="00485AC9" w:rsidP="0075683E" w14:paraId="021A1DA0" w14:textId="77777777">
            <w:pPr>
              <w:jc w:val="center"/>
            </w:pPr>
            <w:r w:rsidRPr="00485AC9">
              <w:t>3.</w:t>
            </w:r>
          </w:p>
        </w:tc>
        <w:tc>
          <w:tcPr>
            <w:tcW w:w="1378" w:type="pct"/>
            <w:gridSpan w:val="3"/>
            <w:tcBorders>
              <w:bottom w:val="single" w:sz="4" w:space="0" w:color="auto"/>
            </w:tcBorders>
            <w:hideMark/>
          </w:tcPr>
          <w:p w:rsidR="00BD5588" w:rsidRPr="00485AC9" w:rsidP="0075683E" w14:paraId="3EEF29B7" w14:textId="77777777">
            <w:r w:rsidRPr="00485AC9">
              <w:t>Projekta izstrādē iesaistītās institūcijas un publiskas personas kapitālsabiedrības</w:t>
            </w:r>
          </w:p>
        </w:tc>
        <w:tc>
          <w:tcPr>
            <w:tcW w:w="3160" w:type="pct"/>
            <w:gridSpan w:val="4"/>
            <w:tcBorders>
              <w:bottom w:val="single" w:sz="4" w:space="0" w:color="auto"/>
            </w:tcBorders>
            <w:hideMark/>
          </w:tcPr>
          <w:p w:rsidR="00BD5588" w:rsidRPr="00485AC9" w:rsidP="007D62C2" w14:paraId="782019DC" w14:textId="375E72A3">
            <w:pPr>
              <w:jc w:val="both"/>
            </w:pPr>
            <w:r w:rsidRPr="00485AC9">
              <w:t>Vides aizsardzības un r</w:t>
            </w:r>
            <w:r w:rsidRPr="00485AC9" w:rsidR="007D62C2">
              <w:t>eģionālās attīstības ministrija</w:t>
            </w:r>
            <w:r w:rsidRPr="00485AC9">
              <w:t>.</w:t>
            </w:r>
          </w:p>
        </w:tc>
      </w:tr>
      <w:tr w14:paraId="07F5012C"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353" w:type="pct"/>
            <w:gridSpan w:val="3"/>
            <w:tcBorders>
              <w:bottom w:val="single" w:sz="4" w:space="0" w:color="auto"/>
            </w:tcBorders>
            <w:hideMark/>
          </w:tcPr>
          <w:p w:rsidR="00BD5588" w:rsidRPr="00485AC9" w:rsidP="0075683E" w14:paraId="789C3207" w14:textId="77777777">
            <w:pPr>
              <w:jc w:val="center"/>
            </w:pPr>
            <w:r w:rsidRPr="00485AC9">
              <w:t>4.</w:t>
            </w:r>
          </w:p>
        </w:tc>
        <w:tc>
          <w:tcPr>
            <w:tcW w:w="1378" w:type="pct"/>
            <w:gridSpan w:val="3"/>
            <w:tcBorders>
              <w:bottom w:val="single" w:sz="4" w:space="0" w:color="auto"/>
            </w:tcBorders>
            <w:hideMark/>
          </w:tcPr>
          <w:p w:rsidR="00BD5588" w:rsidRPr="00485AC9" w:rsidP="0075683E" w14:paraId="1B382165" w14:textId="77777777">
            <w:r w:rsidRPr="00485AC9">
              <w:t>Cita informācija</w:t>
            </w:r>
          </w:p>
        </w:tc>
        <w:tc>
          <w:tcPr>
            <w:tcW w:w="3160" w:type="pct"/>
            <w:gridSpan w:val="4"/>
            <w:tcBorders>
              <w:bottom w:val="single" w:sz="4" w:space="0" w:color="auto"/>
            </w:tcBorders>
            <w:hideMark/>
          </w:tcPr>
          <w:p w:rsidR="00BD5588" w:rsidRPr="00485AC9" w:rsidP="0075683E" w14:paraId="5365EAFE" w14:textId="6A353DAB">
            <w:r w:rsidRPr="00485AC9">
              <w:t>Nav</w:t>
            </w:r>
          </w:p>
        </w:tc>
      </w:tr>
      <w:tr w14:paraId="48865261"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353" w:type="pct"/>
            <w:gridSpan w:val="3"/>
            <w:tcBorders>
              <w:left w:val="nil"/>
              <w:right w:val="nil"/>
            </w:tcBorders>
          </w:tcPr>
          <w:p w:rsidR="00046CFA" w:rsidRPr="00485AC9" w:rsidP="0075683E" w14:paraId="4B31217A" w14:textId="77777777">
            <w:pPr>
              <w:jc w:val="center"/>
            </w:pPr>
          </w:p>
        </w:tc>
        <w:tc>
          <w:tcPr>
            <w:tcW w:w="1378" w:type="pct"/>
            <w:gridSpan w:val="3"/>
            <w:tcBorders>
              <w:top w:val="single" w:sz="4" w:space="0" w:color="auto"/>
              <w:left w:val="nil"/>
              <w:bottom w:val="nil"/>
              <w:right w:val="nil"/>
            </w:tcBorders>
          </w:tcPr>
          <w:p w:rsidR="00046CFA" w:rsidRPr="00485AC9" w:rsidP="0075683E" w14:paraId="36DE1E43" w14:textId="77777777"/>
        </w:tc>
        <w:tc>
          <w:tcPr>
            <w:tcW w:w="3160" w:type="pct"/>
            <w:gridSpan w:val="4"/>
            <w:tcBorders>
              <w:top w:val="single" w:sz="4" w:space="0" w:color="auto"/>
              <w:left w:val="nil"/>
              <w:bottom w:val="nil"/>
              <w:right w:val="nil"/>
            </w:tcBorders>
          </w:tcPr>
          <w:p w:rsidR="00046CFA" w:rsidRPr="00485AC9" w:rsidP="0075683E" w14:paraId="023BBB1F" w14:textId="77777777"/>
        </w:tc>
      </w:tr>
      <w:tr w14:paraId="6D178924"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4891" w:type="pct"/>
            <w:gridSpan w:val="10"/>
            <w:vAlign w:val="center"/>
            <w:hideMark/>
          </w:tcPr>
          <w:p w:rsidR="00BD5588" w:rsidRPr="00485AC9" w:rsidP="0075683E" w14:paraId="2D6093EC" w14:textId="26EA376E">
            <w:pPr>
              <w:jc w:val="center"/>
              <w:rPr>
                <w:b/>
                <w:bCs/>
              </w:rPr>
            </w:pPr>
            <w:r w:rsidRPr="00485AC9">
              <w:rPr>
                <w:b/>
                <w:bCs/>
              </w:rPr>
              <w:t>II.</w:t>
            </w:r>
            <w:r w:rsidRPr="00485AC9" w:rsidR="00887F1F">
              <w:rPr>
                <w:b/>
                <w:bCs/>
              </w:rPr>
              <w:t> </w:t>
            </w:r>
            <w:r w:rsidRPr="00485AC9">
              <w:rPr>
                <w:b/>
                <w:bCs/>
              </w:rPr>
              <w:t>Tiesību akta projekta ietekme uz sabiedrību, tautsaimniecības attīstību un administratīvo slogu</w:t>
            </w:r>
          </w:p>
        </w:tc>
      </w:tr>
      <w:tr w14:paraId="2D994E2E"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Height w:val="6021"/>
        </w:trPr>
        <w:tc>
          <w:tcPr>
            <w:tcW w:w="353" w:type="pct"/>
            <w:gridSpan w:val="3"/>
            <w:hideMark/>
          </w:tcPr>
          <w:p w:rsidR="00BD5588" w:rsidRPr="00485AC9" w:rsidP="0075683E" w14:paraId="3AF52410" w14:textId="77777777">
            <w:pPr>
              <w:jc w:val="center"/>
            </w:pPr>
            <w:r w:rsidRPr="00485AC9">
              <w:t>1.</w:t>
            </w:r>
          </w:p>
        </w:tc>
        <w:tc>
          <w:tcPr>
            <w:tcW w:w="1378" w:type="pct"/>
            <w:gridSpan w:val="3"/>
            <w:hideMark/>
          </w:tcPr>
          <w:p w:rsidR="003C1CA4" w:rsidP="0075683E" w14:paraId="6975488F" w14:textId="5B2FA61A">
            <w:r w:rsidRPr="00485AC9">
              <w:t>Sabiedrības mērķgrupas, kuras tiesiskais regulējums ietekmē vai varētu ietekmēt</w:t>
            </w:r>
          </w:p>
          <w:p w:rsidR="00BD5588" w:rsidRPr="003C1CA4" w:rsidP="003C1CA4" w14:paraId="4E04275C" w14:textId="77777777">
            <w:pPr>
              <w:jc w:val="center"/>
            </w:pPr>
          </w:p>
        </w:tc>
        <w:tc>
          <w:tcPr>
            <w:tcW w:w="3160" w:type="pct"/>
            <w:gridSpan w:val="4"/>
            <w:hideMark/>
          </w:tcPr>
          <w:p w:rsidR="00BD5588" w:rsidRPr="00485AC9" w:rsidP="00A82414" w14:paraId="536D927B" w14:textId="7989D732">
            <w:pPr>
              <w:jc w:val="both"/>
            </w:pPr>
            <w:r w:rsidRPr="00485AC9">
              <w:t>Komersanti, kuri izgatavo</w:t>
            </w:r>
            <w:r w:rsidRPr="00485AC9" w:rsidR="00F868FF">
              <w:t xml:space="preserve"> un izplata</w:t>
            </w:r>
            <w:r w:rsidRPr="00485AC9">
              <w:t xml:space="preserve"> transportlīdzekļus, to materiālus un sastāvdaļas</w:t>
            </w:r>
            <w:r w:rsidRPr="00485AC9" w:rsidR="00BB0130">
              <w:t>.</w:t>
            </w:r>
          </w:p>
        </w:tc>
      </w:tr>
      <w:tr w14:paraId="2AB7B6FB"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353" w:type="pct"/>
            <w:gridSpan w:val="3"/>
            <w:hideMark/>
          </w:tcPr>
          <w:p w:rsidR="00BD5588" w:rsidRPr="00485AC9" w:rsidP="0075683E" w14:paraId="6D58F7DA" w14:textId="77777777">
            <w:pPr>
              <w:jc w:val="center"/>
            </w:pPr>
            <w:r w:rsidRPr="00485AC9">
              <w:t>2.</w:t>
            </w:r>
          </w:p>
        </w:tc>
        <w:tc>
          <w:tcPr>
            <w:tcW w:w="1378" w:type="pct"/>
            <w:gridSpan w:val="3"/>
            <w:hideMark/>
          </w:tcPr>
          <w:p w:rsidR="00BD5588" w:rsidRPr="00485AC9" w:rsidP="0075683E" w14:paraId="0929486E" w14:textId="77777777">
            <w:r w:rsidRPr="00485AC9">
              <w:t>Tiesiskā regulējuma ietekme uz tautsaimniecību un administratīvo slogu</w:t>
            </w:r>
          </w:p>
        </w:tc>
        <w:tc>
          <w:tcPr>
            <w:tcW w:w="3160" w:type="pct"/>
            <w:gridSpan w:val="4"/>
            <w:hideMark/>
          </w:tcPr>
          <w:p w:rsidR="004E4A1E" w:rsidRPr="00485AC9" w:rsidP="00BB0130" w14:paraId="2CF9D2C3" w14:textId="77777777">
            <w:pPr>
              <w:jc w:val="both"/>
            </w:pPr>
            <w:r w:rsidRPr="00485AC9">
              <w:t>Tā kā Direktīvas 2017/2096/ES pielikums,</w:t>
            </w:r>
            <w:r w:rsidRPr="00485AC9">
              <w:t xml:space="preserve"> </w:t>
            </w:r>
            <w:r w:rsidRPr="00485AC9" w:rsidR="00B7510A">
              <w:t>kurā ir noteikti transportlīdzekļu sastāvdaļas un materiāli, kuri drīkst saturēt svinu, dzīvsudrabu, kadmiju vai sešvērtīgā hroma savienojumus</w:t>
            </w:r>
            <w:r w:rsidRPr="00485AC9" w:rsidR="001F07E6">
              <w:t xml:space="preserve">, </w:t>
            </w:r>
            <w:r w:rsidRPr="00485AC9">
              <w:t>tiek</w:t>
            </w:r>
            <w:r w:rsidRPr="00485AC9" w:rsidR="001F07E6">
              <w:t xml:space="preserve"> regulāri groz</w:t>
            </w:r>
            <w:r w:rsidRPr="00485AC9">
              <w:t>īts,</w:t>
            </w:r>
            <w:r w:rsidRPr="00485AC9" w:rsidR="001F07E6">
              <w:t xml:space="preserve"> saskaņā ar zinātnes un tehnikas sasniegumiem</w:t>
            </w:r>
            <w:r w:rsidRPr="00485AC9">
              <w:t>, ir nepieciešams izdot noteikumu projektu, kurš nodrošinās Direktīvas 2017/2096/ES prasību ieviešanu.</w:t>
            </w:r>
            <w:r w:rsidRPr="00485AC9" w:rsidR="001F07E6">
              <w:t xml:space="preserve"> </w:t>
            </w:r>
          </w:p>
          <w:p w:rsidR="004E4A1E" w:rsidRPr="00485AC9" w:rsidP="00BB0130" w14:paraId="215D69A9" w14:textId="77777777">
            <w:pPr>
              <w:jc w:val="both"/>
            </w:pPr>
          </w:p>
          <w:p w:rsidR="00BB0130" w:rsidRPr="00485AC9" w:rsidP="00BB0130" w14:paraId="0FCC5C89" w14:textId="07173BCA">
            <w:pPr>
              <w:jc w:val="both"/>
            </w:pPr>
            <w:r w:rsidRPr="00485AC9">
              <w:t xml:space="preserve">Noteikumu projektam </w:t>
            </w:r>
            <w:r w:rsidRPr="00485AC9" w:rsidR="001E141D">
              <w:t xml:space="preserve">ir </w:t>
            </w:r>
            <w:r w:rsidRPr="00485AC9" w:rsidR="001F07E6">
              <w:t>paredzama pozitīva ietekme uz vidi un veselību,</w:t>
            </w:r>
            <w:r w:rsidRPr="00485AC9">
              <w:t xml:space="preserve"> tas </w:t>
            </w:r>
            <w:r w:rsidRPr="00485AC9" w:rsidR="00B7510A">
              <w:t xml:space="preserve">precizēs to transportlīdzekļu sastāvdaļu un materiālu sarakstu, kam nepiemēro aizliegumu saturēt svinu, dzīvsudrabu, kadmiju vai sešvērtīgā hroma savienojumus. </w:t>
            </w:r>
          </w:p>
          <w:p w:rsidR="004C0707" w:rsidRPr="00485AC9" w:rsidP="004C0707" w14:paraId="5C3B6637" w14:textId="10C2EBA2">
            <w:pPr>
              <w:pStyle w:val="naisc"/>
              <w:spacing w:before="0" w:after="0"/>
              <w:jc w:val="both"/>
            </w:pPr>
            <w:r w:rsidRPr="00485AC9">
              <w:t>Uz sastāvdaļām un materiāliem, kuriem noteikumu projekta pielikumā nav norādīti termiņi, prasības attie</w:t>
            </w:r>
            <w:r w:rsidR="00B93F72">
              <w:t>cas bez ierobežojuma, t.i.</w:t>
            </w:r>
            <w:r w:rsidRPr="00485AC9">
              <w:t xml:space="preserve">, uz jebkurā gadā tirgū laistām sastāvdaļām un materiāliem. Piemēram, </w:t>
            </w:r>
            <w:r w:rsidR="00B93F72">
              <w:t xml:space="preserve">noteikumu projekta pielikuma </w:t>
            </w:r>
            <w:r w:rsidRPr="00485AC9">
              <w:t>1.1.</w:t>
            </w:r>
            <w:r w:rsidR="00056E4D">
              <w:t> </w:t>
            </w:r>
            <w:r w:rsidR="00B93F72">
              <w:t>apakšpunktā</w:t>
            </w:r>
            <w:r w:rsidRPr="00485AC9">
              <w:t xml:space="preserve"> mehāniskai apstrādei paredzēts tērauds un karsti cinkota tērauda detaļas ar svina saturu līdz 0,35 % </w:t>
            </w:r>
            <w:r w:rsidR="00B93F72">
              <w:t>no masas – attiecināms uz 2018. </w:t>
            </w:r>
            <w:r w:rsidRPr="00485AC9">
              <w:t xml:space="preserve">gadā tirgū laistām </w:t>
            </w:r>
            <w:r w:rsidR="00B93F72">
              <w:t>detaļām līdzvērtīgi kā uz 1990. </w:t>
            </w:r>
            <w:r w:rsidRPr="00485AC9">
              <w:t xml:space="preserve">gadā tirgū laistām detaļām. Savukārt, </w:t>
            </w:r>
            <w:r w:rsidR="00B93F72">
              <w:t xml:space="preserve">noteikuma projekta pielikuma </w:t>
            </w:r>
            <w:r w:rsidRPr="00485AC9">
              <w:t>1.2.</w:t>
            </w:r>
            <w:r w:rsidR="00B93F72">
              <w:t> </w:t>
            </w:r>
            <w:r w:rsidRPr="00B93F72" w:rsidR="00B93F72">
              <w:t xml:space="preserve">apakšpunkts </w:t>
            </w:r>
            <w:r w:rsidRPr="00485AC9">
              <w:t>paredz</w:t>
            </w:r>
            <w:r w:rsidR="00B93F72">
              <w:t>,</w:t>
            </w:r>
            <w:r w:rsidRPr="00485AC9">
              <w:t xml:space="preserve"> ka attiecīgais svina saturs nav pieļaujams transportlīdzekļos, kuru tips</w:t>
            </w:r>
            <w:r w:rsidRPr="00485AC9" w:rsidR="00B93F72">
              <w:t xml:space="preserve"> apstiprināts pēc 2016. gada 1. janvāra</w:t>
            </w:r>
            <w:r w:rsidRPr="00485AC9">
              <w:t>, un šiem transportlīdzekļiem paredzētās rezerves daļās.</w:t>
            </w:r>
          </w:p>
          <w:p w:rsidR="00BB0130" w:rsidRPr="00485AC9" w:rsidP="00BB0130" w14:paraId="2E06AC91" w14:textId="77777777">
            <w:pPr>
              <w:jc w:val="both"/>
              <w:rPr>
                <w:highlight w:val="yellow"/>
              </w:rPr>
            </w:pPr>
          </w:p>
          <w:p w:rsidR="00BD5588" w:rsidRPr="00485AC9" w:rsidP="00D85596" w14:paraId="51170460" w14:textId="2C64A715">
            <w:pPr>
              <w:jc w:val="both"/>
            </w:pPr>
            <w:r w:rsidRPr="00485AC9">
              <w:t xml:space="preserve">Nav paredzams, ka noteikumu projektam būs ietekme uz </w:t>
            </w:r>
            <w:r w:rsidRPr="00485AC9" w:rsidR="00BB0130">
              <w:t xml:space="preserve"> administratīvo slogu.</w:t>
            </w:r>
            <w:r w:rsidRPr="00485AC9" w:rsidR="00D855A6">
              <w:t xml:space="preserve"> Sabiedrības grupām un institūcijām projekta tiesiskais regulējums nemaina tiesības un pienākumus, kā arī veicamās darbības.</w:t>
            </w:r>
          </w:p>
          <w:p w:rsidR="00CE3D3A" w:rsidRPr="00485AC9" w:rsidP="00D85596" w14:paraId="42D19FB8" w14:textId="77777777">
            <w:pPr>
              <w:jc w:val="both"/>
              <w:rPr>
                <w:highlight w:val="yellow"/>
              </w:rPr>
            </w:pPr>
          </w:p>
          <w:p w:rsidR="00357D0A" w:rsidRPr="00485AC9" w:rsidP="00D855A6" w14:paraId="3ED92044" w14:textId="0FEFF3BD">
            <w:pPr>
              <w:jc w:val="both"/>
            </w:pPr>
            <w:r w:rsidRPr="00485AC9">
              <w:t xml:space="preserve">Noteikumu projekta tiesiskā regulējuma ietekme uz tautsaimniecību un sabiedrības mērķgrupām – </w:t>
            </w:r>
            <w:r w:rsidRPr="00485AC9" w:rsidR="001E141D">
              <w:t>komersantiem</w:t>
            </w:r>
            <w:r w:rsidRPr="00485AC9" w:rsidR="007853FD">
              <w:t>,</w:t>
            </w:r>
            <w:r w:rsidRPr="00485AC9" w:rsidR="001E141D">
              <w:t xml:space="preserve"> kuri izgatavo</w:t>
            </w:r>
            <w:r w:rsidRPr="00485AC9" w:rsidR="00F868FF">
              <w:t xml:space="preserve"> un izplata</w:t>
            </w:r>
            <w:r w:rsidRPr="00485AC9" w:rsidR="001E141D">
              <w:t xml:space="preserve"> transportlīdzekļus, to materiālus </w:t>
            </w:r>
            <w:r w:rsidRPr="00485AC9" w:rsidR="00D855A6">
              <w:t>vai</w:t>
            </w:r>
            <w:r w:rsidRPr="00485AC9" w:rsidR="001E141D">
              <w:t xml:space="preserve"> sastāvdaļas būs jāņem vērā noteikumu projektā precizētās prasības.</w:t>
            </w:r>
          </w:p>
        </w:tc>
      </w:tr>
      <w:tr w14:paraId="51101E95"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353" w:type="pct"/>
            <w:gridSpan w:val="3"/>
            <w:hideMark/>
          </w:tcPr>
          <w:p w:rsidR="00BB0130" w:rsidRPr="00485AC9" w:rsidP="0075683E" w14:paraId="64F392B3" w14:textId="77777777">
            <w:pPr>
              <w:jc w:val="center"/>
            </w:pPr>
            <w:r w:rsidRPr="00485AC9">
              <w:t>3.</w:t>
            </w:r>
          </w:p>
        </w:tc>
        <w:tc>
          <w:tcPr>
            <w:tcW w:w="1378" w:type="pct"/>
            <w:gridSpan w:val="3"/>
            <w:hideMark/>
          </w:tcPr>
          <w:p w:rsidR="00BB0130" w:rsidRPr="00485AC9" w:rsidP="0075683E" w14:paraId="6F4FBCDC" w14:textId="77777777">
            <w:r w:rsidRPr="00485AC9">
              <w:t>Administratīvo izmaksu monetārs novērtējums</w:t>
            </w:r>
          </w:p>
        </w:tc>
        <w:tc>
          <w:tcPr>
            <w:tcW w:w="3160" w:type="pct"/>
            <w:gridSpan w:val="4"/>
            <w:hideMark/>
          </w:tcPr>
          <w:p w:rsidR="00BB0130" w:rsidRPr="00485AC9" w:rsidP="007D62C2" w14:paraId="610D29F9" w14:textId="0DD7C890">
            <w:pPr>
              <w:jc w:val="both"/>
            </w:pPr>
            <w:r w:rsidRPr="00485AC9">
              <w:t>Projekts šo jomu neskar.</w:t>
            </w:r>
          </w:p>
        </w:tc>
      </w:tr>
      <w:tr w14:paraId="3C46DEE4"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353" w:type="pct"/>
            <w:gridSpan w:val="3"/>
            <w:hideMark/>
          </w:tcPr>
          <w:p w:rsidR="00BB0130" w:rsidRPr="00485AC9" w:rsidP="0075683E" w14:paraId="72720DE5" w14:textId="77777777">
            <w:pPr>
              <w:jc w:val="center"/>
            </w:pPr>
            <w:r w:rsidRPr="00485AC9">
              <w:t>4.</w:t>
            </w:r>
          </w:p>
        </w:tc>
        <w:tc>
          <w:tcPr>
            <w:tcW w:w="1378" w:type="pct"/>
            <w:gridSpan w:val="3"/>
            <w:hideMark/>
          </w:tcPr>
          <w:p w:rsidR="00BB0130" w:rsidRPr="00485AC9" w:rsidP="0075683E" w14:paraId="1C8C0D3E" w14:textId="77777777">
            <w:r w:rsidRPr="00485AC9">
              <w:t>Atbilstības izmaksu monetārs novērtējums</w:t>
            </w:r>
          </w:p>
        </w:tc>
        <w:tc>
          <w:tcPr>
            <w:tcW w:w="3160" w:type="pct"/>
            <w:gridSpan w:val="4"/>
            <w:hideMark/>
          </w:tcPr>
          <w:p w:rsidR="00BB0130" w:rsidRPr="00485AC9" w:rsidP="00A82414" w14:paraId="43E4D186" w14:textId="7436D34A">
            <w:pPr>
              <w:jc w:val="both"/>
            </w:pPr>
            <w:r w:rsidRPr="00485AC9">
              <w:t>Projekts šo jomu neskar.</w:t>
            </w:r>
          </w:p>
        </w:tc>
      </w:tr>
      <w:tr w14:paraId="2DE5E4E3"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353" w:type="pct"/>
            <w:gridSpan w:val="3"/>
            <w:tcBorders>
              <w:bottom w:val="single" w:sz="4" w:space="0" w:color="auto"/>
            </w:tcBorders>
            <w:hideMark/>
          </w:tcPr>
          <w:p w:rsidR="00BB0130" w:rsidRPr="00485AC9" w:rsidP="0075683E" w14:paraId="05E1A92C" w14:textId="77777777">
            <w:pPr>
              <w:jc w:val="center"/>
            </w:pPr>
            <w:r w:rsidRPr="00485AC9">
              <w:t>5.</w:t>
            </w:r>
          </w:p>
        </w:tc>
        <w:tc>
          <w:tcPr>
            <w:tcW w:w="1378" w:type="pct"/>
            <w:gridSpan w:val="3"/>
            <w:tcBorders>
              <w:bottom w:val="single" w:sz="4" w:space="0" w:color="auto"/>
            </w:tcBorders>
            <w:hideMark/>
          </w:tcPr>
          <w:p w:rsidR="00BB0130" w:rsidRPr="00485AC9" w:rsidP="0075683E" w14:paraId="3D23B661" w14:textId="77777777">
            <w:r w:rsidRPr="00485AC9">
              <w:t>Cita informācija</w:t>
            </w:r>
          </w:p>
        </w:tc>
        <w:tc>
          <w:tcPr>
            <w:tcW w:w="3160" w:type="pct"/>
            <w:gridSpan w:val="4"/>
            <w:tcBorders>
              <w:bottom w:val="single" w:sz="4" w:space="0" w:color="auto"/>
            </w:tcBorders>
            <w:hideMark/>
          </w:tcPr>
          <w:p w:rsidR="00BB0130" w:rsidRPr="00485AC9" w:rsidP="0075683E" w14:paraId="1E188653" w14:textId="2CDA18CF">
            <w:r w:rsidRPr="00485AC9">
              <w:t>Nav</w:t>
            </w:r>
            <w:r w:rsidR="008A0A33">
              <w:t>.</w:t>
            </w:r>
          </w:p>
        </w:tc>
      </w:tr>
      <w:tr w14:paraId="6A5F371B"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353" w:type="pct"/>
            <w:gridSpan w:val="3"/>
            <w:tcBorders>
              <w:left w:val="nil"/>
              <w:right w:val="nil"/>
            </w:tcBorders>
          </w:tcPr>
          <w:p w:rsidR="00261C2E" w:rsidRPr="00485AC9" w:rsidP="0075683E" w14:paraId="300F3C88" w14:textId="77777777">
            <w:pPr>
              <w:jc w:val="center"/>
            </w:pPr>
          </w:p>
        </w:tc>
        <w:tc>
          <w:tcPr>
            <w:tcW w:w="1378" w:type="pct"/>
            <w:gridSpan w:val="3"/>
            <w:tcBorders>
              <w:left w:val="nil"/>
              <w:right w:val="nil"/>
            </w:tcBorders>
          </w:tcPr>
          <w:p w:rsidR="00261C2E" w:rsidRPr="00485AC9" w:rsidP="0075683E" w14:paraId="5391EF6B" w14:textId="77777777"/>
        </w:tc>
        <w:tc>
          <w:tcPr>
            <w:tcW w:w="3160" w:type="pct"/>
            <w:gridSpan w:val="4"/>
            <w:tcBorders>
              <w:left w:val="nil"/>
              <w:right w:val="nil"/>
            </w:tcBorders>
          </w:tcPr>
          <w:p w:rsidR="00261C2E" w:rsidRPr="00485AC9" w:rsidP="0075683E" w14:paraId="209AB6B0" w14:textId="77777777"/>
        </w:tc>
      </w:tr>
      <w:tr w14:paraId="6ABF9FDA" w14:textId="77777777" w:rsidTr="00CF7399">
        <w:tblPrEx>
          <w:tblW w:w="5372" w:type="pct"/>
          <w:tblInd w:w="-112" w:type="dxa"/>
          <w:tblCellMar>
            <w:top w:w="28" w:type="dxa"/>
            <w:left w:w="28" w:type="dxa"/>
            <w:bottom w:w="28" w:type="dxa"/>
            <w:right w:w="28" w:type="dxa"/>
          </w:tblCellMar>
          <w:tblLook w:val="04A0"/>
        </w:tblPrEx>
        <w:trPr>
          <w:gridAfter w:val="1"/>
          <w:wAfter w:w="109" w:type="dxa"/>
          <w:cantSplit/>
        </w:trPr>
        <w:tc>
          <w:tcPr>
            <w:tcW w:w="4891" w:type="pct"/>
            <w:gridSpan w:val="10"/>
            <w:shd w:val="clear" w:color="auto" w:fill="auto"/>
            <w:vAlign w:val="center"/>
            <w:hideMark/>
          </w:tcPr>
          <w:p w:rsidR="00BD5588" w:rsidRPr="00485AC9" w:rsidP="0075683E" w14:paraId="4BD94F2F" w14:textId="33E89E5D">
            <w:pPr>
              <w:jc w:val="center"/>
              <w:rPr>
                <w:b/>
                <w:bCs/>
                <w:lang w:eastAsia="en-US"/>
              </w:rPr>
            </w:pPr>
            <w:r w:rsidRPr="00485AC9">
              <w:br w:type="page"/>
            </w:r>
            <w:r w:rsidRPr="00485AC9">
              <w:rPr>
                <w:b/>
                <w:bCs/>
                <w:lang w:eastAsia="en-US"/>
              </w:rPr>
              <w:t>III.</w:t>
            </w:r>
            <w:r w:rsidRPr="00485AC9" w:rsidR="00BC1BE3">
              <w:rPr>
                <w:b/>
                <w:bCs/>
                <w:lang w:eastAsia="en-US"/>
              </w:rPr>
              <w:t> </w:t>
            </w:r>
            <w:r w:rsidRPr="00485AC9">
              <w:rPr>
                <w:b/>
                <w:bCs/>
                <w:lang w:eastAsia="en-US"/>
              </w:rPr>
              <w:t>Tiesību akta projekta ietekme uz valsts budžetu un pašvaldību budžetiem</w:t>
            </w:r>
          </w:p>
        </w:tc>
      </w:tr>
      <w:tr w14:paraId="2C286E03" w14:textId="77777777" w:rsidTr="00CF7399">
        <w:tblPrEx>
          <w:tblW w:w="5372" w:type="pct"/>
          <w:tblInd w:w="-112" w:type="dxa"/>
          <w:tblCellMar>
            <w:top w:w="28" w:type="dxa"/>
            <w:left w:w="28" w:type="dxa"/>
            <w:bottom w:w="28" w:type="dxa"/>
            <w:right w:w="28" w:type="dxa"/>
          </w:tblCellMar>
          <w:tblLook w:val="04A0"/>
        </w:tblPrEx>
        <w:trPr>
          <w:gridAfter w:val="1"/>
          <w:wAfter w:w="109" w:type="dxa"/>
          <w:cantSplit/>
        </w:trPr>
        <w:tc>
          <w:tcPr>
            <w:tcW w:w="4891" w:type="pct"/>
            <w:gridSpan w:val="10"/>
            <w:tcBorders>
              <w:bottom w:val="single" w:sz="4" w:space="0" w:color="auto"/>
            </w:tcBorders>
            <w:shd w:val="clear" w:color="auto" w:fill="auto"/>
          </w:tcPr>
          <w:p w:rsidR="00357D0A" w:rsidRPr="00485AC9" w:rsidP="00357D0A" w14:paraId="54646FF8" w14:textId="77777777">
            <w:pPr>
              <w:jc w:val="center"/>
              <w:rPr>
                <w:lang w:eastAsia="en-US"/>
              </w:rPr>
            </w:pPr>
            <w:r w:rsidRPr="00485AC9">
              <w:t>Projekts šo jomu neskar.</w:t>
            </w:r>
          </w:p>
        </w:tc>
      </w:tr>
      <w:tr w14:paraId="7812895C" w14:textId="77777777" w:rsidTr="00CF7399">
        <w:tblPrEx>
          <w:tblW w:w="5372" w:type="pct"/>
          <w:tblInd w:w="-112" w:type="dxa"/>
          <w:tblCellMar>
            <w:top w:w="28" w:type="dxa"/>
            <w:left w:w="28" w:type="dxa"/>
            <w:bottom w:w="28" w:type="dxa"/>
            <w:right w:w="28" w:type="dxa"/>
          </w:tblCellMar>
          <w:tblLook w:val="04A0"/>
        </w:tblPrEx>
        <w:trPr>
          <w:gridAfter w:val="1"/>
          <w:wAfter w:w="109" w:type="dxa"/>
          <w:cantSplit/>
        </w:trPr>
        <w:tc>
          <w:tcPr>
            <w:tcW w:w="4891" w:type="pct"/>
            <w:gridSpan w:val="10"/>
            <w:tcBorders>
              <w:left w:val="nil"/>
              <w:right w:val="nil"/>
            </w:tcBorders>
            <w:shd w:val="clear" w:color="auto" w:fill="auto"/>
          </w:tcPr>
          <w:p w:rsidR="001D5558" w:rsidRPr="00485AC9" w:rsidP="001D5558" w14:paraId="6EC78A53" w14:textId="77777777">
            <w:pPr>
              <w:jc w:val="right"/>
            </w:pPr>
          </w:p>
        </w:tc>
      </w:tr>
      <w:tr w14:paraId="09AF24B9"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4891" w:type="pct"/>
            <w:gridSpan w:val="10"/>
            <w:tcBorders>
              <w:bottom w:val="single" w:sz="4" w:space="0" w:color="auto"/>
            </w:tcBorders>
            <w:vAlign w:val="center"/>
            <w:hideMark/>
          </w:tcPr>
          <w:p w:rsidR="00BD5588" w:rsidRPr="00485AC9" w:rsidP="0075683E" w14:paraId="7DB7A7D9" w14:textId="7E101F70">
            <w:pPr>
              <w:jc w:val="center"/>
              <w:rPr>
                <w:b/>
                <w:bCs/>
              </w:rPr>
            </w:pPr>
            <w:r w:rsidRPr="00485AC9">
              <w:rPr>
                <w:b/>
                <w:bCs/>
              </w:rPr>
              <w:t>IV.</w:t>
            </w:r>
            <w:r w:rsidRPr="00485AC9" w:rsidR="00BC1BE3">
              <w:rPr>
                <w:b/>
                <w:bCs/>
              </w:rPr>
              <w:t> </w:t>
            </w:r>
            <w:r w:rsidRPr="00485AC9">
              <w:rPr>
                <w:b/>
                <w:bCs/>
              </w:rPr>
              <w:t>Tiesību akta projekta ietekme uz spēkā esošo tiesību normu sistēmu</w:t>
            </w:r>
          </w:p>
        </w:tc>
      </w:tr>
      <w:tr w14:paraId="3F067373"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Height w:val="312"/>
        </w:trPr>
        <w:tc>
          <w:tcPr>
            <w:tcW w:w="4891" w:type="pct"/>
            <w:gridSpan w:val="10"/>
            <w:tcBorders>
              <w:bottom w:val="single" w:sz="4" w:space="0" w:color="auto"/>
            </w:tcBorders>
          </w:tcPr>
          <w:p w:rsidR="001E141D" w:rsidRPr="00485AC9" w:rsidP="005D0FF6" w14:paraId="1F208E79" w14:textId="324E2769">
            <w:pPr>
              <w:tabs>
                <w:tab w:val="center" w:pos="4293"/>
                <w:tab w:val="right" w:pos="8587"/>
              </w:tabs>
            </w:pPr>
            <w:r w:rsidRPr="00485AC9">
              <w:tab/>
            </w:r>
            <w:r w:rsidRPr="00485AC9" w:rsidR="00A76D2F">
              <w:t>Projekts šo jomu neskar.</w:t>
            </w:r>
          </w:p>
        </w:tc>
      </w:tr>
      <w:tr w14:paraId="668407E8"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4891" w:type="pct"/>
            <w:gridSpan w:val="10"/>
            <w:tcBorders>
              <w:top w:val="single" w:sz="4" w:space="0" w:color="auto"/>
              <w:left w:val="single" w:sz="4" w:space="0" w:color="auto"/>
              <w:bottom w:val="single" w:sz="4" w:space="0" w:color="auto"/>
              <w:right w:val="single" w:sz="4" w:space="0" w:color="auto"/>
            </w:tcBorders>
          </w:tcPr>
          <w:p w:rsidR="000B0D50" w:rsidRPr="00485AC9" w:rsidP="000B0D50" w14:paraId="25591B96" w14:textId="77777777">
            <w:pPr>
              <w:jc w:val="center"/>
              <w:rPr>
                <w:b/>
              </w:rPr>
            </w:pPr>
            <w:r w:rsidRPr="00485AC9">
              <w:rPr>
                <w:b/>
              </w:rPr>
              <w:t>V. Tiesību akta projekta atbilstība Latvijas Republikas starptautiskajām saistībām</w:t>
            </w:r>
          </w:p>
        </w:tc>
      </w:tr>
      <w:tr w14:paraId="2E3FE2F6" w14:textId="77777777" w:rsidTr="00CF7399">
        <w:tblPrEx>
          <w:tblW w:w="5372" w:type="pct"/>
          <w:tblInd w:w="-112"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After w:val="1"/>
          <w:wAfter w:w="109" w:type="dxa"/>
        </w:trPr>
        <w:tc>
          <w:tcPr>
            <w:tcW w:w="318" w:type="pct"/>
            <w:gridSpan w:val="2"/>
            <w:tcBorders>
              <w:top w:val="outset" w:sz="6" w:space="0" w:color="414142"/>
              <w:left w:val="outset" w:sz="6" w:space="0" w:color="414142"/>
              <w:bottom w:val="outset" w:sz="6" w:space="0" w:color="414142"/>
              <w:right w:val="outset" w:sz="6" w:space="0" w:color="414142"/>
            </w:tcBorders>
            <w:hideMark/>
          </w:tcPr>
          <w:p w:rsidR="000B0D50" w:rsidRPr="00485AC9" w:rsidP="0075683E" w14:paraId="723034E2" w14:textId="77777777">
            <w:r w:rsidRPr="00485AC9">
              <w:t>1.</w:t>
            </w:r>
          </w:p>
        </w:tc>
        <w:tc>
          <w:tcPr>
            <w:tcW w:w="1044" w:type="pct"/>
            <w:gridSpan w:val="3"/>
            <w:tcBorders>
              <w:top w:val="outset" w:sz="6" w:space="0" w:color="414142"/>
              <w:left w:val="outset" w:sz="6" w:space="0" w:color="414142"/>
              <w:bottom w:val="outset" w:sz="6" w:space="0" w:color="414142"/>
              <w:right w:val="outset" w:sz="6" w:space="0" w:color="414142"/>
            </w:tcBorders>
            <w:hideMark/>
          </w:tcPr>
          <w:p w:rsidR="000B0D50" w:rsidRPr="00485AC9" w:rsidP="0075683E" w14:paraId="3E69A7A1" w14:textId="77777777">
            <w:r w:rsidRPr="00485AC9">
              <w:t>Saistības pret Eiropas Savienību</w:t>
            </w:r>
          </w:p>
        </w:tc>
        <w:tc>
          <w:tcPr>
            <w:tcW w:w="3529" w:type="pct"/>
            <w:gridSpan w:val="5"/>
            <w:tcBorders>
              <w:top w:val="outset" w:sz="6" w:space="0" w:color="414142"/>
              <w:left w:val="outset" w:sz="6" w:space="0" w:color="414142"/>
              <w:bottom w:val="outset" w:sz="6" w:space="0" w:color="414142"/>
              <w:right w:val="outset" w:sz="6" w:space="0" w:color="414142"/>
            </w:tcBorders>
            <w:hideMark/>
          </w:tcPr>
          <w:p w:rsidR="000B0D50" w:rsidRPr="00485AC9" w:rsidP="003D35B9" w14:paraId="547BD8FA" w14:textId="1B909E99">
            <w:pPr>
              <w:ind w:left="57" w:right="57"/>
              <w:jc w:val="both"/>
            </w:pPr>
            <w:r w:rsidRPr="00485AC9">
              <w:t>Direktīva 2017/2096</w:t>
            </w:r>
            <w:r w:rsidRPr="00485AC9" w:rsidR="00451233">
              <w:t>/ES</w:t>
            </w:r>
            <w:r w:rsidRPr="00485AC9">
              <w:t xml:space="preserve"> Direktīvas 2017/2096</w:t>
            </w:r>
            <w:r w:rsidRPr="00485AC9" w:rsidR="00451233">
              <w:t>/ES</w:t>
            </w:r>
            <w:r w:rsidRPr="00485AC9">
              <w:t xml:space="preserve"> prasības jāpārņem </w:t>
            </w:r>
            <w:r w:rsidRPr="00485AC9" w:rsidR="00451233">
              <w:t xml:space="preserve">ar noteikumu projektu </w:t>
            </w:r>
            <w:r w:rsidRPr="00485AC9">
              <w:t>līdz 2018.</w:t>
            </w:r>
            <w:r w:rsidRPr="00485AC9" w:rsidR="00451233">
              <w:t> </w:t>
            </w:r>
            <w:r w:rsidRPr="00485AC9">
              <w:t>gada 6.</w:t>
            </w:r>
            <w:r w:rsidRPr="00485AC9" w:rsidR="00451233">
              <w:t> </w:t>
            </w:r>
            <w:r w:rsidRPr="00485AC9">
              <w:t>jūnijam.</w:t>
            </w:r>
          </w:p>
        </w:tc>
      </w:tr>
      <w:tr w14:paraId="644A6A43" w14:textId="77777777" w:rsidTr="00CF7399">
        <w:tblPrEx>
          <w:tblW w:w="5372" w:type="pct"/>
          <w:tblInd w:w="-112"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After w:val="1"/>
          <w:wAfter w:w="109" w:type="dxa"/>
        </w:trPr>
        <w:tc>
          <w:tcPr>
            <w:tcW w:w="318" w:type="pct"/>
            <w:gridSpan w:val="2"/>
            <w:tcBorders>
              <w:top w:val="outset" w:sz="6" w:space="0" w:color="414142"/>
              <w:left w:val="outset" w:sz="6" w:space="0" w:color="414142"/>
              <w:bottom w:val="outset" w:sz="6" w:space="0" w:color="414142"/>
              <w:right w:val="outset" w:sz="6" w:space="0" w:color="414142"/>
            </w:tcBorders>
            <w:hideMark/>
          </w:tcPr>
          <w:p w:rsidR="000B0D50" w:rsidRPr="00485AC9" w:rsidP="0075683E" w14:paraId="63F2BFAC" w14:textId="77777777">
            <w:r w:rsidRPr="00485AC9">
              <w:t>2.</w:t>
            </w:r>
          </w:p>
        </w:tc>
        <w:tc>
          <w:tcPr>
            <w:tcW w:w="1044" w:type="pct"/>
            <w:gridSpan w:val="3"/>
            <w:tcBorders>
              <w:top w:val="outset" w:sz="6" w:space="0" w:color="414142"/>
              <w:left w:val="outset" w:sz="6" w:space="0" w:color="414142"/>
              <w:bottom w:val="outset" w:sz="6" w:space="0" w:color="414142"/>
              <w:right w:val="outset" w:sz="6" w:space="0" w:color="414142"/>
            </w:tcBorders>
            <w:hideMark/>
          </w:tcPr>
          <w:p w:rsidR="000B0D50" w:rsidRPr="00485AC9" w:rsidP="0075683E" w14:paraId="72B00E2F" w14:textId="77777777">
            <w:r w:rsidRPr="00485AC9">
              <w:t>Citas starptautiskās saistības</w:t>
            </w:r>
          </w:p>
        </w:tc>
        <w:tc>
          <w:tcPr>
            <w:tcW w:w="3529" w:type="pct"/>
            <w:gridSpan w:val="5"/>
            <w:tcBorders>
              <w:top w:val="outset" w:sz="6" w:space="0" w:color="414142"/>
              <w:left w:val="outset" w:sz="6" w:space="0" w:color="414142"/>
              <w:bottom w:val="outset" w:sz="6" w:space="0" w:color="414142"/>
              <w:right w:val="outset" w:sz="6" w:space="0" w:color="414142"/>
            </w:tcBorders>
            <w:hideMark/>
          </w:tcPr>
          <w:p w:rsidR="000B0D50" w:rsidRPr="00485AC9" w:rsidP="0075683E" w14:paraId="671D2612" w14:textId="77777777">
            <w:pPr>
              <w:ind w:left="57" w:right="57"/>
            </w:pPr>
            <w:r w:rsidRPr="00485AC9">
              <w:t>Projekts šo jomu neskar.</w:t>
            </w:r>
          </w:p>
        </w:tc>
      </w:tr>
      <w:tr w14:paraId="7D37791D" w14:textId="77777777" w:rsidTr="00CF7399">
        <w:tblPrEx>
          <w:tblW w:w="5372" w:type="pct"/>
          <w:tblInd w:w="-112"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After w:val="1"/>
          <w:wAfter w:w="109" w:type="dxa"/>
        </w:trPr>
        <w:tc>
          <w:tcPr>
            <w:tcW w:w="318" w:type="pct"/>
            <w:gridSpan w:val="2"/>
            <w:tcBorders>
              <w:top w:val="outset" w:sz="6" w:space="0" w:color="414142"/>
              <w:left w:val="outset" w:sz="6" w:space="0" w:color="414142"/>
              <w:bottom w:val="outset" w:sz="6" w:space="0" w:color="414142"/>
              <w:right w:val="outset" w:sz="6" w:space="0" w:color="414142"/>
            </w:tcBorders>
            <w:hideMark/>
          </w:tcPr>
          <w:p w:rsidR="000B0D50" w:rsidRPr="00485AC9" w:rsidP="0075683E" w14:paraId="15DB717F" w14:textId="77777777">
            <w:r w:rsidRPr="00485AC9">
              <w:t>3.</w:t>
            </w:r>
          </w:p>
        </w:tc>
        <w:tc>
          <w:tcPr>
            <w:tcW w:w="1044" w:type="pct"/>
            <w:gridSpan w:val="3"/>
            <w:tcBorders>
              <w:top w:val="outset" w:sz="6" w:space="0" w:color="414142"/>
              <w:left w:val="outset" w:sz="6" w:space="0" w:color="414142"/>
              <w:bottom w:val="outset" w:sz="6" w:space="0" w:color="414142"/>
              <w:right w:val="outset" w:sz="6" w:space="0" w:color="414142"/>
            </w:tcBorders>
            <w:hideMark/>
          </w:tcPr>
          <w:p w:rsidR="000B0D50" w:rsidRPr="00485AC9" w:rsidP="0075683E" w14:paraId="1E9DD0DB" w14:textId="77777777">
            <w:r w:rsidRPr="00485AC9">
              <w:t>Cita informācija</w:t>
            </w:r>
          </w:p>
        </w:tc>
        <w:tc>
          <w:tcPr>
            <w:tcW w:w="3529" w:type="pct"/>
            <w:gridSpan w:val="5"/>
            <w:tcBorders>
              <w:top w:val="outset" w:sz="6" w:space="0" w:color="414142"/>
              <w:left w:val="outset" w:sz="6" w:space="0" w:color="414142"/>
              <w:bottom w:val="outset" w:sz="6" w:space="0" w:color="414142"/>
              <w:right w:val="outset" w:sz="6" w:space="0" w:color="414142"/>
            </w:tcBorders>
            <w:hideMark/>
          </w:tcPr>
          <w:p w:rsidR="000B0D50" w:rsidRPr="00485AC9" w:rsidP="00770041" w14:paraId="17E5D99B" w14:textId="27BEBB5A">
            <w:pPr>
              <w:spacing w:before="100" w:beforeAutospacing="1" w:after="100" w:afterAutospacing="1" w:line="293" w:lineRule="atLeast"/>
              <w:ind w:left="57" w:right="57"/>
              <w:jc w:val="both"/>
            </w:pPr>
            <w:r w:rsidRPr="00485AC9">
              <w:t>Eiropas Parlamenta un Padomes 2000.</w:t>
            </w:r>
            <w:r w:rsidR="00056E4D">
              <w:t> </w:t>
            </w:r>
            <w:r w:rsidRPr="00485AC9">
              <w:t>gada 18.</w:t>
            </w:r>
            <w:r w:rsidR="00056E4D">
              <w:t> </w:t>
            </w:r>
            <w:r w:rsidRPr="00485AC9">
              <w:t xml:space="preserve">septembra Direktīva </w:t>
            </w:r>
            <w:r>
              <w:fldChar w:fldCharType="begin"/>
            </w:r>
            <w:r>
              <w:instrText xml:space="preserve"> HYPERLINK "http://eur-lex.europa.eu/eli/dir/2000/53/oj/?locale=LV" \t "_blank" </w:instrText>
            </w:r>
            <w:r>
              <w:fldChar w:fldCharType="separate"/>
            </w:r>
            <w:r w:rsidRPr="00485AC9">
              <w:t>2000/53/EK</w:t>
            </w:r>
            <w:r>
              <w:fldChar w:fldCharType="end"/>
            </w:r>
            <w:r w:rsidRPr="00485AC9">
              <w:t xml:space="preserve"> par nolietotiem transportlīdzekļiem pārņemta ar</w:t>
            </w:r>
            <w:r w:rsidRPr="00485AC9" w:rsidR="00770041">
              <w:t xml:space="preserve"> Ministru kabineta 2007.</w:t>
            </w:r>
            <w:r w:rsidRPr="00485AC9" w:rsidR="00B32B38">
              <w:t xml:space="preserve"> </w:t>
            </w:r>
            <w:r w:rsidRPr="00485AC9" w:rsidR="00770041">
              <w:t>gada 23.</w:t>
            </w:r>
            <w:r w:rsidRPr="00485AC9" w:rsidR="00B32B38">
              <w:t xml:space="preserve"> </w:t>
            </w:r>
            <w:r w:rsidRPr="00485AC9" w:rsidR="00770041">
              <w:t>janvāra noteikumiem Nr.</w:t>
            </w:r>
            <w:r w:rsidRPr="00485AC9" w:rsidR="00B32B38">
              <w:t xml:space="preserve"> </w:t>
            </w:r>
            <w:r w:rsidRPr="00485AC9" w:rsidR="00770041">
              <w:t>71 “Grozījumi Ministru kabineta 2004. gada 6. aprīļa noteikumos Nr. 242 “</w:t>
            </w:r>
            <w:r>
              <w:fldChar w:fldCharType="begin"/>
            </w:r>
            <w:r>
              <w:instrText xml:space="preserve"> HYPERLINK "https://likumi.lv/ta/id/87043-noteikumi-par-transportlidzeklu-sastavdalam-un-materialiem-kuri-drikst-saturet-svinu-dzivsudrabu-kadmiju-vai-sesvertiga-hroma-s..." \t "_blank" </w:instrText>
            </w:r>
            <w:r>
              <w:fldChar w:fldCharType="separate"/>
            </w:r>
            <w:r w:rsidRPr="00485AC9" w:rsidR="00770041">
              <w:rPr>
                <w:rStyle w:val="Hyperlink"/>
                <w:color w:val="auto"/>
                <w:u w:val="none"/>
              </w:rPr>
              <w:t>Noteikumi par transportlīdzekļu sastāvdaļām un materiāliem, kuri drīkst saturēt svinu, dzīvsudrabu, kadmiju vai sešvērtīgā hroma savienojumus</w:t>
            </w:r>
            <w:r>
              <w:fldChar w:fldCharType="end"/>
            </w:r>
            <w:r w:rsidRPr="00485AC9" w:rsidR="00770041">
              <w:t>””.</w:t>
            </w:r>
          </w:p>
          <w:p w:rsidR="00FD36D8" w:rsidRPr="00485AC9" w:rsidP="00770041" w14:paraId="567341AF" w14:textId="51C5E700">
            <w:pPr>
              <w:pStyle w:val="Heading3"/>
              <w:jc w:val="both"/>
              <w:rPr>
                <w:b w:val="0"/>
                <w:sz w:val="24"/>
                <w:szCs w:val="24"/>
              </w:rPr>
            </w:pPr>
            <w:r w:rsidRPr="00485AC9">
              <w:rPr>
                <w:b w:val="0"/>
                <w:sz w:val="24"/>
                <w:szCs w:val="24"/>
              </w:rPr>
              <w:t>Eiropas Komisijas 2011.</w:t>
            </w:r>
            <w:r w:rsidRPr="00485AC9" w:rsidR="00B32B38">
              <w:rPr>
                <w:b w:val="0"/>
                <w:sz w:val="24"/>
                <w:szCs w:val="24"/>
              </w:rPr>
              <w:t xml:space="preserve"> </w:t>
            </w:r>
            <w:r w:rsidRPr="00485AC9">
              <w:rPr>
                <w:b w:val="0"/>
                <w:sz w:val="24"/>
                <w:szCs w:val="24"/>
              </w:rPr>
              <w:t>gada 30.</w:t>
            </w:r>
            <w:r w:rsidRPr="00485AC9" w:rsidR="00B32B38">
              <w:rPr>
                <w:b w:val="0"/>
                <w:sz w:val="24"/>
                <w:szCs w:val="24"/>
              </w:rPr>
              <w:t xml:space="preserve"> </w:t>
            </w:r>
            <w:r w:rsidRPr="00485AC9">
              <w:rPr>
                <w:b w:val="0"/>
                <w:sz w:val="24"/>
                <w:szCs w:val="24"/>
              </w:rPr>
              <w:t xml:space="preserve">marta Direktīva </w:t>
            </w:r>
            <w:r>
              <w:fldChar w:fldCharType="begin"/>
            </w:r>
            <w:r>
              <w:instrText xml:space="preserve"> HYPERLINK "http://eur-lex.europa.eu/eli/dir/2011/37/oj/?locale=LV" \t "_blank" </w:instrText>
            </w:r>
            <w:r>
              <w:fldChar w:fldCharType="separate"/>
            </w:r>
            <w:r w:rsidRPr="00485AC9">
              <w:rPr>
                <w:b w:val="0"/>
                <w:sz w:val="24"/>
                <w:szCs w:val="24"/>
              </w:rPr>
              <w:t>2011/37/ES</w:t>
            </w:r>
            <w:r>
              <w:fldChar w:fldCharType="end"/>
            </w:r>
            <w:r w:rsidRPr="00485AC9">
              <w:rPr>
                <w:b w:val="0"/>
                <w:sz w:val="24"/>
                <w:szCs w:val="24"/>
              </w:rPr>
              <w:t xml:space="preserve">, ar ko groza II pielikumu Eiropas Parlamenta un Padomes Direktīvā </w:t>
            </w:r>
            <w:r>
              <w:fldChar w:fldCharType="begin"/>
            </w:r>
            <w:r>
              <w:instrText xml:space="preserve"> HYPERLINK "http://eur-lex.europa.eu/eli/dir/2000/53/oj/?locale=LV" \t "_blank" </w:instrText>
            </w:r>
            <w:r>
              <w:fldChar w:fldCharType="separate"/>
            </w:r>
            <w:r w:rsidRPr="00485AC9">
              <w:rPr>
                <w:b w:val="0"/>
                <w:sz w:val="24"/>
                <w:szCs w:val="24"/>
              </w:rPr>
              <w:t>2000/53/EK</w:t>
            </w:r>
            <w:r>
              <w:fldChar w:fldCharType="end"/>
            </w:r>
            <w:r w:rsidRPr="00485AC9">
              <w:rPr>
                <w:b w:val="0"/>
                <w:sz w:val="24"/>
                <w:szCs w:val="24"/>
              </w:rPr>
              <w:t xml:space="preserve"> par nolietotiem transportlīdzekļiem (dokuments attiecas uz EEZ) pārņemta ar</w:t>
            </w:r>
            <w:r w:rsidRPr="00485AC9" w:rsidR="00770041">
              <w:rPr>
                <w:b w:val="0"/>
                <w:sz w:val="24"/>
                <w:szCs w:val="24"/>
              </w:rPr>
              <w:t xml:space="preserve"> Ministru kabineta 2011.</w:t>
            </w:r>
            <w:r w:rsidR="00056E4D">
              <w:rPr>
                <w:b w:val="0"/>
                <w:sz w:val="24"/>
                <w:szCs w:val="24"/>
              </w:rPr>
              <w:t> </w:t>
            </w:r>
            <w:r w:rsidRPr="00485AC9" w:rsidR="00770041">
              <w:rPr>
                <w:b w:val="0"/>
                <w:sz w:val="24"/>
                <w:szCs w:val="24"/>
              </w:rPr>
              <w:t>gada 11.</w:t>
            </w:r>
            <w:r w:rsidR="00056E4D">
              <w:rPr>
                <w:b w:val="0"/>
                <w:sz w:val="24"/>
                <w:szCs w:val="24"/>
              </w:rPr>
              <w:t> </w:t>
            </w:r>
            <w:r w:rsidRPr="00485AC9" w:rsidR="00770041">
              <w:rPr>
                <w:b w:val="0"/>
                <w:sz w:val="24"/>
                <w:szCs w:val="24"/>
              </w:rPr>
              <w:t>oktobra noteikumiem Nr.</w:t>
            </w:r>
            <w:r w:rsidR="00056E4D">
              <w:rPr>
                <w:b w:val="0"/>
                <w:sz w:val="24"/>
                <w:szCs w:val="24"/>
              </w:rPr>
              <w:t> </w:t>
            </w:r>
            <w:r w:rsidRPr="00485AC9" w:rsidR="00770041">
              <w:rPr>
                <w:b w:val="0"/>
                <w:sz w:val="24"/>
                <w:szCs w:val="24"/>
              </w:rPr>
              <w:t>779 “Gr</w:t>
            </w:r>
            <w:r w:rsidR="00056E4D">
              <w:rPr>
                <w:b w:val="0"/>
                <w:sz w:val="24"/>
                <w:szCs w:val="24"/>
              </w:rPr>
              <w:t>ozījumi Ministru kabineta 2004. </w:t>
            </w:r>
            <w:r w:rsidRPr="00485AC9" w:rsidR="00770041">
              <w:rPr>
                <w:b w:val="0"/>
                <w:sz w:val="24"/>
                <w:szCs w:val="24"/>
              </w:rPr>
              <w:t>gad</w:t>
            </w:r>
            <w:r w:rsidR="00056E4D">
              <w:rPr>
                <w:b w:val="0"/>
                <w:sz w:val="24"/>
                <w:szCs w:val="24"/>
              </w:rPr>
              <w:t>a 6. aprīļa noteikumos Nr. </w:t>
            </w:r>
            <w:r w:rsidRPr="00485AC9" w:rsidR="00770041">
              <w:rPr>
                <w:b w:val="0"/>
                <w:sz w:val="24"/>
                <w:szCs w:val="24"/>
              </w:rPr>
              <w:t>242 “</w:t>
            </w:r>
            <w:r>
              <w:fldChar w:fldCharType="begin"/>
            </w:r>
            <w:r>
              <w:instrText xml:space="preserve"> HYPERLINK "https://likumi.lv/ta/id/87043-noteikumi-par-transportlidzeklu-sastavdalam-un-materialiem-kuri-drikst-saturet-svinu-dzivsudrabu-kadmiju-vai-sesvertiga-hroma-s..." \t "_blank" </w:instrText>
            </w:r>
            <w:r>
              <w:fldChar w:fldCharType="separate"/>
            </w:r>
            <w:r w:rsidRPr="00485AC9" w:rsidR="00770041">
              <w:rPr>
                <w:rStyle w:val="Hyperlink"/>
                <w:b w:val="0"/>
                <w:color w:val="auto"/>
                <w:sz w:val="24"/>
                <w:szCs w:val="24"/>
                <w:u w:val="none"/>
              </w:rPr>
              <w:t>Noteikumi par transportlīdzekļu sastāvdaļām un materiāliem, kuri drīkst saturēt svinu, dzīvsudrabu, kadmiju vai sešvērtīgā hroma savienojumus</w:t>
            </w:r>
            <w:r>
              <w:fldChar w:fldCharType="end"/>
            </w:r>
            <w:r w:rsidRPr="00485AC9" w:rsidR="00770041">
              <w:rPr>
                <w:b w:val="0"/>
                <w:sz w:val="24"/>
                <w:szCs w:val="24"/>
              </w:rPr>
              <w:t>””.</w:t>
            </w:r>
          </w:p>
          <w:p w:rsidR="00FD36D8" w:rsidRPr="00485AC9" w:rsidP="00FD36D8" w14:paraId="63345E10" w14:textId="6413B649">
            <w:pPr>
              <w:pStyle w:val="Heading3"/>
              <w:jc w:val="both"/>
              <w:rPr>
                <w:b w:val="0"/>
                <w:sz w:val="24"/>
                <w:szCs w:val="24"/>
              </w:rPr>
            </w:pPr>
            <w:r w:rsidRPr="00485AC9">
              <w:rPr>
                <w:b w:val="0"/>
                <w:sz w:val="24"/>
                <w:szCs w:val="24"/>
              </w:rPr>
              <w:t>Eiropas Komisijas 2013.</w:t>
            </w:r>
            <w:r w:rsidRPr="00485AC9" w:rsidR="00B32B38">
              <w:rPr>
                <w:b w:val="0"/>
                <w:sz w:val="24"/>
                <w:szCs w:val="24"/>
              </w:rPr>
              <w:t xml:space="preserve"> </w:t>
            </w:r>
            <w:r w:rsidRPr="00485AC9">
              <w:rPr>
                <w:b w:val="0"/>
                <w:sz w:val="24"/>
                <w:szCs w:val="24"/>
              </w:rPr>
              <w:t>gada 17.</w:t>
            </w:r>
            <w:r w:rsidRPr="00485AC9" w:rsidR="00B32B38">
              <w:rPr>
                <w:b w:val="0"/>
                <w:sz w:val="24"/>
                <w:szCs w:val="24"/>
              </w:rPr>
              <w:t xml:space="preserve"> </w:t>
            </w:r>
            <w:r w:rsidRPr="00485AC9">
              <w:rPr>
                <w:b w:val="0"/>
                <w:sz w:val="24"/>
                <w:szCs w:val="24"/>
              </w:rPr>
              <w:t xml:space="preserve">maija Direktīva </w:t>
            </w:r>
            <w:r>
              <w:fldChar w:fldCharType="begin"/>
            </w:r>
            <w:r>
              <w:instrText xml:space="preserve"> HYPERLINK "http://eur-lex.europa.eu/eli/dir/2013/28/oj/?locale=LV" \t "_blank" </w:instrText>
            </w:r>
            <w:r>
              <w:fldChar w:fldCharType="separate"/>
            </w:r>
            <w:r w:rsidRPr="00485AC9">
              <w:rPr>
                <w:b w:val="0"/>
                <w:sz w:val="24"/>
                <w:szCs w:val="24"/>
              </w:rPr>
              <w:t>2013/28/ES</w:t>
            </w:r>
            <w:r>
              <w:fldChar w:fldCharType="end"/>
            </w:r>
            <w:r w:rsidRPr="00485AC9">
              <w:rPr>
                <w:b w:val="0"/>
                <w:sz w:val="24"/>
                <w:szCs w:val="24"/>
              </w:rPr>
              <w:t xml:space="preserve">, ar ko groza II pielikumu Eiropas Parlamenta un Padomes Direktīvā </w:t>
            </w:r>
            <w:r>
              <w:fldChar w:fldCharType="begin"/>
            </w:r>
            <w:r>
              <w:instrText xml:space="preserve"> HYPERLINK "http://eur-lex.europa.eu/eli/dir/2000/53/oj/?locale=LV" \t "_blank" </w:instrText>
            </w:r>
            <w:r>
              <w:fldChar w:fldCharType="separate"/>
            </w:r>
            <w:r w:rsidRPr="00485AC9">
              <w:rPr>
                <w:b w:val="0"/>
                <w:sz w:val="24"/>
                <w:szCs w:val="24"/>
              </w:rPr>
              <w:t>2000/53/EK</w:t>
            </w:r>
            <w:r>
              <w:fldChar w:fldCharType="end"/>
            </w:r>
            <w:r w:rsidRPr="00485AC9">
              <w:rPr>
                <w:b w:val="0"/>
                <w:sz w:val="24"/>
                <w:szCs w:val="24"/>
              </w:rPr>
              <w:t xml:space="preserve"> par nolietotiem transportlīdzekļiem pārņemta ar Ministru kabineta 2013.</w:t>
            </w:r>
            <w:r w:rsidRPr="00485AC9" w:rsidR="00B32B38">
              <w:rPr>
                <w:b w:val="0"/>
                <w:sz w:val="24"/>
                <w:szCs w:val="24"/>
              </w:rPr>
              <w:t xml:space="preserve"> </w:t>
            </w:r>
            <w:r w:rsidRPr="00485AC9">
              <w:rPr>
                <w:b w:val="0"/>
                <w:sz w:val="24"/>
                <w:szCs w:val="24"/>
              </w:rPr>
              <w:t>gada 27.</w:t>
            </w:r>
            <w:r w:rsidRPr="00485AC9" w:rsidR="00B32B38">
              <w:rPr>
                <w:b w:val="0"/>
                <w:sz w:val="24"/>
                <w:szCs w:val="24"/>
              </w:rPr>
              <w:t xml:space="preserve"> </w:t>
            </w:r>
            <w:r w:rsidRPr="00485AC9">
              <w:rPr>
                <w:b w:val="0"/>
                <w:sz w:val="24"/>
                <w:szCs w:val="24"/>
              </w:rPr>
              <w:t>augusta noteikumiem Nr.</w:t>
            </w:r>
            <w:r w:rsidRPr="00485AC9" w:rsidR="00B32B38">
              <w:rPr>
                <w:b w:val="0"/>
                <w:sz w:val="24"/>
                <w:szCs w:val="24"/>
              </w:rPr>
              <w:t xml:space="preserve"> </w:t>
            </w:r>
            <w:r w:rsidRPr="00485AC9">
              <w:rPr>
                <w:b w:val="0"/>
                <w:sz w:val="24"/>
                <w:szCs w:val="24"/>
              </w:rPr>
              <w:t>638 “Grozījumi Ministru kabineta 2004. gada 6. aprīļa noteikumos Nr. 242 “</w:t>
            </w:r>
            <w:r>
              <w:fldChar w:fldCharType="begin"/>
            </w:r>
            <w:r>
              <w:instrText xml:space="preserve"> HYPERLINK "https://likumi.lv/ta/id/87043-noteikumi-par-transportlidzeklu-sastavdalam-un-materialiem-kuri-drikst-saturet-svinu-dzivsudrabu-kadmiju-vai-sesvertiga-hroma-s..." \t "_blank" </w:instrText>
            </w:r>
            <w:r>
              <w:fldChar w:fldCharType="separate"/>
            </w:r>
            <w:r w:rsidRPr="00485AC9">
              <w:rPr>
                <w:rStyle w:val="Hyperlink"/>
                <w:b w:val="0"/>
                <w:color w:val="auto"/>
                <w:sz w:val="24"/>
                <w:szCs w:val="24"/>
                <w:u w:val="none"/>
              </w:rPr>
              <w:t>Noteikumi par transportlīdzekļu sastāvdaļām un materiāliem, kuri drīkst saturēt svinu, dzīvsudrabu, kadmiju vai sešvērtīgā hroma savienojumus</w:t>
            </w:r>
            <w:r>
              <w:fldChar w:fldCharType="end"/>
            </w:r>
            <w:r w:rsidRPr="00485AC9">
              <w:rPr>
                <w:b w:val="0"/>
                <w:sz w:val="24"/>
                <w:szCs w:val="24"/>
              </w:rPr>
              <w:t>””.</w:t>
            </w:r>
          </w:p>
          <w:p w:rsidR="00FD36D8" w:rsidRPr="00485AC9" w:rsidP="00CD5C64" w14:paraId="2762327C" w14:textId="754F6C02">
            <w:pPr>
              <w:pStyle w:val="Heading3"/>
              <w:jc w:val="both"/>
              <w:rPr>
                <w:b w:val="0"/>
                <w:sz w:val="24"/>
                <w:szCs w:val="24"/>
              </w:rPr>
            </w:pPr>
            <w:r w:rsidRPr="00485AC9">
              <w:rPr>
                <w:b w:val="0"/>
                <w:sz w:val="24"/>
                <w:szCs w:val="24"/>
              </w:rPr>
              <w:t xml:space="preserve">Eiropas Komisijas 2016. gada 18. maija Direktīva (ES) </w:t>
            </w:r>
            <w:r>
              <w:fldChar w:fldCharType="begin"/>
            </w:r>
            <w:r>
              <w:instrText xml:space="preserve"> HYPERLINK "http://eur-lex.europa.eu/eli/dir/2016/774/oj/?locale=LV" \t "_blank" </w:instrText>
            </w:r>
            <w:r>
              <w:fldChar w:fldCharType="separate"/>
            </w:r>
            <w:r w:rsidRPr="00485AC9">
              <w:rPr>
                <w:b w:val="0"/>
                <w:sz w:val="24"/>
                <w:szCs w:val="24"/>
              </w:rPr>
              <w:t>2016/774</w:t>
            </w:r>
            <w:r>
              <w:fldChar w:fldCharType="end"/>
            </w:r>
            <w:r w:rsidRPr="00485AC9">
              <w:rPr>
                <w:b w:val="0"/>
                <w:sz w:val="24"/>
                <w:szCs w:val="24"/>
              </w:rPr>
              <w:t xml:space="preserve">, ar ko groza II pielikumu Eiropas Parlamenta un Padomes Direktīvai </w:t>
            </w:r>
            <w:r>
              <w:fldChar w:fldCharType="begin"/>
            </w:r>
            <w:r>
              <w:instrText xml:space="preserve"> HYPERLINK "http://eur-lex.europa.eu/eli/dir/2000/53/oj/?locale=LV" \t "_blank" </w:instrText>
            </w:r>
            <w:r>
              <w:fldChar w:fldCharType="separate"/>
            </w:r>
            <w:r w:rsidRPr="00485AC9">
              <w:rPr>
                <w:b w:val="0"/>
                <w:sz w:val="24"/>
                <w:szCs w:val="24"/>
              </w:rPr>
              <w:t>2000/53/EK</w:t>
            </w:r>
            <w:r>
              <w:fldChar w:fldCharType="end"/>
            </w:r>
            <w:r w:rsidRPr="00485AC9">
              <w:rPr>
                <w:b w:val="0"/>
                <w:sz w:val="24"/>
                <w:szCs w:val="24"/>
              </w:rPr>
              <w:t xml:space="preserve"> par nolietotiem transportlīdzekļiem pārņemta ar Ministru kabineta 2016.</w:t>
            </w:r>
            <w:r w:rsidRPr="00485AC9" w:rsidR="00B32B38">
              <w:rPr>
                <w:b w:val="0"/>
                <w:sz w:val="24"/>
                <w:szCs w:val="24"/>
              </w:rPr>
              <w:t xml:space="preserve"> </w:t>
            </w:r>
            <w:r w:rsidRPr="00485AC9">
              <w:rPr>
                <w:b w:val="0"/>
                <w:sz w:val="24"/>
                <w:szCs w:val="24"/>
              </w:rPr>
              <w:t>gada 6.</w:t>
            </w:r>
            <w:r w:rsidRPr="00485AC9" w:rsidR="00B32B38">
              <w:rPr>
                <w:b w:val="0"/>
                <w:sz w:val="24"/>
                <w:szCs w:val="24"/>
              </w:rPr>
              <w:t xml:space="preserve"> </w:t>
            </w:r>
            <w:r w:rsidRPr="00485AC9">
              <w:rPr>
                <w:b w:val="0"/>
                <w:sz w:val="24"/>
                <w:szCs w:val="24"/>
              </w:rPr>
              <w:t>septembra noteikumiem Nr.</w:t>
            </w:r>
            <w:r w:rsidRPr="00485AC9" w:rsidR="00B32B38">
              <w:rPr>
                <w:b w:val="0"/>
                <w:sz w:val="24"/>
                <w:szCs w:val="24"/>
              </w:rPr>
              <w:t xml:space="preserve"> </w:t>
            </w:r>
            <w:r w:rsidR="001D5558">
              <w:rPr>
                <w:b w:val="0"/>
                <w:sz w:val="24"/>
                <w:szCs w:val="24"/>
              </w:rPr>
              <w:t xml:space="preserve">569 </w:t>
            </w:r>
            <w:r w:rsidRPr="00485AC9">
              <w:rPr>
                <w:b w:val="0"/>
                <w:sz w:val="24"/>
                <w:szCs w:val="24"/>
              </w:rPr>
              <w:t>“Grozījumi Ministru kabineta 2004. gada 6. aprīļa noteikumos Nr. 242 “</w:t>
            </w:r>
            <w:r>
              <w:fldChar w:fldCharType="begin"/>
            </w:r>
            <w:r>
              <w:instrText xml:space="preserve"> HYPERLINK "https://likumi.lv/ta/id/87043-noteikumi-par-transportlidzeklu-sastavdalam-un-materialiem-kuri-drikst-saturet-svinu-dzivsudrabu-kadmiju-vai-sesvertiga-hroma-s..." \t "_blank" </w:instrText>
            </w:r>
            <w:r>
              <w:fldChar w:fldCharType="separate"/>
            </w:r>
            <w:r w:rsidRPr="00485AC9">
              <w:rPr>
                <w:rStyle w:val="Hyperlink"/>
                <w:b w:val="0"/>
                <w:color w:val="auto"/>
                <w:sz w:val="24"/>
                <w:szCs w:val="24"/>
                <w:u w:val="none"/>
              </w:rPr>
              <w:t>Noteikumi par transportlīdzekļu sastāvdaļām un materiāliem, kuri drīkst saturēt svinu, dzīvsudrabu, kadmiju vai sešvērtīgā hroma savienojumus</w:t>
            </w:r>
            <w:r>
              <w:fldChar w:fldCharType="end"/>
            </w:r>
            <w:r w:rsidRPr="00485AC9">
              <w:rPr>
                <w:b w:val="0"/>
                <w:sz w:val="24"/>
                <w:szCs w:val="24"/>
              </w:rPr>
              <w:t>””.</w:t>
            </w:r>
          </w:p>
        </w:tc>
      </w:tr>
      <w:tr w14:paraId="0E18CC9E"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4890" w:type="pct"/>
            <w:gridSpan w:val="10"/>
            <w:tcBorders>
              <w:top w:val="outset" w:sz="6" w:space="0" w:color="414142"/>
              <w:left w:val="outset" w:sz="6" w:space="0" w:color="414142"/>
              <w:bottom w:val="outset" w:sz="6" w:space="0" w:color="414142"/>
              <w:right w:val="outset" w:sz="6" w:space="0" w:color="414142"/>
            </w:tcBorders>
            <w:vAlign w:val="center"/>
            <w:hideMark/>
          </w:tcPr>
          <w:p w:rsidR="000B0D50" w:rsidRPr="00485AC9" w:rsidP="0075683E" w14:paraId="542E44F8" w14:textId="6B096B7E">
            <w:pPr>
              <w:spacing w:before="100" w:beforeAutospacing="1" w:after="100" w:afterAutospacing="1" w:line="293" w:lineRule="atLeast"/>
              <w:jc w:val="center"/>
              <w:rPr>
                <w:b/>
                <w:bCs/>
              </w:rPr>
            </w:pPr>
            <w:r w:rsidRPr="00485AC9">
              <w:rPr>
                <w:b/>
                <w:bCs/>
              </w:rPr>
              <w:t>1. tabula</w:t>
            </w:r>
            <w:r w:rsidRPr="00485AC9">
              <w:rPr>
                <w:b/>
                <w:bCs/>
              </w:rPr>
              <w:br/>
              <w:t>Tiesību akta projekta atbilstība ES tiesību aktiem</w:t>
            </w:r>
          </w:p>
        </w:tc>
      </w:tr>
      <w:tr w14:paraId="489F033B"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hideMark/>
          </w:tcPr>
          <w:p w:rsidR="000B0D50" w:rsidRPr="00485AC9" w:rsidP="0075683E" w14:paraId="686E79CD" w14:textId="77777777">
            <w:r w:rsidRPr="00485AC9">
              <w:t>Attiecīgā ES tiesību akta datums, numurs un nosaukums</w:t>
            </w:r>
          </w:p>
        </w:tc>
        <w:tc>
          <w:tcPr>
            <w:tcW w:w="4084" w:type="pct"/>
            <w:gridSpan w:val="7"/>
            <w:tcBorders>
              <w:top w:val="outset" w:sz="6" w:space="0" w:color="414142"/>
              <w:left w:val="outset" w:sz="6" w:space="0" w:color="414142"/>
              <w:bottom w:val="outset" w:sz="6" w:space="0" w:color="414142"/>
              <w:right w:val="outset" w:sz="6" w:space="0" w:color="414142"/>
            </w:tcBorders>
            <w:hideMark/>
          </w:tcPr>
          <w:p w:rsidR="000B0D50" w:rsidRPr="00485AC9" w:rsidP="0075683E" w14:paraId="71439459" w14:textId="16211C6A">
            <w:pPr>
              <w:ind w:left="57" w:right="57"/>
              <w:jc w:val="both"/>
            </w:pPr>
            <w:r w:rsidRPr="00485AC9">
              <w:t>Eiropas Komisijas 2017. gada 15. novembra Direktīva 2017/2096</w:t>
            </w:r>
            <w:r w:rsidRPr="00485AC9" w:rsidR="00451233">
              <w:t>/ES</w:t>
            </w:r>
            <w:r w:rsidRPr="00485AC9">
              <w:t>, ar ko groza II pielikumu Eiropas Parlamenta un Padomes Direktīvā 2000/53/EK par nolietotiem transportlīdzekļiem.</w:t>
            </w:r>
          </w:p>
        </w:tc>
      </w:tr>
      <w:tr w14:paraId="4E06D9EF"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vAlign w:val="center"/>
            <w:hideMark/>
          </w:tcPr>
          <w:p w:rsidR="000B0D50" w:rsidRPr="00485AC9" w:rsidP="0075683E" w14:paraId="174BD3AA" w14:textId="77777777">
            <w:pPr>
              <w:spacing w:before="100" w:beforeAutospacing="1" w:after="100" w:afterAutospacing="1" w:line="293" w:lineRule="atLeast"/>
              <w:jc w:val="center"/>
            </w:pPr>
            <w:r w:rsidRPr="00485AC9">
              <w:t>A</w:t>
            </w:r>
          </w:p>
        </w:tc>
        <w:tc>
          <w:tcPr>
            <w:tcW w:w="1257" w:type="pct"/>
            <w:gridSpan w:val="3"/>
            <w:tcBorders>
              <w:top w:val="outset" w:sz="6" w:space="0" w:color="414142"/>
              <w:left w:val="outset" w:sz="6" w:space="0" w:color="414142"/>
              <w:bottom w:val="outset" w:sz="6" w:space="0" w:color="414142"/>
              <w:right w:val="outset" w:sz="6" w:space="0" w:color="414142"/>
            </w:tcBorders>
            <w:vAlign w:val="center"/>
            <w:hideMark/>
          </w:tcPr>
          <w:p w:rsidR="000B0D50" w:rsidRPr="00485AC9" w:rsidP="0075683E" w14:paraId="5303E371" w14:textId="77777777">
            <w:pPr>
              <w:spacing w:before="100" w:beforeAutospacing="1" w:after="100" w:afterAutospacing="1" w:line="293" w:lineRule="atLeast"/>
              <w:jc w:val="center"/>
            </w:pPr>
            <w:r w:rsidRPr="00485AC9">
              <w:t>B</w:t>
            </w:r>
          </w:p>
        </w:tc>
        <w:tc>
          <w:tcPr>
            <w:tcW w:w="1420" w:type="pct"/>
            <w:gridSpan w:val="2"/>
            <w:tcBorders>
              <w:top w:val="outset" w:sz="6" w:space="0" w:color="414142"/>
              <w:left w:val="outset" w:sz="6" w:space="0" w:color="414142"/>
              <w:bottom w:val="outset" w:sz="6" w:space="0" w:color="414142"/>
              <w:right w:val="outset" w:sz="6" w:space="0" w:color="414142"/>
            </w:tcBorders>
            <w:vAlign w:val="center"/>
            <w:hideMark/>
          </w:tcPr>
          <w:p w:rsidR="000B0D50" w:rsidRPr="00485AC9" w:rsidP="0075683E" w14:paraId="57395937" w14:textId="77777777">
            <w:pPr>
              <w:spacing w:before="100" w:beforeAutospacing="1" w:after="100" w:afterAutospacing="1" w:line="293" w:lineRule="atLeast"/>
              <w:jc w:val="center"/>
            </w:pPr>
            <w:r w:rsidRPr="00485AC9">
              <w:t>C</w:t>
            </w:r>
          </w:p>
        </w:tc>
        <w:tc>
          <w:tcPr>
            <w:tcW w:w="1407" w:type="pct"/>
            <w:gridSpan w:val="2"/>
            <w:tcBorders>
              <w:top w:val="outset" w:sz="6" w:space="0" w:color="414142"/>
              <w:left w:val="outset" w:sz="6" w:space="0" w:color="414142"/>
              <w:bottom w:val="outset" w:sz="6" w:space="0" w:color="414142"/>
              <w:right w:val="outset" w:sz="6" w:space="0" w:color="414142"/>
            </w:tcBorders>
            <w:vAlign w:val="center"/>
            <w:hideMark/>
          </w:tcPr>
          <w:p w:rsidR="000B0D50" w:rsidRPr="00485AC9" w:rsidP="0075683E" w14:paraId="4E2073CA" w14:textId="77777777">
            <w:pPr>
              <w:spacing w:before="100" w:beforeAutospacing="1" w:after="100" w:afterAutospacing="1" w:line="293" w:lineRule="atLeast"/>
              <w:jc w:val="center"/>
            </w:pPr>
            <w:r w:rsidRPr="00485AC9">
              <w:t>D</w:t>
            </w:r>
          </w:p>
        </w:tc>
      </w:tr>
      <w:tr w14:paraId="6B0D9B99"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hideMark/>
          </w:tcPr>
          <w:p w:rsidR="000B0D50" w:rsidRPr="00485AC9" w:rsidP="0075683E" w14:paraId="77E37F96" w14:textId="77777777">
            <w:r w:rsidRPr="00485AC9">
              <w:t xml:space="preserve">Attiecīgā </w:t>
            </w:r>
            <w:r w:rsidRPr="00485AC9">
              <w:t>ES tiesību akta panta numurs (uzskaitot katru tiesību akta vienību – pantu, daļu, punktu, apakšpunktu)</w:t>
            </w:r>
          </w:p>
        </w:tc>
        <w:tc>
          <w:tcPr>
            <w:tcW w:w="1257" w:type="pct"/>
            <w:gridSpan w:val="3"/>
            <w:tcBorders>
              <w:top w:val="outset" w:sz="6" w:space="0" w:color="414142"/>
              <w:left w:val="outset" w:sz="6" w:space="0" w:color="414142"/>
              <w:bottom w:val="outset" w:sz="6" w:space="0" w:color="414142"/>
              <w:right w:val="outset" w:sz="6" w:space="0" w:color="414142"/>
            </w:tcBorders>
            <w:hideMark/>
          </w:tcPr>
          <w:p w:rsidR="000B0D50" w:rsidRPr="00485AC9" w:rsidP="0075683E" w14:paraId="6DA28E8E" w14:textId="77777777">
            <w:r w:rsidRPr="00485AC9">
              <w:t xml:space="preserve">Projekta vienība, kas </w:t>
            </w:r>
            <w:r w:rsidRPr="00485AC9">
              <w:t>pārņem vai ievieš katru šīs tabulas A ailē minēto ES tiesību akta vienību, vai tiesību akts, kur attiecīgā ES tiesību akta vienība pārņemta vai ieviesta</w:t>
            </w:r>
          </w:p>
        </w:tc>
        <w:tc>
          <w:tcPr>
            <w:tcW w:w="1420" w:type="pct"/>
            <w:gridSpan w:val="2"/>
            <w:tcBorders>
              <w:top w:val="outset" w:sz="6" w:space="0" w:color="414142"/>
              <w:left w:val="outset" w:sz="6" w:space="0" w:color="414142"/>
              <w:bottom w:val="outset" w:sz="6" w:space="0" w:color="414142"/>
              <w:right w:val="outset" w:sz="6" w:space="0" w:color="414142"/>
            </w:tcBorders>
            <w:hideMark/>
          </w:tcPr>
          <w:p w:rsidR="000B0D50" w:rsidRPr="00485AC9" w:rsidP="0075683E" w14:paraId="1043E18A" w14:textId="77777777">
            <w:r w:rsidRPr="00485AC9">
              <w:t xml:space="preserve">Informācija par to, vai šīs </w:t>
            </w:r>
            <w:r w:rsidRPr="00485AC9">
              <w:t>tabulas A ailē minētās ES tiesību akta vienības tiek pārņemtas vai ieviestas pilnībā vai daļēji.</w:t>
            </w:r>
          </w:p>
          <w:p w:rsidR="000B0D50" w:rsidRPr="00485AC9" w:rsidP="0075683E" w14:paraId="173019AB" w14:textId="77777777">
            <w:r w:rsidRPr="00485AC9">
              <w:t>Ja attiecīgā ES tiesību akta vienība tiek pārņemta vai ieviesta daļēji, sniedz attiecīgu skaidrojumu, kā arī precīzi norāda, kad un kādā veidā ES tiesību akta vienība tiks pārņemta vai ieviesta pilnībā.</w:t>
            </w:r>
          </w:p>
          <w:p w:rsidR="000B0D50" w:rsidRPr="00485AC9" w:rsidP="0075683E" w14:paraId="2B5560E1" w14:textId="77777777">
            <w:r w:rsidRPr="00485AC9">
              <w:t>Norāda institūciju, kas ir atbildīga par šo saistību izpildi pilnībā</w:t>
            </w:r>
          </w:p>
        </w:tc>
        <w:tc>
          <w:tcPr>
            <w:tcW w:w="1407" w:type="pct"/>
            <w:gridSpan w:val="2"/>
            <w:tcBorders>
              <w:top w:val="outset" w:sz="6" w:space="0" w:color="414142"/>
              <w:left w:val="outset" w:sz="6" w:space="0" w:color="414142"/>
              <w:bottom w:val="outset" w:sz="6" w:space="0" w:color="414142"/>
              <w:right w:val="outset" w:sz="6" w:space="0" w:color="414142"/>
            </w:tcBorders>
            <w:hideMark/>
          </w:tcPr>
          <w:p w:rsidR="000B0D50" w:rsidRPr="00485AC9" w:rsidP="0075683E" w14:paraId="05727494" w14:textId="77777777">
            <w:r w:rsidRPr="00485AC9">
              <w:t xml:space="preserve">Informācija par to, vai šīs </w:t>
            </w:r>
            <w:r w:rsidRPr="00485AC9">
              <w:t>tabulas B ailē minētās projekta vienības paredz stingrākas prasības nekā šīs tabulas A ailē minētās ES tiesību akta vienības.</w:t>
            </w:r>
          </w:p>
          <w:p w:rsidR="000B0D50" w:rsidRPr="00485AC9" w:rsidP="0075683E" w14:paraId="12EF0744" w14:textId="77777777">
            <w:r w:rsidRPr="00485AC9">
              <w:t>Ja projekts satur stingrākas prasības nekā attiecīgais ES tiesību akts, norāda pamatojumu un samērīgumu.</w:t>
            </w:r>
          </w:p>
          <w:p w:rsidR="000B0D50" w:rsidRPr="00485AC9" w:rsidP="0075683E" w14:paraId="76F689B3" w14:textId="77777777">
            <w:r w:rsidRPr="00485AC9">
              <w:t>Norāda iespējamās alternatīvas (t.sk. alternatīvas, kas neparedz tiesiskā regulējuma izstrādi) – kādos gadījumos būtu iespējams izvairīties no stingrāku prasību noteikšanas, nekā paredzēts attiecīgajos ES tiesību aktos</w:t>
            </w:r>
          </w:p>
        </w:tc>
      </w:tr>
      <w:tr w14:paraId="251D4A9F"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446912" w:rsidRPr="00485AC9" w:rsidP="0075683E" w14:paraId="04173B4A" w14:textId="0F4BD744">
            <w:pPr>
              <w:ind w:left="57" w:right="57"/>
            </w:pPr>
            <w:r w:rsidRPr="00485AC9">
              <w:t>Pielikuma 2.a</w:t>
            </w:r>
            <w:r w:rsidRPr="00485AC9" w:rsidR="0012726E">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446912" w:rsidRPr="00485AC9" w:rsidP="0075683E" w14:paraId="0A4A3F5B" w14:textId="2902F4D5">
            <w:pPr>
              <w:ind w:left="57" w:right="57"/>
            </w:pPr>
            <w:r w:rsidRPr="00485AC9">
              <w:t>Pielikuma 1.3.</w:t>
            </w:r>
            <w:r w:rsidRPr="00485AC9" w:rsidR="0012726E">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446912" w:rsidRPr="00485AC9" w:rsidP="0075683E" w14:paraId="5D6D45BF" w14:textId="77777777">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446912" w:rsidRPr="00485AC9" w:rsidP="0075683E" w14:paraId="4419995D" w14:textId="77777777">
            <w:pPr>
              <w:ind w:left="57" w:right="57"/>
            </w:pPr>
            <w:r w:rsidRPr="00485AC9">
              <w:t>Nav noteiktas stingrākas prasības</w:t>
            </w:r>
          </w:p>
        </w:tc>
      </w:tr>
      <w:tr w14:paraId="15AF1AE5"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446912" w:rsidRPr="00485AC9" w:rsidP="0075683E" w14:paraId="6FC47453" w14:textId="6B8E0D7D">
            <w:pPr>
              <w:ind w:left="57" w:right="57"/>
            </w:pPr>
            <w:r w:rsidRPr="00485AC9">
              <w:t>Pielikuma 2.b</w:t>
            </w:r>
            <w:r w:rsidRPr="00485AC9" w:rsidR="0012726E">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446912" w:rsidRPr="00485AC9" w:rsidP="0075683E" w14:paraId="5EAF87B1" w14:textId="0ACA9503">
            <w:pPr>
              <w:ind w:left="57" w:right="57"/>
            </w:pPr>
            <w:r w:rsidRPr="00485AC9">
              <w:t>Pielikuma 1.4.</w:t>
            </w:r>
            <w:r w:rsidRPr="00485AC9" w:rsidR="0012726E">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446912" w:rsidRPr="00485AC9" w:rsidP="0075683E" w14:paraId="0EF56EBD" w14:textId="77777777">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446912" w:rsidRPr="00485AC9" w:rsidP="0075683E" w14:paraId="78A60F8A" w14:textId="77777777">
            <w:pPr>
              <w:ind w:left="57" w:right="57"/>
            </w:pPr>
            <w:r w:rsidRPr="00485AC9">
              <w:t>Nav noteiktas stingrākas prasības</w:t>
            </w:r>
          </w:p>
        </w:tc>
      </w:tr>
      <w:tr w14:paraId="3FB3570A"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446912" w:rsidRPr="00485AC9" w:rsidP="0075683E" w14:paraId="79A77D1C" w14:textId="502BDE19">
            <w:pPr>
              <w:ind w:left="57" w:right="57"/>
            </w:pPr>
            <w:r w:rsidRPr="00485AC9">
              <w:t xml:space="preserve">Pielikuma 2.c </w:t>
            </w:r>
            <w:r w:rsidRPr="00485AC9" w:rsidR="0012726E">
              <w:t>“</w:t>
            </w:r>
            <w:r w:rsidRPr="00485AC9">
              <w:t>i</w:t>
            </w:r>
            <w:r w:rsidRPr="00485AC9" w:rsidR="0012726E">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446912" w:rsidRPr="00485AC9" w:rsidP="0075683E" w14:paraId="297784AC" w14:textId="0884C28C">
            <w:pPr>
              <w:ind w:left="57" w:right="57"/>
            </w:pPr>
            <w:r w:rsidRPr="00485AC9">
              <w:t>Pielikuma 1.5.</w:t>
            </w:r>
            <w:r w:rsidRPr="00485AC9" w:rsidR="0012726E">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446912" w:rsidRPr="00485AC9" w:rsidP="0075683E" w14:paraId="69298ABB" w14:textId="77777777">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446912" w:rsidRPr="00485AC9" w:rsidP="0075683E" w14:paraId="79BC1660" w14:textId="77777777">
            <w:pPr>
              <w:ind w:left="57" w:right="57"/>
            </w:pPr>
            <w:r w:rsidRPr="00485AC9">
              <w:t>Nav noteiktas stingrākas prasības</w:t>
            </w:r>
          </w:p>
        </w:tc>
      </w:tr>
      <w:tr w14:paraId="4269566D"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446912" w:rsidRPr="00485AC9" w:rsidP="0075683E" w14:paraId="5E1EDF57" w14:textId="3DF43E9F">
            <w:pPr>
              <w:ind w:left="57" w:right="57"/>
            </w:pPr>
            <w:r w:rsidRPr="00485AC9">
              <w:t xml:space="preserve">Pielikuma 2.c </w:t>
            </w:r>
            <w:r w:rsidRPr="00485AC9" w:rsidR="0012726E">
              <w:t>“</w:t>
            </w:r>
            <w:r w:rsidRPr="00485AC9">
              <w:t>ii</w:t>
            </w:r>
            <w:r w:rsidRPr="00485AC9" w:rsidR="0012726E">
              <w:t>”</w:t>
            </w:r>
            <w:r w:rsidRPr="00485AC9">
              <w:t xml:space="preserve"> punkts</w:t>
            </w:r>
          </w:p>
        </w:tc>
        <w:tc>
          <w:tcPr>
            <w:tcW w:w="1257" w:type="pct"/>
            <w:gridSpan w:val="3"/>
            <w:tcBorders>
              <w:top w:val="outset" w:sz="6" w:space="0" w:color="414142"/>
              <w:left w:val="outset" w:sz="6" w:space="0" w:color="414142"/>
              <w:bottom w:val="outset" w:sz="6" w:space="0" w:color="414142"/>
              <w:right w:val="outset" w:sz="6" w:space="0" w:color="414142"/>
            </w:tcBorders>
          </w:tcPr>
          <w:p w:rsidR="00446912" w:rsidRPr="00485AC9" w:rsidP="0075683E" w14:paraId="616AFC19" w14:textId="5E1335EC">
            <w:pPr>
              <w:ind w:left="57" w:right="57"/>
            </w:pPr>
            <w:r w:rsidRPr="00485AC9">
              <w:t>Pielikuma 1.5.</w:t>
            </w:r>
            <w:r w:rsidRPr="00485AC9">
              <w:rPr>
                <w:vertAlign w:val="superscript"/>
              </w:rPr>
              <w:t>1</w:t>
            </w:r>
            <w:r w:rsidRPr="00485AC9" w:rsidR="0012726E">
              <w:rPr>
                <w:vertAlign w:val="superscript"/>
              </w:rPr>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446912" w:rsidRPr="00485AC9" w:rsidP="0075683E" w14:paraId="60562FB6" w14:textId="77777777">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446912" w:rsidRPr="00485AC9" w:rsidP="0075683E" w14:paraId="657130C8" w14:textId="77777777">
            <w:pPr>
              <w:ind w:left="57" w:right="57"/>
            </w:pPr>
            <w:r w:rsidRPr="00485AC9">
              <w:t>Nav noteiktas stingrākas prasības</w:t>
            </w:r>
          </w:p>
        </w:tc>
      </w:tr>
      <w:tr w14:paraId="51374DB1"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446912" w:rsidRPr="00485AC9" w:rsidP="0075683E" w14:paraId="5E257168" w14:textId="3516C228">
            <w:pPr>
              <w:ind w:left="57" w:right="57"/>
            </w:pPr>
            <w:r w:rsidRPr="00485AC9">
              <w:t>Pielikuma 3.</w:t>
            </w:r>
            <w:r w:rsidRPr="00485AC9" w:rsidR="0012726E">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446912" w:rsidRPr="00485AC9" w:rsidP="0075683E" w14:paraId="5D7C8C81" w14:textId="4523500C">
            <w:pPr>
              <w:ind w:left="57" w:right="57"/>
            </w:pPr>
            <w:r w:rsidRPr="00485AC9">
              <w:t>Pielikuma 1.6.</w:t>
            </w:r>
            <w:r w:rsidRPr="00485AC9" w:rsidR="0012726E">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446912" w:rsidRPr="00485AC9" w:rsidP="0075683E" w14:paraId="0E271605" w14:textId="77777777">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446912" w:rsidRPr="00485AC9" w:rsidP="0075683E" w14:paraId="0C84798A" w14:textId="77777777">
            <w:pPr>
              <w:ind w:left="57" w:right="57"/>
            </w:pPr>
            <w:r w:rsidRPr="00485AC9">
              <w:t>Nav noteiktas stingrākas prasības</w:t>
            </w:r>
          </w:p>
        </w:tc>
      </w:tr>
      <w:tr w14:paraId="03B09990"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446912" w:rsidRPr="00485AC9" w:rsidP="0075683E" w14:paraId="51AC5FBC" w14:textId="2208889C">
            <w:pPr>
              <w:ind w:left="57" w:right="57"/>
            </w:pPr>
            <w:r w:rsidRPr="00485AC9">
              <w:t>Pielikuma 4.a</w:t>
            </w:r>
            <w:r w:rsidRPr="00485AC9" w:rsidR="0012726E">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446912" w:rsidRPr="00485AC9" w:rsidP="0075683E" w14:paraId="5CE1805E" w14:textId="27BA89DB">
            <w:pPr>
              <w:ind w:left="57" w:right="57"/>
            </w:pPr>
            <w:r w:rsidRPr="00485AC9">
              <w:t>Pielikuma 1.7.</w:t>
            </w:r>
            <w:r w:rsidRPr="00485AC9" w:rsidR="0012726E">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446912" w:rsidRPr="00485AC9" w:rsidP="0075683E" w14:paraId="52068484" w14:textId="77777777">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446912" w:rsidRPr="00485AC9" w:rsidP="0075683E" w14:paraId="5F16AB25" w14:textId="77777777">
            <w:pPr>
              <w:ind w:left="57" w:right="57"/>
            </w:pPr>
            <w:r w:rsidRPr="00485AC9">
              <w:t>Nav noteiktas stingrākas prasības</w:t>
            </w:r>
          </w:p>
        </w:tc>
      </w:tr>
      <w:tr w14:paraId="6B4D8516"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446912" w:rsidRPr="00485AC9" w:rsidP="0075683E" w14:paraId="28FFEB1A" w14:textId="3C6D9566">
            <w:pPr>
              <w:ind w:left="57" w:right="57"/>
              <w:rPr>
                <w:b/>
              </w:rPr>
            </w:pPr>
            <w:r w:rsidRPr="00485AC9">
              <w:t>Pielikuma 4.b</w:t>
            </w:r>
            <w:r w:rsidRPr="00485AC9" w:rsidR="0012726E">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446912" w:rsidRPr="00485AC9" w:rsidP="0075683E" w14:paraId="7CEB0A5A" w14:textId="0349B4A4">
            <w:pPr>
              <w:ind w:left="57" w:right="57"/>
              <w:rPr>
                <w:b/>
              </w:rPr>
            </w:pPr>
            <w:r w:rsidRPr="00485AC9">
              <w:t>Pielikuma 1.8.</w:t>
            </w:r>
            <w:r w:rsidRPr="00485AC9" w:rsidR="0012726E">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446912" w:rsidRPr="00485AC9" w:rsidP="0075683E" w14:paraId="5FF90A97" w14:textId="77777777">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446912" w:rsidRPr="00485AC9" w:rsidP="0075683E" w14:paraId="70183245" w14:textId="77777777">
            <w:pPr>
              <w:ind w:left="57" w:right="57"/>
            </w:pPr>
            <w:r w:rsidRPr="00485AC9">
              <w:t>Nav noteiktas stingrākas prasības</w:t>
            </w:r>
          </w:p>
        </w:tc>
      </w:tr>
      <w:tr w14:paraId="7DDEA10D"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446912" w:rsidRPr="00485AC9" w:rsidP="0075683E" w14:paraId="17F79F4C" w14:textId="530943E5">
            <w:pPr>
              <w:ind w:left="57" w:right="57"/>
              <w:rPr>
                <w:b/>
              </w:rPr>
            </w:pPr>
            <w:r w:rsidRPr="00485AC9">
              <w:t>Pielikuma 5.a</w:t>
            </w:r>
            <w:r w:rsidRPr="00485AC9" w:rsidR="0012726E">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446912" w:rsidRPr="00485AC9" w:rsidP="0075683E" w14:paraId="11A6D54B" w14:textId="3DA39F24">
            <w:pPr>
              <w:ind w:left="57" w:right="57"/>
              <w:rPr>
                <w:b/>
              </w:rPr>
            </w:pPr>
            <w:r w:rsidRPr="00485AC9">
              <w:t>Pielikuma 2.1.</w:t>
            </w:r>
            <w:r w:rsidRPr="00485AC9" w:rsidR="0012726E">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446912" w:rsidRPr="00485AC9" w:rsidP="0075683E" w14:paraId="485157F1" w14:textId="77777777">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446912" w:rsidRPr="00485AC9" w:rsidP="0075683E" w14:paraId="73A78D24" w14:textId="77777777">
            <w:pPr>
              <w:ind w:left="57" w:right="57"/>
            </w:pPr>
            <w:r w:rsidRPr="00485AC9">
              <w:t>Nav noteiktas stingrākas prasības</w:t>
            </w:r>
          </w:p>
        </w:tc>
      </w:tr>
      <w:tr w14:paraId="0DDAACD3"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705488BE" w14:textId="257E79DD">
            <w:pPr>
              <w:ind w:left="57" w:right="57"/>
              <w:rPr>
                <w:b/>
              </w:rPr>
            </w:pPr>
            <w:r w:rsidRPr="00485AC9">
              <w:t>Pielikuma 5.b</w:t>
            </w:r>
            <w:r w:rsidRPr="00485AC9" w:rsidR="00E85A47">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760EC427" w14:textId="0015ECAE">
            <w:pPr>
              <w:ind w:left="57" w:right="57"/>
              <w:rPr>
                <w:b/>
              </w:rPr>
            </w:pPr>
            <w:r w:rsidRPr="00485AC9">
              <w:t>Pielikuma 2.1.</w:t>
            </w:r>
            <w:r w:rsidRPr="00485AC9">
              <w:rPr>
                <w:vertAlign w:val="superscript"/>
              </w:rPr>
              <w:t>1</w:t>
            </w:r>
            <w:r w:rsidRPr="00485AC9" w:rsidR="00E85A47">
              <w:rPr>
                <w:vertAlign w:val="superscript"/>
              </w:rPr>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2F87F1FF" w14:textId="276F88FC">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0D5B97C9" w14:textId="7CE6F666">
            <w:pPr>
              <w:ind w:left="57" w:right="57"/>
            </w:pPr>
            <w:r w:rsidRPr="00485AC9">
              <w:t>Nav noteiktas stingrākas prasības</w:t>
            </w:r>
          </w:p>
        </w:tc>
      </w:tr>
      <w:tr w14:paraId="18F635EE"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70810179" w14:textId="64257712">
            <w:pPr>
              <w:ind w:left="57" w:right="57"/>
            </w:pPr>
            <w:r w:rsidRPr="00485AC9">
              <w:t>Pielikuma 7.a</w:t>
            </w:r>
            <w:r w:rsidRPr="00485AC9" w:rsidR="00E85A47">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2022629D" w14:textId="6D59B187">
            <w:pPr>
              <w:ind w:left="57" w:right="57"/>
            </w:pPr>
            <w:r w:rsidRPr="00485AC9">
              <w:t>Pielikuma 2.3.</w:t>
            </w:r>
            <w:r w:rsidRPr="00485AC9" w:rsidR="00E85A47">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622DEAFD" w14:textId="6A2F00C6">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169CD077" w14:textId="283D8EC3">
            <w:pPr>
              <w:ind w:left="57" w:right="57"/>
            </w:pPr>
            <w:r w:rsidRPr="00485AC9">
              <w:t>Nav noteiktas stingrākas prasības</w:t>
            </w:r>
          </w:p>
        </w:tc>
      </w:tr>
      <w:tr w14:paraId="08F535FD"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3F25AE29" w14:textId="0C55DFA9">
            <w:pPr>
              <w:ind w:left="57" w:right="57"/>
            </w:pPr>
            <w:r w:rsidRPr="00485AC9">
              <w:t>Pielikuma 7.b</w:t>
            </w:r>
            <w:r w:rsidRPr="00485AC9" w:rsidR="00E85A47">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23971E08" w14:textId="07AD4315">
            <w:pPr>
              <w:ind w:left="57" w:right="57"/>
            </w:pPr>
            <w:r w:rsidRPr="00485AC9">
              <w:t>Pielikuma 2.4.</w:t>
            </w:r>
            <w:r w:rsidRPr="00485AC9" w:rsidR="00E85A47">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7767E927" w14:textId="2D62D528">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68686B9C" w14:textId="43983B05">
            <w:pPr>
              <w:ind w:left="57" w:right="57"/>
            </w:pPr>
            <w:r w:rsidRPr="00485AC9">
              <w:t>Nav noteiktas stingrākas prasības</w:t>
            </w:r>
          </w:p>
        </w:tc>
      </w:tr>
      <w:tr w14:paraId="3516164C"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38D617BB" w14:textId="557209A5">
            <w:pPr>
              <w:ind w:left="57" w:right="57"/>
            </w:pPr>
            <w:r w:rsidRPr="00485AC9">
              <w:t>Pielikuma 8.a</w:t>
            </w:r>
            <w:r w:rsidRPr="00485AC9" w:rsidR="00E85A47">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085930BC" w14:textId="389D6C93">
            <w:pPr>
              <w:ind w:left="57" w:right="57"/>
            </w:pPr>
            <w:r w:rsidRPr="00485AC9">
              <w:t>Pielikuma 2.6.</w:t>
            </w:r>
            <w:r w:rsidRPr="00485AC9" w:rsidR="00E85A47">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60AF60EE" w14:textId="11CC55A4">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432672FC" w14:textId="66FE29B3">
            <w:pPr>
              <w:ind w:left="57" w:right="57"/>
            </w:pPr>
            <w:r w:rsidRPr="00485AC9">
              <w:t>Nav noteiktas stingrākas prasības</w:t>
            </w:r>
          </w:p>
        </w:tc>
      </w:tr>
      <w:tr w14:paraId="74455474"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1FA6BB73" w14:textId="12E8E213">
            <w:pPr>
              <w:ind w:left="57" w:right="57"/>
            </w:pPr>
            <w:r w:rsidRPr="00485AC9">
              <w:t>Pielikuma 8.c</w:t>
            </w:r>
            <w:r w:rsidRPr="00485AC9" w:rsidR="00E85A47">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5A71F388" w14:textId="65D9758B">
            <w:pPr>
              <w:ind w:left="57" w:right="57"/>
            </w:pPr>
            <w:r w:rsidRPr="00485AC9">
              <w:t>Pielikuma 2.8.</w:t>
            </w:r>
            <w:r w:rsidRPr="00485AC9" w:rsidR="00E85A47">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6098908E" w14:textId="5C64D1A6">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57EE83DB" w14:textId="22CBA8CB">
            <w:pPr>
              <w:ind w:left="57" w:right="57"/>
            </w:pPr>
            <w:r w:rsidRPr="00485AC9">
              <w:t>Nav noteiktas stingrākas prasības</w:t>
            </w:r>
          </w:p>
        </w:tc>
      </w:tr>
      <w:tr w14:paraId="3D05ED87"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1FF861E9" w14:textId="0B35B24C">
            <w:pPr>
              <w:ind w:left="57" w:right="57"/>
            </w:pPr>
            <w:r w:rsidRPr="00485AC9">
              <w:t>Pielikuma 8.h</w:t>
            </w:r>
            <w:r w:rsidRPr="00485AC9" w:rsidR="00E85A47">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16D0F98B" w14:textId="49F92658">
            <w:pPr>
              <w:ind w:left="57" w:right="57"/>
            </w:pPr>
            <w:r w:rsidRPr="00485AC9">
              <w:t>Pielikuma 2.13.</w:t>
            </w:r>
            <w:r w:rsidRPr="00485AC9" w:rsidR="00E85A47">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6A02116D" w14:textId="49DB0817">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6C636AD2" w14:textId="72D23E88">
            <w:pPr>
              <w:ind w:left="57" w:right="57"/>
            </w:pPr>
            <w:r w:rsidRPr="00485AC9">
              <w:t>Nav noteiktas stingrākas prasības</w:t>
            </w:r>
          </w:p>
        </w:tc>
      </w:tr>
      <w:tr w14:paraId="555BF902"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321A4A17" w14:textId="2605B459">
            <w:pPr>
              <w:ind w:left="57" w:right="57"/>
            </w:pPr>
            <w:r w:rsidRPr="00485AC9">
              <w:t>Pielikuma 8.i</w:t>
            </w:r>
            <w:r w:rsidRPr="00485AC9" w:rsidR="00E85A47">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35991ED6" w14:textId="33A92F15">
            <w:pPr>
              <w:ind w:left="57" w:right="57"/>
            </w:pPr>
            <w:r w:rsidRPr="00485AC9">
              <w:t>Pielikuma 2.14.</w:t>
            </w:r>
            <w:r w:rsidRPr="00485AC9" w:rsidR="00E85A47">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4E40C059" w14:textId="3B671075">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251FF08C" w14:textId="7BEF3650">
            <w:pPr>
              <w:ind w:left="57" w:right="57"/>
            </w:pPr>
            <w:r w:rsidRPr="00485AC9">
              <w:t>Nav noteiktas stingrākas prasības</w:t>
            </w:r>
          </w:p>
        </w:tc>
      </w:tr>
      <w:tr w14:paraId="73A91C00"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2B435AFF" w14:textId="43E490A6">
            <w:pPr>
              <w:ind w:left="57" w:right="57"/>
            </w:pPr>
            <w:r w:rsidRPr="00485AC9">
              <w:t>Pielikuma 8.j</w:t>
            </w:r>
            <w:r w:rsidRPr="00485AC9" w:rsidR="00E85A47">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5206B823" w14:textId="58DB510F">
            <w:pPr>
              <w:ind w:left="57" w:right="57"/>
            </w:pPr>
            <w:r w:rsidRPr="00485AC9">
              <w:t>Pielikuma 2.15.</w:t>
            </w:r>
            <w:r w:rsidRPr="00485AC9" w:rsidR="00E85A47">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66D2E5D6" w14:textId="530E5ACB">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43C83BC0" w14:textId="68BDF243">
            <w:pPr>
              <w:ind w:left="57" w:right="57"/>
            </w:pPr>
            <w:r w:rsidRPr="00485AC9">
              <w:t>Nav noteiktas stingrākas prasības</w:t>
            </w:r>
          </w:p>
        </w:tc>
      </w:tr>
      <w:tr w14:paraId="281DB7CE"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7D58FD50" w14:textId="328E13BC">
            <w:pPr>
              <w:ind w:left="57" w:right="57"/>
            </w:pPr>
            <w:r w:rsidRPr="00485AC9">
              <w:t>Pielikuma 9.</w:t>
            </w:r>
            <w:r w:rsidRPr="00485AC9" w:rsidR="00E85A47">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59FAD5A1" w14:textId="4A58216B">
            <w:pPr>
              <w:ind w:left="57" w:right="57"/>
            </w:pPr>
            <w:r w:rsidRPr="00485AC9">
              <w:t>Pielikuma 2.16.</w:t>
            </w:r>
            <w:r w:rsidRPr="00485AC9" w:rsidR="00E85A47">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06E26D2A" w14:textId="20A3C484">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37829869" w14:textId="45B6CAED">
            <w:pPr>
              <w:ind w:left="57" w:right="57"/>
            </w:pPr>
            <w:r w:rsidRPr="00485AC9">
              <w:t>Nav noteiktas stingrākas prasības</w:t>
            </w:r>
          </w:p>
        </w:tc>
      </w:tr>
      <w:tr w14:paraId="5D41CFC0"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1B5AA7D1" w14:textId="0F97EE90">
            <w:pPr>
              <w:ind w:left="57" w:right="57"/>
            </w:pPr>
            <w:r w:rsidRPr="00485AC9">
              <w:t>Pielikuma 10.a</w:t>
            </w:r>
            <w:r w:rsidRPr="00485AC9" w:rsidR="00E85A47">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7FE4B425" w14:textId="347A4BC7">
            <w:pPr>
              <w:ind w:left="57" w:right="57"/>
            </w:pPr>
            <w:r w:rsidRPr="00485AC9">
              <w:t>Pielikuma 2.17.</w:t>
            </w:r>
            <w:r w:rsidRPr="00485AC9" w:rsidR="00E85A47">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03DFEAA1" w14:textId="05AF1082">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4038C747" w14:textId="281902AD">
            <w:pPr>
              <w:ind w:left="57" w:right="57"/>
            </w:pPr>
            <w:r w:rsidRPr="00485AC9">
              <w:t>Nav noteiktas stingrākas prasības</w:t>
            </w:r>
          </w:p>
        </w:tc>
      </w:tr>
      <w:tr w14:paraId="2A81DC7B"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59D828F0" w14:textId="52A7C6EE">
            <w:pPr>
              <w:ind w:left="57" w:right="57"/>
            </w:pPr>
            <w:r w:rsidRPr="00485AC9">
              <w:t>Pielikuma 10.d</w:t>
            </w:r>
            <w:r w:rsidRPr="00485AC9" w:rsidR="00E85A47">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54A75774" w14:textId="52B9E73C">
            <w:pPr>
              <w:ind w:left="57" w:right="57"/>
            </w:pPr>
            <w:r w:rsidRPr="00485AC9">
              <w:t>Pielikuma 2.20.</w:t>
            </w:r>
            <w:r w:rsidRPr="00485AC9" w:rsidR="00E85A47">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32D2D5EF" w14:textId="5D619A15">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5D65EEAA" w14:textId="04610C25">
            <w:pPr>
              <w:ind w:left="57" w:right="57"/>
            </w:pPr>
            <w:r w:rsidRPr="00485AC9">
              <w:t>Nav noteiktas stingrākas prasības</w:t>
            </w:r>
          </w:p>
        </w:tc>
      </w:tr>
      <w:tr w14:paraId="3F645D17"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60A87F17" w14:textId="09877048">
            <w:pPr>
              <w:ind w:left="57" w:right="57"/>
            </w:pPr>
            <w:r w:rsidRPr="00485AC9">
              <w:t>Pielikuma 13.b</w:t>
            </w:r>
            <w:r w:rsidRPr="00485AC9" w:rsidR="00E85A47">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3B208EBD" w14:textId="40E8CFC0">
            <w:pPr>
              <w:ind w:left="57" w:right="57"/>
            </w:pPr>
            <w:r w:rsidRPr="00485AC9">
              <w:t>Pielikuma 3.2.</w:t>
            </w:r>
            <w:r w:rsidRPr="00485AC9" w:rsidR="00E85A47">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6B10CC63" w14:textId="6234ABCA">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7E7DE919" w14:textId="19AF53F4">
            <w:pPr>
              <w:ind w:left="57" w:right="57"/>
            </w:pPr>
            <w:r w:rsidRPr="00485AC9">
              <w:t>Nav noteiktas stingrākas prasības</w:t>
            </w:r>
          </w:p>
        </w:tc>
      </w:tr>
      <w:tr w14:paraId="71A04FFD"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4D3C25C4" w14:textId="2BEB2923">
            <w:pPr>
              <w:ind w:left="57" w:right="57"/>
            </w:pPr>
            <w:r w:rsidRPr="00485AC9">
              <w:t>Pielikuma 14.</w:t>
            </w:r>
            <w:r w:rsidRPr="00485AC9" w:rsidR="0075683E">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1781B9A1" w14:textId="7327C8C6">
            <w:pPr>
              <w:ind w:left="57" w:right="57"/>
            </w:pPr>
            <w:r w:rsidRPr="00485AC9">
              <w:t>Pielikuma 3.3.</w:t>
            </w:r>
            <w:r w:rsidRPr="00485AC9" w:rsidR="0075683E">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66BB1EC4" w14:textId="0C26A0B0">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339837C5" w14:textId="40EF288D">
            <w:pPr>
              <w:ind w:left="57" w:right="57"/>
            </w:pPr>
            <w:r w:rsidRPr="00485AC9">
              <w:t>Nav noteiktas stingrākas prasības</w:t>
            </w:r>
          </w:p>
        </w:tc>
      </w:tr>
      <w:tr w14:paraId="143507F3"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5FAA0391" w14:textId="7795F948">
            <w:pPr>
              <w:ind w:left="57" w:right="57"/>
            </w:pPr>
            <w:r w:rsidRPr="00485AC9">
              <w:t>Pielikuma 15.a</w:t>
            </w:r>
            <w:r w:rsidRPr="00485AC9" w:rsidR="0075683E">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762A3F" w:rsidRPr="00485AC9" w:rsidP="00162BF2" w14:paraId="1857BE40" w14:textId="4D9FE950">
            <w:pPr>
              <w:ind w:left="57" w:right="57"/>
            </w:pPr>
            <w:r w:rsidRPr="00485AC9">
              <w:t>Pielikuma 4.1.</w:t>
            </w:r>
            <w:r w:rsidRPr="00485AC9" w:rsidR="0075683E">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792A584A" w14:textId="7EB080DA">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688A142E" w14:textId="544C16F1">
            <w:pPr>
              <w:ind w:left="57" w:right="57"/>
            </w:pPr>
            <w:r w:rsidRPr="00485AC9">
              <w:t>Nav noteiktas stingrākas prasības</w:t>
            </w:r>
          </w:p>
        </w:tc>
      </w:tr>
      <w:tr w14:paraId="79071408"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65E7C5CE" w14:textId="4F8929A1">
            <w:pPr>
              <w:ind w:left="57" w:right="57"/>
            </w:pPr>
            <w:r w:rsidRPr="00485AC9">
              <w:t>Pielikuma 15.b</w:t>
            </w:r>
            <w:r w:rsidRPr="00485AC9" w:rsidR="0075683E">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079C5B70" w14:textId="798F557A">
            <w:pPr>
              <w:ind w:left="57" w:right="57"/>
            </w:pPr>
            <w:r w:rsidRPr="00485AC9">
              <w:t>Pielikuma 4.2.</w:t>
            </w:r>
            <w:r w:rsidRPr="00485AC9" w:rsidR="0075683E">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146C84DF" w14:textId="15475FB8">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223226CC" w14:textId="6E2FC0DA">
            <w:pPr>
              <w:ind w:left="57" w:right="57"/>
            </w:pPr>
            <w:r w:rsidRPr="00485AC9">
              <w:t>Nav noteiktas stingrākas prasības</w:t>
            </w:r>
          </w:p>
        </w:tc>
      </w:tr>
      <w:tr w14:paraId="55664DC7"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4888A190" w14:textId="5C0EE3AC">
            <w:pPr>
              <w:ind w:left="57" w:right="57"/>
            </w:pPr>
            <w:r w:rsidRPr="00485AC9">
              <w:t>Pielikuma 16.</w:t>
            </w:r>
            <w:r w:rsidRPr="00485AC9" w:rsidR="0075683E">
              <w:t> </w:t>
            </w:r>
            <w:r w:rsidRPr="00485AC9">
              <w:t>punkts</w:t>
            </w:r>
          </w:p>
        </w:tc>
        <w:tc>
          <w:tcPr>
            <w:tcW w:w="1257" w:type="pct"/>
            <w:gridSpan w:val="3"/>
            <w:tcBorders>
              <w:top w:val="outset" w:sz="6" w:space="0" w:color="414142"/>
              <w:left w:val="outset" w:sz="6" w:space="0" w:color="414142"/>
              <w:bottom w:val="outset" w:sz="6" w:space="0" w:color="414142"/>
              <w:right w:val="outset" w:sz="6" w:space="0" w:color="414142"/>
            </w:tcBorders>
          </w:tcPr>
          <w:p w:rsidR="00762A3F" w:rsidRPr="00485AC9" w:rsidP="0075683E" w14:paraId="3CAAE622" w14:textId="487BAB39">
            <w:pPr>
              <w:ind w:left="57" w:right="57"/>
            </w:pPr>
            <w:r w:rsidRPr="00485AC9">
              <w:t>Pielikuma 5.1.</w:t>
            </w:r>
            <w:r w:rsidRPr="00485AC9" w:rsidR="0075683E">
              <w:t> </w:t>
            </w:r>
            <w:r w:rsidRPr="00485AC9">
              <w:t>apakšpunkts</w:t>
            </w:r>
          </w:p>
        </w:tc>
        <w:tc>
          <w:tcPr>
            <w:tcW w:w="1420"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034B7182" w14:textId="2D5655B2">
            <w:pPr>
              <w:ind w:left="57" w:right="57"/>
            </w:pPr>
            <w:r w:rsidRPr="00485AC9">
              <w:t>Pārņemts pilnībā</w:t>
            </w:r>
          </w:p>
        </w:tc>
        <w:tc>
          <w:tcPr>
            <w:tcW w:w="1407" w:type="pct"/>
            <w:gridSpan w:val="2"/>
            <w:tcBorders>
              <w:top w:val="outset" w:sz="6" w:space="0" w:color="414142"/>
              <w:left w:val="outset" w:sz="6" w:space="0" w:color="414142"/>
              <w:bottom w:val="outset" w:sz="6" w:space="0" w:color="414142"/>
              <w:right w:val="outset" w:sz="6" w:space="0" w:color="414142"/>
            </w:tcBorders>
          </w:tcPr>
          <w:p w:rsidR="00762A3F" w:rsidRPr="00485AC9" w:rsidP="0075683E" w14:paraId="004E42D3" w14:textId="6422572B">
            <w:pPr>
              <w:ind w:left="57" w:right="57"/>
            </w:pPr>
            <w:r w:rsidRPr="00485AC9">
              <w:t>Nav noteiktas stingrākas prasības</w:t>
            </w:r>
          </w:p>
        </w:tc>
      </w:tr>
      <w:tr w14:paraId="3964B51E"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hideMark/>
          </w:tcPr>
          <w:p w:rsidR="000974FC" w:rsidRPr="00485AC9" w:rsidP="0075683E" w14:paraId="60D55D0B" w14:textId="77777777">
            <w:r w:rsidRPr="00485AC9">
              <w:t>Kā ir izmantota ES tiesību aktā paredzētā rīcības brīvība dalībvalstij pārņemt vai ieviest noteiktas ES tiesību akta normas?</w:t>
            </w:r>
            <w:r w:rsidRPr="00485AC9">
              <w:br/>
              <w:t>Kādēļ?</w:t>
            </w:r>
          </w:p>
        </w:tc>
        <w:tc>
          <w:tcPr>
            <w:tcW w:w="4084" w:type="pct"/>
            <w:gridSpan w:val="7"/>
            <w:tcBorders>
              <w:top w:val="outset" w:sz="6" w:space="0" w:color="414142"/>
              <w:left w:val="outset" w:sz="6" w:space="0" w:color="414142"/>
              <w:bottom w:val="outset" w:sz="6" w:space="0" w:color="414142"/>
              <w:right w:val="outset" w:sz="6" w:space="0" w:color="414142"/>
            </w:tcBorders>
            <w:hideMark/>
          </w:tcPr>
          <w:p w:rsidR="000974FC" w:rsidRPr="00485AC9" w:rsidP="0075683E" w14:paraId="344E42C8" w14:textId="2BE51B44">
            <w:pPr>
              <w:spacing w:after="120"/>
              <w:ind w:left="57" w:right="57"/>
              <w:jc w:val="both"/>
            </w:pPr>
            <w:r w:rsidRPr="00485AC9">
              <w:t>Projekts šo jomu neskar.</w:t>
            </w:r>
          </w:p>
        </w:tc>
      </w:tr>
      <w:tr w14:paraId="068AFFC6"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hideMark/>
          </w:tcPr>
          <w:p w:rsidR="000974FC" w:rsidRPr="00485AC9" w:rsidP="0075683E" w14:paraId="67851E28" w14:textId="77777777">
            <w:r w:rsidRPr="00485AC9">
              <w:t xml:space="preserve">Saistības sniegt paziņojumu ES institūcijām un ES dalībvalstīm atbilstoši normatīvajiem aktiem, kas regulē informācijas sniegšanu par tehnisko noteikumu, valsts atbalsta </w:t>
            </w:r>
            <w:r w:rsidRPr="00485AC9">
              <w:t>piešķiršanas un finanšu noteikumu (attiecībā uz monetāro politiku) projektiem</w:t>
            </w:r>
          </w:p>
        </w:tc>
        <w:tc>
          <w:tcPr>
            <w:tcW w:w="4084" w:type="pct"/>
            <w:gridSpan w:val="7"/>
            <w:tcBorders>
              <w:top w:val="outset" w:sz="6" w:space="0" w:color="414142"/>
              <w:left w:val="outset" w:sz="6" w:space="0" w:color="414142"/>
              <w:bottom w:val="outset" w:sz="6" w:space="0" w:color="414142"/>
              <w:right w:val="outset" w:sz="6" w:space="0" w:color="414142"/>
            </w:tcBorders>
            <w:hideMark/>
          </w:tcPr>
          <w:p w:rsidR="000974FC" w:rsidRPr="00485AC9" w:rsidP="0075683E" w14:paraId="2D3FE042" w14:textId="1A94ABCC">
            <w:pPr>
              <w:ind w:left="57" w:right="57"/>
              <w:jc w:val="both"/>
            </w:pPr>
            <w:r w:rsidRPr="00485AC9">
              <w:t>Projekts šo jomu neskar.</w:t>
            </w:r>
          </w:p>
        </w:tc>
      </w:tr>
      <w:tr w14:paraId="4A40C2D7"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outset" w:sz="6" w:space="0" w:color="414142"/>
              <w:bottom w:val="outset" w:sz="6" w:space="0" w:color="414142"/>
              <w:right w:val="outset" w:sz="6" w:space="0" w:color="414142"/>
            </w:tcBorders>
            <w:hideMark/>
          </w:tcPr>
          <w:p w:rsidR="000974FC" w:rsidRPr="00485AC9" w:rsidP="0075683E" w14:paraId="1D830076" w14:textId="77777777">
            <w:r w:rsidRPr="00485AC9">
              <w:t>Cita informācija</w:t>
            </w:r>
          </w:p>
        </w:tc>
        <w:tc>
          <w:tcPr>
            <w:tcW w:w="4084" w:type="pct"/>
            <w:gridSpan w:val="7"/>
            <w:tcBorders>
              <w:top w:val="outset" w:sz="6" w:space="0" w:color="414142"/>
              <w:left w:val="outset" w:sz="6" w:space="0" w:color="414142"/>
              <w:bottom w:val="outset" w:sz="6" w:space="0" w:color="414142"/>
              <w:right w:val="outset" w:sz="6" w:space="0" w:color="414142"/>
            </w:tcBorders>
            <w:hideMark/>
          </w:tcPr>
          <w:p w:rsidR="000974FC" w:rsidRPr="00485AC9" w:rsidP="0075683E" w14:paraId="5D8173B5" w14:textId="2C1CFD0C">
            <w:pPr>
              <w:ind w:left="57" w:right="57"/>
              <w:jc w:val="both"/>
            </w:pPr>
            <w:r w:rsidRPr="00485AC9">
              <w:t>Nav</w:t>
            </w:r>
          </w:p>
        </w:tc>
      </w:tr>
      <w:tr w14:paraId="463A19BA" w14:textId="77777777" w:rsidTr="00CF7399">
        <w:tblPrEx>
          <w:tblW w:w="5372" w:type="pct"/>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gridBefore w:val="1"/>
          <w:wBefore w:w="197" w:type="dxa"/>
          <w:jc w:val="center"/>
        </w:trPr>
        <w:tc>
          <w:tcPr>
            <w:tcW w:w="806" w:type="pct"/>
            <w:gridSpan w:val="3"/>
            <w:tcBorders>
              <w:top w:val="outset" w:sz="6" w:space="0" w:color="414142"/>
              <w:left w:val="nil"/>
              <w:bottom w:val="outset" w:sz="6" w:space="0" w:color="414142"/>
              <w:right w:val="nil"/>
            </w:tcBorders>
          </w:tcPr>
          <w:p w:rsidR="001D5558" w:rsidRPr="00485AC9" w:rsidP="0075683E" w14:paraId="696E62E0" w14:textId="77777777"/>
        </w:tc>
        <w:tc>
          <w:tcPr>
            <w:tcW w:w="4084" w:type="pct"/>
            <w:gridSpan w:val="7"/>
            <w:tcBorders>
              <w:top w:val="outset" w:sz="6" w:space="0" w:color="414142"/>
              <w:left w:val="nil"/>
              <w:bottom w:val="outset" w:sz="6" w:space="0" w:color="414142"/>
              <w:right w:val="nil"/>
            </w:tcBorders>
          </w:tcPr>
          <w:p w:rsidR="001D5558" w:rsidRPr="00485AC9" w:rsidP="00CF7399" w14:paraId="4AD41BC4" w14:textId="77777777">
            <w:pPr>
              <w:ind w:left="57" w:right="57"/>
              <w:jc w:val="right"/>
            </w:pPr>
          </w:p>
        </w:tc>
      </w:tr>
      <w:tr w14:paraId="5852B4C0"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4891" w:type="pct"/>
            <w:gridSpan w:val="10"/>
            <w:vAlign w:val="center"/>
            <w:hideMark/>
          </w:tcPr>
          <w:p w:rsidR="00BD5588" w:rsidRPr="00485AC9" w:rsidP="0075683E" w14:paraId="61FD953A" w14:textId="60A9B944">
            <w:pPr>
              <w:jc w:val="center"/>
              <w:rPr>
                <w:b/>
                <w:bCs/>
              </w:rPr>
            </w:pPr>
            <w:r w:rsidRPr="00485AC9">
              <w:rPr>
                <w:b/>
                <w:bCs/>
              </w:rPr>
              <w:t>VI.</w:t>
            </w:r>
            <w:r w:rsidRPr="00485AC9" w:rsidR="00BC1BE3">
              <w:rPr>
                <w:b/>
                <w:bCs/>
              </w:rPr>
              <w:t> </w:t>
            </w:r>
            <w:r w:rsidRPr="00485AC9">
              <w:rPr>
                <w:b/>
                <w:bCs/>
              </w:rPr>
              <w:t>Sabiedrības līdzdalība un komunikācijas aktivitātes</w:t>
            </w:r>
          </w:p>
        </w:tc>
      </w:tr>
      <w:tr w14:paraId="56C38C55"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353" w:type="pct"/>
            <w:gridSpan w:val="3"/>
            <w:hideMark/>
          </w:tcPr>
          <w:p w:rsidR="00BD5588" w:rsidRPr="00485AC9" w:rsidP="0075683E" w14:paraId="77ED0C0E" w14:textId="77777777">
            <w:pPr>
              <w:jc w:val="center"/>
            </w:pPr>
            <w:r w:rsidRPr="00485AC9">
              <w:t>1.</w:t>
            </w:r>
          </w:p>
        </w:tc>
        <w:tc>
          <w:tcPr>
            <w:tcW w:w="1378" w:type="pct"/>
            <w:gridSpan w:val="3"/>
            <w:hideMark/>
          </w:tcPr>
          <w:p w:rsidR="00BD5588" w:rsidRPr="00485AC9" w:rsidP="0075683E" w14:paraId="5BF45AEA" w14:textId="77777777">
            <w:r w:rsidRPr="00485AC9">
              <w:t>Plānotās sabiedrības līdzdalības un komunikācijas aktivitātes saistībā ar projektu</w:t>
            </w:r>
          </w:p>
        </w:tc>
        <w:tc>
          <w:tcPr>
            <w:tcW w:w="3160" w:type="pct"/>
            <w:gridSpan w:val="4"/>
            <w:hideMark/>
          </w:tcPr>
          <w:p w:rsidR="00BD5588" w:rsidRPr="00485AC9" w:rsidP="00F91676" w14:paraId="48509727" w14:textId="77777777">
            <w:pPr>
              <w:jc w:val="both"/>
            </w:pPr>
            <w:r w:rsidRPr="00485AC9">
              <w:t>Saskaņā ar Ministru kabineta 2009. gada 25. augusta noteikumu Nr. 970 “Sabiedrības līdzdalības kārtība attīstības plānošanas procesā” 7.4.</w:t>
            </w:r>
            <w:r w:rsidRPr="00485AC9">
              <w:rPr>
                <w:vertAlign w:val="superscript"/>
              </w:rPr>
              <w:t>1</w:t>
            </w:r>
            <w:r w:rsidRPr="00485AC9">
              <w:t> apakšpunktu, sabiedrības pārstāvji ir aicināti līdzdarboties, rakstiski sniedzot viedokli par noteikumu projektu tā izstrādes stadijā.</w:t>
            </w:r>
          </w:p>
        </w:tc>
      </w:tr>
      <w:tr w14:paraId="394EA903"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353" w:type="pct"/>
            <w:gridSpan w:val="3"/>
            <w:hideMark/>
          </w:tcPr>
          <w:p w:rsidR="00BD5588" w:rsidRPr="00485AC9" w:rsidP="0075683E" w14:paraId="26EB7890" w14:textId="77777777">
            <w:pPr>
              <w:jc w:val="center"/>
            </w:pPr>
            <w:r w:rsidRPr="00485AC9">
              <w:t>2.</w:t>
            </w:r>
          </w:p>
        </w:tc>
        <w:tc>
          <w:tcPr>
            <w:tcW w:w="1378" w:type="pct"/>
            <w:gridSpan w:val="3"/>
            <w:hideMark/>
          </w:tcPr>
          <w:p w:rsidR="00BD5588" w:rsidRPr="00485AC9" w:rsidP="0075683E" w14:paraId="327D046E" w14:textId="77777777">
            <w:r w:rsidRPr="00485AC9">
              <w:t>Sabiedrības līdzdalība projekta izstrādē</w:t>
            </w:r>
          </w:p>
        </w:tc>
        <w:tc>
          <w:tcPr>
            <w:tcW w:w="3160" w:type="pct"/>
            <w:gridSpan w:val="4"/>
            <w:hideMark/>
          </w:tcPr>
          <w:p w:rsidR="00BD5588" w:rsidRPr="00485AC9" w:rsidP="008A0A33" w14:paraId="011FBAD2" w14:textId="43A71695">
            <w:pPr>
              <w:jc w:val="both"/>
            </w:pPr>
            <w:r w:rsidRPr="00485AC9">
              <w:t>Noteikumu projekts</w:t>
            </w:r>
            <w:r w:rsidRPr="00485AC9" w:rsidR="000B0D50">
              <w:t xml:space="preserve"> </w:t>
            </w:r>
            <w:r w:rsidRPr="008A0A33" w:rsidR="008A0A33">
              <w:t xml:space="preserve">2018. gada 27. aprīlī </w:t>
            </w:r>
            <w:r w:rsidRPr="00485AC9" w:rsidR="000B0D50">
              <w:t>ievietot</w:t>
            </w:r>
            <w:r w:rsidRPr="00485AC9">
              <w:t>s</w:t>
            </w:r>
            <w:r w:rsidRPr="00485AC9" w:rsidR="00A76D2F">
              <w:t xml:space="preserve"> Vides aizsardzības un reģionālās attīstības ministrijas tīmekļvietnē </w:t>
            </w:r>
            <w:r>
              <w:fldChar w:fldCharType="begin"/>
            </w:r>
            <w:r>
              <w:instrText xml:space="preserve"> HYPERLINK "http://www.varam.gov.lv" </w:instrText>
            </w:r>
            <w:r>
              <w:fldChar w:fldCharType="separate"/>
            </w:r>
            <w:r w:rsidRPr="00485AC9" w:rsidR="00A76D2F">
              <w:rPr>
                <w:color w:val="0000FF"/>
                <w:u w:val="single"/>
              </w:rPr>
              <w:t>www.varam.gov.lv</w:t>
            </w:r>
            <w:r>
              <w:fldChar w:fldCharType="end"/>
            </w:r>
            <w:r w:rsidRPr="00485AC9" w:rsidR="00A76D2F">
              <w:t>, sniedzot ieinteresētajām personām iespēju izteikt viedokli un iesniegt priekšlikumus.</w:t>
            </w:r>
          </w:p>
        </w:tc>
      </w:tr>
      <w:tr w14:paraId="4E8357C6"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353" w:type="pct"/>
            <w:gridSpan w:val="3"/>
            <w:hideMark/>
          </w:tcPr>
          <w:p w:rsidR="00BD5588" w:rsidRPr="00485AC9" w:rsidP="0075683E" w14:paraId="19B69DB4" w14:textId="77777777">
            <w:pPr>
              <w:jc w:val="center"/>
            </w:pPr>
            <w:r w:rsidRPr="00485AC9">
              <w:t>3.</w:t>
            </w:r>
          </w:p>
        </w:tc>
        <w:tc>
          <w:tcPr>
            <w:tcW w:w="1378" w:type="pct"/>
            <w:gridSpan w:val="3"/>
            <w:hideMark/>
          </w:tcPr>
          <w:p w:rsidR="00BD5588" w:rsidRPr="00485AC9" w:rsidP="0075683E" w14:paraId="0DCCB785" w14:textId="77777777">
            <w:r w:rsidRPr="00485AC9">
              <w:t>Sabiedrības līdzdalības rezultāti</w:t>
            </w:r>
          </w:p>
        </w:tc>
        <w:tc>
          <w:tcPr>
            <w:tcW w:w="3160" w:type="pct"/>
            <w:gridSpan w:val="4"/>
            <w:hideMark/>
          </w:tcPr>
          <w:p w:rsidR="00BD5588" w:rsidRPr="00485AC9" w:rsidP="00A82414" w14:paraId="01A9147B" w14:textId="7C1A2C90">
            <w:pPr>
              <w:jc w:val="both"/>
            </w:pPr>
            <w:r w:rsidRPr="00485AC9">
              <w:t>Nav</w:t>
            </w:r>
            <w:r w:rsidR="008A0A33">
              <w:t>.</w:t>
            </w:r>
          </w:p>
        </w:tc>
      </w:tr>
      <w:tr w14:paraId="38C8F798"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353" w:type="pct"/>
            <w:gridSpan w:val="3"/>
            <w:tcBorders>
              <w:bottom w:val="single" w:sz="4" w:space="0" w:color="auto"/>
            </w:tcBorders>
            <w:hideMark/>
          </w:tcPr>
          <w:p w:rsidR="00BD5588" w:rsidRPr="00485AC9" w:rsidP="0075683E" w14:paraId="1FCB1D67" w14:textId="77777777">
            <w:pPr>
              <w:jc w:val="center"/>
            </w:pPr>
            <w:r w:rsidRPr="00485AC9">
              <w:t>4.</w:t>
            </w:r>
          </w:p>
        </w:tc>
        <w:tc>
          <w:tcPr>
            <w:tcW w:w="1378" w:type="pct"/>
            <w:gridSpan w:val="3"/>
            <w:tcBorders>
              <w:bottom w:val="single" w:sz="4" w:space="0" w:color="auto"/>
            </w:tcBorders>
            <w:hideMark/>
          </w:tcPr>
          <w:p w:rsidR="00BD5588" w:rsidRPr="00485AC9" w:rsidP="0075683E" w14:paraId="4E33A885" w14:textId="77777777">
            <w:r w:rsidRPr="00485AC9">
              <w:t>Cita informācija</w:t>
            </w:r>
          </w:p>
        </w:tc>
        <w:tc>
          <w:tcPr>
            <w:tcW w:w="3160" w:type="pct"/>
            <w:gridSpan w:val="4"/>
            <w:tcBorders>
              <w:bottom w:val="single" w:sz="4" w:space="0" w:color="auto"/>
            </w:tcBorders>
            <w:hideMark/>
          </w:tcPr>
          <w:p w:rsidR="00BD5588" w:rsidRPr="00485AC9" w:rsidP="0075683E" w14:paraId="2ED4E7AF" w14:textId="132C99BC">
            <w:r w:rsidRPr="00485AC9">
              <w:t>Nav</w:t>
            </w:r>
            <w:r w:rsidR="008A0A33">
              <w:t>.</w:t>
            </w:r>
          </w:p>
        </w:tc>
      </w:tr>
      <w:tr w14:paraId="0063F5E2"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353" w:type="pct"/>
            <w:gridSpan w:val="3"/>
            <w:tcBorders>
              <w:left w:val="nil"/>
              <w:right w:val="nil"/>
            </w:tcBorders>
          </w:tcPr>
          <w:p w:rsidR="00552F7E" w:rsidRPr="00485AC9" w:rsidP="0075683E" w14:paraId="23F24ADD" w14:textId="77777777">
            <w:pPr>
              <w:jc w:val="center"/>
            </w:pPr>
          </w:p>
        </w:tc>
        <w:tc>
          <w:tcPr>
            <w:tcW w:w="4538" w:type="pct"/>
            <w:gridSpan w:val="7"/>
            <w:tcBorders>
              <w:left w:val="nil"/>
              <w:right w:val="nil"/>
            </w:tcBorders>
          </w:tcPr>
          <w:p w:rsidR="00552F7E" w:rsidRPr="00485AC9" w:rsidP="0075683E" w14:paraId="1A95D047" w14:textId="77777777"/>
        </w:tc>
      </w:tr>
      <w:tr w14:paraId="761A8137"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4891" w:type="pct"/>
            <w:gridSpan w:val="10"/>
            <w:vAlign w:val="center"/>
            <w:hideMark/>
          </w:tcPr>
          <w:p w:rsidR="00BD5588" w:rsidRPr="00485AC9" w:rsidP="0075683E" w14:paraId="7F86EC0C" w14:textId="7CE616D1">
            <w:pPr>
              <w:jc w:val="center"/>
              <w:rPr>
                <w:b/>
                <w:bCs/>
              </w:rPr>
            </w:pPr>
            <w:r w:rsidRPr="00485AC9">
              <w:rPr>
                <w:b/>
                <w:bCs/>
              </w:rPr>
              <w:t>VII.</w:t>
            </w:r>
            <w:r w:rsidRPr="00485AC9" w:rsidR="00BC1BE3">
              <w:rPr>
                <w:b/>
                <w:bCs/>
              </w:rPr>
              <w:t> </w:t>
            </w:r>
            <w:r w:rsidRPr="00485AC9">
              <w:rPr>
                <w:b/>
                <w:bCs/>
              </w:rPr>
              <w:t>Tiesību akta projekta izpildes nodrošināšana un tās ietekme uz institūcijām</w:t>
            </w:r>
          </w:p>
        </w:tc>
      </w:tr>
      <w:tr w14:paraId="7AF2E40F"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353" w:type="pct"/>
            <w:gridSpan w:val="3"/>
            <w:hideMark/>
          </w:tcPr>
          <w:p w:rsidR="00BD5588" w:rsidRPr="00485AC9" w:rsidP="0075683E" w14:paraId="71DC1ABB" w14:textId="77777777">
            <w:pPr>
              <w:jc w:val="center"/>
            </w:pPr>
            <w:r w:rsidRPr="00485AC9">
              <w:t>1.</w:t>
            </w:r>
          </w:p>
        </w:tc>
        <w:tc>
          <w:tcPr>
            <w:tcW w:w="1378" w:type="pct"/>
            <w:gridSpan w:val="3"/>
            <w:hideMark/>
          </w:tcPr>
          <w:p w:rsidR="00BD5588" w:rsidRPr="00485AC9" w:rsidP="0075683E" w14:paraId="23FA6C99" w14:textId="77777777">
            <w:r w:rsidRPr="00485AC9">
              <w:t>Projekta izpildē iesaistītās institūcijas</w:t>
            </w:r>
          </w:p>
        </w:tc>
        <w:tc>
          <w:tcPr>
            <w:tcW w:w="3160" w:type="pct"/>
            <w:gridSpan w:val="4"/>
            <w:hideMark/>
          </w:tcPr>
          <w:p w:rsidR="00BD5588" w:rsidRPr="00485AC9" w:rsidP="0075683E" w14:paraId="5924FC60" w14:textId="0F9801FF">
            <w:r w:rsidRPr="00485AC9">
              <w:t>Vides aizsardzības un reģionālās attīstības ministrija.</w:t>
            </w:r>
          </w:p>
        </w:tc>
      </w:tr>
      <w:tr w14:paraId="3166347B"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353" w:type="pct"/>
            <w:gridSpan w:val="3"/>
            <w:hideMark/>
          </w:tcPr>
          <w:p w:rsidR="00BD5588" w:rsidRPr="00485AC9" w:rsidP="0075683E" w14:paraId="532416F3" w14:textId="77777777">
            <w:pPr>
              <w:jc w:val="center"/>
            </w:pPr>
            <w:r w:rsidRPr="00485AC9">
              <w:t>2.</w:t>
            </w:r>
          </w:p>
        </w:tc>
        <w:tc>
          <w:tcPr>
            <w:tcW w:w="1378" w:type="pct"/>
            <w:gridSpan w:val="3"/>
            <w:hideMark/>
          </w:tcPr>
          <w:p w:rsidR="004A4FEB" w:rsidRPr="00485AC9" w:rsidP="0075683E" w14:paraId="2A9139BA" w14:textId="77777777">
            <w:r w:rsidRPr="00485AC9">
              <w:t>Projekta izpildes ietekme uz pārvaldes funkcijām un institucionālo struktūru.</w:t>
            </w:r>
          </w:p>
          <w:p w:rsidR="00BD5588" w:rsidRPr="00485AC9" w:rsidP="0075683E" w14:paraId="2060590F" w14:textId="77777777">
            <w:r w:rsidRPr="00485AC9">
              <w:br/>
              <w:t>Jaunu institūciju izveide, esošu institūciju likvidācija vai reorganizācija, to ietekme uz institūcijas cilvēkresursiem</w:t>
            </w:r>
          </w:p>
        </w:tc>
        <w:tc>
          <w:tcPr>
            <w:tcW w:w="3160" w:type="pct"/>
            <w:gridSpan w:val="4"/>
            <w:hideMark/>
          </w:tcPr>
          <w:p w:rsidR="004A4FEB" w:rsidRPr="00485AC9" w:rsidP="004A4FEB" w14:paraId="2B4548AD" w14:textId="77777777">
            <w:pPr>
              <w:pStyle w:val="naisnod"/>
              <w:spacing w:before="0" w:after="0"/>
              <w:ind w:right="57"/>
              <w:jc w:val="both"/>
              <w:rPr>
                <w:b w:val="0"/>
              </w:rPr>
            </w:pPr>
            <w:r w:rsidRPr="00485AC9">
              <w:rPr>
                <w:b w:val="0"/>
              </w:rPr>
              <w:t>Noteikumu projekts neietekmē iesaistīto institūciju funkcijas un uzdevumus.</w:t>
            </w:r>
          </w:p>
          <w:p w:rsidR="0009338F" w:rsidRPr="00485AC9" w:rsidP="0009338F" w14:paraId="75169CA9" w14:textId="77777777">
            <w:pPr>
              <w:jc w:val="both"/>
            </w:pPr>
            <w:r w:rsidRPr="00485AC9">
              <w:t>Noteikumu projekta izpildes rezultātā nav nepieciešams veidot jaunas institūcijas.</w:t>
            </w:r>
          </w:p>
          <w:p w:rsidR="0009338F" w:rsidRPr="00485AC9" w:rsidP="0009338F" w14:paraId="33E4A1D4" w14:textId="77777777">
            <w:pPr>
              <w:jc w:val="both"/>
            </w:pPr>
            <w:r w:rsidRPr="00485AC9">
              <w:t>Noteikumu projekta izpildes rezultātā nav plānots likvidēt kādu esošu institūciju.</w:t>
            </w:r>
          </w:p>
          <w:p w:rsidR="0009338F" w:rsidRPr="00485AC9" w:rsidP="0009338F" w14:paraId="652103BA" w14:textId="77777777">
            <w:pPr>
              <w:jc w:val="both"/>
            </w:pPr>
          </w:p>
          <w:p w:rsidR="0009338F" w:rsidRPr="00485AC9" w:rsidP="0009338F" w14:paraId="2D3CF7AC" w14:textId="3E98DBE0">
            <w:pPr>
              <w:jc w:val="both"/>
            </w:pPr>
            <w:r w:rsidRPr="00485AC9">
              <w:t>Noteikumu projekta izpildes rezultātā nav plānots reorganizēt esošu institūciju vai arī apvienot esošas institūcijas.</w:t>
            </w:r>
          </w:p>
          <w:p w:rsidR="00BD5588" w:rsidRPr="00485AC9" w:rsidP="004A4FEB" w14:paraId="423CCBE0" w14:textId="6ADEA886"/>
        </w:tc>
      </w:tr>
      <w:tr w14:paraId="262C2828" w14:textId="77777777" w:rsidTr="00CF7399">
        <w:tblPrEx>
          <w:tblW w:w="5372" w:type="pct"/>
          <w:tblInd w:w="-112" w:type="dxa"/>
          <w:tblCellMar>
            <w:top w:w="30" w:type="dxa"/>
            <w:left w:w="30" w:type="dxa"/>
            <w:bottom w:w="30" w:type="dxa"/>
            <w:right w:w="30" w:type="dxa"/>
          </w:tblCellMar>
          <w:tblLook w:val="04A0"/>
        </w:tblPrEx>
        <w:trPr>
          <w:gridAfter w:val="1"/>
          <w:wAfter w:w="109" w:type="dxa"/>
          <w:cantSplit/>
        </w:trPr>
        <w:tc>
          <w:tcPr>
            <w:tcW w:w="353" w:type="pct"/>
            <w:gridSpan w:val="3"/>
            <w:hideMark/>
          </w:tcPr>
          <w:p w:rsidR="00BD5588" w:rsidRPr="00485AC9" w:rsidP="0075683E" w14:paraId="38F81FEF" w14:textId="77777777">
            <w:pPr>
              <w:jc w:val="center"/>
            </w:pPr>
            <w:r w:rsidRPr="00485AC9">
              <w:t>3.</w:t>
            </w:r>
          </w:p>
        </w:tc>
        <w:tc>
          <w:tcPr>
            <w:tcW w:w="1378" w:type="pct"/>
            <w:gridSpan w:val="3"/>
            <w:hideMark/>
          </w:tcPr>
          <w:p w:rsidR="00BD5588" w:rsidRPr="00485AC9" w:rsidP="0075683E" w14:paraId="21EDF815" w14:textId="77777777">
            <w:r w:rsidRPr="00485AC9">
              <w:t>Cita informācija</w:t>
            </w:r>
          </w:p>
        </w:tc>
        <w:tc>
          <w:tcPr>
            <w:tcW w:w="3160" w:type="pct"/>
            <w:gridSpan w:val="4"/>
            <w:hideMark/>
          </w:tcPr>
          <w:p w:rsidR="00BD5588" w:rsidRPr="00485AC9" w:rsidP="0075683E" w14:paraId="4152F274" w14:textId="311279DE">
            <w:r w:rsidRPr="00485AC9">
              <w:t>Nav</w:t>
            </w:r>
            <w:r w:rsidR="008A0A33">
              <w:t>.</w:t>
            </w:r>
          </w:p>
        </w:tc>
      </w:tr>
    </w:tbl>
    <w:p w:rsidR="00E44472" w:rsidRPr="00485AC9" w14:paraId="070D3C1C" w14:textId="77777777"/>
    <w:p w:rsidR="004A4FEB" w:rsidRPr="00485AC9" w:rsidP="004A4FEB" w14:paraId="043C2763" w14:textId="77777777">
      <w:pPr>
        <w:tabs>
          <w:tab w:val="left" w:pos="6237"/>
        </w:tabs>
      </w:pPr>
      <w:r w:rsidRPr="00485AC9">
        <w:t xml:space="preserve">Vides aizsardzības un </w:t>
      </w:r>
    </w:p>
    <w:p w:rsidR="004A4FEB" w:rsidRPr="00485AC9" w:rsidP="004A4FEB" w14:paraId="12BFB352" w14:textId="77777777">
      <w:pPr>
        <w:tabs>
          <w:tab w:val="left" w:pos="6237"/>
        </w:tabs>
      </w:pPr>
      <w:r w:rsidRPr="00485AC9">
        <w:t>reģionālās attīstības ministrs</w:t>
      </w:r>
      <w:r w:rsidRPr="00485AC9">
        <w:tab/>
        <w:t>Kaspars Gerhards</w:t>
      </w:r>
    </w:p>
    <w:p w:rsidR="004A4FEB" w:rsidP="004A4FEB" w14:paraId="75BF723C" w14:textId="77777777">
      <w:pPr>
        <w:tabs>
          <w:tab w:val="left" w:pos="6237"/>
        </w:tabs>
        <w:rPr>
          <w:szCs w:val="28"/>
        </w:rPr>
      </w:pPr>
    </w:p>
    <w:p w:rsidR="004A4FEB" w:rsidRPr="00425EC2" w:rsidP="004A4FEB" w14:paraId="4C8E56C4" w14:textId="77777777">
      <w:pPr>
        <w:tabs>
          <w:tab w:val="left" w:pos="6237"/>
        </w:tabs>
        <w:rPr>
          <w:sz w:val="20"/>
          <w:szCs w:val="20"/>
        </w:rPr>
      </w:pPr>
      <w:r>
        <w:rPr>
          <w:sz w:val="20"/>
          <w:szCs w:val="20"/>
        </w:rPr>
        <w:t>Šūba</w:t>
      </w:r>
      <w:r w:rsidRPr="00425EC2">
        <w:rPr>
          <w:sz w:val="20"/>
          <w:szCs w:val="20"/>
        </w:rPr>
        <w:t xml:space="preserve"> </w:t>
      </w:r>
      <w:r w:rsidRPr="00C66CBC">
        <w:rPr>
          <w:sz w:val="20"/>
          <w:szCs w:val="20"/>
        </w:rPr>
        <w:t>67026</w:t>
      </w:r>
      <w:r>
        <w:rPr>
          <w:sz w:val="20"/>
          <w:szCs w:val="20"/>
        </w:rPr>
        <w:t>569</w:t>
      </w:r>
      <w:r w:rsidRPr="00425EC2">
        <w:rPr>
          <w:sz w:val="20"/>
          <w:szCs w:val="20"/>
        </w:rPr>
        <w:t xml:space="preserve"> </w:t>
      </w:r>
    </w:p>
    <w:p w:rsidR="004A4FEB" w:rsidRPr="00E6255D" w:rsidP="004A4FEB" w14:paraId="0BA3777F" w14:textId="77777777">
      <w:r>
        <w:fldChar w:fldCharType="begin"/>
      </w:r>
      <w:r>
        <w:instrText xml:space="preserve"> HYPERLINK "mailto:undine.suba@varam.gov.lv" </w:instrText>
      </w:r>
      <w:r>
        <w:fldChar w:fldCharType="separate"/>
      </w:r>
      <w:r w:rsidRPr="0018714F">
        <w:rPr>
          <w:rStyle w:val="Hyperlink"/>
          <w:sz w:val="20"/>
        </w:rPr>
        <w:t>undine.suba@varam.gov.lv</w:t>
      </w:r>
      <w:r>
        <w:fldChar w:fldCharType="end"/>
      </w:r>
    </w:p>
    <w:sectPr w:rsidSect="008334C3">
      <w:headerReference w:type="default" r:id="rId5"/>
      <w:footerReference w:type="default" r:id="rId6"/>
      <w:footerReference w:type="first" r:id="rId7"/>
      <w:pgSz w:w="11906" w:h="16838"/>
      <w:pgMar w:top="567" w:right="1800" w:bottom="709"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938" w:rsidRPr="0040059A" w:rsidP="0040059A" w14:paraId="3E8D6CC3" w14:textId="3E86A54E">
    <w:pPr>
      <w:pStyle w:val="Footer"/>
    </w:pPr>
    <w:r w:rsidRPr="0040059A">
      <w:rPr>
        <w:sz w:val="20"/>
        <w:szCs w:val="20"/>
      </w:rPr>
      <w:t>VARAMAnot_210618_MKnTLsast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938" w:rsidRPr="0040059A" w:rsidP="0040059A" w14:paraId="535BF39B" w14:textId="7FE60D48">
    <w:pPr>
      <w:pStyle w:val="Footer"/>
    </w:pPr>
    <w:r w:rsidRPr="0040059A">
      <w:rPr>
        <w:sz w:val="20"/>
        <w:szCs w:val="20"/>
      </w:rPr>
      <w:t>VARAMAnot_210618_MKnTLsast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8860012"/>
      <w:docPartObj>
        <w:docPartGallery w:val="Page Numbers (Top of Page)"/>
        <w:docPartUnique/>
      </w:docPartObj>
    </w:sdtPr>
    <w:sdtEndPr>
      <w:rPr>
        <w:noProof/>
      </w:rPr>
    </w:sdtEndPr>
    <w:sdtContent>
      <w:p w:rsidR="00EF2938" w:rsidRPr="008334C3" w14:paraId="5E0FCC5A" w14:textId="172024EC">
        <w:pPr>
          <w:pStyle w:val="Header"/>
          <w:jc w:val="center"/>
        </w:pPr>
        <w:r w:rsidRPr="008334C3">
          <w:fldChar w:fldCharType="begin"/>
        </w:r>
        <w:r w:rsidRPr="008334C3">
          <w:instrText xml:space="preserve"> PAGE   \* MERGEFORMAT </w:instrText>
        </w:r>
        <w:r w:rsidRPr="008334C3">
          <w:fldChar w:fldCharType="separate"/>
        </w:r>
        <w:r w:rsidR="00DA72B0">
          <w:rPr>
            <w:noProof/>
          </w:rPr>
          <w:t>7</w:t>
        </w:r>
        <w:r w:rsidRPr="008334C3">
          <w:rPr>
            <w:noProof/>
          </w:rPr>
          <w:fldChar w:fldCharType="end"/>
        </w:r>
      </w:p>
    </w:sdtContent>
  </w:sdt>
  <w:p w:rsidR="00EF2938" w14:paraId="2C25B75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41E64"/>
    <w:rsid w:val="00046CFA"/>
    <w:rsid w:val="00056E4D"/>
    <w:rsid w:val="0009338F"/>
    <w:rsid w:val="000974FC"/>
    <w:rsid w:val="000B0D50"/>
    <w:rsid w:val="000C6351"/>
    <w:rsid w:val="000E5D55"/>
    <w:rsid w:val="001019C4"/>
    <w:rsid w:val="00122112"/>
    <w:rsid w:val="0012726E"/>
    <w:rsid w:val="00144701"/>
    <w:rsid w:val="00162BF2"/>
    <w:rsid w:val="0018714F"/>
    <w:rsid w:val="00193181"/>
    <w:rsid w:val="001B6623"/>
    <w:rsid w:val="001D3F30"/>
    <w:rsid w:val="001D4A90"/>
    <w:rsid w:val="001D5558"/>
    <w:rsid w:val="001E141D"/>
    <w:rsid w:val="001F07E6"/>
    <w:rsid w:val="001F7C6C"/>
    <w:rsid w:val="00234B94"/>
    <w:rsid w:val="00246DAB"/>
    <w:rsid w:val="00261C2E"/>
    <w:rsid w:val="00271529"/>
    <w:rsid w:val="002A4D6F"/>
    <w:rsid w:val="002C6C44"/>
    <w:rsid w:val="002E7468"/>
    <w:rsid w:val="0031744F"/>
    <w:rsid w:val="003350FF"/>
    <w:rsid w:val="00347CF0"/>
    <w:rsid w:val="00357D0A"/>
    <w:rsid w:val="00382192"/>
    <w:rsid w:val="003C1CA4"/>
    <w:rsid w:val="003C346C"/>
    <w:rsid w:val="003D35B9"/>
    <w:rsid w:val="003D75D7"/>
    <w:rsid w:val="003E38F3"/>
    <w:rsid w:val="0040059A"/>
    <w:rsid w:val="00425EC2"/>
    <w:rsid w:val="00430A43"/>
    <w:rsid w:val="0044326A"/>
    <w:rsid w:val="00446912"/>
    <w:rsid w:val="00451233"/>
    <w:rsid w:val="00464DA0"/>
    <w:rsid w:val="0047188E"/>
    <w:rsid w:val="00477ED3"/>
    <w:rsid w:val="00485AC9"/>
    <w:rsid w:val="004A383E"/>
    <w:rsid w:val="004A4FEB"/>
    <w:rsid w:val="004B2DEF"/>
    <w:rsid w:val="004B715D"/>
    <w:rsid w:val="004C0707"/>
    <w:rsid w:val="004C1773"/>
    <w:rsid w:val="004E4A1E"/>
    <w:rsid w:val="005267B6"/>
    <w:rsid w:val="0053642D"/>
    <w:rsid w:val="00552F7E"/>
    <w:rsid w:val="00582F6C"/>
    <w:rsid w:val="0059749A"/>
    <w:rsid w:val="005D0FF6"/>
    <w:rsid w:val="005F74B3"/>
    <w:rsid w:val="0063438F"/>
    <w:rsid w:val="00667D0A"/>
    <w:rsid w:val="006B242B"/>
    <w:rsid w:val="006D2F41"/>
    <w:rsid w:val="006F2E37"/>
    <w:rsid w:val="0071790E"/>
    <w:rsid w:val="0072609E"/>
    <w:rsid w:val="0075683E"/>
    <w:rsid w:val="00762A3F"/>
    <w:rsid w:val="00770041"/>
    <w:rsid w:val="00777F73"/>
    <w:rsid w:val="007853FD"/>
    <w:rsid w:val="007B29ED"/>
    <w:rsid w:val="007C2ECE"/>
    <w:rsid w:val="007D62C2"/>
    <w:rsid w:val="007F0D66"/>
    <w:rsid w:val="008302D6"/>
    <w:rsid w:val="008334C3"/>
    <w:rsid w:val="008514F0"/>
    <w:rsid w:val="00853D1D"/>
    <w:rsid w:val="00870829"/>
    <w:rsid w:val="00882D70"/>
    <w:rsid w:val="00887F1F"/>
    <w:rsid w:val="008933CF"/>
    <w:rsid w:val="008A0A33"/>
    <w:rsid w:val="008C3DC3"/>
    <w:rsid w:val="008D3A36"/>
    <w:rsid w:val="008D4942"/>
    <w:rsid w:val="00935E2E"/>
    <w:rsid w:val="009402A6"/>
    <w:rsid w:val="0095750F"/>
    <w:rsid w:val="00963672"/>
    <w:rsid w:val="00965834"/>
    <w:rsid w:val="009D4457"/>
    <w:rsid w:val="00A320DE"/>
    <w:rsid w:val="00A33364"/>
    <w:rsid w:val="00A47971"/>
    <w:rsid w:val="00A674E5"/>
    <w:rsid w:val="00A70DA7"/>
    <w:rsid w:val="00A76D2F"/>
    <w:rsid w:val="00A82414"/>
    <w:rsid w:val="00A82436"/>
    <w:rsid w:val="00A96A57"/>
    <w:rsid w:val="00AB1BB9"/>
    <w:rsid w:val="00AC5FE6"/>
    <w:rsid w:val="00AE01E1"/>
    <w:rsid w:val="00AF33BD"/>
    <w:rsid w:val="00B26E8D"/>
    <w:rsid w:val="00B32B38"/>
    <w:rsid w:val="00B4339C"/>
    <w:rsid w:val="00B56910"/>
    <w:rsid w:val="00B67A85"/>
    <w:rsid w:val="00B71827"/>
    <w:rsid w:val="00B7510A"/>
    <w:rsid w:val="00B93F72"/>
    <w:rsid w:val="00B94112"/>
    <w:rsid w:val="00BB0130"/>
    <w:rsid w:val="00BB2CF9"/>
    <w:rsid w:val="00BC1BE3"/>
    <w:rsid w:val="00BD5588"/>
    <w:rsid w:val="00BF03A1"/>
    <w:rsid w:val="00C57EA0"/>
    <w:rsid w:val="00C66CBC"/>
    <w:rsid w:val="00C77FD7"/>
    <w:rsid w:val="00CD5C64"/>
    <w:rsid w:val="00CE3D3A"/>
    <w:rsid w:val="00CF10C9"/>
    <w:rsid w:val="00CF45A1"/>
    <w:rsid w:val="00CF7399"/>
    <w:rsid w:val="00D17A29"/>
    <w:rsid w:val="00D838AF"/>
    <w:rsid w:val="00D85596"/>
    <w:rsid w:val="00D855A6"/>
    <w:rsid w:val="00D92B17"/>
    <w:rsid w:val="00DA72B0"/>
    <w:rsid w:val="00DC7B2D"/>
    <w:rsid w:val="00DD189D"/>
    <w:rsid w:val="00DF1E30"/>
    <w:rsid w:val="00E20BCA"/>
    <w:rsid w:val="00E30A51"/>
    <w:rsid w:val="00E30D59"/>
    <w:rsid w:val="00E44472"/>
    <w:rsid w:val="00E56BF6"/>
    <w:rsid w:val="00E6255D"/>
    <w:rsid w:val="00E64F63"/>
    <w:rsid w:val="00E85A47"/>
    <w:rsid w:val="00EC4934"/>
    <w:rsid w:val="00EC6A57"/>
    <w:rsid w:val="00EE3EB9"/>
    <w:rsid w:val="00EF2938"/>
    <w:rsid w:val="00EF39B2"/>
    <w:rsid w:val="00F55564"/>
    <w:rsid w:val="00F728BD"/>
    <w:rsid w:val="00F75A30"/>
    <w:rsid w:val="00F807C5"/>
    <w:rsid w:val="00F868FF"/>
    <w:rsid w:val="00F91676"/>
    <w:rsid w:val="00FA28FF"/>
    <w:rsid w:val="00FB400F"/>
    <w:rsid w:val="00FD36D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DE64ACB-56D9-4F8B-A85F-2A37BD6E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FD36D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naisnod">
    <w:name w:val="naisnod"/>
    <w:basedOn w:val="Normal"/>
    <w:rsid w:val="004A4FEB"/>
    <w:pPr>
      <w:spacing w:before="150" w:after="150"/>
      <w:jc w:val="center"/>
    </w:pPr>
    <w:rPr>
      <w:b/>
      <w:bCs/>
    </w:rPr>
  </w:style>
  <w:style w:type="paragraph" w:styleId="Header">
    <w:name w:val="header"/>
    <w:basedOn w:val="Normal"/>
    <w:link w:val="HeaderChar"/>
    <w:uiPriority w:val="99"/>
    <w:unhideWhenUsed/>
    <w:rsid w:val="004A4FEB"/>
    <w:pPr>
      <w:tabs>
        <w:tab w:val="center" w:pos="4153"/>
        <w:tab w:val="right" w:pos="8306"/>
      </w:tabs>
    </w:pPr>
  </w:style>
  <w:style w:type="character" w:customStyle="1" w:styleId="HeaderChar">
    <w:name w:val="Header Char"/>
    <w:basedOn w:val="DefaultParagraphFont"/>
    <w:link w:val="Header"/>
    <w:uiPriority w:val="99"/>
    <w:rsid w:val="004A4FE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A4FEB"/>
    <w:pPr>
      <w:tabs>
        <w:tab w:val="center" w:pos="4153"/>
        <w:tab w:val="right" w:pos="8306"/>
      </w:tabs>
    </w:pPr>
  </w:style>
  <w:style w:type="character" w:customStyle="1" w:styleId="FooterChar">
    <w:name w:val="Footer Char"/>
    <w:basedOn w:val="DefaultParagraphFont"/>
    <w:link w:val="Footer"/>
    <w:uiPriority w:val="99"/>
    <w:rsid w:val="004A4FEB"/>
    <w:rPr>
      <w:rFonts w:ascii="Times New Roman" w:eastAsia="Times New Roman" w:hAnsi="Times New Roman" w:cs="Times New Roman"/>
      <w:sz w:val="24"/>
      <w:szCs w:val="24"/>
      <w:lang w:eastAsia="lv-LV"/>
    </w:rPr>
  </w:style>
  <w:style w:type="paragraph" w:customStyle="1" w:styleId="tv213">
    <w:name w:val="tv213"/>
    <w:basedOn w:val="Normal"/>
    <w:rsid w:val="00AF33BD"/>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8C3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DC3"/>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87F1F"/>
    <w:rPr>
      <w:sz w:val="16"/>
      <w:szCs w:val="16"/>
    </w:rPr>
  </w:style>
  <w:style w:type="paragraph" w:styleId="CommentText">
    <w:name w:val="annotation text"/>
    <w:basedOn w:val="Normal"/>
    <w:link w:val="CommentTextChar"/>
    <w:uiPriority w:val="99"/>
    <w:unhideWhenUsed/>
    <w:rsid w:val="00887F1F"/>
    <w:rPr>
      <w:sz w:val="20"/>
      <w:szCs w:val="20"/>
    </w:rPr>
  </w:style>
  <w:style w:type="character" w:customStyle="1" w:styleId="CommentTextChar">
    <w:name w:val="Comment Text Char"/>
    <w:basedOn w:val="DefaultParagraphFont"/>
    <w:link w:val="CommentText"/>
    <w:uiPriority w:val="99"/>
    <w:rsid w:val="00887F1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87F1F"/>
    <w:rPr>
      <w:b/>
      <w:bCs/>
    </w:rPr>
  </w:style>
  <w:style w:type="character" w:customStyle="1" w:styleId="CommentSubjectChar">
    <w:name w:val="Comment Subject Char"/>
    <w:basedOn w:val="CommentTextChar"/>
    <w:link w:val="CommentSubject"/>
    <w:uiPriority w:val="99"/>
    <w:semiHidden/>
    <w:rsid w:val="00887F1F"/>
    <w:rPr>
      <w:rFonts w:ascii="Times New Roman" w:eastAsia="Times New Roman" w:hAnsi="Times New Roman" w:cs="Times New Roman"/>
      <w:b/>
      <w:bCs/>
      <w:sz w:val="20"/>
      <w:szCs w:val="20"/>
      <w:lang w:eastAsia="lv-LV"/>
    </w:rPr>
  </w:style>
  <w:style w:type="character" w:customStyle="1" w:styleId="Heading3Char">
    <w:name w:val="Heading 3 Char"/>
    <w:basedOn w:val="DefaultParagraphFont"/>
    <w:link w:val="Heading3"/>
    <w:uiPriority w:val="9"/>
    <w:rsid w:val="00FD36D8"/>
    <w:rPr>
      <w:rFonts w:ascii="Times New Roman" w:eastAsia="Times New Roman" w:hAnsi="Times New Roman" w:cs="Times New Roman"/>
      <w:b/>
      <w:bCs/>
      <w:sz w:val="27"/>
      <w:szCs w:val="27"/>
      <w:lang w:eastAsia="lv-LV"/>
    </w:rPr>
  </w:style>
  <w:style w:type="paragraph" w:customStyle="1" w:styleId="naisc">
    <w:name w:val="naisc"/>
    <w:basedOn w:val="Normal"/>
    <w:rsid w:val="004C0707"/>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68832-5877-4CCC-9CB8-C1083215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9821</Words>
  <Characters>5598</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13.septembra noteikumos Nr.703 “Noteikumi par atkritumu apsaimniekošanas atļaujas izsniegšanas un anulēšanas kārtību, atkritumu tirgotāju un atkritumu apsaimniekošanas starpnieku</vt:lpstr>
    </vt:vector>
  </TitlesOfParts>
  <Company>VARAM</Company>
  <LinksUpToDate>false</LinksUpToDate>
  <CharactersWithSpaces>15389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13.septembra noteikumos Nr.703 “Noteikumi par atkritumu apsaimniekošanas atļaujas izsniegšanas un anulēšanas kārtību, atkritumu tirgotāju un atkritumu apsaimniekošanas starpnieku reģistrācijas kārtību, kā arī par valsts nodevu un tās maksāšanas kārtību”” sākotnējās ietekmes novērtējuma ziņojums (anotācija)</dc:title>
  <dc:subject>Noteikumu projekta anotācija</dc:subject>
  <dc:creator>Undīne Šūba</dc:creator>
  <dc:description>67026569, undine.suba@varam.gov.lv</dc:description>
  <cp:lastModifiedBy>Olga Paipala</cp:lastModifiedBy>
  <cp:revision>5</cp:revision>
  <cp:lastPrinted>2018-06-12T12:45:00Z</cp:lastPrinted>
  <dcterms:created xsi:type="dcterms:W3CDTF">2018-06-21T12:56:00Z</dcterms:created>
  <dcterms:modified xsi:type="dcterms:W3CDTF">2018-06-22T10:14:00Z</dcterms:modified>
</cp:coreProperties>
</file>