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D1655" w14:textId="77777777" w:rsidR="00963F5B" w:rsidRDefault="00963F5B" w:rsidP="00425EC2">
      <w:pPr>
        <w:spacing w:after="0" w:line="240" w:lineRule="auto"/>
        <w:jc w:val="center"/>
        <w:rPr>
          <w:rFonts w:ascii="Times New Roman" w:eastAsia="Times New Roman" w:hAnsi="Times New Roman" w:cs="Times New Roman"/>
          <w:b/>
          <w:sz w:val="28"/>
          <w:szCs w:val="28"/>
          <w:lang w:eastAsia="lv-LV"/>
        </w:rPr>
      </w:pPr>
    </w:p>
    <w:p w14:paraId="2D9487B2" w14:textId="105119DE" w:rsidR="00E52B85" w:rsidRPr="00633048" w:rsidRDefault="00907205" w:rsidP="00E52B85">
      <w:pPr>
        <w:spacing w:after="0" w:line="240" w:lineRule="auto"/>
        <w:jc w:val="center"/>
        <w:rPr>
          <w:rFonts w:ascii="Times New Roman" w:eastAsia="Times New Roman" w:hAnsi="Times New Roman" w:cs="Times New Roman"/>
          <w:sz w:val="28"/>
          <w:szCs w:val="28"/>
          <w:lang w:eastAsia="lv-LV"/>
        </w:rPr>
      </w:pPr>
      <w:r w:rsidRPr="00633048">
        <w:rPr>
          <w:rFonts w:ascii="Times New Roman" w:eastAsia="Times New Roman" w:hAnsi="Times New Roman" w:cs="Times New Roman"/>
          <w:b/>
          <w:sz w:val="28"/>
          <w:szCs w:val="28"/>
          <w:lang w:eastAsia="lv-LV"/>
        </w:rPr>
        <w:t>Ministru kabineta noteikumu projekta “</w:t>
      </w:r>
      <w:r w:rsidR="00D26882" w:rsidRPr="000027DE">
        <w:rPr>
          <w:rFonts w:ascii="Times New Roman" w:hAnsi="Times New Roman" w:cs="Times New Roman"/>
          <w:b/>
          <w:sz w:val="28"/>
          <w:szCs w:val="28"/>
        </w:rPr>
        <w:t xml:space="preserve">Kārtība atkritumu statusa </w:t>
      </w:r>
      <w:r w:rsidR="00D26882">
        <w:rPr>
          <w:rFonts w:ascii="Times New Roman" w:hAnsi="Times New Roman" w:cs="Times New Roman"/>
          <w:b/>
          <w:sz w:val="28"/>
          <w:szCs w:val="28"/>
        </w:rPr>
        <w:t>piemērošanas izbeigšanai koksnes šķeldas</w:t>
      </w:r>
      <w:r w:rsidR="00D26882" w:rsidRPr="000027DE">
        <w:rPr>
          <w:rFonts w:ascii="Times New Roman" w:hAnsi="Times New Roman" w:cs="Times New Roman"/>
          <w:b/>
          <w:sz w:val="28"/>
          <w:szCs w:val="28"/>
        </w:rPr>
        <w:t xml:space="preserve"> materiāliem, kas iegūti no </w:t>
      </w:r>
      <w:r w:rsidR="00D26882">
        <w:rPr>
          <w:rFonts w:ascii="Times New Roman" w:hAnsi="Times New Roman" w:cs="Times New Roman"/>
          <w:b/>
          <w:sz w:val="28"/>
          <w:szCs w:val="28"/>
        </w:rPr>
        <w:t>koksnes iepakojuma atkritumiem</w:t>
      </w:r>
      <w:bookmarkStart w:id="0" w:name="_GoBack"/>
      <w:bookmarkEnd w:id="0"/>
      <w:r w:rsidRPr="00633048">
        <w:rPr>
          <w:rFonts w:ascii="Times New Roman" w:eastAsia="Times New Roman" w:hAnsi="Times New Roman" w:cs="Times New Roman"/>
          <w:b/>
          <w:sz w:val="28"/>
          <w:szCs w:val="28"/>
          <w:lang w:eastAsia="lv-LV"/>
        </w:rPr>
        <w:t xml:space="preserve">” </w:t>
      </w:r>
      <w:r w:rsidR="00D90D01" w:rsidRPr="00633048">
        <w:rPr>
          <w:rFonts w:ascii="Times New Roman" w:eastAsia="Times New Roman" w:hAnsi="Times New Roman" w:cs="Times New Roman"/>
          <w:b/>
          <w:sz w:val="28"/>
          <w:szCs w:val="28"/>
          <w:lang w:eastAsia="lv-LV"/>
        </w:rPr>
        <w:t>sākotnējās ietekmes novērtējuma ziņojums</w:t>
      </w:r>
      <w:r w:rsidR="00AB4B9B" w:rsidRPr="00633048">
        <w:rPr>
          <w:rFonts w:ascii="Times New Roman" w:eastAsia="Times New Roman" w:hAnsi="Times New Roman" w:cs="Times New Roman"/>
          <w:b/>
          <w:sz w:val="28"/>
          <w:szCs w:val="28"/>
          <w:lang w:eastAsia="lv-LV"/>
        </w:rPr>
        <w:t xml:space="preserve"> </w:t>
      </w:r>
      <w:r w:rsidR="00D90D01" w:rsidRPr="00633048">
        <w:rPr>
          <w:rFonts w:ascii="Times New Roman" w:eastAsia="Times New Roman" w:hAnsi="Times New Roman" w:cs="Times New Roman"/>
          <w:b/>
          <w:sz w:val="28"/>
          <w:szCs w:val="28"/>
          <w:lang w:eastAsia="lv-LV"/>
        </w:rPr>
        <w:t>(anotācija</w:t>
      </w:r>
      <w:r w:rsidR="00D90D01" w:rsidRPr="00633048">
        <w:rPr>
          <w:rFonts w:ascii="Times New Roman" w:eastAsia="Times New Roman" w:hAnsi="Times New Roman" w:cs="Times New Roman"/>
          <w:sz w:val="28"/>
          <w:szCs w:val="28"/>
          <w:lang w:eastAsia="lv-LV"/>
        </w:rPr>
        <w:t>)</w:t>
      </w:r>
    </w:p>
    <w:p w14:paraId="5D0840DC" w14:textId="77777777" w:rsidR="00963F5B" w:rsidRPr="00633048" w:rsidRDefault="00963F5B" w:rsidP="00E52B85">
      <w:pPr>
        <w:spacing w:line="240" w:lineRule="auto"/>
        <w:jc w:val="center"/>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1696"/>
        <w:gridCol w:w="7365"/>
      </w:tblGrid>
      <w:tr w:rsidR="006E509F" w:rsidRPr="00633048" w14:paraId="40AA6365" w14:textId="77777777" w:rsidTr="002F5134">
        <w:tc>
          <w:tcPr>
            <w:tcW w:w="9061" w:type="dxa"/>
            <w:gridSpan w:val="2"/>
          </w:tcPr>
          <w:p w14:paraId="0700B19C" w14:textId="55B6E683" w:rsidR="006E509F" w:rsidRPr="00633048" w:rsidRDefault="006E509F" w:rsidP="00B85695">
            <w:pPr>
              <w:jc w:val="center"/>
              <w:rPr>
                <w:rFonts w:ascii="Times New Roman" w:eastAsia="Times New Roman" w:hAnsi="Times New Roman" w:cs="Times New Roman"/>
                <w:b/>
                <w:sz w:val="28"/>
                <w:szCs w:val="28"/>
                <w:lang w:eastAsia="lv-LV"/>
              </w:rPr>
            </w:pPr>
            <w:r w:rsidRPr="00633048">
              <w:rPr>
                <w:rFonts w:ascii="Times New Roman" w:eastAsia="Times New Roman" w:hAnsi="Times New Roman" w:cs="Times New Roman"/>
                <w:b/>
                <w:bCs/>
                <w:sz w:val="28"/>
                <w:szCs w:val="28"/>
                <w:lang w:eastAsia="lv-LV"/>
              </w:rPr>
              <w:t>Tiesību akta projekta anotācijas kopsavilkums</w:t>
            </w:r>
          </w:p>
        </w:tc>
      </w:tr>
      <w:tr w:rsidR="006E509F" w:rsidRPr="00633048" w14:paraId="72AA376C" w14:textId="77777777" w:rsidTr="002F5134">
        <w:tc>
          <w:tcPr>
            <w:tcW w:w="1696" w:type="dxa"/>
          </w:tcPr>
          <w:p w14:paraId="63B3FC98" w14:textId="5ECE40DE" w:rsidR="006E509F" w:rsidRPr="00633048" w:rsidRDefault="006E509F" w:rsidP="008A1746">
            <w:pP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Mērķis, risinājums un projekta spēkā stāšanās laiks (500 zīmes bez atstarpēm)</w:t>
            </w:r>
          </w:p>
        </w:tc>
        <w:tc>
          <w:tcPr>
            <w:tcW w:w="7365" w:type="dxa"/>
          </w:tcPr>
          <w:p w14:paraId="53A7D4B5" w14:textId="26FE6EC3" w:rsidR="00B30E13" w:rsidRPr="00633048" w:rsidRDefault="00B30E13" w:rsidP="00B30E13">
            <w:pPr>
              <w:pStyle w:val="ListParagraph"/>
              <w:autoSpaceDE w:val="0"/>
              <w:autoSpaceDN w:val="0"/>
              <w:adjustRightInd w:val="0"/>
              <w:ind w:left="0"/>
              <w:contextualSpacing w:val="0"/>
              <w:jc w:val="both"/>
              <w:rPr>
                <w:rFonts w:ascii="Times New Roman" w:hAnsi="Times New Roman" w:cs="Times New Roman"/>
                <w:sz w:val="28"/>
                <w:szCs w:val="28"/>
              </w:rPr>
            </w:pPr>
            <w:r w:rsidRPr="00633048">
              <w:rPr>
                <w:rFonts w:ascii="Times New Roman" w:hAnsi="Times New Roman" w:cs="Times New Roman"/>
                <w:sz w:val="28"/>
                <w:szCs w:val="28"/>
              </w:rPr>
              <w:t>Atkritumu apsaimniekošanas likuma 6. panta 1.</w:t>
            </w:r>
            <w:r w:rsidRPr="00633048">
              <w:rPr>
                <w:rFonts w:ascii="Times New Roman" w:hAnsi="Times New Roman" w:cs="Times New Roman"/>
                <w:sz w:val="28"/>
                <w:szCs w:val="28"/>
                <w:vertAlign w:val="superscript"/>
              </w:rPr>
              <w:t>1 </w:t>
            </w:r>
            <w:r w:rsidRPr="00633048">
              <w:rPr>
                <w:rFonts w:ascii="Times New Roman" w:hAnsi="Times New Roman" w:cs="Times New Roman"/>
                <w:sz w:val="28"/>
                <w:szCs w:val="28"/>
              </w:rPr>
              <w:t>punkts paredz, ka Ministru kabinets nosaka kārtību, kādā piemērojami kritēriji atkritumu statusa piemērošanas izbeigšanai.</w:t>
            </w:r>
          </w:p>
          <w:p w14:paraId="68980A2E" w14:textId="77777777" w:rsidR="00B30E13" w:rsidRPr="00633048" w:rsidRDefault="00B30E13" w:rsidP="00B30E13">
            <w:pPr>
              <w:jc w:val="both"/>
              <w:rPr>
                <w:rFonts w:ascii="Times New Roman" w:hAnsi="Times New Roman" w:cs="Times New Roman"/>
                <w:sz w:val="28"/>
                <w:szCs w:val="28"/>
              </w:rPr>
            </w:pPr>
          </w:p>
          <w:p w14:paraId="0AEE4A6F" w14:textId="1224D948" w:rsidR="006E509F" w:rsidRPr="00633048" w:rsidRDefault="00B30E13" w:rsidP="00633048">
            <w:pPr>
              <w:jc w:val="both"/>
              <w:rPr>
                <w:sz w:val="28"/>
                <w:szCs w:val="28"/>
              </w:rPr>
            </w:pPr>
            <w:r w:rsidRPr="00633048">
              <w:rPr>
                <w:rFonts w:ascii="Times New Roman" w:hAnsi="Times New Roman" w:cs="Times New Roman"/>
                <w:sz w:val="28"/>
                <w:szCs w:val="28"/>
              </w:rPr>
              <w:t xml:space="preserve">Noteikumu projekts attiecas uz </w:t>
            </w:r>
            <w:r w:rsidR="00633048" w:rsidRPr="00633048">
              <w:rPr>
                <w:rFonts w:ascii="Times New Roman" w:hAnsi="Times New Roman" w:cs="Times New Roman"/>
                <w:sz w:val="28"/>
                <w:szCs w:val="28"/>
              </w:rPr>
              <w:t>koksnes šķeldu</w:t>
            </w:r>
            <w:r w:rsidRPr="00633048">
              <w:rPr>
                <w:rFonts w:ascii="Times New Roman" w:hAnsi="Times New Roman" w:cs="Times New Roman"/>
                <w:sz w:val="28"/>
                <w:szCs w:val="28"/>
              </w:rPr>
              <w:t xml:space="preserve">, kas </w:t>
            </w:r>
            <w:r w:rsidR="00633048" w:rsidRPr="00633048">
              <w:rPr>
                <w:rFonts w:ascii="Times New Roman" w:hAnsi="Times New Roman" w:cs="Times New Roman"/>
                <w:sz w:val="28"/>
                <w:szCs w:val="28"/>
              </w:rPr>
              <w:t>pārstrādes rezultātā tiek iegūta</w:t>
            </w:r>
            <w:r w:rsidRPr="00633048">
              <w:rPr>
                <w:rFonts w:ascii="Times New Roman" w:hAnsi="Times New Roman" w:cs="Times New Roman"/>
                <w:sz w:val="28"/>
                <w:szCs w:val="28"/>
              </w:rPr>
              <w:t xml:space="preserve"> no </w:t>
            </w:r>
            <w:r w:rsidR="00633048" w:rsidRPr="00633048">
              <w:rPr>
                <w:rFonts w:ascii="Times New Roman" w:hAnsi="Times New Roman" w:cs="Times New Roman"/>
                <w:sz w:val="28"/>
                <w:szCs w:val="28"/>
              </w:rPr>
              <w:t>koksnes iepakojuma</w:t>
            </w:r>
            <w:r w:rsidR="00823D71">
              <w:rPr>
                <w:rFonts w:ascii="Times New Roman" w:hAnsi="Times New Roman" w:cs="Times New Roman"/>
                <w:sz w:val="28"/>
                <w:szCs w:val="28"/>
              </w:rPr>
              <w:t xml:space="preserve"> atkritumiem</w:t>
            </w:r>
            <w:r w:rsidRPr="00633048">
              <w:rPr>
                <w:rFonts w:ascii="Times New Roman" w:hAnsi="Times New Roman" w:cs="Times New Roman"/>
                <w:sz w:val="28"/>
                <w:szCs w:val="28"/>
              </w:rPr>
              <w:t xml:space="preserve">. Noteikumu projektā tiek paredzēts, ka </w:t>
            </w:r>
            <w:r w:rsidR="00633048" w:rsidRPr="00633048">
              <w:rPr>
                <w:rFonts w:ascii="Times New Roman" w:hAnsi="Times New Roman" w:cs="Times New Roman"/>
                <w:sz w:val="28"/>
                <w:szCs w:val="28"/>
              </w:rPr>
              <w:t>koksnes iepakojuma</w:t>
            </w:r>
            <w:r w:rsidR="00823D71">
              <w:rPr>
                <w:rFonts w:ascii="Times New Roman" w:hAnsi="Times New Roman" w:cs="Times New Roman"/>
                <w:sz w:val="28"/>
                <w:szCs w:val="28"/>
              </w:rPr>
              <w:t xml:space="preserve"> atkritumu</w:t>
            </w:r>
            <w:r w:rsidRPr="00633048">
              <w:rPr>
                <w:rFonts w:ascii="Times New Roman" w:hAnsi="Times New Roman" w:cs="Times New Roman"/>
                <w:sz w:val="28"/>
                <w:szCs w:val="28"/>
              </w:rPr>
              <w:t xml:space="preserve"> pārstrādes veicējs izveido kvalitātes pārvaldības sistēmu, </w:t>
            </w:r>
            <w:r w:rsidR="00633048" w:rsidRPr="00633048">
              <w:rPr>
                <w:rFonts w:ascii="Times New Roman" w:hAnsi="Times New Roman" w:cs="Times New Roman"/>
                <w:sz w:val="28"/>
                <w:szCs w:val="28"/>
              </w:rPr>
              <w:t>kurā noteikti šķeldai piemērojamie kritēriji atkritumu statusa piemērošanas izbeigšanai.</w:t>
            </w:r>
          </w:p>
        </w:tc>
      </w:tr>
    </w:tbl>
    <w:p w14:paraId="785FA129" w14:textId="77777777" w:rsidR="00963F5B" w:rsidRPr="00633048" w:rsidRDefault="00963F5B" w:rsidP="008A174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8"/>
        <w:gridCol w:w="2070"/>
        <w:gridCol w:w="6727"/>
      </w:tblGrid>
      <w:tr w:rsidR="004316BB" w:rsidRPr="00633048" w14:paraId="09099141" w14:textId="77777777" w:rsidTr="00E87CB6">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730EBE" w14:textId="77777777" w:rsidR="004316BB" w:rsidRPr="00633048" w:rsidRDefault="004316BB" w:rsidP="00E87CB6">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33048">
              <w:rPr>
                <w:rFonts w:ascii="Times New Roman" w:eastAsia="Times New Roman" w:hAnsi="Times New Roman" w:cs="Times New Roman"/>
                <w:b/>
                <w:bCs/>
                <w:sz w:val="28"/>
                <w:szCs w:val="28"/>
                <w:lang w:eastAsia="lv-LV"/>
              </w:rPr>
              <w:t>I. Tiesību akta projekta izstrādes nepieciešamība</w:t>
            </w:r>
          </w:p>
        </w:tc>
      </w:tr>
      <w:tr w:rsidR="004316BB" w:rsidRPr="00633048" w14:paraId="0791EA6C" w14:textId="77777777" w:rsidTr="004316BB">
        <w:trPr>
          <w:trHeight w:val="324"/>
        </w:trPr>
        <w:tc>
          <w:tcPr>
            <w:tcW w:w="138" w:type="pct"/>
            <w:tcBorders>
              <w:top w:val="outset" w:sz="6" w:space="0" w:color="414142"/>
              <w:left w:val="outset" w:sz="6" w:space="0" w:color="414142"/>
              <w:bottom w:val="outset" w:sz="6" w:space="0" w:color="414142"/>
              <w:right w:val="outset" w:sz="6" w:space="0" w:color="414142"/>
            </w:tcBorders>
            <w:hideMark/>
          </w:tcPr>
          <w:p w14:paraId="4F161266" w14:textId="77777777" w:rsidR="004316BB" w:rsidRPr="00633048" w:rsidRDefault="004316BB" w:rsidP="00E87CB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1.</w:t>
            </w:r>
          </w:p>
        </w:tc>
        <w:tc>
          <w:tcPr>
            <w:tcW w:w="767" w:type="pct"/>
            <w:tcBorders>
              <w:top w:val="outset" w:sz="6" w:space="0" w:color="414142"/>
              <w:left w:val="outset" w:sz="6" w:space="0" w:color="414142"/>
              <w:bottom w:val="outset" w:sz="6" w:space="0" w:color="414142"/>
              <w:right w:val="outset" w:sz="6" w:space="0" w:color="414142"/>
            </w:tcBorders>
            <w:hideMark/>
          </w:tcPr>
          <w:p w14:paraId="1CCCBE34" w14:textId="77777777" w:rsidR="004316BB" w:rsidRPr="00633048" w:rsidRDefault="004316BB"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Pamatojums</w:t>
            </w:r>
          </w:p>
        </w:tc>
        <w:tc>
          <w:tcPr>
            <w:tcW w:w="4095" w:type="pct"/>
            <w:tcBorders>
              <w:top w:val="outset" w:sz="6" w:space="0" w:color="414142"/>
              <w:left w:val="outset" w:sz="6" w:space="0" w:color="414142"/>
              <w:bottom w:val="outset" w:sz="6" w:space="0" w:color="414142"/>
              <w:right w:val="outset" w:sz="6" w:space="0" w:color="414142"/>
            </w:tcBorders>
            <w:hideMark/>
          </w:tcPr>
          <w:p w14:paraId="75A9A0FC" w14:textId="31C35B36" w:rsidR="004316BB" w:rsidRPr="00633048" w:rsidRDefault="00B30E13" w:rsidP="00C45426">
            <w:pPr>
              <w:spacing w:after="0" w:line="240" w:lineRule="auto"/>
              <w:jc w:val="both"/>
              <w:rPr>
                <w:rFonts w:ascii="Times New Roman" w:eastAsia="Times New Roman" w:hAnsi="Times New Roman" w:cs="Times New Roman"/>
                <w:sz w:val="28"/>
                <w:szCs w:val="28"/>
                <w:lang w:eastAsia="lv-LV"/>
              </w:rPr>
            </w:pPr>
            <w:r w:rsidRPr="00633048">
              <w:rPr>
                <w:rFonts w:ascii="Times New Roman" w:hAnsi="Times New Roman" w:cs="Times New Roman"/>
                <w:sz w:val="28"/>
                <w:szCs w:val="28"/>
              </w:rPr>
              <w:t xml:space="preserve">Atkritumu apsaimniekošanas likuma (turpmāk – AAL) </w:t>
            </w:r>
            <w:r w:rsidR="00E52D06" w:rsidRPr="00633048">
              <w:rPr>
                <w:rFonts w:ascii="Times New Roman" w:eastAsia="Times New Roman" w:hAnsi="Times New Roman" w:cs="Times New Roman"/>
                <w:sz w:val="28"/>
                <w:szCs w:val="28"/>
                <w:lang w:eastAsia="lv-LV"/>
              </w:rPr>
              <w:t xml:space="preserve"> </w:t>
            </w:r>
            <w:r w:rsidR="004316BB" w:rsidRPr="00633048">
              <w:rPr>
                <w:rFonts w:ascii="Times New Roman" w:eastAsia="Times New Roman" w:hAnsi="Times New Roman" w:cs="Times New Roman"/>
                <w:sz w:val="28"/>
                <w:szCs w:val="28"/>
                <w:lang w:eastAsia="lv-LV"/>
              </w:rPr>
              <w:t>6.</w:t>
            </w:r>
            <w:r w:rsidR="00C73EEE" w:rsidRPr="00633048">
              <w:rPr>
                <w:rFonts w:ascii="Times New Roman" w:eastAsia="Times New Roman" w:hAnsi="Times New Roman" w:cs="Times New Roman"/>
                <w:sz w:val="28"/>
                <w:szCs w:val="28"/>
                <w:lang w:eastAsia="lv-LV"/>
              </w:rPr>
              <w:t> </w:t>
            </w:r>
            <w:r w:rsidR="004316BB" w:rsidRPr="00633048">
              <w:rPr>
                <w:rFonts w:ascii="Times New Roman" w:eastAsia="Times New Roman" w:hAnsi="Times New Roman" w:cs="Times New Roman"/>
                <w:sz w:val="28"/>
                <w:szCs w:val="28"/>
                <w:lang w:eastAsia="lv-LV"/>
              </w:rPr>
              <w:t>panta 1</w:t>
            </w:r>
            <w:r w:rsidR="004316BB" w:rsidRPr="00633048">
              <w:rPr>
                <w:rFonts w:ascii="Times New Roman" w:eastAsia="Times New Roman" w:hAnsi="Times New Roman" w:cs="Times New Roman"/>
                <w:sz w:val="28"/>
                <w:szCs w:val="28"/>
                <w:vertAlign w:val="superscript"/>
                <w:lang w:eastAsia="lv-LV"/>
              </w:rPr>
              <w:t>1</w:t>
            </w:r>
            <w:r w:rsidR="004316BB" w:rsidRPr="00633048">
              <w:rPr>
                <w:rFonts w:ascii="Times New Roman" w:eastAsia="Times New Roman" w:hAnsi="Times New Roman" w:cs="Times New Roman"/>
                <w:sz w:val="28"/>
                <w:szCs w:val="28"/>
                <w:lang w:eastAsia="lv-LV"/>
              </w:rPr>
              <w:t>.</w:t>
            </w:r>
            <w:r w:rsidR="002B7251" w:rsidRPr="00633048">
              <w:rPr>
                <w:rFonts w:ascii="Times New Roman" w:eastAsia="Times New Roman" w:hAnsi="Times New Roman" w:cs="Times New Roman"/>
                <w:sz w:val="28"/>
                <w:szCs w:val="28"/>
                <w:lang w:eastAsia="lv-LV"/>
              </w:rPr>
              <w:t> </w:t>
            </w:r>
            <w:r w:rsidR="004316BB" w:rsidRPr="00633048">
              <w:rPr>
                <w:rFonts w:ascii="Times New Roman" w:eastAsia="Times New Roman" w:hAnsi="Times New Roman" w:cs="Times New Roman"/>
                <w:sz w:val="28"/>
                <w:szCs w:val="28"/>
                <w:lang w:eastAsia="lv-LV"/>
              </w:rPr>
              <w:t>punkts</w:t>
            </w:r>
            <w:r w:rsidR="00C73EEE" w:rsidRPr="00633048">
              <w:rPr>
                <w:rFonts w:ascii="Times New Roman" w:eastAsia="Times New Roman" w:hAnsi="Times New Roman" w:cs="Times New Roman"/>
                <w:sz w:val="28"/>
                <w:szCs w:val="28"/>
                <w:lang w:eastAsia="lv-LV"/>
              </w:rPr>
              <w:t>.</w:t>
            </w:r>
          </w:p>
        </w:tc>
      </w:tr>
      <w:tr w:rsidR="004316BB" w:rsidRPr="00633048" w14:paraId="02B094EF" w14:textId="77777777" w:rsidTr="004316BB">
        <w:trPr>
          <w:trHeight w:val="372"/>
        </w:trPr>
        <w:tc>
          <w:tcPr>
            <w:tcW w:w="138" w:type="pct"/>
            <w:tcBorders>
              <w:top w:val="outset" w:sz="6" w:space="0" w:color="414142"/>
              <w:left w:val="outset" w:sz="6" w:space="0" w:color="414142"/>
              <w:bottom w:val="outset" w:sz="6" w:space="0" w:color="414142"/>
              <w:right w:val="outset" w:sz="6" w:space="0" w:color="414142"/>
            </w:tcBorders>
            <w:hideMark/>
          </w:tcPr>
          <w:p w14:paraId="03DAE2EA" w14:textId="77777777" w:rsidR="004316BB" w:rsidRPr="00633048" w:rsidRDefault="004316BB" w:rsidP="00E87CB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2.</w:t>
            </w:r>
          </w:p>
        </w:tc>
        <w:tc>
          <w:tcPr>
            <w:tcW w:w="767" w:type="pct"/>
            <w:tcBorders>
              <w:top w:val="outset" w:sz="6" w:space="0" w:color="414142"/>
              <w:left w:val="outset" w:sz="6" w:space="0" w:color="414142"/>
              <w:bottom w:val="outset" w:sz="6" w:space="0" w:color="414142"/>
              <w:right w:val="outset" w:sz="6" w:space="0" w:color="414142"/>
            </w:tcBorders>
            <w:hideMark/>
          </w:tcPr>
          <w:p w14:paraId="7F3FEEE4" w14:textId="77777777" w:rsidR="004316BB" w:rsidRPr="00633048" w:rsidRDefault="004316BB"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52BC9065" w14:textId="77777777" w:rsidR="004316BB" w:rsidRPr="00633048" w:rsidRDefault="004316BB" w:rsidP="00E87CB6">
            <w:pPr>
              <w:rPr>
                <w:rFonts w:ascii="Times New Roman" w:eastAsia="Times New Roman" w:hAnsi="Times New Roman" w:cs="Times New Roman"/>
                <w:sz w:val="28"/>
                <w:szCs w:val="28"/>
                <w:lang w:eastAsia="lv-LV"/>
              </w:rPr>
            </w:pPr>
          </w:p>
          <w:p w14:paraId="26FC5E5D" w14:textId="77777777" w:rsidR="004316BB" w:rsidRPr="00633048" w:rsidRDefault="004316BB" w:rsidP="00E87CB6">
            <w:pPr>
              <w:rPr>
                <w:rFonts w:ascii="Times New Roman" w:eastAsia="Times New Roman" w:hAnsi="Times New Roman" w:cs="Times New Roman"/>
                <w:sz w:val="28"/>
                <w:szCs w:val="28"/>
                <w:lang w:eastAsia="lv-LV"/>
              </w:rPr>
            </w:pPr>
          </w:p>
          <w:p w14:paraId="3ABCF04D" w14:textId="77777777" w:rsidR="004316BB" w:rsidRPr="00633048" w:rsidRDefault="004316BB" w:rsidP="00E87CB6">
            <w:pPr>
              <w:rPr>
                <w:rFonts w:ascii="Times New Roman" w:eastAsia="Times New Roman" w:hAnsi="Times New Roman" w:cs="Times New Roman"/>
                <w:sz w:val="28"/>
                <w:szCs w:val="28"/>
                <w:lang w:eastAsia="lv-LV"/>
              </w:rPr>
            </w:pPr>
          </w:p>
          <w:p w14:paraId="7D5B7DA1" w14:textId="77777777" w:rsidR="004316BB" w:rsidRPr="00633048" w:rsidRDefault="004316BB" w:rsidP="00E87CB6">
            <w:pPr>
              <w:rPr>
                <w:rFonts w:ascii="Times New Roman" w:eastAsia="Times New Roman" w:hAnsi="Times New Roman" w:cs="Times New Roman"/>
                <w:sz w:val="28"/>
                <w:szCs w:val="28"/>
                <w:lang w:eastAsia="lv-LV"/>
              </w:rPr>
            </w:pPr>
          </w:p>
          <w:p w14:paraId="39EF8A84" w14:textId="77777777" w:rsidR="004316BB" w:rsidRPr="00633048" w:rsidRDefault="004316BB" w:rsidP="00E87CB6">
            <w:pPr>
              <w:rPr>
                <w:rFonts w:ascii="Times New Roman" w:eastAsia="Times New Roman" w:hAnsi="Times New Roman" w:cs="Times New Roman"/>
                <w:sz w:val="28"/>
                <w:szCs w:val="28"/>
                <w:lang w:eastAsia="lv-LV"/>
              </w:rPr>
            </w:pPr>
          </w:p>
          <w:p w14:paraId="35A1BBB3" w14:textId="77777777" w:rsidR="004316BB" w:rsidRPr="00633048" w:rsidRDefault="004316BB" w:rsidP="00E87CB6">
            <w:pPr>
              <w:rPr>
                <w:rFonts w:ascii="Times New Roman" w:eastAsia="Times New Roman" w:hAnsi="Times New Roman" w:cs="Times New Roman"/>
                <w:sz w:val="28"/>
                <w:szCs w:val="28"/>
                <w:lang w:eastAsia="lv-LV"/>
              </w:rPr>
            </w:pPr>
          </w:p>
          <w:p w14:paraId="18AAA263" w14:textId="77777777" w:rsidR="004316BB" w:rsidRPr="00633048" w:rsidRDefault="004316BB" w:rsidP="00E87CB6">
            <w:pPr>
              <w:rPr>
                <w:rFonts w:ascii="Times New Roman" w:eastAsia="Times New Roman" w:hAnsi="Times New Roman" w:cs="Times New Roman"/>
                <w:sz w:val="28"/>
                <w:szCs w:val="28"/>
                <w:lang w:eastAsia="lv-LV"/>
              </w:rPr>
            </w:pPr>
          </w:p>
          <w:p w14:paraId="65247A11" w14:textId="77777777" w:rsidR="004316BB" w:rsidRPr="00633048" w:rsidRDefault="004316BB" w:rsidP="00E87CB6">
            <w:pPr>
              <w:rPr>
                <w:rFonts w:ascii="Times New Roman" w:eastAsia="Times New Roman" w:hAnsi="Times New Roman" w:cs="Times New Roman"/>
                <w:sz w:val="28"/>
                <w:szCs w:val="28"/>
                <w:lang w:eastAsia="lv-LV"/>
              </w:rPr>
            </w:pPr>
          </w:p>
          <w:p w14:paraId="436BD0AB" w14:textId="77777777" w:rsidR="004316BB" w:rsidRPr="00633048" w:rsidRDefault="004316BB" w:rsidP="00E87CB6">
            <w:pPr>
              <w:rPr>
                <w:rFonts w:ascii="Times New Roman" w:eastAsia="Times New Roman" w:hAnsi="Times New Roman" w:cs="Times New Roman"/>
                <w:sz w:val="28"/>
                <w:szCs w:val="28"/>
                <w:lang w:eastAsia="lv-LV"/>
              </w:rPr>
            </w:pPr>
          </w:p>
          <w:p w14:paraId="1A30F894" w14:textId="77777777" w:rsidR="004316BB" w:rsidRPr="00633048" w:rsidRDefault="004316BB" w:rsidP="00EB44F4">
            <w:pPr>
              <w:jc w:val="right"/>
              <w:rPr>
                <w:rFonts w:ascii="Times New Roman" w:eastAsia="Times New Roman" w:hAnsi="Times New Roman" w:cs="Times New Roman"/>
                <w:sz w:val="28"/>
                <w:szCs w:val="28"/>
                <w:lang w:eastAsia="lv-LV"/>
              </w:rPr>
            </w:pPr>
          </w:p>
          <w:p w14:paraId="63BD120A" w14:textId="77777777" w:rsidR="004316BB" w:rsidRPr="00633048" w:rsidRDefault="004316BB" w:rsidP="00E87CB6">
            <w:pPr>
              <w:rPr>
                <w:rFonts w:ascii="Times New Roman" w:eastAsia="Times New Roman" w:hAnsi="Times New Roman" w:cs="Times New Roman"/>
                <w:sz w:val="28"/>
                <w:szCs w:val="28"/>
                <w:lang w:eastAsia="lv-LV"/>
              </w:rPr>
            </w:pPr>
          </w:p>
          <w:p w14:paraId="676A0663" w14:textId="77777777" w:rsidR="004316BB" w:rsidRPr="00633048" w:rsidRDefault="004316BB" w:rsidP="00E87CB6">
            <w:pPr>
              <w:rPr>
                <w:rFonts w:ascii="Times New Roman" w:eastAsia="Times New Roman" w:hAnsi="Times New Roman" w:cs="Times New Roman"/>
                <w:sz w:val="28"/>
                <w:szCs w:val="28"/>
                <w:lang w:eastAsia="lv-LV"/>
              </w:rPr>
            </w:pPr>
          </w:p>
          <w:p w14:paraId="6983EE5C" w14:textId="77777777" w:rsidR="004316BB" w:rsidRPr="00633048" w:rsidRDefault="004316BB" w:rsidP="00E87CB6">
            <w:pPr>
              <w:rPr>
                <w:rFonts w:ascii="Times New Roman" w:eastAsia="Times New Roman" w:hAnsi="Times New Roman" w:cs="Times New Roman"/>
                <w:sz w:val="28"/>
                <w:szCs w:val="28"/>
                <w:lang w:eastAsia="lv-LV"/>
              </w:rPr>
            </w:pPr>
          </w:p>
          <w:p w14:paraId="055C3CEE" w14:textId="77777777" w:rsidR="004316BB" w:rsidRPr="00633048" w:rsidRDefault="004316BB" w:rsidP="00E87CB6">
            <w:pPr>
              <w:rPr>
                <w:rFonts w:ascii="Times New Roman" w:eastAsia="Times New Roman" w:hAnsi="Times New Roman" w:cs="Times New Roman"/>
                <w:sz w:val="28"/>
                <w:szCs w:val="28"/>
                <w:lang w:eastAsia="lv-LV"/>
              </w:rPr>
            </w:pPr>
          </w:p>
          <w:p w14:paraId="3E9A3374" w14:textId="77777777" w:rsidR="004316BB" w:rsidRPr="00633048" w:rsidRDefault="004316BB" w:rsidP="00E87CB6">
            <w:pPr>
              <w:rPr>
                <w:rFonts w:ascii="Times New Roman" w:eastAsia="Times New Roman" w:hAnsi="Times New Roman" w:cs="Times New Roman"/>
                <w:sz w:val="28"/>
                <w:szCs w:val="28"/>
                <w:lang w:eastAsia="lv-LV"/>
              </w:rPr>
            </w:pPr>
          </w:p>
          <w:p w14:paraId="3CB4BD6F" w14:textId="77777777" w:rsidR="004316BB" w:rsidRPr="00633048" w:rsidRDefault="004316BB" w:rsidP="00E87CB6">
            <w:pPr>
              <w:jc w:val="right"/>
              <w:rPr>
                <w:rFonts w:ascii="Times New Roman" w:eastAsia="Times New Roman" w:hAnsi="Times New Roman" w:cs="Times New Roman"/>
                <w:sz w:val="28"/>
                <w:szCs w:val="28"/>
                <w:lang w:eastAsia="lv-LV"/>
              </w:rPr>
            </w:pPr>
          </w:p>
        </w:tc>
        <w:tc>
          <w:tcPr>
            <w:tcW w:w="4095" w:type="pct"/>
            <w:tcBorders>
              <w:top w:val="outset" w:sz="6" w:space="0" w:color="414142"/>
              <w:left w:val="outset" w:sz="6" w:space="0" w:color="414142"/>
              <w:bottom w:val="outset" w:sz="6" w:space="0" w:color="414142"/>
              <w:right w:val="outset" w:sz="6" w:space="0" w:color="414142"/>
            </w:tcBorders>
            <w:hideMark/>
          </w:tcPr>
          <w:p w14:paraId="6690543E" w14:textId="77777777" w:rsidR="00AA491F" w:rsidRDefault="00AA491F" w:rsidP="009E1994">
            <w:pPr>
              <w:pStyle w:val="ListParagraph"/>
              <w:autoSpaceDE w:val="0"/>
              <w:autoSpaceDN w:val="0"/>
              <w:adjustRightInd w:val="0"/>
              <w:spacing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Lai mazinātu poligonos apglabājamo atkritumu apjomu, veicinātu atjaunojamo energoresursu izmantošanu, stimulētu biomasas kurināmā iegūšanu no koksnes iepakojuma atkritumiem, kā arī veicinātu Eiropas Savienības noteikto atkritumu pārstrādes un reģenerācijas mērķu sasniegšanu Latvijā, nepieciešams noteikt kārtību un kritērijus atkritumu statusa piemērošanas izbeigšanai šķeldai, kas iegūta no koksnes iepakojuma atkritumiem un izmantojama kā biomasas kurināmais. Vienlaikus, lai mazinātu šķeldas sadedzināšanas kaitīgo ietekmi uz cilvēka veselību un vidi, nepieciešams noteikt kvalitātes prasības šādai šķeldai.</w:t>
            </w:r>
          </w:p>
          <w:p w14:paraId="7CD4326C" w14:textId="49FCB360" w:rsidR="004316BB" w:rsidRPr="00633048" w:rsidRDefault="00B61E89" w:rsidP="009E1994">
            <w:pPr>
              <w:pStyle w:val="ListParagraph"/>
              <w:autoSpaceDE w:val="0"/>
              <w:autoSpaceDN w:val="0"/>
              <w:adjustRightInd w:val="0"/>
              <w:spacing w:line="240" w:lineRule="auto"/>
              <w:ind w:left="0"/>
              <w:contextualSpacing w:val="0"/>
              <w:jc w:val="both"/>
              <w:rPr>
                <w:rFonts w:ascii="Times New Roman" w:hAnsi="Times New Roman" w:cs="Times New Roman"/>
                <w:sz w:val="28"/>
                <w:szCs w:val="28"/>
              </w:rPr>
            </w:pPr>
            <w:r w:rsidRPr="00633048">
              <w:rPr>
                <w:rFonts w:ascii="Times New Roman" w:hAnsi="Times New Roman" w:cs="Times New Roman"/>
                <w:sz w:val="28"/>
                <w:szCs w:val="28"/>
              </w:rPr>
              <w:t>AAL</w:t>
            </w:r>
            <w:r w:rsidR="004316BB" w:rsidRPr="00633048">
              <w:rPr>
                <w:rFonts w:ascii="Times New Roman" w:hAnsi="Times New Roman" w:cs="Times New Roman"/>
                <w:sz w:val="28"/>
                <w:szCs w:val="28"/>
              </w:rPr>
              <w:t xml:space="preserve"> 6.</w:t>
            </w:r>
            <w:r w:rsidR="00E52D06" w:rsidRPr="00633048">
              <w:rPr>
                <w:rFonts w:ascii="Times New Roman" w:hAnsi="Times New Roman" w:cs="Times New Roman"/>
                <w:sz w:val="28"/>
                <w:szCs w:val="28"/>
              </w:rPr>
              <w:t> </w:t>
            </w:r>
            <w:r w:rsidR="004316BB" w:rsidRPr="00633048">
              <w:rPr>
                <w:rFonts w:ascii="Times New Roman" w:hAnsi="Times New Roman" w:cs="Times New Roman"/>
                <w:sz w:val="28"/>
                <w:szCs w:val="28"/>
              </w:rPr>
              <w:t>panta 1.</w:t>
            </w:r>
            <w:r w:rsidR="004316BB" w:rsidRPr="00633048">
              <w:rPr>
                <w:rFonts w:ascii="Times New Roman" w:hAnsi="Times New Roman" w:cs="Times New Roman"/>
                <w:sz w:val="28"/>
                <w:szCs w:val="28"/>
                <w:vertAlign w:val="superscript"/>
              </w:rPr>
              <w:t>1</w:t>
            </w:r>
            <w:r w:rsidR="002B7251" w:rsidRPr="00633048">
              <w:rPr>
                <w:rFonts w:ascii="Times New Roman" w:hAnsi="Times New Roman" w:cs="Times New Roman"/>
                <w:sz w:val="28"/>
                <w:szCs w:val="28"/>
                <w:vertAlign w:val="superscript"/>
              </w:rPr>
              <w:t> </w:t>
            </w:r>
            <w:r w:rsidR="004316BB" w:rsidRPr="00633048">
              <w:rPr>
                <w:rFonts w:ascii="Times New Roman" w:hAnsi="Times New Roman" w:cs="Times New Roman"/>
                <w:sz w:val="28"/>
                <w:szCs w:val="28"/>
              </w:rPr>
              <w:t>punkts paredz, ka Ministru kabinets nosaka kārtību, kādā piemērojami kritēriji atkritumu statusa piemērošanas izbeigšanai.</w:t>
            </w:r>
          </w:p>
          <w:p w14:paraId="4A5D624C" w14:textId="68F6FE8D" w:rsidR="00E87CB6" w:rsidRDefault="004316BB" w:rsidP="009E1994">
            <w:pPr>
              <w:pStyle w:val="ListParagraph"/>
              <w:autoSpaceDE w:val="0"/>
              <w:autoSpaceDN w:val="0"/>
              <w:adjustRightInd w:val="0"/>
              <w:spacing w:line="240" w:lineRule="auto"/>
              <w:ind w:left="0"/>
              <w:contextualSpacing w:val="0"/>
              <w:jc w:val="both"/>
              <w:rPr>
                <w:rFonts w:ascii="Times New Roman" w:hAnsi="Times New Roman" w:cs="Times New Roman"/>
                <w:sz w:val="28"/>
                <w:szCs w:val="28"/>
              </w:rPr>
            </w:pPr>
            <w:r w:rsidRPr="00633048">
              <w:rPr>
                <w:rFonts w:ascii="Times New Roman" w:hAnsi="Times New Roman" w:cs="Times New Roman"/>
                <w:sz w:val="28"/>
                <w:szCs w:val="28"/>
              </w:rPr>
              <w:t xml:space="preserve">Pašreiz </w:t>
            </w:r>
            <w:r w:rsidR="006B1C18" w:rsidRPr="00633048">
              <w:rPr>
                <w:rFonts w:ascii="Times New Roman" w:hAnsi="Times New Roman" w:cs="Times New Roman"/>
                <w:sz w:val="28"/>
                <w:szCs w:val="28"/>
              </w:rPr>
              <w:t xml:space="preserve">vispārīgi </w:t>
            </w:r>
            <w:r w:rsidRPr="00633048">
              <w:rPr>
                <w:rFonts w:ascii="Times New Roman" w:hAnsi="Times New Roman" w:cs="Times New Roman"/>
                <w:sz w:val="28"/>
                <w:szCs w:val="28"/>
              </w:rPr>
              <w:t>kritēriji atkritumu statusa piemērošanas izbeigšanai ir noteikti Ministru kabineta 2011.</w:t>
            </w:r>
            <w:r w:rsidR="00E52D06" w:rsidRPr="00633048">
              <w:rPr>
                <w:rFonts w:ascii="Times New Roman" w:hAnsi="Times New Roman" w:cs="Times New Roman"/>
                <w:sz w:val="28"/>
                <w:szCs w:val="28"/>
              </w:rPr>
              <w:t> </w:t>
            </w:r>
            <w:r w:rsidRPr="00633048">
              <w:rPr>
                <w:rFonts w:ascii="Times New Roman" w:hAnsi="Times New Roman" w:cs="Times New Roman"/>
                <w:sz w:val="28"/>
                <w:szCs w:val="28"/>
              </w:rPr>
              <w:t>gada 19.</w:t>
            </w:r>
            <w:r w:rsidR="00E52D06" w:rsidRPr="00633048">
              <w:rPr>
                <w:rFonts w:ascii="Times New Roman" w:hAnsi="Times New Roman" w:cs="Times New Roman"/>
                <w:sz w:val="28"/>
                <w:szCs w:val="28"/>
              </w:rPr>
              <w:t> </w:t>
            </w:r>
            <w:r w:rsidRPr="00633048">
              <w:rPr>
                <w:rFonts w:ascii="Times New Roman" w:hAnsi="Times New Roman" w:cs="Times New Roman"/>
                <w:sz w:val="28"/>
                <w:szCs w:val="28"/>
              </w:rPr>
              <w:t>aprīļa noteikumos Nr.</w:t>
            </w:r>
            <w:r w:rsidR="00E52D06" w:rsidRPr="00633048">
              <w:rPr>
                <w:rFonts w:ascii="Times New Roman" w:hAnsi="Times New Roman" w:cs="Times New Roman"/>
                <w:sz w:val="28"/>
                <w:szCs w:val="28"/>
              </w:rPr>
              <w:t> </w:t>
            </w:r>
            <w:r w:rsidRPr="00633048">
              <w:rPr>
                <w:rFonts w:ascii="Times New Roman" w:hAnsi="Times New Roman" w:cs="Times New Roman"/>
                <w:sz w:val="28"/>
                <w:szCs w:val="28"/>
              </w:rPr>
              <w:t>302 “Noteikumi par atkritumu klasifikatoru un īpašībām, kuras padara atkritumus bīstamus</w:t>
            </w:r>
            <w:r w:rsidR="00B61E89" w:rsidRPr="00633048">
              <w:rPr>
                <w:rFonts w:ascii="Times New Roman" w:hAnsi="Times New Roman" w:cs="Times New Roman"/>
                <w:sz w:val="28"/>
                <w:szCs w:val="28"/>
              </w:rPr>
              <w:t xml:space="preserve">”, </w:t>
            </w:r>
            <w:r w:rsidR="00E57E0B" w:rsidRPr="00633048">
              <w:rPr>
                <w:rFonts w:ascii="Times New Roman" w:hAnsi="Times New Roman" w:cs="Times New Roman"/>
                <w:sz w:val="28"/>
                <w:szCs w:val="28"/>
              </w:rPr>
              <w:t xml:space="preserve">tomēr šajos noteikumos nav paredzēti atkritumu </w:t>
            </w:r>
            <w:r w:rsidR="00490C93" w:rsidRPr="00633048">
              <w:rPr>
                <w:rFonts w:ascii="Times New Roman" w:hAnsi="Times New Roman" w:cs="Times New Roman"/>
                <w:sz w:val="28"/>
                <w:szCs w:val="28"/>
              </w:rPr>
              <w:t xml:space="preserve">statusa </w:t>
            </w:r>
            <w:r w:rsidR="00B771E7" w:rsidRPr="00633048">
              <w:rPr>
                <w:rFonts w:ascii="Times New Roman" w:hAnsi="Times New Roman" w:cs="Times New Roman"/>
                <w:sz w:val="28"/>
                <w:szCs w:val="28"/>
              </w:rPr>
              <w:t xml:space="preserve">piemērošanas </w:t>
            </w:r>
            <w:r w:rsidR="00E57E0B" w:rsidRPr="00633048">
              <w:rPr>
                <w:rFonts w:ascii="Times New Roman" w:hAnsi="Times New Roman" w:cs="Times New Roman"/>
                <w:sz w:val="28"/>
                <w:szCs w:val="28"/>
              </w:rPr>
              <w:t xml:space="preserve">izbeigšanas kritēriji </w:t>
            </w:r>
            <w:r w:rsidR="00633048" w:rsidRPr="00633048">
              <w:rPr>
                <w:rFonts w:ascii="Times New Roman" w:hAnsi="Times New Roman" w:cs="Times New Roman"/>
                <w:sz w:val="28"/>
                <w:szCs w:val="28"/>
              </w:rPr>
              <w:t xml:space="preserve">šķeldai, kas </w:t>
            </w:r>
            <w:r w:rsidR="00633048" w:rsidRPr="00633048">
              <w:rPr>
                <w:rFonts w:ascii="Times New Roman" w:hAnsi="Times New Roman" w:cs="Times New Roman"/>
                <w:sz w:val="28"/>
                <w:szCs w:val="28"/>
              </w:rPr>
              <w:lastRenderedPageBreak/>
              <w:t>mehāniskas pārstrādes ceļā iegūta no koksnes iepakojuma</w:t>
            </w:r>
            <w:r w:rsidR="00823D71">
              <w:rPr>
                <w:rFonts w:ascii="Times New Roman" w:hAnsi="Times New Roman" w:cs="Times New Roman"/>
                <w:sz w:val="28"/>
                <w:szCs w:val="28"/>
              </w:rPr>
              <w:t xml:space="preserve"> atkritumiem</w:t>
            </w:r>
            <w:r w:rsidR="00633048" w:rsidRPr="00633048">
              <w:rPr>
                <w:rFonts w:ascii="Times New Roman" w:hAnsi="Times New Roman" w:cs="Times New Roman"/>
                <w:sz w:val="28"/>
                <w:szCs w:val="28"/>
              </w:rPr>
              <w:t>.</w:t>
            </w:r>
          </w:p>
          <w:p w14:paraId="7B17A291" w14:textId="74D2DD79" w:rsidR="0002266A" w:rsidRPr="00633048" w:rsidRDefault="0002266A" w:rsidP="009E1994">
            <w:pPr>
              <w:pStyle w:val="ListParagraph"/>
              <w:autoSpaceDE w:val="0"/>
              <w:autoSpaceDN w:val="0"/>
              <w:adjustRightInd w:val="0"/>
              <w:spacing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Ņemot vērā, ka visā pasaulē nepieciešams samazināt atkritumu rašanās un noglabāšanas apjomus, </w:t>
            </w:r>
            <w:r w:rsidR="00823D71">
              <w:rPr>
                <w:rFonts w:ascii="Times New Roman" w:hAnsi="Times New Roman" w:cs="Times New Roman"/>
                <w:sz w:val="28"/>
                <w:szCs w:val="28"/>
              </w:rPr>
              <w:t xml:space="preserve">kā arī veicināt atkritumu pārstrādi, </w:t>
            </w:r>
            <w:r>
              <w:rPr>
                <w:rFonts w:ascii="Times New Roman" w:hAnsi="Times New Roman" w:cs="Times New Roman"/>
                <w:sz w:val="28"/>
                <w:szCs w:val="28"/>
              </w:rPr>
              <w:t>atkritumu statusa piemērošanas izbeigšanas jautājums ir aktuāls arī Eiropas Savienības līmenī. Vairākās Eiropas Savienības un Eiropas Ekonomikas zonas valstīs jau ir izstrādāti un top jauni noteikumi par atkritumu statusa izbeigšanu. Tā piemēram, Francijā un Austrijā ir spēkā kritēriji būvniecības un būvju nojaukšanas atkritumu, Igaunijā – bioloģiski noārdāmo atkritumu, Īrijā nolietotu gumijas riepu atkritumu statusa izbeigšanai. Šobrīd ir spēkā arī Francijas kritēriji koksnes iepakojuma atkritumu statusa piemērošanas izbeigšanai.</w:t>
            </w:r>
          </w:p>
          <w:p w14:paraId="10BE5E01" w14:textId="58BF3D69" w:rsidR="00B30E13" w:rsidRDefault="002376B2" w:rsidP="009E1994">
            <w:pPr>
              <w:pStyle w:val="ListParagraph"/>
              <w:autoSpaceDE w:val="0"/>
              <w:autoSpaceDN w:val="0"/>
              <w:adjustRightInd w:val="0"/>
              <w:spacing w:line="240" w:lineRule="auto"/>
              <w:ind w:left="0"/>
              <w:contextualSpacing w:val="0"/>
              <w:jc w:val="both"/>
              <w:rPr>
                <w:rFonts w:ascii="Times New Roman" w:hAnsi="Times New Roman" w:cs="Times New Roman"/>
                <w:sz w:val="28"/>
                <w:szCs w:val="28"/>
              </w:rPr>
            </w:pPr>
            <w:r w:rsidRPr="00633048">
              <w:rPr>
                <w:rFonts w:ascii="Times New Roman" w:hAnsi="Times New Roman" w:cs="Times New Roman"/>
                <w:sz w:val="28"/>
                <w:szCs w:val="28"/>
              </w:rPr>
              <w:t>Ņemot vērā minēto, tiek izstrādāts noteikumu projekts</w:t>
            </w:r>
            <w:r w:rsidR="00B30E13" w:rsidRPr="00633048">
              <w:rPr>
                <w:rFonts w:ascii="Times New Roman" w:hAnsi="Times New Roman" w:cs="Times New Roman"/>
                <w:sz w:val="28"/>
                <w:szCs w:val="28"/>
              </w:rPr>
              <w:t xml:space="preserve"> “Kārtība atkritumu statusa piemērošanas izbeigšanai </w:t>
            </w:r>
            <w:r w:rsidR="00633048" w:rsidRPr="00633048">
              <w:rPr>
                <w:rFonts w:ascii="Times New Roman" w:hAnsi="Times New Roman" w:cs="Times New Roman"/>
                <w:sz w:val="28"/>
                <w:szCs w:val="28"/>
              </w:rPr>
              <w:t>koksnes šķeldas materiāliem, kas iegūti no nolietota koksnes iepakojuma</w:t>
            </w:r>
            <w:r w:rsidR="00823D71">
              <w:rPr>
                <w:rFonts w:ascii="Times New Roman" w:hAnsi="Times New Roman" w:cs="Times New Roman"/>
                <w:sz w:val="28"/>
                <w:szCs w:val="28"/>
              </w:rPr>
              <w:t xml:space="preserve"> atkritumiem</w:t>
            </w:r>
            <w:r w:rsidR="00B30E13" w:rsidRPr="00633048">
              <w:rPr>
                <w:rFonts w:ascii="Times New Roman" w:hAnsi="Times New Roman" w:cs="Times New Roman"/>
                <w:sz w:val="28"/>
                <w:szCs w:val="28"/>
              </w:rPr>
              <w:t>” (turpmāk – noteikumu projekts)</w:t>
            </w:r>
            <w:r w:rsidR="002B7251" w:rsidRPr="00633048">
              <w:rPr>
                <w:rFonts w:ascii="Times New Roman" w:hAnsi="Times New Roman" w:cs="Times New Roman"/>
                <w:sz w:val="28"/>
                <w:szCs w:val="28"/>
              </w:rPr>
              <w:t>,</w:t>
            </w:r>
            <w:r w:rsidRPr="00633048">
              <w:rPr>
                <w:rFonts w:ascii="Times New Roman" w:hAnsi="Times New Roman" w:cs="Times New Roman"/>
                <w:sz w:val="28"/>
                <w:szCs w:val="28"/>
              </w:rPr>
              <w:t xml:space="preserve"> nosakot kārtību, kādā tiek piemērota atkritumu statusa izbeigšana </w:t>
            </w:r>
            <w:r w:rsidR="00633048" w:rsidRPr="00633048">
              <w:rPr>
                <w:rFonts w:ascii="Times New Roman" w:hAnsi="Times New Roman" w:cs="Times New Roman"/>
                <w:sz w:val="28"/>
                <w:szCs w:val="28"/>
              </w:rPr>
              <w:t xml:space="preserve">koksnes šķeldas materiāliem, </w:t>
            </w:r>
            <w:r w:rsidR="00B771E7" w:rsidRPr="00633048">
              <w:rPr>
                <w:rFonts w:ascii="Times New Roman" w:hAnsi="Times New Roman" w:cs="Times New Roman"/>
                <w:sz w:val="28"/>
                <w:szCs w:val="28"/>
              </w:rPr>
              <w:t xml:space="preserve">kas </w:t>
            </w:r>
            <w:r w:rsidRPr="00633048">
              <w:rPr>
                <w:rFonts w:ascii="Times New Roman" w:hAnsi="Times New Roman" w:cs="Times New Roman"/>
                <w:sz w:val="28"/>
                <w:szCs w:val="28"/>
              </w:rPr>
              <w:t xml:space="preserve">iegūti no </w:t>
            </w:r>
            <w:r w:rsidR="00633048" w:rsidRPr="00633048">
              <w:rPr>
                <w:rFonts w:ascii="Times New Roman" w:hAnsi="Times New Roman" w:cs="Times New Roman"/>
                <w:sz w:val="28"/>
                <w:szCs w:val="28"/>
              </w:rPr>
              <w:t xml:space="preserve">koksnes iepakojuma </w:t>
            </w:r>
            <w:r w:rsidR="00823D71">
              <w:rPr>
                <w:rFonts w:ascii="Times New Roman" w:hAnsi="Times New Roman" w:cs="Times New Roman"/>
                <w:sz w:val="28"/>
                <w:szCs w:val="28"/>
              </w:rPr>
              <w:t xml:space="preserve">atkritumiem </w:t>
            </w:r>
            <w:r w:rsidR="00633048" w:rsidRPr="00633048">
              <w:rPr>
                <w:rFonts w:ascii="Times New Roman" w:hAnsi="Times New Roman" w:cs="Times New Roman"/>
                <w:sz w:val="28"/>
                <w:szCs w:val="28"/>
              </w:rPr>
              <w:t>(turpmāk – šķelda)</w:t>
            </w:r>
            <w:r w:rsidRPr="00633048">
              <w:rPr>
                <w:rFonts w:ascii="Times New Roman" w:hAnsi="Times New Roman" w:cs="Times New Roman"/>
                <w:sz w:val="28"/>
                <w:szCs w:val="28"/>
              </w:rPr>
              <w:t xml:space="preserve">. </w:t>
            </w:r>
            <w:r w:rsidR="00C84415" w:rsidRPr="00633048">
              <w:rPr>
                <w:rFonts w:ascii="Times New Roman" w:hAnsi="Times New Roman" w:cs="Times New Roman"/>
                <w:sz w:val="28"/>
                <w:szCs w:val="28"/>
              </w:rPr>
              <w:t xml:space="preserve">Noteikumu projekts attiecas uz komersantiem, kuri veic </w:t>
            </w:r>
            <w:r w:rsidR="00633048" w:rsidRPr="00633048">
              <w:rPr>
                <w:rFonts w:ascii="Times New Roman" w:hAnsi="Times New Roman" w:cs="Times New Roman"/>
                <w:sz w:val="28"/>
                <w:szCs w:val="28"/>
              </w:rPr>
              <w:t>koksnes iepakojuma</w:t>
            </w:r>
            <w:r w:rsidR="00C84415" w:rsidRPr="00633048">
              <w:rPr>
                <w:rFonts w:ascii="Times New Roman" w:hAnsi="Times New Roman" w:cs="Times New Roman"/>
                <w:sz w:val="28"/>
                <w:szCs w:val="28"/>
              </w:rPr>
              <w:t xml:space="preserve"> </w:t>
            </w:r>
            <w:r w:rsidR="00823D71">
              <w:rPr>
                <w:rFonts w:ascii="Times New Roman" w:hAnsi="Times New Roman" w:cs="Times New Roman"/>
                <w:sz w:val="28"/>
                <w:szCs w:val="28"/>
              </w:rPr>
              <w:t xml:space="preserve">atkritumu </w:t>
            </w:r>
            <w:r w:rsidR="00C84415" w:rsidRPr="00633048">
              <w:rPr>
                <w:rFonts w:ascii="Times New Roman" w:hAnsi="Times New Roman" w:cs="Times New Roman"/>
                <w:sz w:val="28"/>
                <w:szCs w:val="28"/>
              </w:rPr>
              <w:t xml:space="preserve">mehānisku pārstrādi otrreizējās izejvielās </w:t>
            </w:r>
            <w:r w:rsidR="00633048" w:rsidRPr="00633048">
              <w:rPr>
                <w:rFonts w:ascii="Times New Roman" w:hAnsi="Times New Roman" w:cs="Times New Roman"/>
                <w:sz w:val="28"/>
                <w:szCs w:val="28"/>
              </w:rPr>
              <w:t xml:space="preserve">– šķeldā </w:t>
            </w:r>
            <w:r w:rsidR="00C84415" w:rsidRPr="00633048">
              <w:rPr>
                <w:rFonts w:ascii="Times New Roman" w:hAnsi="Times New Roman" w:cs="Times New Roman"/>
                <w:sz w:val="28"/>
                <w:szCs w:val="28"/>
              </w:rPr>
              <w:t>(</w:t>
            </w:r>
            <w:r w:rsidR="00633048" w:rsidRPr="00633048">
              <w:rPr>
                <w:rFonts w:ascii="Times New Roman" w:hAnsi="Times New Roman" w:cs="Times New Roman"/>
                <w:sz w:val="28"/>
                <w:szCs w:val="28"/>
              </w:rPr>
              <w:t>koksnes iepakojuma  pārstrādes veicējiem)</w:t>
            </w:r>
            <w:r w:rsidR="007C2869">
              <w:rPr>
                <w:rFonts w:ascii="Times New Roman" w:hAnsi="Times New Roman" w:cs="Times New Roman"/>
                <w:sz w:val="28"/>
                <w:szCs w:val="28"/>
              </w:rPr>
              <w:t>, kā arī komersantiem, kas ieved</w:t>
            </w:r>
            <w:r w:rsidR="00823D71">
              <w:rPr>
                <w:rFonts w:ascii="Times New Roman" w:hAnsi="Times New Roman" w:cs="Times New Roman"/>
                <w:sz w:val="28"/>
                <w:szCs w:val="28"/>
              </w:rPr>
              <w:t xml:space="preserve"> Latvijas teritorijā šķeldu, kuru</w:t>
            </w:r>
            <w:r w:rsidR="007C2869">
              <w:rPr>
                <w:rFonts w:ascii="Times New Roman" w:hAnsi="Times New Roman" w:cs="Times New Roman"/>
                <w:sz w:val="28"/>
                <w:szCs w:val="28"/>
              </w:rPr>
              <w:t xml:space="preserve"> paredzēt</w:t>
            </w:r>
            <w:r w:rsidR="00823D71">
              <w:rPr>
                <w:rFonts w:ascii="Times New Roman" w:hAnsi="Times New Roman" w:cs="Times New Roman"/>
                <w:sz w:val="28"/>
                <w:szCs w:val="28"/>
              </w:rPr>
              <w:t>s izmantot kā biomasas kurināmo</w:t>
            </w:r>
            <w:r w:rsidR="00C84415" w:rsidRPr="00633048">
              <w:rPr>
                <w:rFonts w:ascii="Times New Roman" w:hAnsi="Times New Roman" w:cs="Times New Roman"/>
                <w:sz w:val="28"/>
                <w:szCs w:val="28"/>
              </w:rPr>
              <w:t>.</w:t>
            </w:r>
          </w:p>
          <w:p w14:paraId="7D6A00AD" w14:textId="428F4E54" w:rsidR="00A6527C" w:rsidRDefault="00A6527C" w:rsidP="00633048">
            <w:pPr>
              <w:jc w:val="both"/>
              <w:rPr>
                <w:rFonts w:ascii="Times New Roman" w:hAnsi="Times New Roman" w:cs="Times New Roman"/>
                <w:sz w:val="28"/>
                <w:szCs w:val="28"/>
              </w:rPr>
            </w:pPr>
            <w:r>
              <w:rPr>
                <w:rFonts w:ascii="Times New Roman" w:hAnsi="Times New Roman" w:cs="Times New Roman"/>
                <w:sz w:val="28"/>
                <w:szCs w:val="28"/>
              </w:rPr>
              <w:t>Noteikumu projekts neattiecas uz koksnes atkritumiem, kas radušies būvniecības procesā, t.sk. ēku nojaukšanas gadījumā un būvniecības atkritumu šķirošanas rezultātā.</w:t>
            </w:r>
          </w:p>
          <w:p w14:paraId="692CF540" w14:textId="6AB73D3D" w:rsidR="00633048" w:rsidRPr="00633048" w:rsidRDefault="002376B2" w:rsidP="00633048">
            <w:pPr>
              <w:jc w:val="both"/>
              <w:rPr>
                <w:rFonts w:ascii="Times New Roman" w:hAnsi="Times New Roman"/>
                <w:sz w:val="28"/>
                <w:szCs w:val="28"/>
              </w:rPr>
            </w:pPr>
            <w:r w:rsidRPr="00633048">
              <w:rPr>
                <w:rFonts w:ascii="Times New Roman" w:hAnsi="Times New Roman" w:cs="Times New Roman"/>
                <w:sz w:val="28"/>
                <w:szCs w:val="28"/>
              </w:rPr>
              <w:t>Noteikumu projekts ietver nosacījumus attiecībā</w:t>
            </w:r>
            <w:r w:rsidR="00B771E7" w:rsidRPr="00633048">
              <w:rPr>
                <w:rFonts w:ascii="Times New Roman" w:hAnsi="Times New Roman" w:cs="Times New Roman"/>
                <w:sz w:val="28"/>
                <w:szCs w:val="28"/>
              </w:rPr>
              <w:t xml:space="preserve"> uz </w:t>
            </w:r>
            <w:r w:rsidR="00823D71">
              <w:rPr>
                <w:rFonts w:ascii="Times New Roman" w:hAnsi="Times New Roman" w:cs="Times New Roman"/>
                <w:sz w:val="28"/>
                <w:szCs w:val="28"/>
              </w:rPr>
              <w:t>koksnes iepakojuma atkritumiem</w:t>
            </w:r>
            <w:r w:rsidR="00633048" w:rsidRPr="00633048">
              <w:rPr>
                <w:rFonts w:ascii="Times New Roman" w:hAnsi="Times New Roman" w:cs="Times New Roman"/>
                <w:sz w:val="28"/>
                <w:szCs w:val="28"/>
              </w:rPr>
              <w:t>, kas tiek izmantot</w:t>
            </w:r>
            <w:r w:rsidR="00823D71">
              <w:rPr>
                <w:rFonts w:ascii="Times New Roman" w:hAnsi="Times New Roman" w:cs="Times New Roman"/>
                <w:sz w:val="28"/>
                <w:szCs w:val="28"/>
              </w:rPr>
              <w:t>i</w:t>
            </w:r>
            <w:r w:rsidR="00B771E7" w:rsidRPr="00633048">
              <w:rPr>
                <w:rFonts w:ascii="Times New Roman" w:hAnsi="Times New Roman" w:cs="Times New Roman"/>
                <w:sz w:val="28"/>
                <w:szCs w:val="28"/>
              </w:rPr>
              <w:t xml:space="preserve"> </w:t>
            </w:r>
            <w:r w:rsidR="00633048" w:rsidRPr="00633048">
              <w:rPr>
                <w:rFonts w:ascii="Times New Roman" w:hAnsi="Times New Roman" w:cs="Times New Roman"/>
                <w:sz w:val="28"/>
                <w:szCs w:val="28"/>
              </w:rPr>
              <w:t>šķeldas</w:t>
            </w:r>
            <w:r w:rsidR="00B61E89" w:rsidRPr="00633048">
              <w:rPr>
                <w:rFonts w:ascii="Times New Roman" w:hAnsi="Times New Roman" w:cs="Times New Roman"/>
                <w:sz w:val="28"/>
                <w:szCs w:val="28"/>
              </w:rPr>
              <w:t xml:space="preserve"> iegūšanai</w:t>
            </w:r>
            <w:r w:rsidR="00B771E7" w:rsidRPr="00633048">
              <w:rPr>
                <w:rFonts w:ascii="Times New Roman" w:hAnsi="Times New Roman" w:cs="Times New Roman"/>
                <w:sz w:val="28"/>
                <w:szCs w:val="28"/>
              </w:rPr>
              <w:t xml:space="preserve">, kā arī uz </w:t>
            </w:r>
            <w:r w:rsidR="00633048" w:rsidRPr="00633048">
              <w:rPr>
                <w:rFonts w:ascii="Times New Roman" w:hAnsi="Times New Roman" w:cs="Times New Roman"/>
                <w:sz w:val="28"/>
                <w:szCs w:val="28"/>
              </w:rPr>
              <w:t xml:space="preserve">koksnes iepakojuma </w:t>
            </w:r>
            <w:r w:rsidR="00823D71">
              <w:rPr>
                <w:rFonts w:ascii="Times New Roman" w:hAnsi="Times New Roman" w:cs="Times New Roman"/>
                <w:sz w:val="28"/>
                <w:szCs w:val="28"/>
              </w:rPr>
              <w:t xml:space="preserve">atkritumu </w:t>
            </w:r>
            <w:r w:rsidR="00633048" w:rsidRPr="00633048">
              <w:rPr>
                <w:rFonts w:ascii="Times New Roman" w:hAnsi="Times New Roman" w:cs="Times New Roman"/>
                <w:sz w:val="28"/>
                <w:szCs w:val="28"/>
              </w:rPr>
              <w:t>pārstrādes</w:t>
            </w:r>
            <w:r w:rsidR="00B771E7" w:rsidRPr="00633048">
              <w:rPr>
                <w:rFonts w:ascii="Times New Roman" w:hAnsi="Times New Roman" w:cs="Times New Roman"/>
                <w:sz w:val="28"/>
                <w:szCs w:val="28"/>
              </w:rPr>
              <w:t xml:space="preserve"> procesu</w:t>
            </w:r>
            <w:r w:rsidRPr="00633048">
              <w:rPr>
                <w:rFonts w:ascii="Times New Roman" w:hAnsi="Times New Roman" w:cs="Times New Roman"/>
                <w:sz w:val="28"/>
                <w:szCs w:val="28"/>
              </w:rPr>
              <w:t xml:space="preserve"> un iegūt</w:t>
            </w:r>
            <w:r w:rsidR="00633048" w:rsidRPr="00633048">
              <w:rPr>
                <w:rFonts w:ascii="Times New Roman" w:hAnsi="Times New Roman" w:cs="Times New Roman"/>
                <w:sz w:val="28"/>
                <w:szCs w:val="28"/>
              </w:rPr>
              <w:t>o šķeldu</w:t>
            </w:r>
            <w:r w:rsidR="00B771E7" w:rsidRPr="00633048">
              <w:rPr>
                <w:rFonts w:ascii="Times New Roman" w:hAnsi="Times New Roman" w:cs="Times New Roman"/>
                <w:sz w:val="28"/>
                <w:szCs w:val="28"/>
              </w:rPr>
              <w:t xml:space="preserve">. </w:t>
            </w:r>
            <w:r w:rsidR="00633048" w:rsidRPr="00633048">
              <w:rPr>
                <w:rFonts w:ascii="Times New Roman" w:hAnsi="Times New Roman" w:cs="Times New Roman"/>
                <w:sz w:val="28"/>
                <w:szCs w:val="28"/>
              </w:rPr>
              <w:t xml:space="preserve">Koksnes iepakojums šo noteikumu izpratnē ir </w:t>
            </w:r>
            <w:r w:rsidR="00633048" w:rsidRPr="00633048">
              <w:rPr>
                <w:rFonts w:ascii="Times New Roman" w:eastAsia="Times New Roman" w:hAnsi="Times New Roman"/>
                <w:snapToGrid w:val="0"/>
                <w:sz w:val="28"/>
                <w:szCs w:val="28"/>
              </w:rPr>
              <w:t xml:space="preserve">jebkāds iepakojums, kas izgatavots no samontētiem koksnes elementiem, tai skaitā kravas koka stiprinājumi, vienkāršas krāsotas vai nekrāsotas paletes, paliktņi no koka, koka lādes, koka kastes, </w:t>
            </w:r>
            <w:r w:rsidR="00823D71">
              <w:rPr>
                <w:rFonts w:ascii="Times New Roman" w:eastAsia="Times New Roman" w:hAnsi="Times New Roman"/>
                <w:snapToGrid w:val="0"/>
                <w:sz w:val="28"/>
                <w:szCs w:val="28"/>
              </w:rPr>
              <w:t xml:space="preserve">mucas, </w:t>
            </w:r>
            <w:r w:rsidR="00633048" w:rsidRPr="00633048">
              <w:rPr>
                <w:rFonts w:ascii="Times New Roman" w:eastAsia="Times New Roman" w:hAnsi="Times New Roman"/>
                <w:snapToGrid w:val="0"/>
                <w:sz w:val="28"/>
                <w:szCs w:val="28"/>
              </w:rPr>
              <w:t>koka cilindri, koka spoles.</w:t>
            </w:r>
            <w:r w:rsidR="00633048">
              <w:rPr>
                <w:rFonts w:ascii="Times New Roman" w:eastAsia="Times New Roman" w:hAnsi="Times New Roman"/>
                <w:snapToGrid w:val="0"/>
                <w:sz w:val="28"/>
                <w:szCs w:val="28"/>
              </w:rPr>
              <w:t xml:space="preserve"> </w:t>
            </w:r>
          </w:p>
          <w:p w14:paraId="062C9BD0" w14:textId="3BFF4786" w:rsidR="00633048" w:rsidRDefault="002376B2" w:rsidP="00B30E13">
            <w:pPr>
              <w:pStyle w:val="ListParagraph"/>
              <w:autoSpaceDE w:val="0"/>
              <w:autoSpaceDN w:val="0"/>
              <w:adjustRightInd w:val="0"/>
              <w:spacing w:line="240" w:lineRule="auto"/>
              <w:ind w:left="0"/>
              <w:contextualSpacing w:val="0"/>
              <w:jc w:val="both"/>
              <w:rPr>
                <w:rFonts w:ascii="Times New Roman" w:hAnsi="Times New Roman" w:cs="Times New Roman"/>
                <w:sz w:val="28"/>
                <w:szCs w:val="28"/>
              </w:rPr>
            </w:pPr>
            <w:r w:rsidRPr="00633048">
              <w:rPr>
                <w:rFonts w:ascii="Times New Roman" w:hAnsi="Times New Roman" w:cs="Times New Roman"/>
                <w:sz w:val="28"/>
                <w:szCs w:val="28"/>
              </w:rPr>
              <w:t xml:space="preserve">Ar mērķi noteikt vienotu kārtību atkritumu statusa piemērošanas izbeigšanai </w:t>
            </w:r>
            <w:r w:rsidR="00633048">
              <w:rPr>
                <w:rFonts w:ascii="Times New Roman" w:hAnsi="Times New Roman" w:cs="Times New Roman"/>
                <w:sz w:val="28"/>
                <w:szCs w:val="28"/>
              </w:rPr>
              <w:t>šķeldai</w:t>
            </w:r>
            <w:r w:rsidRPr="00633048">
              <w:rPr>
                <w:rFonts w:ascii="Times New Roman" w:hAnsi="Times New Roman" w:cs="Times New Roman"/>
                <w:sz w:val="28"/>
                <w:szCs w:val="28"/>
              </w:rPr>
              <w:t xml:space="preserve">, noteikumu projektā </w:t>
            </w:r>
            <w:r w:rsidRPr="00633048">
              <w:rPr>
                <w:rFonts w:ascii="Times New Roman" w:hAnsi="Times New Roman" w:cs="Times New Roman"/>
                <w:sz w:val="28"/>
                <w:szCs w:val="28"/>
              </w:rPr>
              <w:lastRenderedPageBreak/>
              <w:t>ietverti kritēriji</w:t>
            </w:r>
            <w:r w:rsidR="00254B51" w:rsidRPr="00633048">
              <w:rPr>
                <w:rFonts w:ascii="Times New Roman" w:hAnsi="Times New Roman" w:cs="Times New Roman"/>
                <w:sz w:val="28"/>
                <w:szCs w:val="28"/>
              </w:rPr>
              <w:t xml:space="preserve"> (noteikumu projekta 1. pielikums)</w:t>
            </w:r>
            <w:r w:rsidRPr="00633048">
              <w:rPr>
                <w:rFonts w:ascii="Times New Roman" w:hAnsi="Times New Roman" w:cs="Times New Roman"/>
                <w:sz w:val="28"/>
                <w:szCs w:val="28"/>
              </w:rPr>
              <w:t xml:space="preserve">, </w:t>
            </w:r>
            <w:r w:rsidR="0069147F" w:rsidRPr="00633048">
              <w:rPr>
                <w:rFonts w:ascii="Times New Roman" w:hAnsi="Times New Roman" w:cs="Times New Roman"/>
                <w:sz w:val="28"/>
                <w:szCs w:val="28"/>
              </w:rPr>
              <w:t xml:space="preserve">pēc kuriem vadoties tiek noteikts, vai </w:t>
            </w:r>
            <w:r w:rsidR="00633048">
              <w:rPr>
                <w:rFonts w:ascii="Times New Roman" w:hAnsi="Times New Roman" w:cs="Times New Roman"/>
                <w:sz w:val="28"/>
                <w:szCs w:val="28"/>
              </w:rPr>
              <w:t>šķeldai</w:t>
            </w:r>
            <w:r w:rsidR="0069147F" w:rsidRPr="00633048">
              <w:rPr>
                <w:rFonts w:ascii="Times New Roman" w:hAnsi="Times New Roman" w:cs="Times New Roman"/>
                <w:sz w:val="28"/>
                <w:szCs w:val="28"/>
              </w:rPr>
              <w:t xml:space="preserve"> piemērojams otrreizējo izejvielu statuss</w:t>
            </w:r>
            <w:r w:rsidR="00633048">
              <w:rPr>
                <w:rFonts w:ascii="Times New Roman" w:hAnsi="Times New Roman" w:cs="Times New Roman"/>
                <w:sz w:val="28"/>
                <w:szCs w:val="28"/>
              </w:rPr>
              <w:t xml:space="preserve"> vai atkritumu statuss</w:t>
            </w:r>
            <w:r w:rsidR="0069147F" w:rsidRPr="00633048">
              <w:rPr>
                <w:rFonts w:ascii="Times New Roman" w:hAnsi="Times New Roman" w:cs="Times New Roman"/>
                <w:sz w:val="28"/>
                <w:szCs w:val="28"/>
              </w:rPr>
              <w:t xml:space="preserve">. </w:t>
            </w:r>
            <w:r w:rsidR="00633048">
              <w:rPr>
                <w:rFonts w:ascii="Times New Roman" w:hAnsi="Times New Roman" w:cs="Times New Roman"/>
                <w:sz w:val="28"/>
                <w:szCs w:val="28"/>
              </w:rPr>
              <w:t>Koksnes iepakojuma</w:t>
            </w:r>
            <w:r w:rsidR="00B771E7" w:rsidRPr="00633048">
              <w:rPr>
                <w:rFonts w:ascii="Times New Roman" w:hAnsi="Times New Roman" w:cs="Times New Roman"/>
                <w:sz w:val="28"/>
                <w:szCs w:val="28"/>
              </w:rPr>
              <w:t xml:space="preserve"> pārstrādes veicējam jānodrošina atbilstība visiem noteikumu projektā ietvertajiem </w:t>
            </w:r>
            <w:r w:rsidR="00633048">
              <w:rPr>
                <w:rFonts w:ascii="Times New Roman" w:hAnsi="Times New Roman" w:cs="Times New Roman"/>
                <w:sz w:val="28"/>
                <w:szCs w:val="28"/>
              </w:rPr>
              <w:t xml:space="preserve">atkritumu statusa piemērošanas izbeigšanas </w:t>
            </w:r>
            <w:r w:rsidR="00B771E7" w:rsidRPr="00633048">
              <w:rPr>
                <w:rFonts w:ascii="Times New Roman" w:hAnsi="Times New Roman" w:cs="Times New Roman"/>
                <w:sz w:val="28"/>
                <w:szCs w:val="28"/>
              </w:rPr>
              <w:t>kritērijiem</w:t>
            </w:r>
            <w:r w:rsidR="00891AAB" w:rsidRPr="00633048">
              <w:rPr>
                <w:rFonts w:ascii="Times New Roman" w:hAnsi="Times New Roman" w:cs="Times New Roman"/>
                <w:sz w:val="28"/>
                <w:szCs w:val="28"/>
              </w:rPr>
              <w:t xml:space="preserve">. Minētos kritērijus ir nepieciešams noteikt, lai veicinātu </w:t>
            </w:r>
            <w:r w:rsidR="00633048">
              <w:rPr>
                <w:rFonts w:ascii="Times New Roman" w:hAnsi="Times New Roman" w:cs="Times New Roman"/>
                <w:sz w:val="28"/>
                <w:szCs w:val="28"/>
              </w:rPr>
              <w:t>koksnes iepakojuma</w:t>
            </w:r>
            <w:r w:rsidR="00891AAB" w:rsidRPr="00633048">
              <w:rPr>
                <w:rFonts w:ascii="Times New Roman" w:hAnsi="Times New Roman" w:cs="Times New Roman"/>
                <w:sz w:val="28"/>
                <w:szCs w:val="28"/>
              </w:rPr>
              <w:t xml:space="preserve"> pārstrādi</w:t>
            </w:r>
            <w:r w:rsidR="00633048">
              <w:rPr>
                <w:rFonts w:ascii="Times New Roman" w:hAnsi="Times New Roman" w:cs="Times New Roman"/>
                <w:sz w:val="28"/>
                <w:szCs w:val="28"/>
              </w:rPr>
              <w:t>, iegūstot videi nekaitīgu biomasas kurināmo</w:t>
            </w:r>
            <w:r w:rsidR="00891AAB" w:rsidRPr="00633048">
              <w:rPr>
                <w:rFonts w:ascii="Times New Roman" w:hAnsi="Times New Roman" w:cs="Times New Roman"/>
                <w:sz w:val="28"/>
                <w:szCs w:val="28"/>
              </w:rPr>
              <w:t>.</w:t>
            </w:r>
            <w:r w:rsidR="00633048">
              <w:rPr>
                <w:rFonts w:ascii="Times New Roman" w:hAnsi="Times New Roman" w:cs="Times New Roman"/>
                <w:sz w:val="28"/>
                <w:szCs w:val="28"/>
              </w:rPr>
              <w:t xml:space="preserve"> Noteikumu projekts paredz kritērijus attiecībā uz </w:t>
            </w:r>
            <w:r w:rsidR="002F759F" w:rsidRPr="002F759F">
              <w:rPr>
                <w:rFonts w:ascii="Times New Roman" w:hAnsi="Times New Roman" w:cs="Times New Roman"/>
                <w:sz w:val="28"/>
                <w:szCs w:val="28"/>
              </w:rPr>
              <w:t>halogēnorganisko savienojumu un smago metālu, kā arī dažādu kaitīgu ķīmisko elementu, tādu kā dzīvsudrabs, svins, hlors, hroms u.c., klātbūtni koksnes iepakojuma atkritumos un šķeld</w:t>
            </w:r>
            <w:r w:rsidR="002F759F">
              <w:rPr>
                <w:rFonts w:ascii="Times New Roman" w:hAnsi="Times New Roman" w:cs="Times New Roman"/>
                <w:sz w:val="28"/>
                <w:szCs w:val="28"/>
              </w:rPr>
              <w:t>ā, lai regulētu šķeldas kvalitāti un tās dedzināšanas ietekmi uz vidi un cilvēka veselību.</w:t>
            </w:r>
            <w:r w:rsidR="00084003">
              <w:rPr>
                <w:rFonts w:ascii="Times New Roman" w:hAnsi="Times New Roman" w:cs="Times New Roman"/>
                <w:sz w:val="28"/>
                <w:szCs w:val="28"/>
              </w:rPr>
              <w:t xml:space="preserve"> Minētos kritērijus pārstrādes veicējs ietver kvalitātes pārvaldības sistēmā, kuru izveidot nosaka noteikumu projekts.</w:t>
            </w:r>
          </w:p>
          <w:p w14:paraId="5B5FFFE8" w14:textId="592487EA" w:rsidR="00823D71" w:rsidRPr="00823D71" w:rsidRDefault="00823D71" w:rsidP="00823D71">
            <w:pPr>
              <w:jc w:val="both"/>
              <w:rPr>
                <w:rFonts w:ascii="Times New Roman" w:hAnsi="Times New Roman"/>
                <w:sz w:val="28"/>
                <w:szCs w:val="28"/>
              </w:rPr>
            </w:pPr>
            <w:r>
              <w:rPr>
                <w:rFonts w:ascii="Times New Roman" w:hAnsi="Times New Roman"/>
                <w:sz w:val="28"/>
                <w:szCs w:val="28"/>
              </w:rPr>
              <w:t xml:space="preserve">Nosacījumus par minēto elementu un savienojumu klātbūtni šķeldā nepieciešams noteikt, jo koksnes iepakojums mēdz būt apstrādāts </w:t>
            </w:r>
            <w:r w:rsidRPr="00791F15">
              <w:rPr>
                <w:rFonts w:ascii="Times New Roman" w:hAnsi="Times New Roman"/>
                <w:sz w:val="28"/>
                <w:szCs w:val="28"/>
              </w:rPr>
              <w:t>ar koksnes aizsargvielām vai pārklājumiem</w:t>
            </w:r>
            <w:r>
              <w:rPr>
                <w:rFonts w:ascii="Times New Roman" w:hAnsi="Times New Roman"/>
                <w:sz w:val="28"/>
                <w:szCs w:val="28"/>
              </w:rPr>
              <w:t>,</w:t>
            </w:r>
            <w:r w:rsidRPr="00791F15">
              <w:rPr>
                <w:rFonts w:ascii="Times New Roman" w:hAnsi="Times New Roman"/>
                <w:sz w:val="28"/>
                <w:szCs w:val="28"/>
              </w:rPr>
              <w:t xml:space="preserve"> un tādējā</w:t>
            </w:r>
            <w:r>
              <w:rPr>
                <w:rFonts w:ascii="Times New Roman" w:hAnsi="Times New Roman"/>
                <w:sz w:val="28"/>
                <w:szCs w:val="28"/>
              </w:rPr>
              <w:t>di var saturēt halogēnorganiskos</w:t>
            </w:r>
            <w:r w:rsidRPr="00791F15">
              <w:rPr>
                <w:rFonts w:ascii="Times New Roman" w:hAnsi="Times New Roman"/>
                <w:sz w:val="28"/>
                <w:szCs w:val="28"/>
              </w:rPr>
              <w:t xml:space="preserve"> savienojumus</w:t>
            </w:r>
            <w:r w:rsidR="00E52B85">
              <w:rPr>
                <w:rFonts w:ascii="Times New Roman" w:hAnsi="Times New Roman"/>
                <w:sz w:val="28"/>
                <w:szCs w:val="28"/>
              </w:rPr>
              <w:t>, kā arī</w:t>
            </w:r>
            <w:r w:rsidRPr="00791F15">
              <w:rPr>
                <w:rFonts w:ascii="Times New Roman" w:hAnsi="Times New Roman"/>
                <w:sz w:val="28"/>
                <w:szCs w:val="28"/>
              </w:rPr>
              <w:t xml:space="preserve"> smagos metālus</w:t>
            </w:r>
            <w:r>
              <w:rPr>
                <w:sz w:val="26"/>
                <w:szCs w:val="26"/>
              </w:rPr>
              <w:t>.</w:t>
            </w:r>
          </w:p>
          <w:p w14:paraId="227E94D8" w14:textId="465EC6AF" w:rsidR="008607B7" w:rsidRDefault="008607B7" w:rsidP="00B30E13">
            <w:pPr>
              <w:pStyle w:val="ListParagraph"/>
              <w:autoSpaceDE w:val="0"/>
              <w:autoSpaceDN w:val="0"/>
              <w:adjustRightInd w:val="0"/>
              <w:spacing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Noteikumu projektā ietverti arī paškontroles krit</w:t>
            </w:r>
            <w:r w:rsidR="00084003">
              <w:rPr>
                <w:rFonts w:ascii="Times New Roman" w:hAnsi="Times New Roman" w:cs="Times New Roman"/>
                <w:sz w:val="28"/>
                <w:szCs w:val="28"/>
              </w:rPr>
              <w:t>ēriji</w:t>
            </w:r>
            <w:r>
              <w:rPr>
                <w:rFonts w:ascii="Times New Roman" w:hAnsi="Times New Roman" w:cs="Times New Roman"/>
                <w:sz w:val="28"/>
                <w:szCs w:val="28"/>
              </w:rPr>
              <w:t xml:space="preserve">, kas palīdzēs pārstrādes veicējam noteikt koksnes iepakojuma atkritumu un iegūtās šķeldas kvalitāti. Paškontroles kritēriji cita starpā ietver nosacījumu, ka pārstrādes veicēja atbildīgais darbinieks veic koksnes iepakojuma atkritumu un iegūtās šķeldas vizuālo pārbaudi, lai noteiktu pazīmes, kas varētu liecināt par </w:t>
            </w:r>
            <w:r w:rsidRPr="002F759F">
              <w:rPr>
                <w:rFonts w:ascii="Times New Roman" w:hAnsi="Times New Roman" w:cs="Times New Roman"/>
                <w:sz w:val="28"/>
                <w:szCs w:val="28"/>
              </w:rPr>
              <w:t>halogēnorganisko savienojumu un smago metālu, kā arī dažādu kaitīgu ķīmisko elementu, tādu kā dzīvsudrabs, svins, hlors, hroms u.c., klātbūtni</w:t>
            </w:r>
            <w:r>
              <w:rPr>
                <w:rFonts w:ascii="Times New Roman" w:hAnsi="Times New Roman" w:cs="Times New Roman"/>
                <w:sz w:val="28"/>
                <w:szCs w:val="28"/>
              </w:rPr>
              <w:t>. Lai atbildīgais darbinieks spētu šādas pazīmes noteikt, tiek paredzēts, ka pārstrādes veicējs instruē un apmāca atbildīgo darbinieku par vizuālo pārbaužu veikšanu. Informācija par apmācībām tiek iekļauta kvalitātes pārvaldības sistēmā.</w:t>
            </w:r>
          </w:p>
          <w:p w14:paraId="6151A307" w14:textId="5247845F" w:rsidR="008607B7" w:rsidRDefault="00084003" w:rsidP="008607B7">
            <w:pPr>
              <w:jc w:val="both"/>
              <w:rPr>
                <w:rFonts w:ascii="Times New Roman" w:hAnsi="Times New Roman"/>
                <w:sz w:val="28"/>
                <w:szCs w:val="28"/>
              </w:rPr>
            </w:pPr>
            <w:r>
              <w:rPr>
                <w:rFonts w:ascii="Times New Roman" w:hAnsi="Times New Roman" w:cs="Times New Roman"/>
                <w:sz w:val="28"/>
                <w:szCs w:val="28"/>
              </w:rPr>
              <w:t>N</w:t>
            </w:r>
            <w:r w:rsidR="008607B7" w:rsidRPr="008607B7">
              <w:rPr>
                <w:rFonts w:ascii="Times New Roman" w:hAnsi="Times New Roman" w:cs="Times New Roman"/>
                <w:sz w:val="28"/>
                <w:szCs w:val="28"/>
              </w:rPr>
              <w:t xml:space="preserve">oteikumu projekts paredz, ka koksnes iepakojuma pārstrādes veicējs ievieš kvalitātes pārvaldības sistēmu, kurā </w:t>
            </w:r>
            <w:r w:rsidR="008607B7" w:rsidRPr="008607B7">
              <w:rPr>
                <w:rFonts w:ascii="Times New Roman" w:hAnsi="Times New Roman"/>
                <w:sz w:val="28"/>
                <w:szCs w:val="28"/>
              </w:rPr>
              <w:t xml:space="preserve">ietver minētos atkritumu statusa piemērošanas izbeigšanas kritērijus un paškontroles kritērijus, kā arī detalizētu koksnes iepakojuma pārstrādes procesa aprakstu, tai skaitā </w:t>
            </w:r>
            <w:r w:rsidR="008607B7">
              <w:rPr>
                <w:rFonts w:ascii="Times New Roman" w:hAnsi="Times New Roman"/>
                <w:sz w:val="28"/>
                <w:szCs w:val="28"/>
              </w:rPr>
              <w:t xml:space="preserve">informāciju par </w:t>
            </w:r>
            <w:r w:rsidR="008607B7" w:rsidRPr="008607B7">
              <w:rPr>
                <w:rFonts w:ascii="Times New Roman" w:hAnsi="Times New Roman"/>
                <w:sz w:val="28"/>
                <w:szCs w:val="28"/>
              </w:rPr>
              <w:t>šķeldas paraugu analīžu veikšanas plānu, paraugiem veicamām analīzēm, iegūtās šķeldas marķējumu, iepakošanas</w:t>
            </w:r>
            <w:r w:rsidR="008607B7">
              <w:rPr>
                <w:rFonts w:ascii="Times New Roman" w:hAnsi="Times New Roman"/>
                <w:sz w:val="28"/>
                <w:szCs w:val="28"/>
              </w:rPr>
              <w:t xml:space="preserve"> un glabāšanas procesa aprakstu, </w:t>
            </w:r>
            <w:r w:rsidR="008607B7" w:rsidRPr="008607B7">
              <w:rPr>
                <w:rFonts w:ascii="Times New Roman" w:hAnsi="Times New Roman"/>
                <w:sz w:val="28"/>
                <w:szCs w:val="28"/>
              </w:rPr>
              <w:t xml:space="preserve">kontroles </w:t>
            </w:r>
            <w:r w:rsidR="008607B7" w:rsidRPr="008607B7">
              <w:rPr>
                <w:rFonts w:ascii="Times New Roman" w:hAnsi="Times New Roman"/>
                <w:sz w:val="28"/>
                <w:szCs w:val="28"/>
              </w:rPr>
              <w:lastRenderedPageBreak/>
              <w:t xml:space="preserve">pasākumu rezultātu dokumentēšanas veidu, lai pārliecinātos par šķeldas atbilstību </w:t>
            </w:r>
            <w:r>
              <w:rPr>
                <w:rFonts w:ascii="Times New Roman" w:hAnsi="Times New Roman"/>
                <w:sz w:val="28"/>
                <w:szCs w:val="28"/>
              </w:rPr>
              <w:t xml:space="preserve">noteikumu projektā ietvertajiem </w:t>
            </w:r>
            <w:r w:rsidR="008607B7" w:rsidRPr="008607B7">
              <w:rPr>
                <w:rFonts w:ascii="Times New Roman" w:hAnsi="Times New Roman"/>
                <w:sz w:val="28"/>
                <w:szCs w:val="28"/>
              </w:rPr>
              <w:t>atkritumu statusa piemērošanas izbeigšanas kritērijem</w:t>
            </w:r>
            <w:r w:rsidR="008607B7">
              <w:rPr>
                <w:rFonts w:ascii="Times New Roman" w:hAnsi="Times New Roman"/>
                <w:sz w:val="28"/>
                <w:szCs w:val="28"/>
              </w:rPr>
              <w:t xml:space="preserve">, </w:t>
            </w:r>
            <w:r w:rsidR="008607B7" w:rsidRPr="008607B7">
              <w:rPr>
                <w:rFonts w:ascii="Times New Roman" w:hAnsi="Times New Roman"/>
                <w:sz w:val="28"/>
                <w:szCs w:val="28"/>
              </w:rPr>
              <w:t>pilnu nolietota koksnes iepakojuma pārstrādes procesa cikla aprakstu, tostarp procesā radīto atkritumu turpmāko</w:t>
            </w:r>
            <w:r w:rsidR="00823D71">
              <w:rPr>
                <w:rFonts w:ascii="Times New Roman" w:hAnsi="Times New Roman"/>
                <w:sz w:val="28"/>
                <w:szCs w:val="28"/>
              </w:rPr>
              <w:t xml:space="preserve"> apsaimniekošanu un uzglabāšanu</w:t>
            </w:r>
            <w:r w:rsidR="008607B7" w:rsidRPr="008607B7">
              <w:rPr>
                <w:rFonts w:ascii="Times New Roman" w:hAnsi="Times New Roman"/>
                <w:sz w:val="28"/>
                <w:szCs w:val="28"/>
              </w:rPr>
              <w:t>, kā arī informāciju par šķeldas po</w:t>
            </w:r>
            <w:r w:rsidR="008607B7">
              <w:rPr>
                <w:rFonts w:ascii="Times New Roman" w:hAnsi="Times New Roman"/>
                <w:sz w:val="28"/>
                <w:szCs w:val="28"/>
              </w:rPr>
              <w:t xml:space="preserve">tenciālām realizācijas iespējām, </w:t>
            </w:r>
            <w:r w:rsidR="008607B7" w:rsidRPr="008607B7">
              <w:rPr>
                <w:rFonts w:ascii="Times New Roman" w:hAnsi="Times New Roman"/>
                <w:sz w:val="28"/>
                <w:szCs w:val="28"/>
              </w:rPr>
              <w:t xml:space="preserve">koksnes iepakojuma </w:t>
            </w:r>
            <w:r w:rsidR="00823D71">
              <w:rPr>
                <w:rFonts w:ascii="Times New Roman" w:hAnsi="Times New Roman"/>
                <w:sz w:val="28"/>
                <w:szCs w:val="28"/>
              </w:rPr>
              <w:t xml:space="preserve">atkritumu </w:t>
            </w:r>
            <w:r w:rsidR="008607B7" w:rsidRPr="008607B7">
              <w:rPr>
                <w:rFonts w:ascii="Times New Roman" w:hAnsi="Times New Roman"/>
                <w:sz w:val="28"/>
                <w:szCs w:val="28"/>
              </w:rPr>
              <w:t>pārstrādes iespējamiem apjomiem</w:t>
            </w:r>
            <w:r w:rsidR="008607B7">
              <w:rPr>
                <w:rFonts w:ascii="Times New Roman" w:hAnsi="Times New Roman"/>
                <w:sz w:val="28"/>
                <w:szCs w:val="28"/>
              </w:rPr>
              <w:t xml:space="preserve">, kā arī </w:t>
            </w:r>
            <w:r w:rsidR="008607B7" w:rsidRPr="00C551AD">
              <w:rPr>
                <w:rFonts w:ascii="Times New Roman" w:hAnsi="Times New Roman"/>
                <w:sz w:val="28"/>
                <w:szCs w:val="28"/>
              </w:rPr>
              <w:t xml:space="preserve">pārstrādes veicēja </w:t>
            </w:r>
            <w:r w:rsidR="008607B7">
              <w:rPr>
                <w:rFonts w:ascii="Times New Roman" w:hAnsi="Times New Roman"/>
                <w:sz w:val="28"/>
                <w:szCs w:val="28"/>
              </w:rPr>
              <w:t xml:space="preserve">darbiniekiem, </w:t>
            </w:r>
            <w:r w:rsidR="008607B7" w:rsidRPr="00C551AD">
              <w:rPr>
                <w:rFonts w:ascii="Times New Roman" w:hAnsi="Times New Roman"/>
                <w:sz w:val="28"/>
                <w:szCs w:val="28"/>
              </w:rPr>
              <w:t>kas ir atbildīgi par koksnes iepakojuma pārstrādes procesu</w:t>
            </w:r>
            <w:r w:rsidR="008607B7">
              <w:rPr>
                <w:rFonts w:ascii="Times New Roman" w:hAnsi="Times New Roman"/>
                <w:sz w:val="28"/>
                <w:szCs w:val="28"/>
              </w:rPr>
              <w:t xml:space="preserve">, un tiem </w:t>
            </w:r>
            <w:r>
              <w:rPr>
                <w:rFonts w:ascii="Times New Roman" w:hAnsi="Times New Roman"/>
                <w:sz w:val="28"/>
                <w:szCs w:val="28"/>
              </w:rPr>
              <w:t>veicamām</w:t>
            </w:r>
            <w:r w:rsidR="008607B7">
              <w:rPr>
                <w:rFonts w:ascii="Times New Roman" w:hAnsi="Times New Roman"/>
                <w:sz w:val="28"/>
                <w:szCs w:val="28"/>
              </w:rPr>
              <w:t xml:space="preserve"> apmācībām</w:t>
            </w:r>
            <w:r w:rsidR="008607B7" w:rsidRPr="00C551AD">
              <w:rPr>
                <w:rFonts w:ascii="Times New Roman" w:hAnsi="Times New Roman"/>
                <w:sz w:val="28"/>
                <w:szCs w:val="28"/>
              </w:rPr>
              <w:t>.</w:t>
            </w:r>
          </w:p>
          <w:p w14:paraId="04F3FD8E" w14:textId="5449081F" w:rsidR="00791F15" w:rsidRDefault="00084003" w:rsidP="008607B7">
            <w:pPr>
              <w:jc w:val="both"/>
              <w:rPr>
                <w:rFonts w:ascii="Times New Roman" w:hAnsi="Times New Roman"/>
                <w:sz w:val="28"/>
                <w:szCs w:val="28"/>
              </w:rPr>
            </w:pPr>
            <w:r>
              <w:rPr>
                <w:rFonts w:ascii="Times New Roman" w:hAnsi="Times New Roman"/>
                <w:sz w:val="28"/>
                <w:szCs w:val="28"/>
              </w:rPr>
              <w:t>Noteikumu projekts nodrošinās, ka šķelda, kas iegūta no koksnes iepakojuma, ir izmantojama kā biomasas kurināmais un ir videi un cilvēka veselībai nekaitīga. Noteikumu projekts uzliek par pienākumu pārstrādes veicējam apliecināt, ka šķeldas ieguves process un iegūtā šķelda atbilst  noteikumu projekta prasībām, līdz ar to nav uzskatāma par atkritumiem. Lai apliecinātu minēto, katrai šķeldas partijai pārstrādes veicējs sagatavo atbilstības deklarāciju (n</w:t>
            </w:r>
            <w:r w:rsidR="00791F15">
              <w:rPr>
                <w:rFonts w:ascii="Times New Roman" w:hAnsi="Times New Roman"/>
                <w:sz w:val="28"/>
                <w:szCs w:val="28"/>
              </w:rPr>
              <w:t>oteikumu projekta 2.</w:t>
            </w:r>
            <w:r w:rsidR="00581C7B">
              <w:rPr>
                <w:rFonts w:ascii="Times New Roman" w:hAnsi="Times New Roman"/>
                <w:sz w:val="28"/>
                <w:szCs w:val="28"/>
              </w:rPr>
              <w:t> </w:t>
            </w:r>
            <w:r w:rsidR="00791F15">
              <w:rPr>
                <w:rFonts w:ascii="Times New Roman" w:hAnsi="Times New Roman"/>
                <w:sz w:val="28"/>
                <w:szCs w:val="28"/>
              </w:rPr>
              <w:t xml:space="preserve">pielikums). </w:t>
            </w:r>
          </w:p>
          <w:p w14:paraId="66C2D23F" w14:textId="0B13781F" w:rsidR="00084003" w:rsidRDefault="00084003" w:rsidP="008607B7">
            <w:pPr>
              <w:jc w:val="both"/>
              <w:rPr>
                <w:rFonts w:ascii="Times New Roman" w:hAnsi="Times New Roman"/>
                <w:sz w:val="28"/>
                <w:szCs w:val="28"/>
              </w:rPr>
            </w:pPr>
            <w:r>
              <w:rPr>
                <w:rFonts w:ascii="Times New Roman" w:hAnsi="Times New Roman"/>
                <w:sz w:val="28"/>
                <w:szCs w:val="28"/>
              </w:rPr>
              <w:t>Atbilstības deklarācija tiek gatavota elektroniska dokumenta formā un tās kopija tiek pievienota katrai šķeldas partijai tās transportēšanas laikā, tādējādi nodrošinot atkritumu jomas kontrolējošai institūcijai, Valsts vides dienestam, iespēju pārliecināties par šķeldas atbilstību atkritumu statusa piemērošanas izbeigšanas kritērijiem, kas noteikti projektā. Noteikumu projekts paredz, ka pārstrādes veicējs glabā atbilstības deklarāciju trīs gadus pēc konkrētās šķeldas partijas iegūšanas dienas un pēc Valsts vides dienesta pieprasījuma uzrāda to.</w:t>
            </w:r>
          </w:p>
          <w:p w14:paraId="29DA48AE" w14:textId="4DFAAFDC" w:rsidR="00C7204B" w:rsidRDefault="006254AA" w:rsidP="00C7204B">
            <w:pPr>
              <w:jc w:val="both"/>
              <w:rPr>
                <w:rFonts w:ascii="Times New Roman" w:hAnsi="Times New Roman"/>
                <w:sz w:val="28"/>
                <w:szCs w:val="28"/>
              </w:rPr>
            </w:pPr>
            <w:r w:rsidRPr="00C7204B">
              <w:rPr>
                <w:rFonts w:ascii="Times New Roman" w:hAnsi="Times New Roman"/>
                <w:sz w:val="28"/>
                <w:szCs w:val="28"/>
              </w:rPr>
              <w:t xml:space="preserve">Noteikumu projekts </w:t>
            </w:r>
            <w:r w:rsidR="00823D71">
              <w:rPr>
                <w:rFonts w:ascii="Times New Roman" w:hAnsi="Times New Roman"/>
                <w:sz w:val="28"/>
                <w:szCs w:val="28"/>
              </w:rPr>
              <w:t xml:space="preserve">tāpat </w:t>
            </w:r>
            <w:r w:rsidRPr="00C7204B">
              <w:rPr>
                <w:rFonts w:ascii="Times New Roman" w:hAnsi="Times New Roman"/>
                <w:sz w:val="28"/>
                <w:szCs w:val="28"/>
              </w:rPr>
              <w:t>paredz, ka gadījumos, kad Latvijas teritorijā</w:t>
            </w:r>
            <w:r w:rsidR="00C7204B" w:rsidRPr="00C7204B">
              <w:rPr>
                <w:rFonts w:ascii="Times New Roman" w:hAnsi="Times New Roman"/>
                <w:sz w:val="28"/>
                <w:szCs w:val="28"/>
              </w:rPr>
              <w:t xml:space="preserve"> no citām valstīm tiek ievesta no koksnes iepakojuma </w:t>
            </w:r>
            <w:r w:rsidR="00823D71">
              <w:rPr>
                <w:rFonts w:ascii="Times New Roman" w:hAnsi="Times New Roman"/>
                <w:sz w:val="28"/>
                <w:szCs w:val="28"/>
              </w:rPr>
              <w:t xml:space="preserve">atkritumiem </w:t>
            </w:r>
            <w:r w:rsidR="00C7204B" w:rsidRPr="00C7204B">
              <w:rPr>
                <w:rFonts w:ascii="Times New Roman" w:hAnsi="Times New Roman"/>
                <w:sz w:val="28"/>
                <w:szCs w:val="28"/>
              </w:rPr>
              <w:t xml:space="preserve">iegūta šķelda, </w:t>
            </w:r>
            <w:r w:rsidR="00C7204B" w:rsidRPr="00C7204B">
              <w:rPr>
                <w:rFonts w:ascii="Times New Roman" w:hAnsi="Times New Roman" w:cs="Times New Roman"/>
                <w:sz w:val="28"/>
                <w:szCs w:val="28"/>
              </w:rPr>
              <w:t xml:space="preserve">kas paredzēta izmantošanai kā biomasas kurināmais, </w:t>
            </w:r>
            <w:r w:rsidR="00C7204B" w:rsidRPr="00C7204B">
              <w:rPr>
                <w:rFonts w:ascii="Times New Roman" w:hAnsi="Times New Roman"/>
                <w:sz w:val="28"/>
                <w:szCs w:val="28"/>
              </w:rPr>
              <w:t xml:space="preserve">šķeldas pircējs Latvijā </w:t>
            </w:r>
            <w:r w:rsidR="00C7204B" w:rsidRPr="00C7204B">
              <w:rPr>
                <w:rFonts w:ascii="Times New Roman" w:hAnsi="Times New Roman" w:cs="Times New Roman"/>
                <w:sz w:val="28"/>
                <w:szCs w:val="28"/>
              </w:rPr>
              <w:t xml:space="preserve">veic šķeldas pārbaudi, lai noteiktu tās atbilstību noteikumu projekta 1. pielikuma III sadaļas prasībām. Šķeldas pircējs Latvijā ievieš kvalitātes pārvaldības sistēmu ar mērķi nodrošināt šķeldas kvalitātes uzraudzību. </w:t>
            </w:r>
            <w:r w:rsidR="00C7204B" w:rsidRPr="00C7204B">
              <w:rPr>
                <w:rFonts w:ascii="Times New Roman" w:hAnsi="Times New Roman"/>
                <w:sz w:val="28"/>
                <w:szCs w:val="28"/>
              </w:rPr>
              <w:t xml:space="preserve">Šķeldas pircēja Latvijā izveidotā kvalitātes pārvaldības sistēma ietver </w:t>
            </w:r>
            <w:r w:rsidR="00C7204B">
              <w:rPr>
                <w:rFonts w:ascii="Times New Roman" w:hAnsi="Times New Roman"/>
                <w:sz w:val="28"/>
                <w:szCs w:val="28"/>
              </w:rPr>
              <w:t>noteikumu projekta</w:t>
            </w:r>
            <w:r w:rsidR="00C7204B" w:rsidRPr="00C7204B">
              <w:rPr>
                <w:rFonts w:ascii="Times New Roman" w:hAnsi="Times New Roman"/>
                <w:sz w:val="28"/>
                <w:szCs w:val="28"/>
              </w:rPr>
              <w:t xml:space="preserve"> 1. pielikuma III sadaļā minētos </w:t>
            </w:r>
            <w:r w:rsidR="00C7204B" w:rsidRPr="00C7204B">
              <w:rPr>
                <w:rFonts w:ascii="Times New Roman" w:hAnsi="Times New Roman"/>
                <w:sz w:val="28"/>
                <w:szCs w:val="28"/>
              </w:rPr>
              <w:lastRenderedPageBreak/>
              <w:t xml:space="preserve">atkritumu statusa piemērošanas izbeigšanas kritērijus un paškontroles kritērijus, kā arī </w:t>
            </w:r>
            <w:r w:rsidR="00C7204B">
              <w:rPr>
                <w:rFonts w:ascii="Times New Roman" w:hAnsi="Times New Roman"/>
                <w:sz w:val="28"/>
                <w:szCs w:val="28"/>
              </w:rPr>
              <w:t xml:space="preserve">informāciju par </w:t>
            </w:r>
            <w:r w:rsidR="00C7204B" w:rsidRPr="00C7204B">
              <w:rPr>
                <w:rFonts w:ascii="Times New Roman" w:hAnsi="Times New Roman"/>
                <w:sz w:val="28"/>
                <w:szCs w:val="28"/>
              </w:rPr>
              <w:t xml:space="preserve">šķeldas paraugu analīžu veikšanas plānu, paraugiem veicamām analīzēm, šķeldas </w:t>
            </w:r>
            <w:r w:rsidR="00C7204B">
              <w:rPr>
                <w:rFonts w:ascii="Times New Roman" w:hAnsi="Times New Roman"/>
                <w:sz w:val="28"/>
                <w:szCs w:val="28"/>
              </w:rPr>
              <w:t xml:space="preserve">glabāšanas procesa aprakstu, </w:t>
            </w:r>
            <w:r w:rsidR="00C7204B" w:rsidRPr="00C7204B">
              <w:rPr>
                <w:rFonts w:ascii="Times New Roman" w:hAnsi="Times New Roman"/>
                <w:sz w:val="28"/>
                <w:szCs w:val="28"/>
              </w:rPr>
              <w:t xml:space="preserve">kontroles pasākumu rezultātu dokumentēšanas veidu, lai pārliecinātos par šķeldas atbilstību </w:t>
            </w:r>
            <w:r w:rsidR="00C7204B">
              <w:rPr>
                <w:rFonts w:ascii="Times New Roman" w:hAnsi="Times New Roman"/>
                <w:sz w:val="28"/>
                <w:szCs w:val="28"/>
              </w:rPr>
              <w:t>noteikumu projektā ietvertajiem</w:t>
            </w:r>
            <w:r w:rsidR="00C7204B" w:rsidRPr="00C7204B">
              <w:rPr>
                <w:rFonts w:ascii="Times New Roman" w:hAnsi="Times New Roman"/>
                <w:sz w:val="28"/>
                <w:szCs w:val="28"/>
              </w:rPr>
              <w:t xml:space="preserve"> atkritumu statusa piemērošanas izbeigšanas kritērijiem</w:t>
            </w:r>
            <w:r w:rsidR="00C7204B">
              <w:rPr>
                <w:rFonts w:ascii="Times New Roman" w:hAnsi="Times New Roman"/>
                <w:sz w:val="28"/>
                <w:szCs w:val="28"/>
              </w:rPr>
              <w:t xml:space="preserve">, kā arī </w:t>
            </w:r>
            <w:r w:rsidR="00C7204B" w:rsidRPr="00C7204B">
              <w:rPr>
                <w:rFonts w:ascii="Times New Roman" w:hAnsi="Times New Roman"/>
                <w:sz w:val="28"/>
                <w:szCs w:val="28"/>
              </w:rPr>
              <w:t>šķeldas pircēja Latvijā darbiniekiem, kas ir atbildīgi par šķeldas vizuālo pārbaužu veikšanu, un to</w:t>
            </w:r>
            <w:r w:rsidR="00C7204B">
              <w:rPr>
                <w:rFonts w:ascii="Times New Roman" w:hAnsi="Times New Roman"/>
                <w:sz w:val="28"/>
                <w:szCs w:val="28"/>
              </w:rPr>
              <w:t xml:space="preserve"> apmācībām saskaņā ar </w:t>
            </w:r>
            <w:r w:rsidR="00C7204B" w:rsidRPr="00C7204B">
              <w:rPr>
                <w:rFonts w:ascii="Times New Roman" w:hAnsi="Times New Roman"/>
                <w:sz w:val="28"/>
                <w:szCs w:val="28"/>
              </w:rPr>
              <w:t xml:space="preserve">noteikumu </w:t>
            </w:r>
            <w:r w:rsidR="00C7204B">
              <w:rPr>
                <w:rFonts w:ascii="Times New Roman" w:hAnsi="Times New Roman"/>
                <w:sz w:val="28"/>
                <w:szCs w:val="28"/>
              </w:rPr>
              <w:t xml:space="preserve">projekta </w:t>
            </w:r>
            <w:r w:rsidR="00C7204B" w:rsidRPr="00C7204B">
              <w:rPr>
                <w:rFonts w:ascii="Times New Roman" w:hAnsi="Times New Roman"/>
                <w:sz w:val="28"/>
                <w:szCs w:val="28"/>
              </w:rPr>
              <w:t>1. pielikum</w:t>
            </w:r>
            <w:r w:rsidR="00C7204B">
              <w:rPr>
                <w:rFonts w:ascii="Times New Roman" w:hAnsi="Times New Roman"/>
                <w:sz w:val="28"/>
                <w:szCs w:val="28"/>
              </w:rPr>
              <w:t>u</w:t>
            </w:r>
            <w:r w:rsidR="00C7204B" w:rsidRPr="00C7204B">
              <w:rPr>
                <w:rFonts w:ascii="Times New Roman" w:hAnsi="Times New Roman"/>
                <w:sz w:val="28"/>
                <w:szCs w:val="28"/>
              </w:rPr>
              <w:t>.</w:t>
            </w:r>
            <w:r w:rsidR="00C7204B">
              <w:rPr>
                <w:rFonts w:ascii="Times New Roman" w:hAnsi="Times New Roman"/>
                <w:sz w:val="28"/>
                <w:szCs w:val="28"/>
              </w:rPr>
              <w:t xml:space="preserve"> Noteikumu projekts paredz, ka šķeldas pircējs Latvijā </w:t>
            </w:r>
            <w:r w:rsidR="00C7204B" w:rsidRPr="00C551AD">
              <w:rPr>
                <w:rFonts w:ascii="Times New Roman" w:hAnsi="Times New Roman"/>
                <w:sz w:val="28"/>
                <w:szCs w:val="28"/>
              </w:rPr>
              <w:t>veic kvalitātes pārvaldības sistēma</w:t>
            </w:r>
            <w:r w:rsidR="00C7204B">
              <w:rPr>
                <w:rFonts w:ascii="Times New Roman" w:hAnsi="Times New Roman"/>
                <w:sz w:val="28"/>
                <w:szCs w:val="28"/>
              </w:rPr>
              <w:t>s pārskatīšanu vienu reizi gadā.</w:t>
            </w:r>
          </w:p>
          <w:p w14:paraId="27A0011F" w14:textId="62573875" w:rsidR="00C7204B" w:rsidRDefault="00E87CB6" w:rsidP="00C7204B">
            <w:pPr>
              <w:jc w:val="both"/>
              <w:rPr>
                <w:rFonts w:ascii="Times New Roman" w:hAnsi="Times New Roman"/>
                <w:sz w:val="28"/>
                <w:szCs w:val="28"/>
              </w:rPr>
            </w:pPr>
            <w:r w:rsidRPr="00E87CB6">
              <w:rPr>
                <w:rFonts w:ascii="Times New Roman" w:hAnsi="Times New Roman"/>
                <w:sz w:val="28"/>
                <w:szCs w:val="28"/>
              </w:rPr>
              <w:t xml:space="preserve">Gadījumos, kad Latvijas teritorijā tiek ievesta šķelda un kompetentās nosūtīšanas un galamērķa institūcijas nevar vienoties par sūtījuma klasifikāciju, </w:t>
            </w:r>
            <w:r w:rsidR="00E1561C">
              <w:rPr>
                <w:rFonts w:ascii="Times New Roman" w:hAnsi="Times New Roman"/>
                <w:sz w:val="28"/>
                <w:szCs w:val="28"/>
              </w:rPr>
              <w:t>noteikumu projekts paredz</w:t>
            </w:r>
            <w:r w:rsidRPr="00E87CB6">
              <w:rPr>
                <w:rFonts w:ascii="Times New Roman" w:hAnsi="Times New Roman"/>
                <w:sz w:val="28"/>
                <w:szCs w:val="28"/>
              </w:rPr>
              <w:t xml:space="preserve"> Eiropas Parlamenta un Padomes 2006. gada 14. jūnija Regulas (EK) Nr. 1013/2006 par atkritumu sūtījumiem 28. panta 1. punkta nosacījumu</w:t>
            </w:r>
            <w:r w:rsidR="00E1561C">
              <w:rPr>
                <w:rFonts w:ascii="Times New Roman" w:hAnsi="Times New Roman"/>
                <w:sz w:val="28"/>
                <w:szCs w:val="28"/>
              </w:rPr>
              <w:t xml:space="preserve"> piemērošanu</w:t>
            </w:r>
            <w:r w:rsidRPr="00E87CB6">
              <w:rPr>
                <w:rFonts w:ascii="Times New Roman" w:hAnsi="Times New Roman"/>
                <w:sz w:val="28"/>
                <w:szCs w:val="28"/>
              </w:rPr>
              <w:t>.</w:t>
            </w:r>
          </w:p>
          <w:p w14:paraId="6EF33120" w14:textId="3160336E" w:rsidR="00B063C0" w:rsidRPr="0002266A" w:rsidRDefault="00E87CB6" w:rsidP="00E52B85">
            <w:pPr>
              <w:jc w:val="both"/>
              <w:rPr>
                <w:rFonts w:ascii="Times New Roman" w:hAnsi="Times New Roman"/>
                <w:sz w:val="28"/>
                <w:szCs w:val="28"/>
              </w:rPr>
            </w:pPr>
            <w:r>
              <w:rPr>
                <w:rFonts w:ascii="Times New Roman" w:hAnsi="Times New Roman"/>
                <w:sz w:val="28"/>
                <w:szCs w:val="28"/>
              </w:rPr>
              <w:t>Tāpat arī noteikumu projekts nosaka, ka gadījumos, kad kāda no pusēm</w:t>
            </w:r>
            <w:r w:rsidR="00E1561C">
              <w:rPr>
                <w:rFonts w:ascii="Times New Roman" w:hAnsi="Times New Roman"/>
                <w:sz w:val="28"/>
                <w:szCs w:val="28"/>
              </w:rPr>
              <w:t xml:space="preserve">, uz ko attiecas noteikumu projekts, t.i. </w:t>
            </w:r>
            <w:r w:rsidRPr="00E87CB6">
              <w:rPr>
                <w:rFonts w:ascii="Times New Roman" w:hAnsi="Times New Roman"/>
                <w:sz w:val="28"/>
                <w:szCs w:val="28"/>
              </w:rPr>
              <w:t>pārstrādes veicējs, Latvijā ievestas šķeldas pircējs vai atkritumu apsaimniekošanas jomas kontrolējošā ins</w:t>
            </w:r>
            <w:r w:rsidR="00E1561C">
              <w:rPr>
                <w:rFonts w:ascii="Times New Roman" w:hAnsi="Times New Roman"/>
                <w:sz w:val="28"/>
                <w:szCs w:val="28"/>
              </w:rPr>
              <w:t>titūcija, Valsts vides dienests,</w:t>
            </w:r>
            <w:r w:rsidRPr="00E87CB6">
              <w:rPr>
                <w:rFonts w:ascii="Times New Roman" w:hAnsi="Times New Roman"/>
                <w:sz w:val="28"/>
                <w:szCs w:val="28"/>
              </w:rPr>
              <w:t xml:space="preserve"> konstatē</w:t>
            </w:r>
            <w:r>
              <w:rPr>
                <w:rFonts w:ascii="Times New Roman" w:hAnsi="Times New Roman"/>
                <w:sz w:val="28"/>
                <w:szCs w:val="28"/>
              </w:rPr>
              <w:t>,</w:t>
            </w:r>
            <w:r w:rsidRPr="00E87CB6">
              <w:rPr>
                <w:rFonts w:ascii="Times New Roman" w:hAnsi="Times New Roman"/>
                <w:sz w:val="28"/>
                <w:szCs w:val="28"/>
              </w:rPr>
              <w:t xml:space="preserve"> kāda</w:t>
            </w:r>
            <w:r w:rsidR="00E52B85">
              <w:rPr>
                <w:rFonts w:ascii="Times New Roman" w:hAnsi="Times New Roman"/>
                <w:sz w:val="28"/>
                <w:szCs w:val="28"/>
              </w:rPr>
              <w:t>s</w:t>
            </w:r>
            <w:r w:rsidRPr="00E87CB6">
              <w:rPr>
                <w:rFonts w:ascii="Times New Roman" w:hAnsi="Times New Roman"/>
                <w:sz w:val="28"/>
                <w:szCs w:val="28"/>
              </w:rPr>
              <w:t xml:space="preserve"> šķeldas partij</w:t>
            </w:r>
            <w:r w:rsidR="00E52B85">
              <w:rPr>
                <w:rFonts w:ascii="Times New Roman" w:hAnsi="Times New Roman"/>
                <w:sz w:val="28"/>
                <w:szCs w:val="28"/>
              </w:rPr>
              <w:t>as</w:t>
            </w:r>
            <w:r w:rsidRPr="00E87CB6">
              <w:rPr>
                <w:rFonts w:ascii="Times New Roman" w:hAnsi="Times New Roman"/>
                <w:sz w:val="28"/>
                <w:szCs w:val="28"/>
              </w:rPr>
              <w:t xml:space="preserve"> neatbilst</w:t>
            </w:r>
            <w:r w:rsidR="00E52B85">
              <w:rPr>
                <w:rFonts w:ascii="Times New Roman" w:hAnsi="Times New Roman"/>
                <w:sz w:val="28"/>
                <w:szCs w:val="28"/>
              </w:rPr>
              <w:t>ību</w:t>
            </w:r>
            <w:r w:rsidRPr="00E87CB6">
              <w:rPr>
                <w:rFonts w:ascii="Times New Roman" w:hAnsi="Times New Roman"/>
                <w:sz w:val="28"/>
                <w:szCs w:val="28"/>
              </w:rPr>
              <w:t xml:space="preserve"> šo noteikumu kritērijiem par atkritumu statusa piemērošanas izbeigšanu, tiek uzskatīts, ka </w:t>
            </w:r>
            <w:r w:rsidR="00E1561C">
              <w:rPr>
                <w:rFonts w:ascii="Times New Roman" w:hAnsi="Times New Roman"/>
                <w:sz w:val="28"/>
                <w:szCs w:val="28"/>
              </w:rPr>
              <w:t xml:space="preserve">konkrētā </w:t>
            </w:r>
            <w:r w:rsidRPr="00E87CB6">
              <w:rPr>
                <w:rFonts w:ascii="Times New Roman" w:hAnsi="Times New Roman"/>
                <w:sz w:val="28"/>
                <w:szCs w:val="28"/>
              </w:rPr>
              <w:t xml:space="preserve">partija sastāv no atkritumiem, </w:t>
            </w:r>
            <w:r w:rsidR="0002266A">
              <w:rPr>
                <w:rFonts w:ascii="Times New Roman" w:hAnsi="Times New Roman"/>
                <w:sz w:val="28"/>
                <w:szCs w:val="28"/>
              </w:rPr>
              <w:t>kas atbilstoši apsaimniekojami.</w:t>
            </w:r>
          </w:p>
        </w:tc>
      </w:tr>
      <w:tr w:rsidR="004316BB" w:rsidRPr="00633048" w14:paraId="72916916" w14:textId="77777777" w:rsidTr="004316BB">
        <w:trPr>
          <w:trHeight w:val="372"/>
        </w:trPr>
        <w:tc>
          <w:tcPr>
            <w:tcW w:w="138" w:type="pct"/>
            <w:tcBorders>
              <w:top w:val="outset" w:sz="6" w:space="0" w:color="414142"/>
              <w:left w:val="outset" w:sz="6" w:space="0" w:color="414142"/>
              <w:bottom w:val="outset" w:sz="6" w:space="0" w:color="414142"/>
              <w:right w:val="outset" w:sz="6" w:space="0" w:color="414142"/>
            </w:tcBorders>
            <w:hideMark/>
          </w:tcPr>
          <w:p w14:paraId="4B4E557D" w14:textId="6839DC8F" w:rsidR="004316BB" w:rsidRPr="00633048" w:rsidRDefault="004316BB" w:rsidP="00E87CB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lastRenderedPageBreak/>
              <w:t>3.</w:t>
            </w:r>
          </w:p>
        </w:tc>
        <w:tc>
          <w:tcPr>
            <w:tcW w:w="767" w:type="pct"/>
            <w:tcBorders>
              <w:top w:val="outset" w:sz="6" w:space="0" w:color="414142"/>
              <w:left w:val="outset" w:sz="6" w:space="0" w:color="414142"/>
              <w:bottom w:val="outset" w:sz="6" w:space="0" w:color="414142"/>
              <w:right w:val="outset" w:sz="6" w:space="0" w:color="414142"/>
            </w:tcBorders>
            <w:hideMark/>
          </w:tcPr>
          <w:p w14:paraId="17326CE3" w14:textId="4F97BE17" w:rsidR="004316BB" w:rsidRPr="00633048" w:rsidRDefault="00516113" w:rsidP="00E87CB6">
            <w:pPr>
              <w:spacing w:after="0" w:line="240" w:lineRule="auto"/>
              <w:rPr>
                <w:rFonts w:ascii="Times New Roman" w:eastAsia="Times New Roman" w:hAnsi="Times New Roman" w:cs="Times New Roman"/>
                <w:sz w:val="28"/>
                <w:szCs w:val="28"/>
                <w:lang w:eastAsia="lv-LV"/>
              </w:rPr>
            </w:pPr>
            <w:r w:rsidRPr="00E52B85">
              <w:rPr>
                <w:rFonts w:ascii="Times New Roman" w:eastAsia="Times New Roman" w:hAnsi="Times New Roman" w:cs="Times New Roman"/>
                <w:sz w:val="28"/>
                <w:szCs w:val="28"/>
                <w:lang w:eastAsia="lv-LV"/>
              </w:rPr>
              <w:t xml:space="preserve"> Projekta izstrādē iesaistītās institūcijas un publiskas personas kapitālsabiedrības</w:t>
            </w:r>
          </w:p>
        </w:tc>
        <w:tc>
          <w:tcPr>
            <w:tcW w:w="4095" w:type="pct"/>
            <w:tcBorders>
              <w:top w:val="outset" w:sz="6" w:space="0" w:color="414142"/>
              <w:left w:val="outset" w:sz="6" w:space="0" w:color="414142"/>
              <w:bottom w:val="outset" w:sz="6" w:space="0" w:color="414142"/>
              <w:right w:val="outset" w:sz="6" w:space="0" w:color="414142"/>
            </w:tcBorders>
            <w:hideMark/>
          </w:tcPr>
          <w:p w14:paraId="04880E18" w14:textId="6442CEDB" w:rsidR="004316BB" w:rsidRPr="00633048" w:rsidRDefault="00B419D7" w:rsidP="00E87CB6">
            <w:pPr>
              <w:spacing w:after="0" w:line="240" w:lineRule="auto"/>
              <w:jc w:val="both"/>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Vides aizsardzības un reģionālās attīstības ministrija</w:t>
            </w:r>
            <w:r w:rsidR="00425EC2" w:rsidRPr="00633048">
              <w:rPr>
                <w:rFonts w:ascii="Times New Roman" w:eastAsia="Times New Roman" w:hAnsi="Times New Roman" w:cs="Times New Roman"/>
                <w:sz w:val="28"/>
                <w:szCs w:val="28"/>
                <w:lang w:eastAsia="lv-LV"/>
              </w:rPr>
              <w:t>, Valsts vides dienests</w:t>
            </w:r>
            <w:r w:rsidR="005C3C89">
              <w:rPr>
                <w:rFonts w:ascii="Times New Roman" w:eastAsia="Times New Roman" w:hAnsi="Times New Roman" w:cs="Times New Roman"/>
                <w:sz w:val="28"/>
                <w:szCs w:val="28"/>
                <w:lang w:eastAsia="lv-LV"/>
              </w:rPr>
              <w:t>.</w:t>
            </w:r>
          </w:p>
        </w:tc>
      </w:tr>
      <w:tr w:rsidR="004316BB" w:rsidRPr="00633048" w14:paraId="7521D165" w14:textId="77777777" w:rsidTr="004316BB">
        <w:tc>
          <w:tcPr>
            <w:tcW w:w="138" w:type="pct"/>
            <w:tcBorders>
              <w:top w:val="outset" w:sz="6" w:space="0" w:color="414142"/>
              <w:left w:val="outset" w:sz="6" w:space="0" w:color="414142"/>
              <w:bottom w:val="outset" w:sz="6" w:space="0" w:color="414142"/>
              <w:right w:val="outset" w:sz="6" w:space="0" w:color="414142"/>
            </w:tcBorders>
            <w:hideMark/>
          </w:tcPr>
          <w:p w14:paraId="4F795DF0" w14:textId="77777777" w:rsidR="004316BB" w:rsidRPr="00633048" w:rsidRDefault="004316BB" w:rsidP="00E87CB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4.</w:t>
            </w:r>
          </w:p>
        </w:tc>
        <w:tc>
          <w:tcPr>
            <w:tcW w:w="767" w:type="pct"/>
            <w:tcBorders>
              <w:top w:val="outset" w:sz="6" w:space="0" w:color="414142"/>
              <w:left w:val="outset" w:sz="6" w:space="0" w:color="414142"/>
              <w:bottom w:val="outset" w:sz="6" w:space="0" w:color="414142"/>
              <w:right w:val="outset" w:sz="6" w:space="0" w:color="414142"/>
            </w:tcBorders>
            <w:hideMark/>
          </w:tcPr>
          <w:p w14:paraId="7E159E38" w14:textId="77777777" w:rsidR="004316BB" w:rsidRPr="00633048" w:rsidRDefault="004316BB"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Cita informācija</w:t>
            </w:r>
          </w:p>
        </w:tc>
        <w:tc>
          <w:tcPr>
            <w:tcW w:w="4095" w:type="pct"/>
            <w:tcBorders>
              <w:top w:val="outset" w:sz="6" w:space="0" w:color="414142"/>
              <w:left w:val="outset" w:sz="6" w:space="0" w:color="414142"/>
              <w:bottom w:val="outset" w:sz="6" w:space="0" w:color="414142"/>
              <w:right w:val="outset" w:sz="6" w:space="0" w:color="414142"/>
            </w:tcBorders>
            <w:hideMark/>
          </w:tcPr>
          <w:p w14:paraId="1E63C8FA" w14:textId="720685BE" w:rsidR="004316BB" w:rsidRPr="00633048" w:rsidRDefault="004316BB" w:rsidP="00E87CB6">
            <w:pPr>
              <w:spacing w:before="100" w:beforeAutospacing="1" w:after="100" w:afterAutospacing="1" w:line="293" w:lineRule="atLeast"/>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Nav</w:t>
            </w:r>
            <w:r w:rsidR="005C3C89">
              <w:rPr>
                <w:rFonts w:ascii="Times New Roman" w:eastAsia="Times New Roman" w:hAnsi="Times New Roman" w:cs="Times New Roman"/>
                <w:sz w:val="28"/>
                <w:szCs w:val="28"/>
                <w:lang w:eastAsia="lv-LV"/>
              </w:rPr>
              <w:t>.</w:t>
            </w:r>
          </w:p>
        </w:tc>
      </w:tr>
    </w:tbl>
    <w:p w14:paraId="7D0BD001" w14:textId="29C0E077" w:rsidR="005F1304" w:rsidRPr="00633048" w:rsidRDefault="005F1304" w:rsidP="00D90D01">
      <w:pPr>
        <w:spacing w:after="0" w:line="240" w:lineRule="auto"/>
        <w:rPr>
          <w:rFonts w:ascii="Times New Roman" w:eastAsia="Times New Roman" w:hAnsi="Times New Roman" w:cs="Times New Roman"/>
          <w:sz w:val="28"/>
          <w:szCs w:val="28"/>
          <w:lang w:eastAsia="lv-LV"/>
        </w:rPr>
      </w:pPr>
    </w:p>
    <w:p w14:paraId="677008C6" w14:textId="77777777" w:rsidR="004322B3" w:rsidRPr="00633048" w:rsidRDefault="004322B3" w:rsidP="00D90D01">
      <w:pPr>
        <w:spacing w:after="0" w:line="240" w:lineRule="auto"/>
        <w:rPr>
          <w:rFonts w:ascii="Times New Roman" w:eastAsia="Times New Roman" w:hAnsi="Times New Roman" w:cs="Times New Roman"/>
          <w:sz w:val="28"/>
          <w:szCs w:val="28"/>
          <w:lang w:eastAsia="lv-LV"/>
        </w:rPr>
      </w:pPr>
    </w:p>
    <w:tbl>
      <w:tblPr>
        <w:tblStyle w:val="TableGrid"/>
        <w:tblW w:w="9067" w:type="dxa"/>
        <w:tblLook w:val="04A0" w:firstRow="1" w:lastRow="0" w:firstColumn="1" w:lastColumn="0" w:noHBand="0" w:noVBand="1"/>
      </w:tblPr>
      <w:tblGrid>
        <w:gridCol w:w="426"/>
        <w:gridCol w:w="1989"/>
        <w:gridCol w:w="6652"/>
      </w:tblGrid>
      <w:tr w:rsidR="005F1304" w:rsidRPr="00633048" w14:paraId="79104E3F" w14:textId="77777777" w:rsidTr="00425EC2">
        <w:tc>
          <w:tcPr>
            <w:tcW w:w="9067" w:type="dxa"/>
            <w:gridSpan w:val="3"/>
          </w:tcPr>
          <w:p w14:paraId="4937B464" w14:textId="4F9CA018" w:rsidR="005F1304" w:rsidRPr="00633048" w:rsidRDefault="005F1304" w:rsidP="00425EC2">
            <w:pPr>
              <w:jc w:val="center"/>
              <w:rPr>
                <w:rFonts w:ascii="Times New Roman" w:eastAsia="Times New Roman" w:hAnsi="Times New Roman" w:cs="Times New Roman"/>
                <w:sz w:val="28"/>
                <w:szCs w:val="28"/>
                <w:lang w:eastAsia="lv-LV"/>
              </w:rPr>
            </w:pPr>
            <w:r w:rsidRPr="00633048">
              <w:rPr>
                <w:rFonts w:ascii="Times New Roman" w:eastAsia="Times New Roman" w:hAnsi="Times New Roman" w:cs="Times New Roman"/>
                <w:b/>
                <w:bCs/>
                <w:sz w:val="28"/>
                <w:szCs w:val="28"/>
                <w:lang w:eastAsia="lv-LV"/>
              </w:rPr>
              <w:t>II.</w:t>
            </w:r>
            <w:r w:rsidR="002B7251" w:rsidRPr="00633048">
              <w:rPr>
                <w:rFonts w:ascii="Times New Roman" w:eastAsia="Times New Roman" w:hAnsi="Times New Roman" w:cs="Times New Roman"/>
                <w:b/>
                <w:bCs/>
                <w:sz w:val="28"/>
                <w:szCs w:val="28"/>
                <w:lang w:eastAsia="lv-LV"/>
              </w:rPr>
              <w:t> </w:t>
            </w:r>
            <w:r w:rsidRPr="00633048">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5F1304" w:rsidRPr="00633048" w14:paraId="2DC96EFA" w14:textId="77777777" w:rsidTr="00425EC2">
        <w:tc>
          <w:tcPr>
            <w:tcW w:w="396" w:type="dxa"/>
          </w:tcPr>
          <w:p w14:paraId="0196B2A3" w14:textId="77777777" w:rsidR="005F1304" w:rsidRPr="00633048" w:rsidRDefault="005F1304" w:rsidP="005F1304">
            <w:pPr>
              <w:spacing w:before="100" w:beforeAutospacing="1" w:after="100" w:afterAutospacing="1"/>
              <w:jc w:val="cente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1.</w:t>
            </w:r>
          </w:p>
        </w:tc>
        <w:tc>
          <w:tcPr>
            <w:tcW w:w="1736" w:type="dxa"/>
          </w:tcPr>
          <w:p w14:paraId="0D4FD27D" w14:textId="77777777" w:rsidR="005F1304" w:rsidRPr="00633048" w:rsidRDefault="005F1304" w:rsidP="005F1304">
            <w:pP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 xml:space="preserve">Sabiedrības mērķgrupas, kuras tiesiskais </w:t>
            </w:r>
            <w:r w:rsidRPr="00633048">
              <w:rPr>
                <w:rFonts w:ascii="Times New Roman" w:eastAsia="Times New Roman" w:hAnsi="Times New Roman" w:cs="Times New Roman"/>
                <w:sz w:val="28"/>
                <w:szCs w:val="28"/>
                <w:lang w:eastAsia="lv-LV"/>
              </w:rPr>
              <w:lastRenderedPageBreak/>
              <w:t>regulējums ietekmē vai varētu ietekmēt</w:t>
            </w:r>
          </w:p>
        </w:tc>
        <w:tc>
          <w:tcPr>
            <w:tcW w:w="6935" w:type="dxa"/>
          </w:tcPr>
          <w:p w14:paraId="4A4AAC86" w14:textId="5BAC8D94" w:rsidR="005F1304" w:rsidRPr="00633048" w:rsidRDefault="00425EC2" w:rsidP="007C2869">
            <w:pPr>
              <w:jc w:val="both"/>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lastRenderedPageBreak/>
              <w:t>K</w:t>
            </w:r>
            <w:r w:rsidR="005F1304" w:rsidRPr="00633048">
              <w:rPr>
                <w:rFonts w:ascii="Times New Roman" w:eastAsia="Times New Roman" w:hAnsi="Times New Roman" w:cs="Times New Roman"/>
                <w:sz w:val="28"/>
                <w:szCs w:val="28"/>
                <w:lang w:eastAsia="lv-LV"/>
              </w:rPr>
              <w:t>o</w:t>
            </w:r>
            <w:r w:rsidR="00B61E89" w:rsidRPr="00633048">
              <w:rPr>
                <w:rFonts w:ascii="Times New Roman" w:eastAsia="Times New Roman" w:hAnsi="Times New Roman" w:cs="Times New Roman"/>
                <w:sz w:val="28"/>
                <w:szCs w:val="28"/>
                <w:lang w:eastAsia="lv-LV"/>
              </w:rPr>
              <w:t xml:space="preserve">mersanti, kuri veic </w:t>
            </w:r>
            <w:r w:rsidR="007C2869">
              <w:rPr>
                <w:rFonts w:ascii="Times New Roman" w:eastAsia="Times New Roman" w:hAnsi="Times New Roman" w:cs="Times New Roman"/>
                <w:sz w:val="28"/>
                <w:szCs w:val="28"/>
                <w:lang w:eastAsia="lv-LV"/>
              </w:rPr>
              <w:t>koksnes iepakojuma</w:t>
            </w:r>
            <w:r w:rsidR="003848FD" w:rsidRPr="00633048">
              <w:rPr>
                <w:rFonts w:ascii="Times New Roman" w:eastAsia="Times New Roman" w:hAnsi="Times New Roman" w:cs="Times New Roman"/>
                <w:sz w:val="28"/>
                <w:szCs w:val="28"/>
                <w:lang w:eastAsia="lv-LV"/>
              </w:rPr>
              <w:t xml:space="preserve"> </w:t>
            </w:r>
            <w:r w:rsidR="00E1561C">
              <w:rPr>
                <w:rFonts w:ascii="Times New Roman" w:eastAsia="Times New Roman" w:hAnsi="Times New Roman" w:cs="Times New Roman"/>
                <w:sz w:val="28"/>
                <w:szCs w:val="28"/>
                <w:lang w:eastAsia="lv-LV"/>
              </w:rPr>
              <w:t xml:space="preserve">atkritumu </w:t>
            </w:r>
            <w:r w:rsidR="003848FD" w:rsidRPr="00633048">
              <w:rPr>
                <w:rFonts w:ascii="Times New Roman" w:eastAsia="Times New Roman" w:hAnsi="Times New Roman" w:cs="Times New Roman"/>
                <w:sz w:val="28"/>
                <w:szCs w:val="28"/>
                <w:lang w:eastAsia="lv-LV"/>
              </w:rPr>
              <w:t>pārstrādi</w:t>
            </w:r>
            <w:r w:rsidR="007C2869">
              <w:rPr>
                <w:rFonts w:ascii="Times New Roman" w:eastAsia="Times New Roman" w:hAnsi="Times New Roman" w:cs="Times New Roman"/>
                <w:sz w:val="28"/>
                <w:szCs w:val="28"/>
                <w:lang w:eastAsia="lv-LV"/>
              </w:rPr>
              <w:t xml:space="preserve"> šķeldā</w:t>
            </w:r>
            <w:r w:rsidRPr="00633048">
              <w:rPr>
                <w:rFonts w:ascii="Times New Roman" w:eastAsia="Times New Roman" w:hAnsi="Times New Roman" w:cs="Times New Roman"/>
                <w:sz w:val="28"/>
                <w:szCs w:val="28"/>
                <w:lang w:eastAsia="lv-LV"/>
              </w:rPr>
              <w:t xml:space="preserve">, </w:t>
            </w:r>
            <w:r w:rsidR="007C2869">
              <w:rPr>
                <w:rFonts w:ascii="Times New Roman" w:eastAsia="Times New Roman" w:hAnsi="Times New Roman" w:cs="Times New Roman"/>
                <w:sz w:val="28"/>
                <w:szCs w:val="28"/>
                <w:lang w:eastAsia="lv-LV"/>
              </w:rPr>
              <w:t xml:space="preserve">komersanti, kuri pērk un ieved no citām </w:t>
            </w:r>
            <w:r w:rsidR="007C2869">
              <w:rPr>
                <w:rFonts w:ascii="Times New Roman" w:eastAsia="Times New Roman" w:hAnsi="Times New Roman" w:cs="Times New Roman"/>
                <w:sz w:val="28"/>
                <w:szCs w:val="28"/>
                <w:lang w:eastAsia="lv-LV"/>
              </w:rPr>
              <w:lastRenderedPageBreak/>
              <w:t>valstīm Latvijas teritorijā no koksnes iepakojuma iegūtu šķeldu izmantošanai kā biomasas kurināmo</w:t>
            </w:r>
            <w:r w:rsidR="00BC1A21" w:rsidRPr="00633048">
              <w:rPr>
                <w:rFonts w:ascii="Times New Roman" w:eastAsia="Times New Roman" w:hAnsi="Times New Roman" w:cs="Times New Roman"/>
                <w:sz w:val="28"/>
                <w:szCs w:val="28"/>
                <w:lang w:eastAsia="lv-LV"/>
              </w:rPr>
              <w:t>.</w:t>
            </w:r>
          </w:p>
        </w:tc>
      </w:tr>
      <w:tr w:rsidR="005F1304" w:rsidRPr="00633048" w14:paraId="62C7FED6" w14:textId="77777777" w:rsidTr="00425EC2">
        <w:tc>
          <w:tcPr>
            <w:tcW w:w="396" w:type="dxa"/>
          </w:tcPr>
          <w:p w14:paraId="23B34A55" w14:textId="77777777" w:rsidR="005F1304" w:rsidRPr="00633048" w:rsidRDefault="005F1304" w:rsidP="005F1304">
            <w:pPr>
              <w:spacing w:before="100" w:beforeAutospacing="1" w:after="100" w:afterAutospacing="1"/>
              <w:jc w:val="cente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2.</w:t>
            </w:r>
          </w:p>
        </w:tc>
        <w:tc>
          <w:tcPr>
            <w:tcW w:w="1736" w:type="dxa"/>
          </w:tcPr>
          <w:p w14:paraId="30376CBB" w14:textId="77777777" w:rsidR="005F1304" w:rsidRPr="00633048" w:rsidRDefault="005F1304" w:rsidP="005F1304">
            <w:pP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Tiesiskā regulējuma ietekme uz tautsaimniecību un administratīvo slogu</w:t>
            </w:r>
          </w:p>
        </w:tc>
        <w:tc>
          <w:tcPr>
            <w:tcW w:w="6935" w:type="dxa"/>
          </w:tcPr>
          <w:p w14:paraId="25A9DE01" w14:textId="7613CA7B" w:rsidR="005F1304" w:rsidRPr="006B2F29" w:rsidRDefault="000361D4" w:rsidP="009078D0">
            <w:pPr>
              <w:jc w:val="both"/>
              <w:rPr>
                <w:rFonts w:ascii="Times New Roman" w:eastAsia="Times New Roman" w:hAnsi="Times New Roman" w:cs="Times New Roman"/>
                <w:sz w:val="28"/>
                <w:szCs w:val="28"/>
                <w:lang w:eastAsia="lv-LV"/>
              </w:rPr>
            </w:pPr>
            <w:r w:rsidRPr="006B2F29">
              <w:rPr>
                <w:rFonts w:ascii="Times New Roman" w:eastAsia="Times New Roman" w:hAnsi="Times New Roman" w:cs="Times New Roman"/>
                <w:sz w:val="28"/>
                <w:szCs w:val="28"/>
                <w:lang w:eastAsia="lv-LV"/>
              </w:rPr>
              <w:t>Projekta tiesiskā regulējuma ietekme uz tautsaimniecību un sabiedrības mērķ</w:t>
            </w:r>
            <w:r w:rsidR="003A2B56" w:rsidRPr="006B2F29">
              <w:rPr>
                <w:rFonts w:ascii="Times New Roman" w:eastAsia="Times New Roman" w:hAnsi="Times New Roman" w:cs="Times New Roman"/>
                <w:sz w:val="28"/>
                <w:szCs w:val="28"/>
                <w:lang w:eastAsia="lv-LV"/>
              </w:rPr>
              <w:t xml:space="preserve">a </w:t>
            </w:r>
            <w:r w:rsidRPr="006B2F29">
              <w:rPr>
                <w:rFonts w:ascii="Times New Roman" w:eastAsia="Times New Roman" w:hAnsi="Times New Roman" w:cs="Times New Roman"/>
                <w:sz w:val="28"/>
                <w:szCs w:val="28"/>
                <w:lang w:eastAsia="lv-LV"/>
              </w:rPr>
              <w:t>grupām</w:t>
            </w:r>
            <w:r w:rsidR="00A70E7E" w:rsidRPr="006B2F29">
              <w:rPr>
                <w:rFonts w:ascii="Times New Roman" w:eastAsia="Times New Roman" w:hAnsi="Times New Roman" w:cs="Times New Roman"/>
                <w:sz w:val="28"/>
                <w:szCs w:val="28"/>
                <w:lang w:eastAsia="lv-LV"/>
              </w:rPr>
              <w:t xml:space="preserve"> –</w:t>
            </w:r>
            <w:r w:rsidRPr="006B2F29">
              <w:rPr>
                <w:rFonts w:ascii="Times New Roman" w:eastAsia="Times New Roman" w:hAnsi="Times New Roman" w:cs="Times New Roman"/>
                <w:sz w:val="28"/>
                <w:szCs w:val="28"/>
                <w:lang w:eastAsia="lv-LV"/>
              </w:rPr>
              <w:t xml:space="preserve"> uz</w:t>
            </w:r>
            <w:r w:rsidR="005F1304" w:rsidRPr="006B2F29">
              <w:rPr>
                <w:rFonts w:ascii="Times New Roman" w:eastAsia="Times New Roman" w:hAnsi="Times New Roman" w:cs="Times New Roman"/>
                <w:sz w:val="28"/>
                <w:szCs w:val="28"/>
                <w:lang w:eastAsia="lv-LV"/>
              </w:rPr>
              <w:t xml:space="preserve"> </w:t>
            </w:r>
            <w:r w:rsidRPr="006B2F29">
              <w:rPr>
                <w:rFonts w:ascii="Times New Roman" w:eastAsia="Times New Roman" w:hAnsi="Times New Roman" w:cs="Times New Roman"/>
                <w:sz w:val="28"/>
                <w:szCs w:val="28"/>
                <w:lang w:eastAsia="lv-LV"/>
              </w:rPr>
              <w:t>maziem, vidējiem uzņēmumiem, mikrouzņēmumiem un jaunuzņēmumiem</w:t>
            </w:r>
            <w:r w:rsidR="00791F15" w:rsidRPr="006B2F29">
              <w:rPr>
                <w:rFonts w:ascii="Times New Roman" w:eastAsia="Times New Roman" w:hAnsi="Times New Roman" w:cs="Times New Roman"/>
                <w:sz w:val="28"/>
                <w:szCs w:val="28"/>
                <w:lang w:eastAsia="lv-LV"/>
              </w:rPr>
              <w:t>,</w:t>
            </w:r>
            <w:r w:rsidRPr="006B2F29">
              <w:rPr>
                <w:rFonts w:ascii="Times New Roman" w:eastAsia="Times New Roman" w:hAnsi="Times New Roman" w:cs="Times New Roman"/>
                <w:sz w:val="28"/>
                <w:szCs w:val="28"/>
                <w:lang w:eastAsia="lv-LV"/>
              </w:rPr>
              <w:t xml:space="preserve"> un uz nevalstiskajām organizācijām</w:t>
            </w:r>
            <w:r w:rsidR="00A70E7E" w:rsidRPr="006B2F29">
              <w:rPr>
                <w:rFonts w:ascii="Times New Roman" w:eastAsia="Times New Roman" w:hAnsi="Times New Roman" w:cs="Times New Roman"/>
                <w:sz w:val="28"/>
                <w:szCs w:val="28"/>
                <w:lang w:eastAsia="lv-LV"/>
              </w:rPr>
              <w:t xml:space="preserve"> nebūs ievērojama</w:t>
            </w:r>
            <w:r w:rsidRPr="006B2F29">
              <w:rPr>
                <w:rFonts w:ascii="Times New Roman" w:eastAsia="Times New Roman" w:hAnsi="Times New Roman" w:cs="Times New Roman"/>
                <w:sz w:val="28"/>
                <w:szCs w:val="28"/>
                <w:lang w:eastAsia="lv-LV"/>
              </w:rPr>
              <w:t>. Projektam būs pozi</w:t>
            </w:r>
            <w:r w:rsidR="009078D0" w:rsidRPr="006B2F29">
              <w:rPr>
                <w:rFonts w:ascii="Times New Roman" w:eastAsia="Times New Roman" w:hAnsi="Times New Roman" w:cs="Times New Roman"/>
                <w:sz w:val="28"/>
                <w:szCs w:val="28"/>
                <w:lang w:eastAsia="lv-LV"/>
              </w:rPr>
              <w:t>tīva ietekme uz vidi</w:t>
            </w:r>
            <w:r w:rsidRPr="006B2F29">
              <w:rPr>
                <w:rFonts w:ascii="Times New Roman" w:eastAsia="Times New Roman" w:hAnsi="Times New Roman" w:cs="Times New Roman"/>
                <w:sz w:val="28"/>
                <w:szCs w:val="28"/>
                <w:lang w:eastAsia="lv-LV"/>
              </w:rPr>
              <w:t xml:space="preserve">, jo tiesiskais regulējums </w:t>
            </w:r>
            <w:r w:rsidR="00791F15" w:rsidRPr="006B2F29">
              <w:rPr>
                <w:rFonts w:ascii="Times New Roman" w:eastAsia="Times New Roman" w:hAnsi="Times New Roman" w:cs="Times New Roman"/>
                <w:sz w:val="28"/>
                <w:szCs w:val="28"/>
                <w:lang w:eastAsia="lv-LV"/>
              </w:rPr>
              <w:t xml:space="preserve">veicinās kvalitatīvu otrreizējo izejvielu iegūšanu no atkritumiem, līdz ar to mazinot </w:t>
            </w:r>
            <w:r w:rsidR="00E1561C">
              <w:rPr>
                <w:rFonts w:ascii="Times New Roman" w:eastAsia="Times New Roman" w:hAnsi="Times New Roman" w:cs="Times New Roman"/>
                <w:sz w:val="28"/>
                <w:szCs w:val="28"/>
                <w:lang w:eastAsia="lv-LV"/>
              </w:rPr>
              <w:t>šķeldas</w:t>
            </w:r>
            <w:r w:rsidR="00791F15" w:rsidRPr="006B2F29">
              <w:rPr>
                <w:rFonts w:ascii="Times New Roman" w:eastAsia="Times New Roman" w:hAnsi="Times New Roman" w:cs="Times New Roman"/>
                <w:sz w:val="28"/>
                <w:szCs w:val="28"/>
                <w:lang w:eastAsia="lv-LV"/>
              </w:rPr>
              <w:t xml:space="preserve"> sadedzināšanas ietekmi uz vidi. Vienlaicīgi noteikumu projekts mazinās poligonos noglabājamo atkritumu apjomu, kā arī attīstīs </w:t>
            </w:r>
            <w:r w:rsidRPr="006B2F29">
              <w:rPr>
                <w:rFonts w:ascii="Times New Roman" w:eastAsia="Times New Roman" w:hAnsi="Times New Roman" w:cs="Times New Roman"/>
                <w:sz w:val="28"/>
                <w:szCs w:val="28"/>
                <w:lang w:eastAsia="lv-LV"/>
              </w:rPr>
              <w:t xml:space="preserve">konkurenci </w:t>
            </w:r>
            <w:r w:rsidR="00791F15" w:rsidRPr="006B2F29">
              <w:rPr>
                <w:rFonts w:ascii="Times New Roman" w:eastAsia="Times New Roman" w:hAnsi="Times New Roman" w:cs="Times New Roman"/>
                <w:sz w:val="28"/>
                <w:szCs w:val="28"/>
                <w:lang w:eastAsia="lv-LV"/>
              </w:rPr>
              <w:t xml:space="preserve">koksnes iepakojuma </w:t>
            </w:r>
            <w:r w:rsidR="00F07A3B" w:rsidRPr="006B2F29">
              <w:rPr>
                <w:rFonts w:ascii="Times New Roman" w:eastAsia="Times New Roman" w:hAnsi="Times New Roman" w:cs="Times New Roman"/>
                <w:sz w:val="28"/>
                <w:szCs w:val="28"/>
                <w:lang w:eastAsia="lv-LV"/>
              </w:rPr>
              <w:t>atkritumu pārstrādes jomā, jo noteiks vienlīdzīgus nosacījumus un kvalitātes krit</w:t>
            </w:r>
            <w:r w:rsidR="002D297A" w:rsidRPr="006B2F29">
              <w:rPr>
                <w:rFonts w:ascii="Times New Roman" w:eastAsia="Times New Roman" w:hAnsi="Times New Roman" w:cs="Times New Roman"/>
                <w:sz w:val="28"/>
                <w:szCs w:val="28"/>
                <w:lang w:eastAsia="lv-LV"/>
              </w:rPr>
              <w:t>ērijus šķeldas iegūšanai ar mērķi to izmantot kā biomasas kurināmo.</w:t>
            </w:r>
          </w:p>
          <w:p w14:paraId="00B68A8F" w14:textId="77777777" w:rsidR="009078D0" w:rsidRPr="0002266A" w:rsidRDefault="009078D0" w:rsidP="009078D0">
            <w:pPr>
              <w:jc w:val="both"/>
              <w:rPr>
                <w:rFonts w:ascii="Times New Roman" w:eastAsia="Times New Roman" w:hAnsi="Times New Roman" w:cs="Times New Roman"/>
                <w:sz w:val="28"/>
                <w:szCs w:val="28"/>
                <w:highlight w:val="yellow"/>
                <w:lang w:eastAsia="lv-LV"/>
              </w:rPr>
            </w:pPr>
          </w:p>
          <w:p w14:paraId="75EE3A48" w14:textId="02F5544A" w:rsidR="009078D0" w:rsidRDefault="00791F15" w:rsidP="009078D0">
            <w:pPr>
              <w:jc w:val="both"/>
              <w:rPr>
                <w:rFonts w:ascii="Times New Roman" w:eastAsia="Times New Roman" w:hAnsi="Times New Roman" w:cs="Times New Roman"/>
                <w:sz w:val="28"/>
                <w:szCs w:val="28"/>
                <w:lang w:eastAsia="lv-LV"/>
              </w:rPr>
            </w:pPr>
            <w:r w:rsidRPr="00F07A3B">
              <w:rPr>
                <w:rFonts w:ascii="Times New Roman" w:eastAsia="Times New Roman" w:hAnsi="Times New Roman" w:cs="Times New Roman"/>
                <w:sz w:val="28"/>
                <w:szCs w:val="28"/>
                <w:lang w:eastAsia="lv-LV"/>
              </w:rPr>
              <w:t xml:space="preserve">Noteikumu projekts veicinās Nacionālā attīstības plāna </w:t>
            </w:r>
            <w:r w:rsidR="00F07A3B" w:rsidRPr="00F07A3B">
              <w:rPr>
                <w:rFonts w:ascii="Times New Roman" w:eastAsia="Times New Roman" w:hAnsi="Times New Roman" w:cs="Times New Roman"/>
                <w:sz w:val="28"/>
                <w:szCs w:val="28"/>
                <w:lang w:eastAsia="lv-LV"/>
              </w:rPr>
              <w:t>rīcības virziena</w:t>
            </w:r>
            <w:r w:rsidR="00E1561C">
              <w:rPr>
                <w:rFonts w:ascii="Times New Roman" w:eastAsia="Times New Roman" w:hAnsi="Times New Roman" w:cs="Times New Roman"/>
                <w:sz w:val="28"/>
                <w:szCs w:val="28"/>
                <w:lang w:eastAsia="lv-LV"/>
              </w:rPr>
              <w:t xml:space="preserve"> “</w:t>
            </w:r>
            <w:r w:rsidRPr="00F07A3B">
              <w:rPr>
                <w:rFonts w:ascii="Times New Roman" w:eastAsia="Times New Roman" w:hAnsi="Times New Roman" w:cs="Times New Roman"/>
                <w:sz w:val="28"/>
                <w:szCs w:val="28"/>
                <w:lang w:eastAsia="lv-LV"/>
              </w:rPr>
              <w:t>Dabas un kultūras kapit</w:t>
            </w:r>
            <w:r w:rsidR="00E1561C">
              <w:rPr>
                <w:rFonts w:ascii="Times New Roman" w:eastAsia="Times New Roman" w:hAnsi="Times New Roman" w:cs="Times New Roman"/>
                <w:sz w:val="28"/>
                <w:szCs w:val="28"/>
                <w:lang w:eastAsia="lv-LV"/>
              </w:rPr>
              <w:t>āla ilgtspējīga apsaimniekošana”</w:t>
            </w:r>
            <w:r w:rsidR="00F07A3B" w:rsidRPr="00F07A3B">
              <w:rPr>
                <w:rFonts w:ascii="Times New Roman" w:eastAsia="Times New Roman" w:hAnsi="Times New Roman" w:cs="Times New Roman"/>
                <w:sz w:val="28"/>
                <w:szCs w:val="28"/>
                <w:lang w:eastAsia="lv-LV"/>
              </w:rPr>
              <w:t xml:space="preserve"> mērķa Nr. 1 “Saglabāt dabas kapitālu kā bāzi ilgtspējīgai ekonomiskajai izaugsmei un sekmēt tā ilgtspējīgu izmantošanu, mazinot dabas un cilvēka darbības radītos riskus vides kvalitātei” īstenošanu, jo viens no mērķa sasniegšanas rādītājiem ir pārstrādāto atkritumu īpatsvars</w:t>
            </w:r>
            <w:r w:rsidR="00E1561C">
              <w:rPr>
                <w:rFonts w:ascii="Times New Roman" w:eastAsia="Times New Roman" w:hAnsi="Times New Roman" w:cs="Times New Roman"/>
                <w:sz w:val="28"/>
                <w:szCs w:val="28"/>
                <w:lang w:eastAsia="lv-LV"/>
              </w:rPr>
              <w:t xml:space="preserve"> kopējā savākto atkritumu plūsmā</w:t>
            </w:r>
            <w:r w:rsidR="00F07A3B" w:rsidRPr="00F07A3B">
              <w:rPr>
                <w:rFonts w:ascii="Times New Roman" w:eastAsia="Times New Roman" w:hAnsi="Times New Roman" w:cs="Times New Roman"/>
                <w:sz w:val="28"/>
                <w:szCs w:val="28"/>
                <w:lang w:eastAsia="lv-LV"/>
              </w:rPr>
              <w:t>.</w:t>
            </w:r>
            <w:r w:rsidR="00F07A3B">
              <w:rPr>
                <w:rFonts w:ascii="Times New Roman" w:eastAsia="Times New Roman" w:hAnsi="Times New Roman" w:cs="Times New Roman"/>
                <w:sz w:val="28"/>
                <w:szCs w:val="28"/>
                <w:lang w:eastAsia="lv-LV"/>
              </w:rPr>
              <w:t xml:space="preserve"> </w:t>
            </w:r>
          </w:p>
          <w:p w14:paraId="6F9CD96B" w14:textId="77777777" w:rsidR="00F07A3B" w:rsidRDefault="00F07A3B" w:rsidP="009078D0">
            <w:pPr>
              <w:jc w:val="both"/>
              <w:rPr>
                <w:rFonts w:ascii="Times New Roman" w:eastAsia="Times New Roman" w:hAnsi="Times New Roman" w:cs="Times New Roman"/>
                <w:sz w:val="28"/>
                <w:szCs w:val="28"/>
                <w:lang w:eastAsia="lv-LV"/>
              </w:rPr>
            </w:pPr>
          </w:p>
          <w:p w14:paraId="59531135" w14:textId="7F0CC6D9" w:rsidR="009078D0" w:rsidRPr="006B2F29" w:rsidRDefault="002D297A" w:rsidP="009078D0">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Administrat</w:t>
            </w:r>
            <w:r w:rsidR="006B2F29">
              <w:rPr>
                <w:rFonts w:ascii="Times New Roman" w:eastAsia="Times New Roman" w:hAnsi="Times New Roman" w:cs="Times New Roman"/>
                <w:sz w:val="28"/>
                <w:szCs w:val="28"/>
                <w:lang w:eastAsia="lv-LV"/>
              </w:rPr>
              <w:t>īvā</w:t>
            </w:r>
            <w:r>
              <w:rPr>
                <w:rFonts w:ascii="Times New Roman" w:eastAsia="Times New Roman" w:hAnsi="Times New Roman" w:cs="Times New Roman"/>
                <w:sz w:val="28"/>
                <w:szCs w:val="28"/>
                <w:lang w:eastAsia="lv-LV"/>
              </w:rPr>
              <w:t xml:space="preserve"> sloga izmaiņas vērtējamas kā nebūtiskas, tomēr tās skars noteikumu projektā minētos komersantus, t.i. koksnes iepakojuma pārstrādes veicējus un komersantus, kuri ieved Latvijas teritorijā šķeldu no citām valstīm, jo noteikumu projekts paredz ieviest kvalitātes pārvaldības sistēmu</w:t>
            </w:r>
            <w:r w:rsidR="006B2F29">
              <w:rPr>
                <w:rFonts w:ascii="Times New Roman" w:eastAsia="Times New Roman" w:hAnsi="Times New Roman" w:cs="Times New Roman"/>
                <w:sz w:val="28"/>
                <w:szCs w:val="28"/>
                <w:lang w:eastAsia="lv-LV"/>
              </w:rPr>
              <w:t>, kā arī veikt atbildīgo darbinieku apmācības – noteikumu projekts paredz, ka komersants apmāca atbildīgos darbiniekus veikt šķeldas vizuālo pārbaudi ar mērķi noteikt pazīmes, kas varētu liecināt par bīstamu un videi kaitīgu vielu klātbūtni šķeldā.</w:t>
            </w:r>
            <w:r w:rsidR="00E1561C">
              <w:rPr>
                <w:rFonts w:ascii="Times New Roman" w:eastAsia="Times New Roman" w:hAnsi="Times New Roman" w:cs="Times New Roman"/>
                <w:sz w:val="28"/>
                <w:szCs w:val="28"/>
                <w:lang w:eastAsia="lv-LV"/>
              </w:rPr>
              <w:t xml:space="preserve"> Tāpat noteikumu projekts paredz informācijas sniegšanas pienākumu atkritumu jomas kontrolējošās institūcijas pārbaudes gadījumā, tomēr šīs administratīvais slogs vērtējams kā nebūtisks.</w:t>
            </w:r>
          </w:p>
        </w:tc>
      </w:tr>
      <w:tr w:rsidR="005F1304" w:rsidRPr="00633048" w14:paraId="4BD6789F" w14:textId="77777777" w:rsidTr="00425EC2">
        <w:tc>
          <w:tcPr>
            <w:tcW w:w="396" w:type="dxa"/>
          </w:tcPr>
          <w:p w14:paraId="2D8836C1" w14:textId="77777777" w:rsidR="005F1304" w:rsidRPr="00633048" w:rsidRDefault="005F1304" w:rsidP="005F1304">
            <w:pPr>
              <w:spacing w:before="100" w:beforeAutospacing="1" w:after="100" w:afterAutospacing="1"/>
              <w:jc w:val="cente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3.</w:t>
            </w:r>
          </w:p>
        </w:tc>
        <w:tc>
          <w:tcPr>
            <w:tcW w:w="1736" w:type="dxa"/>
          </w:tcPr>
          <w:p w14:paraId="5DA949E0" w14:textId="77777777" w:rsidR="005F1304" w:rsidRPr="00E1561C" w:rsidRDefault="005F1304" w:rsidP="005F1304">
            <w:pPr>
              <w:rPr>
                <w:rFonts w:ascii="Times New Roman" w:eastAsia="Times New Roman" w:hAnsi="Times New Roman" w:cs="Times New Roman"/>
                <w:sz w:val="28"/>
                <w:szCs w:val="28"/>
                <w:lang w:eastAsia="lv-LV"/>
              </w:rPr>
            </w:pPr>
            <w:r w:rsidRPr="00E1561C">
              <w:rPr>
                <w:rFonts w:ascii="Times New Roman" w:eastAsia="Times New Roman" w:hAnsi="Times New Roman" w:cs="Times New Roman"/>
                <w:sz w:val="28"/>
                <w:szCs w:val="28"/>
                <w:lang w:eastAsia="lv-LV"/>
              </w:rPr>
              <w:t>Administratīvo izmaksu monetārs novērtējums</w:t>
            </w:r>
          </w:p>
        </w:tc>
        <w:tc>
          <w:tcPr>
            <w:tcW w:w="6935" w:type="dxa"/>
          </w:tcPr>
          <w:p w14:paraId="42840651" w14:textId="6A91BA81" w:rsidR="005F1304" w:rsidRPr="00633048" w:rsidRDefault="005F1304" w:rsidP="005F1304">
            <w:pPr>
              <w:spacing w:after="120"/>
              <w:ind w:left="110" w:right="108"/>
              <w:jc w:val="both"/>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 xml:space="preserve">Administratīvo izmaksu novērtējumā iekļauts aprēķins par noteikumu projektā minētās kvalitātes </w:t>
            </w:r>
            <w:r w:rsidR="00961C69" w:rsidRPr="00633048">
              <w:rPr>
                <w:rFonts w:ascii="Times New Roman" w:eastAsia="Times New Roman" w:hAnsi="Times New Roman" w:cs="Times New Roman"/>
                <w:sz w:val="28"/>
                <w:szCs w:val="28"/>
                <w:lang w:eastAsia="lv-LV"/>
              </w:rPr>
              <w:t>pārvaldības</w:t>
            </w:r>
            <w:r w:rsidRPr="00633048">
              <w:rPr>
                <w:rFonts w:ascii="Times New Roman" w:eastAsia="Times New Roman" w:hAnsi="Times New Roman" w:cs="Times New Roman"/>
                <w:sz w:val="28"/>
                <w:szCs w:val="28"/>
                <w:lang w:eastAsia="lv-LV"/>
              </w:rPr>
              <w:t xml:space="preserve"> sistēmas izveidošanu un </w:t>
            </w:r>
            <w:r w:rsidR="00B13C7C" w:rsidRPr="00633048">
              <w:rPr>
                <w:rFonts w:ascii="Times New Roman" w:eastAsia="Times New Roman" w:hAnsi="Times New Roman" w:cs="Times New Roman"/>
                <w:sz w:val="28"/>
                <w:szCs w:val="28"/>
                <w:lang w:eastAsia="lv-LV"/>
              </w:rPr>
              <w:t xml:space="preserve">tās </w:t>
            </w:r>
            <w:r w:rsidRPr="00633048">
              <w:rPr>
                <w:rFonts w:ascii="Times New Roman" w:eastAsia="Times New Roman" w:hAnsi="Times New Roman" w:cs="Times New Roman"/>
                <w:sz w:val="28"/>
                <w:szCs w:val="28"/>
                <w:lang w:eastAsia="lv-LV"/>
              </w:rPr>
              <w:t>uzturēšanas izmaksām.</w:t>
            </w:r>
          </w:p>
          <w:p w14:paraId="5DF33980" w14:textId="73DA54EC" w:rsidR="005F1304" w:rsidRPr="00633048" w:rsidRDefault="005F1304" w:rsidP="005F1304">
            <w:pPr>
              <w:ind w:left="110" w:right="108"/>
              <w:jc w:val="center"/>
              <w:rPr>
                <w:rFonts w:ascii="Times New Roman" w:hAnsi="Times New Roman" w:cs="Times New Roman"/>
                <w:sz w:val="28"/>
                <w:szCs w:val="28"/>
              </w:rPr>
            </w:pPr>
            <w:r w:rsidRPr="00633048">
              <w:rPr>
                <w:rFonts w:ascii="Times New Roman" w:hAnsi="Times New Roman" w:cs="Times New Roman"/>
                <w:sz w:val="28"/>
                <w:szCs w:val="28"/>
              </w:rPr>
              <w:t>C = (f x l+</w:t>
            </w:r>
            <w:r w:rsidR="00425EC2" w:rsidRPr="00633048">
              <w:rPr>
                <w:rFonts w:ascii="Times New Roman" w:hAnsi="Times New Roman" w:cs="Times New Roman"/>
                <w:sz w:val="28"/>
                <w:szCs w:val="28"/>
              </w:rPr>
              <w:t>k</w:t>
            </w:r>
            <w:r w:rsidRPr="00633048">
              <w:rPr>
                <w:rFonts w:ascii="Times New Roman" w:hAnsi="Times New Roman" w:cs="Times New Roman"/>
                <w:sz w:val="28"/>
                <w:szCs w:val="28"/>
              </w:rPr>
              <w:t>) x (n x b), kur</w:t>
            </w:r>
          </w:p>
          <w:p w14:paraId="56F1C8CD" w14:textId="200D44B5" w:rsidR="005F1304" w:rsidRPr="00633048" w:rsidRDefault="005F1304" w:rsidP="005F1304">
            <w:pPr>
              <w:ind w:left="110" w:right="108"/>
              <w:jc w:val="both"/>
              <w:rPr>
                <w:rFonts w:ascii="Times New Roman" w:hAnsi="Times New Roman" w:cs="Times New Roman"/>
                <w:sz w:val="28"/>
                <w:szCs w:val="28"/>
              </w:rPr>
            </w:pPr>
            <w:r w:rsidRPr="00633048">
              <w:rPr>
                <w:rFonts w:ascii="Times New Roman" w:hAnsi="Times New Roman" w:cs="Times New Roman"/>
                <w:b/>
                <w:sz w:val="28"/>
                <w:szCs w:val="28"/>
              </w:rPr>
              <w:lastRenderedPageBreak/>
              <w:t>C</w:t>
            </w:r>
            <w:r w:rsidRPr="00633048">
              <w:rPr>
                <w:rFonts w:ascii="Times New Roman" w:hAnsi="Times New Roman" w:cs="Times New Roman"/>
                <w:sz w:val="28"/>
                <w:szCs w:val="28"/>
              </w:rPr>
              <w:t xml:space="preserve"> –</w:t>
            </w:r>
            <w:r w:rsidRPr="00633048">
              <w:rPr>
                <w:rFonts w:ascii="Times New Roman" w:eastAsia="Times New Roman" w:hAnsi="Times New Roman" w:cs="Times New Roman"/>
                <w:sz w:val="28"/>
                <w:szCs w:val="28"/>
                <w:lang w:eastAsia="lv-LV"/>
              </w:rPr>
              <w:t xml:space="preserve"> kvalitātes </w:t>
            </w:r>
            <w:r w:rsidR="00961C69" w:rsidRPr="00633048">
              <w:rPr>
                <w:rFonts w:ascii="Times New Roman" w:eastAsia="Times New Roman" w:hAnsi="Times New Roman" w:cs="Times New Roman"/>
                <w:sz w:val="28"/>
                <w:szCs w:val="28"/>
                <w:lang w:eastAsia="lv-LV"/>
              </w:rPr>
              <w:t>pārvaldības</w:t>
            </w:r>
            <w:r w:rsidRPr="00633048">
              <w:rPr>
                <w:rFonts w:ascii="Times New Roman" w:eastAsia="Times New Roman" w:hAnsi="Times New Roman" w:cs="Times New Roman"/>
                <w:sz w:val="28"/>
                <w:szCs w:val="28"/>
                <w:lang w:eastAsia="lv-LV"/>
              </w:rPr>
              <w:t xml:space="preserve"> sistēmas izveidošan</w:t>
            </w:r>
            <w:r w:rsidR="00A70E7E" w:rsidRPr="00633048">
              <w:rPr>
                <w:rFonts w:ascii="Times New Roman" w:eastAsia="Times New Roman" w:hAnsi="Times New Roman" w:cs="Times New Roman"/>
                <w:sz w:val="28"/>
                <w:szCs w:val="28"/>
                <w:lang w:eastAsia="lv-LV"/>
              </w:rPr>
              <w:t>as</w:t>
            </w:r>
            <w:r w:rsidRPr="00633048">
              <w:rPr>
                <w:rFonts w:ascii="Times New Roman" w:eastAsia="Times New Roman" w:hAnsi="Times New Roman" w:cs="Times New Roman"/>
                <w:sz w:val="28"/>
                <w:szCs w:val="28"/>
                <w:lang w:eastAsia="lv-LV"/>
              </w:rPr>
              <w:t xml:space="preserve"> un uzturēšanas izmaks</w:t>
            </w:r>
            <w:r w:rsidR="00A70E7E" w:rsidRPr="00633048">
              <w:rPr>
                <w:rFonts w:ascii="Times New Roman" w:eastAsia="Times New Roman" w:hAnsi="Times New Roman" w:cs="Times New Roman"/>
                <w:sz w:val="28"/>
                <w:szCs w:val="28"/>
                <w:lang w:eastAsia="lv-LV"/>
              </w:rPr>
              <w:t>as</w:t>
            </w:r>
            <w:r w:rsidRPr="00633048">
              <w:rPr>
                <w:rFonts w:ascii="Times New Roman" w:hAnsi="Times New Roman" w:cs="Times New Roman"/>
                <w:sz w:val="28"/>
                <w:szCs w:val="28"/>
              </w:rPr>
              <w:t>;</w:t>
            </w:r>
          </w:p>
          <w:p w14:paraId="14B1507E" w14:textId="3E4A10DE" w:rsidR="005F1304" w:rsidRPr="00633048" w:rsidRDefault="005F1304" w:rsidP="005F1304">
            <w:pPr>
              <w:pStyle w:val="tv213"/>
              <w:spacing w:before="0" w:beforeAutospacing="0" w:after="0" w:afterAutospacing="0"/>
              <w:ind w:left="110" w:right="108"/>
              <w:jc w:val="both"/>
              <w:rPr>
                <w:sz w:val="28"/>
                <w:szCs w:val="28"/>
              </w:rPr>
            </w:pPr>
            <w:r w:rsidRPr="00633048">
              <w:rPr>
                <w:b/>
                <w:sz w:val="28"/>
                <w:szCs w:val="28"/>
              </w:rPr>
              <w:t>f</w:t>
            </w:r>
            <w:r w:rsidRPr="00633048">
              <w:rPr>
                <w:sz w:val="28"/>
                <w:szCs w:val="28"/>
              </w:rPr>
              <w:t xml:space="preserve"> –</w:t>
            </w:r>
            <w:r w:rsidR="007C3FE4" w:rsidRPr="00633048">
              <w:rPr>
                <w:sz w:val="28"/>
                <w:szCs w:val="28"/>
              </w:rPr>
              <w:t xml:space="preserve"> </w:t>
            </w:r>
            <w:r w:rsidRPr="00633048">
              <w:rPr>
                <w:sz w:val="28"/>
                <w:szCs w:val="28"/>
              </w:rPr>
              <w:t xml:space="preserve">stundas samaksas likme privātajā sektorā </w:t>
            </w:r>
            <w:r w:rsidR="007C3FE4" w:rsidRPr="00633048">
              <w:rPr>
                <w:sz w:val="28"/>
                <w:szCs w:val="28"/>
              </w:rPr>
              <w:t xml:space="preserve">– </w:t>
            </w:r>
            <w:r w:rsidRPr="00633048">
              <w:rPr>
                <w:sz w:val="28"/>
                <w:szCs w:val="28"/>
              </w:rPr>
              <w:t xml:space="preserve">aprēķināta, dalot vidējo mēneša algu privātajā sektorā (pēc Centrālās statistikas pārvaldes tīmekļvietnes </w:t>
            </w:r>
            <w:hyperlink r:id="rId8" w:history="1">
              <w:r w:rsidRPr="00633048">
                <w:rPr>
                  <w:rStyle w:val="Hyperlink"/>
                  <w:sz w:val="28"/>
                  <w:szCs w:val="28"/>
                </w:rPr>
                <w:t>www.csb.gov.lv</w:t>
              </w:r>
            </w:hyperlink>
            <w:r w:rsidRPr="00633048">
              <w:rPr>
                <w:sz w:val="28"/>
                <w:szCs w:val="28"/>
              </w:rPr>
              <w:t xml:space="preserve"> datiem 2016. gadā tā bija 845,00 </w:t>
            </w:r>
            <w:r w:rsidRPr="00633048">
              <w:rPr>
                <w:i/>
                <w:sz w:val="28"/>
                <w:szCs w:val="28"/>
              </w:rPr>
              <w:t>euro</w:t>
            </w:r>
            <w:r w:rsidR="00E03E9A">
              <w:rPr>
                <w:i/>
                <w:sz w:val="28"/>
                <w:szCs w:val="28"/>
              </w:rPr>
              <w:t xml:space="preserve"> </w:t>
            </w:r>
            <w:r w:rsidRPr="00633048">
              <w:rPr>
                <w:sz w:val="28"/>
                <w:szCs w:val="28"/>
              </w:rPr>
              <w:t xml:space="preserve">mēnesī) ar Darba likuma 131. panta pirmajā daļā minēto normālo darba laiku (40 stundas nedēļā x 4 = 160 stundas mēnesī) = </w:t>
            </w:r>
            <w:r w:rsidRPr="00633048">
              <w:rPr>
                <w:b/>
                <w:sz w:val="28"/>
                <w:szCs w:val="28"/>
              </w:rPr>
              <w:t>5,28 </w:t>
            </w:r>
            <w:r w:rsidRPr="00633048">
              <w:rPr>
                <w:b/>
                <w:i/>
                <w:sz w:val="28"/>
                <w:szCs w:val="28"/>
              </w:rPr>
              <w:t>euro</w:t>
            </w:r>
            <w:r w:rsidR="00E03E9A">
              <w:rPr>
                <w:b/>
                <w:sz w:val="28"/>
                <w:szCs w:val="28"/>
              </w:rPr>
              <w:t xml:space="preserve"> </w:t>
            </w:r>
            <w:r w:rsidRPr="00633048">
              <w:rPr>
                <w:b/>
                <w:sz w:val="28"/>
                <w:szCs w:val="28"/>
              </w:rPr>
              <w:t>stundā</w:t>
            </w:r>
            <w:r w:rsidRPr="00633048">
              <w:rPr>
                <w:sz w:val="28"/>
                <w:szCs w:val="28"/>
              </w:rPr>
              <w:t>;</w:t>
            </w:r>
          </w:p>
          <w:p w14:paraId="7169BA74" w14:textId="48F6C960" w:rsidR="005F1304" w:rsidRPr="00633048" w:rsidRDefault="005F1304" w:rsidP="005F1304">
            <w:pPr>
              <w:pStyle w:val="tv213"/>
              <w:spacing w:before="0" w:beforeAutospacing="0" w:after="0" w:afterAutospacing="0"/>
              <w:ind w:left="110" w:right="108"/>
              <w:jc w:val="both"/>
              <w:rPr>
                <w:sz w:val="28"/>
                <w:szCs w:val="28"/>
              </w:rPr>
            </w:pPr>
            <w:r w:rsidRPr="00633048">
              <w:rPr>
                <w:b/>
                <w:sz w:val="28"/>
                <w:szCs w:val="28"/>
              </w:rPr>
              <w:t xml:space="preserve">l </w:t>
            </w:r>
            <w:r w:rsidRPr="00633048">
              <w:rPr>
                <w:sz w:val="28"/>
                <w:szCs w:val="28"/>
              </w:rPr>
              <w:t xml:space="preserve">– laika patēriņš, kas nepieciešams, lai izveidotu noteikumu projektā paredzēto kvalitātes </w:t>
            </w:r>
            <w:r w:rsidR="00961C69" w:rsidRPr="00633048">
              <w:rPr>
                <w:sz w:val="28"/>
                <w:szCs w:val="28"/>
              </w:rPr>
              <w:t>pārvaldības</w:t>
            </w:r>
            <w:r w:rsidRPr="00633048">
              <w:rPr>
                <w:sz w:val="28"/>
                <w:szCs w:val="28"/>
              </w:rPr>
              <w:t xml:space="preserve"> – </w:t>
            </w:r>
            <w:r w:rsidR="0002266A">
              <w:rPr>
                <w:b/>
                <w:sz w:val="28"/>
                <w:szCs w:val="28"/>
              </w:rPr>
              <w:t>40</w:t>
            </w:r>
            <w:r w:rsidRPr="00633048">
              <w:rPr>
                <w:b/>
                <w:sz w:val="28"/>
                <w:szCs w:val="28"/>
              </w:rPr>
              <w:t xml:space="preserve"> stundas</w:t>
            </w:r>
            <w:r w:rsidRPr="00633048">
              <w:rPr>
                <w:sz w:val="28"/>
                <w:szCs w:val="28"/>
              </w:rPr>
              <w:t>;</w:t>
            </w:r>
          </w:p>
          <w:p w14:paraId="0022D554" w14:textId="74628107" w:rsidR="005F1304" w:rsidRPr="00633048" w:rsidRDefault="00425EC2" w:rsidP="005F1304">
            <w:pPr>
              <w:pStyle w:val="tv213"/>
              <w:spacing w:before="0" w:beforeAutospacing="0" w:after="0" w:afterAutospacing="0"/>
              <w:ind w:left="110" w:right="108"/>
              <w:jc w:val="both"/>
              <w:rPr>
                <w:sz w:val="28"/>
                <w:szCs w:val="28"/>
              </w:rPr>
            </w:pPr>
            <w:r w:rsidRPr="00633048">
              <w:rPr>
                <w:b/>
                <w:sz w:val="28"/>
                <w:szCs w:val="28"/>
              </w:rPr>
              <w:t>k</w:t>
            </w:r>
            <w:r w:rsidR="005F1304" w:rsidRPr="00633048">
              <w:rPr>
                <w:b/>
                <w:sz w:val="28"/>
                <w:szCs w:val="28"/>
              </w:rPr>
              <w:t xml:space="preserve"> </w:t>
            </w:r>
            <w:r w:rsidR="005F1304" w:rsidRPr="00633048">
              <w:rPr>
                <w:sz w:val="28"/>
                <w:szCs w:val="28"/>
              </w:rPr>
              <w:t xml:space="preserve">– kvalitātes </w:t>
            </w:r>
            <w:r w:rsidR="00961C69" w:rsidRPr="00633048">
              <w:rPr>
                <w:sz w:val="28"/>
                <w:szCs w:val="28"/>
              </w:rPr>
              <w:t>pārvaldības</w:t>
            </w:r>
            <w:r w:rsidR="005F1304" w:rsidRPr="00633048">
              <w:rPr>
                <w:sz w:val="28"/>
                <w:szCs w:val="28"/>
              </w:rPr>
              <w:t xml:space="preserve"> sistēmas izveidošan</w:t>
            </w:r>
            <w:r w:rsidR="008016D0" w:rsidRPr="00633048">
              <w:rPr>
                <w:sz w:val="28"/>
                <w:szCs w:val="28"/>
              </w:rPr>
              <w:t>as</w:t>
            </w:r>
            <w:r w:rsidR="005F1304" w:rsidRPr="00633048">
              <w:rPr>
                <w:sz w:val="28"/>
                <w:szCs w:val="28"/>
              </w:rPr>
              <w:t xml:space="preserve"> izmaksas – </w:t>
            </w:r>
            <w:r w:rsidR="0002266A">
              <w:rPr>
                <w:b/>
                <w:sz w:val="28"/>
                <w:szCs w:val="28"/>
              </w:rPr>
              <w:t>1</w:t>
            </w:r>
            <w:r w:rsidR="00B13C7C" w:rsidRPr="00633048">
              <w:rPr>
                <w:b/>
                <w:sz w:val="28"/>
                <w:szCs w:val="28"/>
              </w:rPr>
              <w:t> </w:t>
            </w:r>
            <w:r w:rsidR="005F1304" w:rsidRPr="00633048">
              <w:rPr>
                <w:b/>
                <w:sz w:val="28"/>
                <w:szCs w:val="28"/>
              </w:rPr>
              <w:t>000</w:t>
            </w:r>
            <w:r w:rsidR="005F1304" w:rsidRPr="00633048">
              <w:rPr>
                <w:b/>
                <w:i/>
                <w:sz w:val="28"/>
                <w:szCs w:val="28"/>
              </w:rPr>
              <w:t> euro</w:t>
            </w:r>
            <w:r w:rsidR="00915356" w:rsidRPr="00E52B85">
              <w:rPr>
                <w:sz w:val="28"/>
                <w:szCs w:val="28"/>
              </w:rPr>
              <w:t>;</w:t>
            </w:r>
          </w:p>
          <w:p w14:paraId="535E9B41" w14:textId="55EF6109" w:rsidR="005F1304" w:rsidRPr="00AA491F" w:rsidRDefault="005F1304" w:rsidP="005F1304">
            <w:pPr>
              <w:pStyle w:val="tv213"/>
              <w:spacing w:before="0" w:beforeAutospacing="0" w:after="0" w:afterAutospacing="0"/>
              <w:ind w:left="110" w:right="108"/>
              <w:jc w:val="both"/>
              <w:rPr>
                <w:b/>
                <w:sz w:val="28"/>
                <w:szCs w:val="28"/>
              </w:rPr>
            </w:pPr>
            <w:r w:rsidRPr="00AA491F">
              <w:rPr>
                <w:b/>
                <w:sz w:val="28"/>
                <w:szCs w:val="28"/>
              </w:rPr>
              <w:t>n</w:t>
            </w:r>
            <w:r w:rsidRPr="00AA491F">
              <w:rPr>
                <w:sz w:val="28"/>
                <w:szCs w:val="28"/>
              </w:rPr>
              <w:t xml:space="preserve"> – </w:t>
            </w:r>
            <w:r w:rsidR="00336B35" w:rsidRPr="00AA491F">
              <w:rPr>
                <w:sz w:val="28"/>
                <w:szCs w:val="28"/>
              </w:rPr>
              <w:t>komersantu</w:t>
            </w:r>
            <w:r w:rsidRPr="00AA491F">
              <w:rPr>
                <w:sz w:val="28"/>
                <w:szCs w:val="28"/>
              </w:rPr>
              <w:t xml:space="preserve"> skaits, uz ko attiecas projektā paredzētās prasības –</w:t>
            </w:r>
            <w:r w:rsidR="00AA491F" w:rsidRPr="00AA491F">
              <w:rPr>
                <w:b/>
                <w:sz w:val="28"/>
                <w:szCs w:val="28"/>
              </w:rPr>
              <w:t xml:space="preserve"> pašlaik tie ir </w:t>
            </w:r>
            <w:r w:rsidR="00516113">
              <w:rPr>
                <w:b/>
                <w:sz w:val="28"/>
                <w:szCs w:val="28"/>
              </w:rPr>
              <w:t>20</w:t>
            </w:r>
            <w:r w:rsidRPr="00AA491F">
              <w:rPr>
                <w:b/>
                <w:sz w:val="28"/>
                <w:szCs w:val="28"/>
              </w:rPr>
              <w:t xml:space="preserve"> komersanti</w:t>
            </w:r>
            <w:r w:rsidR="00516113">
              <w:rPr>
                <w:b/>
                <w:sz w:val="28"/>
                <w:szCs w:val="28"/>
              </w:rPr>
              <w:t xml:space="preserve"> </w:t>
            </w:r>
            <w:r w:rsidR="00516113" w:rsidRPr="006F10C9">
              <w:rPr>
                <w:sz w:val="28"/>
                <w:szCs w:val="28"/>
              </w:rPr>
              <w:t>(saskaņā ar Valsts vides dienesta aplēsēm)</w:t>
            </w:r>
            <w:r w:rsidR="00915356" w:rsidRPr="00E52B85">
              <w:rPr>
                <w:sz w:val="28"/>
                <w:szCs w:val="28"/>
              </w:rPr>
              <w:t>;</w:t>
            </w:r>
          </w:p>
          <w:p w14:paraId="6F76FF1A" w14:textId="613D0E19" w:rsidR="005F1304" w:rsidRPr="00AA491F" w:rsidRDefault="005F1304" w:rsidP="005F1304">
            <w:pPr>
              <w:pStyle w:val="tv213"/>
              <w:spacing w:before="0" w:beforeAutospacing="0" w:after="0" w:afterAutospacing="0"/>
              <w:ind w:left="110" w:right="108"/>
              <w:jc w:val="both"/>
              <w:rPr>
                <w:sz w:val="28"/>
                <w:szCs w:val="28"/>
              </w:rPr>
            </w:pPr>
            <w:r w:rsidRPr="00AA491F">
              <w:rPr>
                <w:b/>
                <w:sz w:val="28"/>
                <w:szCs w:val="28"/>
              </w:rPr>
              <w:t>b</w:t>
            </w:r>
            <w:r w:rsidRPr="00AA491F">
              <w:rPr>
                <w:sz w:val="28"/>
                <w:szCs w:val="28"/>
              </w:rPr>
              <w:t xml:space="preserve"> – </w:t>
            </w:r>
            <w:r w:rsidR="0062185A" w:rsidRPr="00AA491F">
              <w:rPr>
                <w:sz w:val="28"/>
                <w:szCs w:val="28"/>
              </w:rPr>
              <w:t xml:space="preserve">kvalitātes pārvaldības sistēmas izveidošanas </w:t>
            </w:r>
            <w:r w:rsidR="00F57D66" w:rsidRPr="00AA491F">
              <w:rPr>
                <w:sz w:val="28"/>
                <w:szCs w:val="28"/>
              </w:rPr>
              <w:t xml:space="preserve">biežums </w:t>
            </w:r>
            <w:r w:rsidRPr="00AA491F">
              <w:rPr>
                <w:sz w:val="28"/>
                <w:szCs w:val="28"/>
              </w:rPr>
              <w:t>–</w:t>
            </w:r>
            <w:r w:rsidR="0062185A" w:rsidRPr="00AA491F">
              <w:rPr>
                <w:sz w:val="28"/>
                <w:szCs w:val="28"/>
              </w:rPr>
              <w:t xml:space="preserve"> </w:t>
            </w:r>
            <w:r w:rsidRPr="00AA491F">
              <w:rPr>
                <w:b/>
                <w:sz w:val="28"/>
                <w:szCs w:val="28"/>
              </w:rPr>
              <w:t>1 reizi</w:t>
            </w:r>
            <w:r w:rsidRPr="00AA491F">
              <w:rPr>
                <w:sz w:val="28"/>
                <w:szCs w:val="28"/>
              </w:rPr>
              <w:t>.</w:t>
            </w:r>
          </w:p>
          <w:p w14:paraId="38B19054" w14:textId="77777777" w:rsidR="00B13C7C" w:rsidRPr="00AA491F" w:rsidRDefault="00B13C7C" w:rsidP="005F1304">
            <w:pPr>
              <w:pStyle w:val="tv213"/>
              <w:spacing w:before="0" w:beforeAutospacing="0" w:after="0" w:afterAutospacing="0"/>
              <w:ind w:left="110" w:right="108"/>
              <w:jc w:val="both"/>
              <w:rPr>
                <w:sz w:val="28"/>
                <w:szCs w:val="28"/>
              </w:rPr>
            </w:pPr>
          </w:p>
          <w:p w14:paraId="432585A7" w14:textId="77777777" w:rsidR="005F1304" w:rsidRPr="00AA491F" w:rsidRDefault="005F1304" w:rsidP="005F1304">
            <w:pPr>
              <w:pStyle w:val="tv213"/>
              <w:spacing w:before="0" w:beforeAutospacing="0" w:after="0" w:afterAutospacing="0"/>
              <w:ind w:left="110" w:right="108"/>
              <w:jc w:val="both"/>
              <w:rPr>
                <w:sz w:val="28"/>
                <w:szCs w:val="28"/>
              </w:rPr>
            </w:pPr>
            <w:r w:rsidRPr="00AA491F">
              <w:rPr>
                <w:sz w:val="28"/>
                <w:szCs w:val="28"/>
              </w:rPr>
              <w:t xml:space="preserve">Aprēķins: </w:t>
            </w:r>
          </w:p>
          <w:p w14:paraId="182C890C" w14:textId="57224BF1" w:rsidR="005F1304" w:rsidRDefault="005F1304" w:rsidP="002D3841">
            <w:pPr>
              <w:pStyle w:val="tv213"/>
              <w:spacing w:before="0" w:beforeAutospacing="0" w:after="0" w:afterAutospacing="0"/>
              <w:ind w:left="110" w:right="108"/>
              <w:jc w:val="center"/>
              <w:rPr>
                <w:b/>
                <w:i/>
                <w:sz w:val="28"/>
                <w:szCs w:val="28"/>
              </w:rPr>
            </w:pPr>
            <w:r w:rsidRPr="00AA491F">
              <w:rPr>
                <w:b/>
                <w:sz w:val="28"/>
                <w:szCs w:val="28"/>
              </w:rPr>
              <w:t xml:space="preserve">C = (5,28 x </w:t>
            </w:r>
            <w:r w:rsidR="001030B6" w:rsidRPr="00AA491F">
              <w:rPr>
                <w:b/>
                <w:sz w:val="28"/>
                <w:szCs w:val="28"/>
              </w:rPr>
              <w:t>40</w:t>
            </w:r>
            <w:r w:rsidRPr="00AA491F">
              <w:rPr>
                <w:b/>
                <w:sz w:val="28"/>
                <w:szCs w:val="28"/>
              </w:rPr>
              <w:t>+</w:t>
            </w:r>
            <w:r w:rsidR="0002266A" w:rsidRPr="00AA491F">
              <w:rPr>
                <w:b/>
                <w:sz w:val="28"/>
                <w:szCs w:val="28"/>
              </w:rPr>
              <w:t>1</w:t>
            </w:r>
            <w:r w:rsidR="00B13C7C" w:rsidRPr="00AA491F">
              <w:rPr>
                <w:b/>
                <w:sz w:val="28"/>
                <w:szCs w:val="28"/>
              </w:rPr>
              <w:t xml:space="preserve"> </w:t>
            </w:r>
            <w:r w:rsidRPr="00AA491F">
              <w:rPr>
                <w:b/>
                <w:sz w:val="28"/>
                <w:szCs w:val="28"/>
              </w:rPr>
              <w:t>000) x (</w:t>
            </w:r>
            <w:r w:rsidR="00516113">
              <w:rPr>
                <w:b/>
                <w:sz w:val="28"/>
                <w:szCs w:val="28"/>
              </w:rPr>
              <w:t>20</w:t>
            </w:r>
            <w:r w:rsidRPr="00AA491F">
              <w:rPr>
                <w:b/>
                <w:sz w:val="28"/>
                <w:szCs w:val="28"/>
              </w:rPr>
              <w:t>x 1) =</w:t>
            </w:r>
            <w:r w:rsidR="00516113">
              <w:rPr>
                <w:b/>
                <w:sz w:val="28"/>
                <w:szCs w:val="28"/>
              </w:rPr>
              <w:t xml:space="preserve"> 24 224</w:t>
            </w:r>
            <w:r w:rsidRPr="00633048">
              <w:rPr>
                <w:b/>
                <w:sz w:val="28"/>
                <w:szCs w:val="28"/>
              </w:rPr>
              <w:t xml:space="preserve"> </w:t>
            </w:r>
            <w:r w:rsidRPr="00633048">
              <w:rPr>
                <w:b/>
                <w:i/>
                <w:sz w:val="28"/>
                <w:szCs w:val="28"/>
              </w:rPr>
              <w:t>euro</w:t>
            </w:r>
          </w:p>
          <w:p w14:paraId="3B0BB974" w14:textId="1C4EDACC" w:rsidR="002D3841" w:rsidRPr="00633048" w:rsidRDefault="002D3841" w:rsidP="002D3841">
            <w:pPr>
              <w:pStyle w:val="tv213"/>
              <w:spacing w:before="0" w:beforeAutospacing="0" w:after="0" w:afterAutospacing="0"/>
              <w:ind w:left="110" w:right="108"/>
              <w:jc w:val="center"/>
              <w:rPr>
                <w:b/>
                <w:sz w:val="28"/>
                <w:szCs w:val="28"/>
              </w:rPr>
            </w:pPr>
          </w:p>
        </w:tc>
      </w:tr>
      <w:tr w:rsidR="005F1304" w:rsidRPr="00633048" w14:paraId="1AD43820" w14:textId="77777777" w:rsidTr="00425EC2">
        <w:tc>
          <w:tcPr>
            <w:tcW w:w="396" w:type="dxa"/>
          </w:tcPr>
          <w:p w14:paraId="7DDE51A9" w14:textId="77777777" w:rsidR="005F1304" w:rsidRPr="00633048" w:rsidRDefault="005F1304" w:rsidP="005F1304">
            <w:pPr>
              <w:spacing w:before="100" w:beforeAutospacing="1" w:after="100" w:afterAutospacing="1"/>
              <w:jc w:val="cente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lastRenderedPageBreak/>
              <w:t>4.</w:t>
            </w:r>
          </w:p>
        </w:tc>
        <w:tc>
          <w:tcPr>
            <w:tcW w:w="1736" w:type="dxa"/>
          </w:tcPr>
          <w:p w14:paraId="54EFC1CB" w14:textId="77777777" w:rsidR="005F1304" w:rsidRPr="00E1561C" w:rsidRDefault="005F1304" w:rsidP="005F1304">
            <w:pPr>
              <w:rPr>
                <w:rFonts w:ascii="Times New Roman" w:eastAsia="Times New Roman" w:hAnsi="Times New Roman" w:cs="Times New Roman"/>
                <w:sz w:val="28"/>
                <w:szCs w:val="28"/>
                <w:lang w:eastAsia="lv-LV"/>
              </w:rPr>
            </w:pPr>
            <w:r w:rsidRPr="00E1561C">
              <w:rPr>
                <w:rFonts w:ascii="Times New Roman" w:eastAsia="Times New Roman" w:hAnsi="Times New Roman" w:cs="Times New Roman"/>
                <w:sz w:val="28"/>
                <w:szCs w:val="28"/>
                <w:lang w:eastAsia="lv-LV"/>
              </w:rPr>
              <w:t>Atbilstības izmaksu monetārs novērtējums</w:t>
            </w:r>
          </w:p>
        </w:tc>
        <w:tc>
          <w:tcPr>
            <w:tcW w:w="6935" w:type="dxa"/>
          </w:tcPr>
          <w:p w14:paraId="0CEA7D43" w14:textId="4F922E3D" w:rsidR="005F1304" w:rsidRPr="00E52B85" w:rsidRDefault="00CB4D43" w:rsidP="004D0293">
            <w:pPr>
              <w:jc w:val="both"/>
              <w:rPr>
                <w:rFonts w:ascii="Times New Roman" w:eastAsia="Times New Roman" w:hAnsi="Times New Roman" w:cs="Times New Roman"/>
                <w:sz w:val="28"/>
                <w:szCs w:val="28"/>
                <w:lang w:eastAsia="lv-LV"/>
              </w:rPr>
            </w:pPr>
            <w:r w:rsidRPr="00E52B85">
              <w:rPr>
                <w:rFonts w:ascii="Times New Roman" w:eastAsia="Times New Roman" w:hAnsi="Times New Roman" w:cs="Times New Roman"/>
                <w:sz w:val="28"/>
                <w:szCs w:val="28"/>
                <w:lang w:eastAsia="lv-LV"/>
              </w:rPr>
              <w:t>Atbilstības nodrošināšanas izmaksas ir līdzvērt</w:t>
            </w:r>
            <w:r w:rsidR="000361D4" w:rsidRPr="00E52B85">
              <w:rPr>
                <w:rFonts w:ascii="Times New Roman" w:eastAsia="Times New Roman" w:hAnsi="Times New Roman" w:cs="Times New Roman"/>
                <w:sz w:val="28"/>
                <w:szCs w:val="28"/>
                <w:lang w:eastAsia="lv-LV"/>
              </w:rPr>
              <w:t>īgas administratīvajām izmaksām, kas tiek rēķinātas pēc anotācijas II. sadaļas 3.</w:t>
            </w:r>
            <w:r w:rsidR="00C54410">
              <w:rPr>
                <w:rFonts w:ascii="Times New Roman" w:eastAsia="Times New Roman" w:hAnsi="Times New Roman" w:cs="Times New Roman"/>
                <w:sz w:val="28"/>
                <w:szCs w:val="28"/>
                <w:lang w:eastAsia="lv-LV"/>
              </w:rPr>
              <w:t> </w:t>
            </w:r>
            <w:r w:rsidR="000361D4" w:rsidRPr="00E52B85">
              <w:rPr>
                <w:rFonts w:ascii="Times New Roman" w:eastAsia="Times New Roman" w:hAnsi="Times New Roman" w:cs="Times New Roman"/>
                <w:sz w:val="28"/>
                <w:szCs w:val="28"/>
                <w:lang w:eastAsia="lv-LV"/>
              </w:rPr>
              <w:t xml:space="preserve">punktā minētās formulas, tomēr precīzu novērtējumu ir iespējams veikt tikai brīdī, kad ir skaidrs komersantu skaits, kas iesaistīsies </w:t>
            </w:r>
            <w:r w:rsidR="000361D4" w:rsidRPr="00E52B85">
              <w:rPr>
                <w:rFonts w:ascii="Times New Roman" w:hAnsi="Times New Roman" w:cs="Times New Roman"/>
                <w:sz w:val="28"/>
                <w:szCs w:val="28"/>
              </w:rPr>
              <w:t>gumijas materiālu</w:t>
            </w:r>
            <w:r w:rsidR="00F57D66" w:rsidRPr="00E52B85">
              <w:rPr>
                <w:rFonts w:ascii="Times New Roman" w:hAnsi="Times New Roman" w:cs="Times New Roman"/>
                <w:sz w:val="28"/>
                <w:szCs w:val="28"/>
              </w:rPr>
              <w:t>, kas iegūti</w:t>
            </w:r>
            <w:r w:rsidR="00981DFE" w:rsidRPr="00E52B85">
              <w:rPr>
                <w:rFonts w:ascii="Times New Roman" w:hAnsi="Times New Roman" w:cs="Times New Roman"/>
                <w:sz w:val="28"/>
                <w:szCs w:val="28"/>
              </w:rPr>
              <w:t xml:space="preserve"> </w:t>
            </w:r>
            <w:r w:rsidR="000361D4" w:rsidRPr="00E52B85">
              <w:rPr>
                <w:rFonts w:ascii="Times New Roman" w:hAnsi="Times New Roman" w:cs="Times New Roman"/>
                <w:sz w:val="28"/>
                <w:szCs w:val="28"/>
              </w:rPr>
              <w:t xml:space="preserve">no </w:t>
            </w:r>
            <w:r w:rsidR="00AB4B9B" w:rsidRPr="00E52B85">
              <w:rPr>
                <w:rFonts w:ascii="Times New Roman" w:hAnsi="Times New Roman" w:cs="Times New Roman"/>
                <w:sz w:val="28"/>
                <w:szCs w:val="28"/>
              </w:rPr>
              <w:t xml:space="preserve">nolietotām </w:t>
            </w:r>
            <w:r w:rsidR="000361D4" w:rsidRPr="00E52B85">
              <w:rPr>
                <w:rFonts w:ascii="Times New Roman" w:hAnsi="Times New Roman" w:cs="Times New Roman"/>
                <w:sz w:val="28"/>
                <w:szCs w:val="28"/>
              </w:rPr>
              <w:t>riepām</w:t>
            </w:r>
            <w:r w:rsidR="008016D0" w:rsidRPr="00E52B85">
              <w:rPr>
                <w:rFonts w:ascii="Times New Roman" w:hAnsi="Times New Roman" w:cs="Times New Roman"/>
                <w:sz w:val="28"/>
                <w:szCs w:val="28"/>
              </w:rPr>
              <w:t>,</w:t>
            </w:r>
            <w:r w:rsidR="000361D4" w:rsidRPr="00E52B85">
              <w:rPr>
                <w:rFonts w:ascii="Times New Roman" w:hAnsi="Times New Roman" w:cs="Times New Roman"/>
                <w:sz w:val="28"/>
                <w:szCs w:val="28"/>
              </w:rPr>
              <w:t xml:space="preserve"> ražošanā.</w:t>
            </w:r>
          </w:p>
        </w:tc>
      </w:tr>
      <w:tr w:rsidR="005F1304" w:rsidRPr="00633048" w14:paraId="38E86C91" w14:textId="77777777" w:rsidTr="00425EC2">
        <w:tc>
          <w:tcPr>
            <w:tcW w:w="396" w:type="dxa"/>
          </w:tcPr>
          <w:p w14:paraId="5A79F3B9" w14:textId="77777777" w:rsidR="005F1304" w:rsidRPr="00633048" w:rsidRDefault="005F1304" w:rsidP="005F1304">
            <w:pPr>
              <w:spacing w:before="100" w:beforeAutospacing="1" w:after="100" w:afterAutospacing="1"/>
              <w:jc w:val="cente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5.</w:t>
            </w:r>
          </w:p>
        </w:tc>
        <w:tc>
          <w:tcPr>
            <w:tcW w:w="1736" w:type="dxa"/>
          </w:tcPr>
          <w:p w14:paraId="1387E0B8" w14:textId="77777777" w:rsidR="005F1304" w:rsidRPr="00633048" w:rsidRDefault="005F1304" w:rsidP="005F1304">
            <w:pP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Cita informācija</w:t>
            </w:r>
          </w:p>
        </w:tc>
        <w:tc>
          <w:tcPr>
            <w:tcW w:w="6935" w:type="dxa"/>
          </w:tcPr>
          <w:p w14:paraId="5EC4A485" w14:textId="3604CBD4" w:rsidR="005F1304" w:rsidRPr="00633048" w:rsidRDefault="00CB4D43" w:rsidP="005F1304">
            <w:pP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Nav</w:t>
            </w:r>
            <w:r w:rsidR="00C54410">
              <w:rPr>
                <w:rFonts w:ascii="Times New Roman" w:eastAsia="Times New Roman" w:hAnsi="Times New Roman" w:cs="Times New Roman"/>
                <w:sz w:val="28"/>
                <w:szCs w:val="28"/>
                <w:lang w:eastAsia="lv-LV"/>
              </w:rPr>
              <w:t>.</w:t>
            </w:r>
          </w:p>
        </w:tc>
      </w:tr>
    </w:tbl>
    <w:p w14:paraId="21F6E4CA" w14:textId="1910CF45" w:rsidR="00D90D01" w:rsidRPr="00633048" w:rsidRDefault="00D90D01" w:rsidP="00D90D01">
      <w:pPr>
        <w:spacing w:after="0" w:line="240" w:lineRule="auto"/>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9061"/>
      </w:tblGrid>
      <w:tr w:rsidR="004E743A" w:rsidRPr="00633048" w14:paraId="6AD4C26A" w14:textId="77777777" w:rsidTr="00E87CB6">
        <w:tc>
          <w:tcPr>
            <w:tcW w:w="9061" w:type="dxa"/>
          </w:tcPr>
          <w:p w14:paraId="17B3E13E" w14:textId="37F82A69" w:rsidR="004E743A" w:rsidRPr="00633048" w:rsidRDefault="00516113" w:rsidP="00E87CB6">
            <w:pPr>
              <w:jc w:val="center"/>
              <w:rPr>
                <w:rFonts w:ascii="Times New Roman" w:eastAsia="Times New Roman" w:hAnsi="Times New Roman" w:cs="Times New Roman"/>
                <w:b/>
                <w:sz w:val="28"/>
                <w:szCs w:val="28"/>
                <w:lang w:eastAsia="lv-LV"/>
              </w:rPr>
            </w:pPr>
            <w:r w:rsidRPr="00633048">
              <w:rPr>
                <w:rFonts w:ascii="Times New Roman" w:hAnsi="Times New Roman" w:cs="Times New Roman"/>
                <w:b/>
                <w:sz w:val="28"/>
                <w:szCs w:val="28"/>
              </w:rPr>
              <w:t>III. Tiesību akta projekta ietekme uz valsts budžetu un pašvaldību budžetiem</w:t>
            </w:r>
          </w:p>
        </w:tc>
      </w:tr>
      <w:tr w:rsidR="004E743A" w:rsidRPr="00633048" w14:paraId="6F25531F" w14:textId="77777777" w:rsidTr="00E87CB6">
        <w:tc>
          <w:tcPr>
            <w:tcW w:w="9061" w:type="dxa"/>
          </w:tcPr>
          <w:p w14:paraId="7F3353DD" w14:textId="77777777" w:rsidR="004E743A" w:rsidRPr="00633048" w:rsidRDefault="004E743A" w:rsidP="00E87CB6">
            <w:pPr>
              <w:jc w:val="cente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Projekts šo jomu neskar.</w:t>
            </w:r>
          </w:p>
        </w:tc>
      </w:tr>
    </w:tbl>
    <w:p w14:paraId="31C7E77C" w14:textId="77777777" w:rsidR="00963F5B" w:rsidRPr="00633048" w:rsidRDefault="00963F5B" w:rsidP="004E743A">
      <w:pPr>
        <w:shd w:val="clear" w:color="auto" w:fill="FFFFFF"/>
        <w:spacing w:after="0" w:line="240" w:lineRule="auto"/>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9061"/>
      </w:tblGrid>
      <w:tr w:rsidR="004E743A" w:rsidRPr="00633048" w14:paraId="08C28DB6" w14:textId="77777777" w:rsidTr="00E87CB6">
        <w:tc>
          <w:tcPr>
            <w:tcW w:w="9061" w:type="dxa"/>
          </w:tcPr>
          <w:p w14:paraId="4DBA8D10" w14:textId="77777777" w:rsidR="004E743A" w:rsidRPr="00633048" w:rsidRDefault="004E743A" w:rsidP="00E87CB6">
            <w:pPr>
              <w:jc w:val="center"/>
              <w:rPr>
                <w:rFonts w:ascii="Times New Roman" w:eastAsia="Times New Roman" w:hAnsi="Times New Roman" w:cs="Times New Roman"/>
                <w:b/>
                <w:sz w:val="28"/>
                <w:szCs w:val="28"/>
                <w:lang w:eastAsia="lv-LV"/>
              </w:rPr>
            </w:pPr>
            <w:r w:rsidRPr="00633048">
              <w:rPr>
                <w:rFonts w:ascii="Times New Roman" w:hAnsi="Times New Roman" w:cs="Times New Roman"/>
                <w:b/>
                <w:sz w:val="28"/>
                <w:szCs w:val="28"/>
              </w:rPr>
              <w:t>IV. Tiesību akta projekta ietekme uz spēkā esošo tiesību normu sistēmu</w:t>
            </w:r>
          </w:p>
        </w:tc>
      </w:tr>
      <w:tr w:rsidR="004E743A" w:rsidRPr="00633048" w14:paraId="1C7BCE46" w14:textId="77777777" w:rsidTr="00E87CB6">
        <w:tc>
          <w:tcPr>
            <w:tcW w:w="9061" w:type="dxa"/>
          </w:tcPr>
          <w:p w14:paraId="2AC32C00" w14:textId="77777777" w:rsidR="004E743A" w:rsidRPr="00633048" w:rsidRDefault="004E743A" w:rsidP="00E87CB6">
            <w:pPr>
              <w:jc w:val="center"/>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Projekts šo jomu neskar.</w:t>
            </w:r>
          </w:p>
        </w:tc>
      </w:tr>
    </w:tbl>
    <w:p w14:paraId="54A517D7" w14:textId="77777777" w:rsidR="004E743A" w:rsidRPr="00633048" w:rsidRDefault="004E743A" w:rsidP="004E743A">
      <w:pPr>
        <w:shd w:val="clear" w:color="auto" w:fill="FFFFFF"/>
        <w:spacing w:after="0" w:line="240" w:lineRule="auto"/>
        <w:rPr>
          <w:rFonts w:ascii="Times New Roman" w:eastAsia="Times New Roman" w:hAnsi="Times New Roman" w:cs="Times New Roman"/>
          <w:sz w:val="28"/>
          <w:szCs w:val="28"/>
          <w:lang w:eastAsia="lv-LV"/>
        </w:rPr>
      </w:pPr>
    </w:p>
    <w:tbl>
      <w:tblPr>
        <w:tblStyle w:val="TableGrid1"/>
        <w:tblW w:w="9072" w:type="dxa"/>
        <w:tblInd w:w="-5" w:type="dxa"/>
        <w:tblLook w:val="04A0" w:firstRow="1" w:lastRow="0" w:firstColumn="1" w:lastColumn="0" w:noHBand="0" w:noVBand="1"/>
      </w:tblPr>
      <w:tblGrid>
        <w:gridCol w:w="426"/>
        <w:gridCol w:w="2551"/>
        <w:gridCol w:w="6095"/>
      </w:tblGrid>
      <w:tr w:rsidR="00C54410" w:rsidRPr="00633048" w14:paraId="412ED3D1" w14:textId="77777777" w:rsidTr="00F42EEB">
        <w:tc>
          <w:tcPr>
            <w:tcW w:w="9072" w:type="dxa"/>
            <w:gridSpan w:val="3"/>
          </w:tcPr>
          <w:p w14:paraId="46F1B162" w14:textId="7C90B4E4" w:rsidR="00C54410" w:rsidRPr="00633048" w:rsidRDefault="00C54410" w:rsidP="005D4B52">
            <w:pPr>
              <w:jc w:val="center"/>
              <w:rPr>
                <w:rFonts w:ascii="Times New Roman" w:eastAsia="Times New Roman" w:hAnsi="Times New Roman" w:cs="Times New Roman"/>
                <w:b/>
                <w:sz w:val="28"/>
                <w:szCs w:val="28"/>
                <w:lang w:eastAsia="lv-LV"/>
              </w:rPr>
            </w:pPr>
            <w:r w:rsidRPr="00633048">
              <w:rPr>
                <w:rFonts w:ascii="Times New Roman" w:eastAsia="Times New Roman" w:hAnsi="Times New Roman" w:cs="Times New Roman"/>
                <w:b/>
                <w:sz w:val="28"/>
                <w:szCs w:val="28"/>
                <w:lang w:eastAsia="lv-LV"/>
              </w:rPr>
              <w:t>V. Tiesību akta projekta atbilstība Latvijas Republikas starptautiskajām saistībām</w:t>
            </w:r>
          </w:p>
        </w:tc>
      </w:tr>
      <w:tr w:rsidR="00C54410" w:rsidRPr="00633048" w14:paraId="667B6609" w14:textId="77777777" w:rsidTr="00E52B85">
        <w:tc>
          <w:tcPr>
            <w:tcW w:w="426" w:type="dxa"/>
          </w:tcPr>
          <w:p w14:paraId="1CD5891D" w14:textId="6F2144B4" w:rsidR="00C54410" w:rsidRPr="00963F5B" w:rsidRDefault="00C54410" w:rsidP="005D4B5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p>
        </w:tc>
        <w:tc>
          <w:tcPr>
            <w:tcW w:w="2551" w:type="dxa"/>
          </w:tcPr>
          <w:p w14:paraId="3C80E340" w14:textId="6B364A84" w:rsidR="00C54410" w:rsidRPr="00963F5B" w:rsidRDefault="00C54410" w:rsidP="005D4B52">
            <w:pPr>
              <w:rPr>
                <w:rFonts w:ascii="Times New Roman" w:eastAsia="Times New Roman" w:hAnsi="Times New Roman" w:cs="Times New Roman"/>
                <w:sz w:val="28"/>
                <w:szCs w:val="28"/>
                <w:lang w:eastAsia="lv-LV"/>
              </w:rPr>
            </w:pPr>
            <w:r w:rsidRPr="00963F5B">
              <w:rPr>
                <w:rFonts w:ascii="Times New Roman" w:eastAsia="Times New Roman" w:hAnsi="Times New Roman" w:cs="Times New Roman"/>
                <w:sz w:val="28"/>
                <w:szCs w:val="28"/>
                <w:lang w:eastAsia="lv-LV"/>
              </w:rPr>
              <w:t>Saistības pret Eiropas Savienību</w:t>
            </w:r>
          </w:p>
        </w:tc>
        <w:tc>
          <w:tcPr>
            <w:tcW w:w="6095" w:type="dxa"/>
          </w:tcPr>
          <w:p w14:paraId="780263AF" w14:textId="59EA7107" w:rsidR="00C54410" w:rsidRPr="00633048" w:rsidRDefault="00C54410" w:rsidP="00C54410">
            <w:pPr>
              <w:jc w:val="both"/>
              <w:rPr>
                <w:rFonts w:ascii="Times New Roman" w:hAnsi="Times New Roman" w:cs="Times New Roman"/>
                <w:sz w:val="28"/>
                <w:szCs w:val="28"/>
                <w:shd w:val="clear" w:color="auto" w:fill="FFFFFF"/>
              </w:rPr>
            </w:pPr>
            <w:r w:rsidRPr="00633048">
              <w:rPr>
                <w:rFonts w:ascii="Times New Roman" w:hAnsi="Times New Roman" w:cs="Times New Roman"/>
                <w:sz w:val="28"/>
                <w:szCs w:val="28"/>
              </w:rPr>
              <w:t>Eiropas Parlamenta un Padomes 2006. gada 14. jūnija Regula (EK) Nr. 1013/2006 par atkritumu sūtījumiem</w:t>
            </w:r>
          </w:p>
          <w:p w14:paraId="4B53BCB6" w14:textId="507E2055" w:rsidR="00C54410" w:rsidRPr="00633048" w:rsidRDefault="00C54410" w:rsidP="00E05061">
            <w:pPr>
              <w:jc w:val="both"/>
              <w:rPr>
                <w:rFonts w:ascii="Times New Roman" w:eastAsia="Times New Roman" w:hAnsi="Times New Roman" w:cs="Times New Roman"/>
                <w:b/>
                <w:sz w:val="28"/>
                <w:szCs w:val="28"/>
                <w:lang w:eastAsia="lv-LV"/>
              </w:rPr>
            </w:pPr>
            <w:r w:rsidRPr="00633048">
              <w:rPr>
                <w:rFonts w:ascii="Times New Roman" w:hAnsi="Times New Roman" w:cs="Times New Roman"/>
                <w:sz w:val="28"/>
                <w:szCs w:val="28"/>
              </w:rPr>
              <w:lastRenderedPageBreak/>
              <w:t>Ja, ievedot no nolietotām riepām iegūtu gumijas materiālu no citām valstīm, kompetentās nosūtīšanas un galamērķa iestādes nevar vienoties par gumijas materiāla klasifikāciju, piemēro Eiropas Parlamenta un Padomes 2006. gada 14. jūnija Regulas (EK) Nr. 1013/2006 par atkritumu sūtījumiem 28. panta 1. punkta nosacījumu.</w:t>
            </w:r>
          </w:p>
        </w:tc>
      </w:tr>
      <w:tr w:rsidR="00C54410" w:rsidRPr="00633048" w14:paraId="2E51BC51" w14:textId="77777777" w:rsidTr="00E52B85">
        <w:tc>
          <w:tcPr>
            <w:tcW w:w="426" w:type="dxa"/>
          </w:tcPr>
          <w:p w14:paraId="7CC8043C" w14:textId="6A55A0EE" w:rsidR="00C54410" w:rsidRPr="00963F5B" w:rsidRDefault="00C54410" w:rsidP="005D4B5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w:t>
            </w:r>
          </w:p>
        </w:tc>
        <w:tc>
          <w:tcPr>
            <w:tcW w:w="2551" w:type="dxa"/>
          </w:tcPr>
          <w:p w14:paraId="277DA44D" w14:textId="4E8F6294" w:rsidR="00C54410" w:rsidRPr="00963F5B" w:rsidRDefault="00C54410" w:rsidP="005D4B5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Citas starptautiskās saistības</w:t>
            </w:r>
          </w:p>
        </w:tc>
        <w:tc>
          <w:tcPr>
            <w:tcW w:w="6095" w:type="dxa"/>
          </w:tcPr>
          <w:p w14:paraId="1A14E2E9" w14:textId="2A60E4DB" w:rsidR="00C54410" w:rsidRPr="00633048" w:rsidRDefault="00E52B85" w:rsidP="00AE4AFC">
            <w:pPr>
              <w:jc w:val="both"/>
              <w:rPr>
                <w:rFonts w:ascii="Times New Roman" w:hAnsi="Times New Roman" w:cs="Times New Roman"/>
                <w:sz w:val="28"/>
                <w:szCs w:val="28"/>
              </w:rPr>
            </w:pPr>
            <w:r>
              <w:rPr>
                <w:rFonts w:ascii="Times New Roman" w:hAnsi="Times New Roman" w:cs="Times New Roman"/>
                <w:sz w:val="28"/>
                <w:szCs w:val="28"/>
              </w:rPr>
              <w:t>Nav.</w:t>
            </w:r>
          </w:p>
        </w:tc>
      </w:tr>
      <w:tr w:rsidR="00C54410" w:rsidRPr="00633048" w14:paraId="1CAAD078" w14:textId="77777777" w:rsidTr="00E52B85">
        <w:tc>
          <w:tcPr>
            <w:tcW w:w="426" w:type="dxa"/>
          </w:tcPr>
          <w:p w14:paraId="56BFF01B" w14:textId="720BA7E5" w:rsidR="00C54410" w:rsidRPr="00963F5B" w:rsidRDefault="00C54410" w:rsidP="005D4B5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p>
        </w:tc>
        <w:tc>
          <w:tcPr>
            <w:tcW w:w="2551" w:type="dxa"/>
          </w:tcPr>
          <w:p w14:paraId="03DC9791" w14:textId="51E6C834" w:rsidR="00C54410" w:rsidRPr="00963F5B" w:rsidRDefault="00C54410" w:rsidP="005D4B5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6095" w:type="dxa"/>
          </w:tcPr>
          <w:p w14:paraId="40AF35AC" w14:textId="623877AE" w:rsidR="00C54410" w:rsidRPr="00633048" w:rsidRDefault="00E52B85" w:rsidP="00AE4AFC">
            <w:pPr>
              <w:jc w:val="both"/>
              <w:rPr>
                <w:rFonts w:ascii="Times New Roman" w:hAnsi="Times New Roman" w:cs="Times New Roman"/>
                <w:sz w:val="28"/>
                <w:szCs w:val="28"/>
              </w:rPr>
            </w:pPr>
            <w:r>
              <w:rPr>
                <w:rFonts w:ascii="Times New Roman" w:hAnsi="Times New Roman" w:cs="Times New Roman"/>
                <w:sz w:val="28"/>
                <w:szCs w:val="28"/>
              </w:rPr>
              <w:t>Nav.</w:t>
            </w:r>
          </w:p>
        </w:tc>
      </w:tr>
    </w:tbl>
    <w:p w14:paraId="6F2CCAA4" w14:textId="77777777" w:rsidR="00D90D01" w:rsidRDefault="00D90D01" w:rsidP="00D90D01">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 xml:space="preserve">  </w:t>
      </w:r>
    </w:p>
    <w:p w14:paraId="50F3BDDF" w14:textId="77777777" w:rsidR="00963F5B" w:rsidRPr="00633048" w:rsidRDefault="00963F5B" w:rsidP="00D90D01">
      <w:pPr>
        <w:spacing w:after="0" w:line="240" w:lineRule="auto"/>
        <w:rPr>
          <w:rFonts w:ascii="Times New Roman" w:eastAsia="Times New Roman" w:hAnsi="Times New Roman" w:cs="Times New Roman"/>
          <w:sz w:val="28"/>
          <w:szCs w:val="28"/>
          <w:lang w:eastAsia="lv-LV"/>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2"/>
        <w:gridCol w:w="1701"/>
        <w:gridCol w:w="1843"/>
        <w:gridCol w:w="2584"/>
      </w:tblGrid>
      <w:tr w:rsidR="00AE4AFC" w:rsidRPr="00633048" w14:paraId="1665A85E" w14:textId="77777777" w:rsidTr="00E87CB6">
        <w:trPr>
          <w:trHeight w:val="523"/>
        </w:trPr>
        <w:tc>
          <w:tcPr>
            <w:tcW w:w="9100" w:type="dxa"/>
            <w:gridSpan w:val="4"/>
            <w:vAlign w:val="center"/>
          </w:tcPr>
          <w:p w14:paraId="056550F7" w14:textId="07D325B7" w:rsidR="00AE4AFC" w:rsidRPr="00633048" w:rsidRDefault="00AE4AFC" w:rsidP="00E87CB6">
            <w:pPr>
              <w:jc w:val="center"/>
              <w:rPr>
                <w:rFonts w:ascii="Times New Roman" w:hAnsi="Times New Roman" w:cs="Times New Roman"/>
                <w:b/>
                <w:bCs/>
                <w:sz w:val="28"/>
                <w:szCs w:val="28"/>
              </w:rPr>
            </w:pPr>
            <w:r w:rsidRPr="00633048">
              <w:rPr>
                <w:rFonts w:ascii="Times New Roman" w:hAnsi="Times New Roman" w:cs="Times New Roman"/>
                <w:b/>
                <w:bCs/>
                <w:sz w:val="28"/>
                <w:szCs w:val="28"/>
              </w:rPr>
              <w:t>1.</w:t>
            </w:r>
            <w:r w:rsidR="00BE79F4" w:rsidRPr="00633048">
              <w:rPr>
                <w:rFonts w:ascii="Times New Roman" w:hAnsi="Times New Roman" w:cs="Times New Roman"/>
                <w:b/>
                <w:bCs/>
                <w:sz w:val="28"/>
                <w:szCs w:val="28"/>
              </w:rPr>
              <w:t> </w:t>
            </w:r>
            <w:r w:rsidRPr="00633048">
              <w:rPr>
                <w:rFonts w:ascii="Times New Roman" w:hAnsi="Times New Roman" w:cs="Times New Roman"/>
                <w:b/>
                <w:bCs/>
                <w:sz w:val="28"/>
                <w:szCs w:val="28"/>
              </w:rPr>
              <w:t>tabula</w:t>
            </w:r>
          </w:p>
          <w:p w14:paraId="1ADFCA6E" w14:textId="77777777" w:rsidR="00AE4AFC" w:rsidRPr="00633048" w:rsidRDefault="00AE4AFC" w:rsidP="00E87CB6">
            <w:pPr>
              <w:jc w:val="center"/>
              <w:rPr>
                <w:rFonts w:ascii="Times New Roman" w:hAnsi="Times New Roman" w:cs="Times New Roman"/>
                <w:b/>
                <w:bCs/>
                <w:i/>
                <w:sz w:val="28"/>
                <w:szCs w:val="28"/>
              </w:rPr>
            </w:pPr>
            <w:r w:rsidRPr="00633048">
              <w:rPr>
                <w:rFonts w:ascii="Times New Roman" w:hAnsi="Times New Roman" w:cs="Times New Roman"/>
                <w:b/>
                <w:bCs/>
                <w:sz w:val="28"/>
                <w:szCs w:val="28"/>
              </w:rPr>
              <w:t>Tiesību akta projekta atbilstība ES tiesību aktiem</w:t>
            </w:r>
          </w:p>
        </w:tc>
      </w:tr>
      <w:tr w:rsidR="00AE4AFC" w:rsidRPr="00633048" w14:paraId="305070D6" w14:textId="77777777" w:rsidTr="00E52B85">
        <w:trPr>
          <w:trHeight w:val="1252"/>
        </w:trPr>
        <w:tc>
          <w:tcPr>
            <w:tcW w:w="2972" w:type="dxa"/>
            <w:vAlign w:val="center"/>
          </w:tcPr>
          <w:p w14:paraId="54F8DFC9" w14:textId="77777777" w:rsidR="00AE4AFC" w:rsidRPr="00963F5B" w:rsidRDefault="00AE4AFC" w:rsidP="00E87CB6">
            <w:pPr>
              <w:ind w:hanging="10"/>
              <w:jc w:val="both"/>
              <w:rPr>
                <w:rFonts w:ascii="Times New Roman" w:hAnsi="Times New Roman" w:cs="Times New Roman"/>
                <w:sz w:val="28"/>
                <w:szCs w:val="28"/>
              </w:rPr>
            </w:pPr>
            <w:r w:rsidRPr="00963F5B">
              <w:rPr>
                <w:rFonts w:ascii="Times New Roman" w:hAnsi="Times New Roman" w:cs="Times New Roman"/>
                <w:sz w:val="28"/>
                <w:szCs w:val="28"/>
              </w:rPr>
              <w:t>Attiecīgā ES tiesību akta datums, numurs un nosaukums</w:t>
            </w:r>
          </w:p>
        </w:tc>
        <w:tc>
          <w:tcPr>
            <w:tcW w:w="6128" w:type="dxa"/>
            <w:gridSpan w:val="3"/>
            <w:vAlign w:val="center"/>
          </w:tcPr>
          <w:p w14:paraId="6AAE005A" w14:textId="2309C678" w:rsidR="00DD3125" w:rsidRPr="00963F5B" w:rsidRDefault="00AE4AFC" w:rsidP="00DD3125">
            <w:pPr>
              <w:jc w:val="both"/>
              <w:rPr>
                <w:rFonts w:ascii="Times New Roman" w:hAnsi="Times New Roman" w:cs="Times New Roman"/>
                <w:sz w:val="28"/>
                <w:szCs w:val="28"/>
                <w:shd w:val="clear" w:color="auto" w:fill="FFFFFF"/>
              </w:rPr>
            </w:pPr>
            <w:r w:rsidRPr="00633048">
              <w:rPr>
                <w:rFonts w:ascii="Times New Roman" w:hAnsi="Times New Roman" w:cs="Times New Roman"/>
                <w:sz w:val="28"/>
                <w:szCs w:val="28"/>
              </w:rPr>
              <w:t>Eiropas Parlamenta un Pado</w:t>
            </w:r>
            <w:r w:rsidR="00650DFB" w:rsidRPr="00633048">
              <w:rPr>
                <w:rFonts w:ascii="Times New Roman" w:hAnsi="Times New Roman" w:cs="Times New Roman"/>
                <w:sz w:val="28"/>
                <w:szCs w:val="28"/>
              </w:rPr>
              <w:t>mes 2006. gada 14. jūnija Regula</w:t>
            </w:r>
            <w:r w:rsidRPr="00633048">
              <w:rPr>
                <w:rFonts w:ascii="Times New Roman" w:hAnsi="Times New Roman" w:cs="Times New Roman"/>
                <w:sz w:val="28"/>
                <w:szCs w:val="28"/>
              </w:rPr>
              <w:t xml:space="preserve"> (EK) Nr. 1013/2006 par atkritumu sūtījumiem </w:t>
            </w:r>
            <w:r w:rsidR="00406751" w:rsidRPr="00633048">
              <w:rPr>
                <w:rFonts w:ascii="Times New Roman" w:hAnsi="Times New Roman" w:cs="Times New Roman"/>
                <w:sz w:val="28"/>
                <w:szCs w:val="28"/>
              </w:rPr>
              <w:t>(</w:t>
            </w:r>
            <w:r w:rsidR="00963F5B">
              <w:rPr>
                <w:rFonts w:ascii="Times New Roman" w:hAnsi="Times New Roman" w:cs="Times New Roman"/>
                <w:sz w:val="28"/>
                <w:szCs w:val="28"/>
              </w:rPr>
              <w:t>turpmāk – Regula Nr. 1013/2006)</w:t>
            </w:r>
          </w:p>
        </w:tc>
      </w:tr>
      <w:tr w:rsidR="00AE4AFC" w:rsidRPr="00633048" w14:paraId="759C69FF" w14:textId="77777777" w:rsidTr="00E52B85">
        <w:trPr>
          <w:trHeight w:val="165"/>
        </w:trPr>
        <w:tc>
          <w:tcPr>
            <w:tcW w:w="2972" w:type="dxa"/>
            <w:vAlign w:val="center"/>
          </w:tcPr>
          <w:p w14:paraId="19058A0D" w14:textId="4EE9FF5C" w:rsidR="00AE4AFC" w:rsidRPr="00633048" w:rsidRDefault="00AE4AFC" w:rsidP="00E87CB6">
            <w:pPr>
              <w:jc w:val="both"/>
              <w:rPr>
                <w:rFonts w:ascii="Times New Roman" w:hAnsi="Times New Roman" w:cs="Times New Roman"/>
                <w:b/>
                <w:sz w:val="28"/>
                <w:szCs w:val="28"/>
              </w:rPr>
            </w:pPr>
            <w:r w:rsidRPr="00633048">
              <w:rPr>
                <w:rFonts w:ascii="Times New Roman" w:hAnsi="Times New Roman" w:cs="Times New Roman"/>
                <w:b/>
                <w:sz w:val="28"/>
                <w:szCs w:val="28"/>
              </w:rPr>
              <w:t>A</w:t>
            </w:r>
          </w:p>
        </w:tc>
        <w:tc>
          <w:tcPr>
            <w:tcW w:w="1701" w:type="dxa"/>
            <w:vAlign w:val="center"/>
          </w:tcPr>
          <w:p w14:paraId="048DD311" w14:textId="77777777" w:rsidR="00AE4AFC" w:rsidRPr="00633048" w:rsidRDefault="00AE4AFC" w:rsidP="00E87CB6">
            <w:pPr>
              <w:jc w:val="both"/>
              <w:rPr>
                <w:rFonts w:ascii="Times New Roman" w:hAnsi="Times New Roman" w:cs="Times New Roman"/>
                <w:b/>
                <w:sz w:val="28"/>
                <w:szCs w:val="28"/>
              </w:rPr>
            </w:pPr>
            <w:r w:rsidRPr="00633048">
              <w:rPr>
                <w:rFonts w:ascii="Times New Roman" w:hAnsi="Times New Roman" w:cs="Times New Roman"/>
                <w:b/>
                <w:sz w:val="28"/>
                <w:szCs w:val="28"/>
              </w:rPr>
              <w:t>B</w:t>
            </w:r>
          </w:p>
        </w:tc>
        <w:tc>
          <w:tcPr>
            <w:tcW w:w="1843" w:type="dxa"/>
            <w:vAlign w:val="center"/>
          </w:tcPr>
          <w:p w14:paraId="4FE6EB72" w14:textId="77777777" w:rsidR="00AE4AFC" w:rsidRPr="00633048" w:rsidRDefault="00AE4AFC" w:rsidP="00E87CB6">
            <w:pPr>
              <w:jc w:val="both"/>
              <w:rPr>
                <w:rFonts w:ascii="Times New Roman" w:hAnsi="Times New Roman" w:cs="Times New Roman"/>
                <w:b/>
                <w:sz w:val="28"/>
                <w:szCs w:val="28"/>
              </w:rPr>
            </w:pPr>
            <w:r w:rsidRPr="00633048">
              <w:rPr>
                <w:rFonts w:ascii="Times New Roman" w:hAnsi="Times New Roman" w:cs="Times New Roman"/>
                <w:b/>
                <w:sz w:val="28"/>
                <w:szCs w:val="28"/>
              </w:rPr>
              <w:t>C</w:t>
            </w:r>
          </w:p>
        </w:tc>
        <w:tc>
          <w:tcPr>
            <w:tcW w:w="2584" w:type="dxa"/>
            <w:vAlign w:val="center"/>
          </w:tcPr>
          <w:p w14:paraId="68E35E10" w14:textId="77777777" w:rsidR="00AE4AFC" w:rsidRPr="00633048" w:rsidRDefault="00AE4AFC" w:rsidP="00E87CB6">
            <w:pPr>
              <w:jc w:val="both"/>
              <w:rPr>
                <w:rFonts w:ascii="Times New Roman" w:hAnsi="Times New Roman" w:cs="Times New Roman"/>
                <w:b/>
                <w:sz w:val="28"/>
                <w:szCs w:val="28"/>
              </w:rPr>
            </w:pPr>
            <w:r w:rsidRPr="00633048">
              <w:rPr>
                <w:rFonts w:ascii="Times New Roman" w:hAnsi="Times New Roman" w:cs="Times New Roman"/>
                <w:b/>
                <w:sz w:val="28"/>
                <w:szCs w:val="28"/>
              </w:rPr>
              <w:t>D</w:t>
            </w:r>
          </w:p>
        </w:tc>
      </w:tr>
      <w:tr w:rsidR="00906588" w:rsidRPr="00633048" w14:paraId="17D60680" w14:textId="77777777" w:rsidTr="006F10C9">
        <w:trPr>
          <w:trHeight w:val="165"/>
        </w:trPr>
        <w:tc>
          <w:tcPr>
            <w:tcW w:w="2972" w:type="dxa"/>
          </w:tcPr>
          <w:p w14:paraId="0D742003" w14:textId="1F7AABEC" w:rsidR="00906588" w:rsidRPr="004F0820" w:rsidRDefault="00906588" w:rsidP="00E87CB6">
            <w:pPr>
              <w:jc w:val="both"/>
              <w:rPr>
                <w:rFonts w:ascii="Times New Roman" w:hAnsi="Times New Roman" w:cs="Times New Roman"/>
                <w:b/>
                <w:sz w:val="28"/>
                <w:szCs w:val="28"/>
              </w:rPr>
            </w:pPr>
            <w:r w:rsidRPr="004F0820">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701" w:type="dxa"/>
          </w:tcPr>
          <w:p w14:paraId="3AFCD327" w14:textId="6A72F503" w:rsidR="00906588" w:rsidRPr="004F0820" w:rsidRDefault="00906588" w:rsidP="00E87CB6">
            <w:pPr>
              <w:jc w:val="both"/>
              <w:rPr>
                <w:rFonts w:ascii="Times New Roman" w:hAnsi="Times New Roman" w:cs="Times New Roman"/>
                <w:b/>
                <w:sz w:val="28"/>
                <w:szCs w:val="28"/>
              </w:rPr>
            </w:pPr>
            <w:r w:rsidRPr="004F0820">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843" w:type="dxa"/>
          </w:tcPr>
          <w:p w14:paraId="103D64A0" w14:textId="32D70080" w:rsidR="00906588" w:rsidRPr="004F0820" w:rsidRDefault="00906588" w:rsidP="00E87CB6">
            <w:pPr>
              <w:jc w:val="both"/>
              <w:rPr>
                <w:rFonts w:ascii="Times New Roman" w:hAnsi="Times New Roman" w:cs="Times New Roman"/>
                <w:b/>
                <w:sz w:val="28"/>
                <w:szCs w:val="28"/>
              </w:rPr>
            </w:pPr>
            <w:r w:rsidRPr="00D26882">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D26882">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26882">
              <w:rPr>
                <w:rFonts w:ascii="Times New Roman" w:eastAsia="Times New Roman" w:hAnsi="Times New Roman" w:cs="Times New Roman"/>
                <w:iCs/>
                <w:sz w:val="24"/>
                <w:szCs w:val="24"/>
                <w:lang w:eastAsia="lv-LV"/>
              </w:rPr>
              <w:br/>
              <w:t>Norāda institūciju, kas ir atbildīga par šo saistību izpildi pilnībā.</w:t>
            </w:r>
          </w:p>
        </w:tc>
        <w:tc>
          <w:tcPr>
            <w:tcW w:w="2584" w:type="dxa"/>
          </w:tcPr>
          <w:p w14:paraId="1E49FF5B" w14:textId="615CED1A" w:rsidR="00906588" w:rsidRPr="004F0820" w:rsidRDefault="00906588" w:rsidP="00E87CB6">
            <w:pPr>
              <w:jc w:val="both"/>
              <w:rPr>
                <w:rFonts w:ascii="Times New Roman" w:hAnsi="Times New Roman" w:cs="Times New Roman"/>
                <w:b/>
                <w:sz w:val="28"/>
                <w:szCs w:val="28"/>
              </w:rPr>
            </w:pPr>
            <w:r w:rsidRPr="00D26882">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D26882">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D26882">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E4AFC" w:rsidRPr="00633048" w14:paraId="3114C841" w14:textId="77777777" w:rsidTr="00E52B85">
        <w:trPr>
          <w:trHeight w:val="313"/>
        </w:trPr>
        <w:tc>
          <w:tcPr>
            <w:tcW w:w="2972" w:type="dxa"/>
          </w:tcPr>
          <w:p w14:paraId="01272E84" w14:textId="56D50BD8" w:rsidR="00AE4AFC" w:rsidRPr="00633048" w:rsidRDefault="00406751" w:rsidP="00AE4AFC">
            <w:pPr>
              <w:jc w:val="both"/>
              <w:rPr>
                <w:rFonts w:ascii="Times New Roman" w:hAnsi="Times New Roman" w:cs="Times New Roman"/>
                <w:sz w:val="28"/>
                <w:szCs w:val="28"/>
              </w:rPr>
            </w:pPr>
            <w:r w:rsidRPr="00633048">
              <w:rPr>
                <w:rFonts w:ascii="Times New Roman" w:hAnsi="Times New Roman" w:cs="Times New Roman"/>
                <w:sz w:val="28"/>
                <w:szCs w:val="28"/>
              </w:rPr>
              <w:lastRenderedPageBreak/>
              <w:t>Regulas Nr. 1013/2006</w:t>
            </w:r>
            <w:r w:rsidRPr="00633048">
              <w:rPr>
                <w:rFonts w:ascii="Times New Roman" w:hAnsi="Times New Roman" w:cs="Times New Roman"/>
                <w:sz w:val="28"/>
                <w:szCs w:val="28"/>
                <w:u w:val="single"/>
              </w:rPr>
              <w:t xml:space="preserve"> </w:t>
            </w:r>
            <w:r w:rsidR="00AE4AFC" w:rsidRPr="00633048">
              <w:rPr>
                <w:rFonts w:ascii="Times New Roman" w:hAnsi="Times New Roman" w:cs="Times New Roman"/>
                <w:sz w:val="28"/>
                <w:szCs w:val="28"/>
              </w:rPr>
              <w:t>28. panta 1. punkts</w:t>
            </w:r>
          </w:p>
        </w:tc>
        <w:tc>
          <w:tcPr>
            <w:tcW w:w="1701" w:type="dxa"/>
          </w:tcPr>
          <w:p w14:paraId="57303AB8" w14:textId="77777777" w:rsidR="00AE4AFC" w:rsidRPr="00633048" w:rsidRDefault="00AE4AFC" w:rsidP="00E87CB6">
            <w:pPr>
              <w:jc w:val="both"/>
              <w:rPr>
                <w:rFonts w:ascii="Times New Roman" w:hAnsi="Times New Roman" w:cs="Times New Roman"/>
                <w:sz w:val="28"/>
                <w:szCs w:val="28"/>
              </w:rPr>
            </w:pPr>
            <w:r w:rsidRPr="00633048">
              <w:rPr>
                <w:rFonts w:ascii="Times New Roman" w:hAnsi="Times New Roman" w:cs="Times New Roman"/>
                <w:sz w:val="28"/>
                <w:szCs w:val="28"/>
              </w:rPr>
              <w:t>11. punkts</w:t>
            </w:r>
          </w:p>
        </w:tc>
        <w:tc>
          <w:tcPr>
            <w:tcW w:w="1843" w:type="dxa"/>
          </w:tcPr>
          <w:p w14:paraId="70498A98" w14:textId="77777777" w:rsidR="00AE4AFC" w:rsidRPr="00633048" w:rsidRDefault="00AE4AFC" w:rsidP="00E87CB6">
            <w:pPr>
              <w:jc w:val="both"/>
              <w:rPr>
                <w:rFonts w:ascii="Times New Roman" w:hAnsi="Times New Roman" w:cs="Times New Roman"/>
                <w:sz w:val="28"/>
                <w:szCs w:val="28"/>
              </w:rPr>
            </w:pPr>
            <w:r w:rsidRPr="00633048">
              <w:rPr>
                <w:rFonts w:ascii="Times New Roman" w:hAnsi="Times New Roman" w:cs="Times New Roman"/>
                <w:sz w:val="28"/>
                <w:szCs w:val="28"/>
              </w:rPr>
              <w:t>Atbilst pilnībā</w:t>
            </w:r>
          </w:p>
        </w:tc>
        <w:tc>
          <w:tcPr>
            <w:tcW w:w="2584" w:type="dxa"/>
          </w:tcPr>
          <w:p w14:paraId="5056E826" w14:textId="296D847A" w:rsidR="00AE4AFC" w:rsidRPr="00633048" w:rsidRDefault="00AE4AFC" w:rsidP="00650DFB">
            <w:pPr>
              <w:jc w:val="both"/>
              <w:rPr>
                <w:rFonts w:ascii="Times New Roman" w:hAnsi="Times New Roman" w:cs="Times New Roman"/>
                <w:sz w:val="28"/>
                <w:szCs w:val="28"/>
              </w:rPr>
            </w:pPr>
            <w:r w:rsidRPr="00633048">
              <w:rPr>
                <w:rFonts w:ascii="Times New Roman" w:hAnsi="Times New Roman" w:cs="Times New Roman"/>
                <w:sz w:val="28"/>
                <w:szCs w:val="28"/>
              </w:rPr>
              <w:t xml:space="preserve">Netiek noteiktas stingrākas prasības nekā </w:t>
            </w:r>
            <w:r w:rsidR="00650DFB" w:rsidRPr="00633048">
              <w:rPr>
                <w:rFonts w:ascii="Times New Roman" w:hAnsi="Times New Roman" w:cs="Times New Roman"/>
                <w:sz w:val="28"/>
                <w:szCs w:val="28"/>
              </w:rPr>
              <w:t>regulā.</w:t>
            </w:r>
          </w:p>
        </w:tc>
      </w:tr>
      <w:tr w:rsidR="005A3445" w:rsidRPr="00633048" w14:paraId="1226548C" w14:textId="77777777" w:rsidTr="00E52B85">
        <w:trPr>
          <w:trHeight w:val="313"/>
        </w:trPr>
        <w:tc>
          <w:tcPr>
            <w:tcW w:w="2972" w:type="dxa"/>
          </w:tcPr>
          <w:p w14:paraId="042D7844" w14:textId="77777777" w:rsidR="005A3445" w:rsidRPr="00963F5B" w:rsidRDefault="005A3445" w:rsidP="005A3445">
            <w:pPr>
              <w:ind w:left="57"/>
              <w:jc w:val="both"/>
              <w:rPr>
                <w:rFonts w:ascii="Times New Roman" w:hAnsi="Times New Roman" w:cs="Times New Roman"/>
                <w:spacing w:val="-3"/>
                <w:sz w:val="28"/>
                <w:szCs w:val="28"/>
              </w:rPr>
            </w:pPr>
            <w:r w:rsidRPr="00963F5B">
              <w:rPr>
                <w:rFonts w:ascii="Times New Roman" w:hAnsi="Times New Roman" w:cs="Times New Roman"/>
                <w:spacing w:val="-3"/>
                <w:sz w:val="28"/>
                <w:szCs w:val="28"/>
              </w:rPr>
              <w:t>Kā ir izmantota ES tiesību aktā paredzētā rīcības brīvība dalīb</w:t>
            </w:r>
            <w:r w:rsidRPr="00963F5B">
              <w:rPr>
                <w:rFonts w:ascii="Times New Roman" w:hAnsi="Times New Roman" w:cs="Times New Roman"/>
                <w:spacing w:val="-3"/>
                <w:sz w:val="28"/>
                <w:szCs w:val="28"/>
              </w:rPr>
              <w:softHyphen/>
              <w:t>valstij pārņemt vai ieviest noteiktas ES tiesību akta normas?</w:t>
            </w:r>
          </w:p>
          <w:p w14:paraId="41742FD0" w14:textId="5F6B87A5" w:rsidR="005A3445" w:rsidRPr="00963F5B" w:rsidRDefault="005A3445" w:rsidP="00E52B85">
            <w:pPr>
              <w:spacing w:after="0"/>
              <w:jc w:val="both"/>
              <w:rPr>
                <w:rFonts w:ascii="Times New Roman" w:hAnsi="Times New Roman" w:cs="Times New Roman"/>
                <w:sz w:val="28"/>
                <w:szCs w:val="28"/>
              </w:rPr>
            </w:pPr>
            <w:r w:rsidRPr="00963F5B">
              <w:rPr>
                <w:rFonts w:ascii="Times New Roman" w:hAnsi="Times New Roman" w:cs="Times New Roman"/>
                <w:spacing w:val="-3"/>
                <w:sz w:val="28"/>
                <w:szCs w:val="28"/>
              </w:rPr>
              <w:t>Kādēļ?</w:t>
            </w:r>
          </w:p>
        </w:tc>
        <w:tc>
          <w:tcPr>
            <w:tcW w:w="6128" w:type="dxa"/>
            <w:gridSpan w:val="3"/>
          </w:tcPr>
          <w:p w14:paraId="34072BC1" w14:textId="11CE8E50" w:rsidR="005A3445" w:rsidRPr="00633048" w:rsidRDefault="009E5AED" w:rsidP="00C32805">
            <w:pPr>
              <w:jc w:val="both"/>
              <w:rPr>
                <w:rFonts w:ascii="Times New Roman" w:hAnsi="Times New Roman" w:cs="Times New Roman"/>
                <w:sz w:val="28"/>
                <w:szCs w:val="28"/>
              </w:rPr>
            </w:pPr>
            <w:r w:rsidRPr="00633048">
              <w:rPr>
                <w:rFonts w:ascii="Times New Roman" w:hAnsi="Times New Roman" w:cs="Times New Roman"/>
                <w:sz w:val="28"/>
                <w:szCs w:val="28"/>
                <w:shd w:val="clear" w:color="auto" w:fill="FFFFFF"/>
              </w:rPr>
              <w:t>Projekts šo jomu neskar.</w:t>
            </w:r>
          </w:p>
        </w:tc>
      </w:tr>
      <w:tr w:rsidR="005A3445" w:rsidRPr="00633048" w14:paraId="1E0AB624" w14:textId="77777777" w:rsidTr="00E52B85">
        <w:trPr>
          <w:trHeight w:val="313"/>
        </w:trPr>
        <w:tc>
          <w:tcPr>
            <w:tcW w:w="2972" w:type="dxa"/>
          </w:tcPr>
          <w:p w14:paraId="02B1DD0A" w14:textId="2F023869" w:rsidR="005A3445" w:rsidRPr="00963F5B" w:rsidRDefault="005A3445" w:rsidP="00E52B85">
            <w:pPr>
              <w:spacing w:after="0"/>
              <w:ind w:left="57"/>
              <w:jc w:val="both"/>
              <w:rPr>
                <w:rFonts w:ascii="Times New Roman" w:hAnsi="Times New Roman" w:cs="Times New Roman"/>
                <w:sz w:val="28"/>
                <w:szCs w:val="28"/>
              </w:rPr>
            </w:pPr>
            <w:r w:rsidRPr="00963F5B">
              <w:rPr>
                <w:rFonts w:ascii="Times New Roman" w:hAnsi="Times New Roman" w:cs="Times New Roman"/>
                <w:spacing w:val="-3"/>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r w:rsidR="00E52B85">
              <w:rPr>
                <w:rFonts w:ascii="Times New Roman" w:hAnsi="Times New Roman" w:cs="Times New Roman"/>
                <w:spacing w:val="-3"/>
                <w:sz w:val="28"/>
                <w:szCs w:val="28"/>
              </w:rPr>
              <w:t>.</w:t>
            </w:r>
          </w:p>
        </w:tc>
        <w:tc>
          <w:tcPr>
            <w:tcW w:w="6128" w:type="dxa"/>
            <w:gridSpan w:val="3"/>
          </w:tcPr>
          <w:p w14:paraId="4D85B8AD" w14:textId="3C364FC1" w:rsidR="005A3445" w:rsidRPr="00963F5B" w:rsidRDefault="00E84905" w:rsidP="00E84905">
            <w:pPr>
              <w:jc w:val="both"/>
              <w:rPr>
                <w:rFonts w:ascii="Times New Roman" w:hAnsi="Times New Roman" w:cs="Times New Roman"/>
                <w:sz w:val="28"/>
                <w:szCs w:val="28"/>
              </w:rPr>
            </w:pPr>
            <w:r w:rsidRPr="00963F5B">
              <w:rPr>
                <w:rFonts w:ascii="Times New Roman" w:hAnsi="Times New Roman" w:cs="Times New Roman"/>
                <w:sz w:val="28"/>
                <w:szCs w:val="28"/>
              </w:rPr>
              <w:t xml:space="preserve">Ņemot vērā, ka </w:t>
            </w:r>
            <w:r w:rsidRPr="00963F5B">
              <w:rPr>
                <w:rFonts w:ascii="Times New Roman" w:hAnsi="Times New Roman"/>
                <w:sz w:val="28"/>
                <w:szCs w:val="28"/>
              </w:rPr>
              <w:t>noteikumu projekts ir uzskatāms par tehnisko noteikumu projektu, par to tiks sniegta informācija Eiropas Komisijai atbilstoši Ministru kabineta 2010.</w:t>
            </w:r>
            <w:r w:rsidR="00BE79F4" w:rsidRPr="00963F5B">
              <w:rPr>
                <w:rFonts w:ascii="Times New Roman" w:hAnsi="Times New Roman"/>
                <w:sz w:val="28"/>
                <w:szCs w:val="28"/>
              </w:rPr>
              <w:t> </w:t>
            </w:r>
            <w:r w:rsidRPr="00963F5B">
              <w:rPr>
                <w:rFonts w:ascii="Times New Roman" w:hAnsi="Times New Roman"/>
                <w:sz w:val="28"/>
                <w:szCs w:val="28"/>
              </w:rPr>
              <w:t>gada 23.</w:t>
            </w:r>
            <w:r w:rsidR="00BE79F4" w:rsidRPr="00963F5B">
              <w:rPr>
                <w:rFonts w:ascii="Times New Roman" w:hAnsi="Times New Roman"/>
                <w:sz w:val="28"/>
                <w:szCs w:val="28"/>
              </w:rPr>
              <w:t> </w:t>
            </w:r>
            <w:r w:rsidRPr="00963F5B">
              <w:rPr>
                <w:rFonts w:ascii="Times New Roman" w:hAnsi="Times New Roman"/>
                <w:sz w:val="28"/>
                <w:szCs w:val="28"/>
              </w:rPr>
              <w:t>februāra instrukcij</w:t>
            </w:r>
            <w:r w:rsidR="00BE79F4" w:rsidRPr="00963F5B">
              <w:rPr>
                <w:rFonts w:ascii="Times New Roman" w:hAnsi="Times New Roman"/>
                <w:sz w:val="28"/>
                <w:szCs w:val="28"/>
              </w:rPr>
              <w:t>ā</w:t>
            </w:r>
            <w:r w:rsidRPr="00963F5B">
              <w:rPr>
                <w:rFonts w:ascii="Times New Roman" w:hAnsi="Times New Roman"/>
                <w:sz w:val="28"/>
                <w:szCs w:val="28"/>
              </w:rPr>
              <w:t xml:space="preserve"> Nr.</w:t>
            </w:r>
            <w:r w:rsidR="00BE79F4" w:rsidRPr="00963F5B">
              <w:rPr>
                <w:rFonts w:ascii="Times New Roman" w:hAnsi="Times New Roman"/>
                <w:sz w:val="28"/>
                <w:szCs w:val="28"/>
              </w:rPr>
              <w:t> </w:t>
            </w:r>
            <w:r w:rsidRPr="00963F5B">
              <w:rPr>
                <w:rFonts w:ascii="Times New Roman" w:hAnsi="Times New Roman"/>
                <w:sz w:val="28"/>
                <w:szCs w:val="28"/>
              </w:rPr>
              <w:t>1 “Kārtība, kādā valsts pārvaldes iestādes sniedz informāciju par tehnisko noteikumu projektiem” noteiktai kārtībai.</w:t>
            </w:r>
          </w:p>
        </w:tc>
      </w:tr>
      <w:tr w:rsidR="005A3445" w:rsidRPr="00633048" w14:paraId="2D521D5D" w14:textId="77777777" w:rsidTr="00E52B85">
        <w:trPr>
          <w:trHeight w:val="313"/>
        </w:trPr>
        <w:tc>
          <w:tcPr>
            <w:tcW w:w="2972" w:type="dxa"/>
          </w:tcPr>
          <w:p w14:paraId="68720455" w14:textId="6CB8A865" w:rsidR="005A3445" w:rsidRPr="00E52B85" w:rsidRDefault="005A3445" w:rsidP="005A3445">
            <w:pPr>
              <w:ind w:left="57"/>
              <w:jc w:val="both"/>
              <w:rPr>
                <w:rFonts w:ascii="Times New Roman" w:hAnsi="Times New Roman" w:cs="Times New Roman"/>
                <w:sz w:val="28"/>
                <w:szCs w:val="28"/>
              </w:rPr>
            </w:pPr>
            <w:r w:rsidRPr="00E52B85">
              <w:rPr>
                <w:rFonts w:ascii="Times New Roman" w:hAnsi="Times New Roman" w:cs="Times New Roman"/>
                <w:spacing w:val="-3"/>
                <w:sz w:val="28"/>
                <w:szCs w:val="28"/>
              </w:rPr>
              <w:t>Cita informācija</w:t>
            </w:r>
          </w:p>
        </w:tc>
        <w:tc>
          <w:tcPr>
            <w:tcW w:w="6128" w:type="dxa"/>
            <w:gridSpan w:val="3"/>
          </w:tcPr>
          <w:p w14:paraId="6584A8F1" w14:textId="535A32DC" w:rsidR="005A3445" w:rsidRPr="00E52B85" w:rsidRDefault="005A3445" w:rsidP="005A3445">
            <w:pPr>
              <w:jc w:val="both"/>
              <w:rPr>
                <w:rFonts w:ascii="Times New Roman" w:hAnsi="Times New Roman" w:cs="Times New Roman"/>
                <w:sz w:val="28"/>
                <w:szCs w:val="28"/>
              </w:rPr>
            </w:pPr>
            <w:r w:rsidRPr="00E52B85">
              <w:rPr>
                <w:rFonts w:ascii="Times New Roman" w:hAnsi="Times New Roman" w:cs="Times New Roman"/>
                <w:sz w:val="28"/>
                <w:szCs w:val="28"/>
              </w:rPr>
              <w:t>Nav</w:t>
            </w:r>
            <w:r w:rsidR="00C54410">
              <w:rPr>
                <w:rFonts w:ascii="Times New Roman" w:hAnsi="Times New Roman" w:cs="Times New Roman"/>
                <w:sz w:val="28"/>
                <w:szCs w:val="28"/>
              </w:rPr>
              <w:t>.</w:t>
            </w:r>
          </w:p>
        </w:tc>
      </w:tr>
      <w:tr w:rsidR="00C54410" w:rsidRPr="00633048" w14:paraId="31D5B912" w14:textId="77777777" w:rsidTr="004D74F9">
        <w:trPr>
          <w:trHeight w:val="313"/>
        </w:trPr>
        <w:tc>
          <w:tcPr>
            <w:tcW w:w="9100" w:type="dxa"/>
            <w:gridSpan w:val="4"/>
          </w:tcPr>
          <w:p w14:paraId="3973FDA0" w14:textId="78612D62" w:rsidR="00C54410" w:rsidRPr="00C54410" w:rsidRDefault="00C54410" w:rsidP="00E52B85">
            <w:pPr>
              <w:jc w:val="center"/>
              <w:rPr>
                <w:rFonts w:ascii="Times New Roman" w:hAnsi="Times New Roman" w:cs="Times New Roman"/>
                <w:sz w:val="28"/>
                <w:szCs w:val="28"/>
              </w:rPr>
            </w:pPr>
            <w:r w:rsidRPr="00E52B85">
              <w:rPr>
                <w:rFonts w:ascii="Times New Roman" w:eastAsia="Times New Roman" w:hAnsi="Times New Roman" w:cs="Times New Roman"/>
                <w:b/>
                <w:bCs/>
                <w:sz w:val="28"/>
                <w:szCs w:val="28"/>
                <w:lang w:eastAsia="lv-LV"/>
              </w:rPr>
              <w:t>2.</w:t>
            </w:r>
            <w:r>
              <w:rPr>
                <w:rFonts w:ascii="Times New Roman" w:eastAsia="Times New Roman" w:hAnsi="Times New Roman" w:cs="Times New Roman"/>
                <w:b/>
                <w:bCs/>
                <w:sz w:val="28"/>
                <w:szCs w:val="28"/>
                <w:lang w:eastAsia="lv-LV"/>
              </w:rPr>
              <w:t> </w:t>
            </w:r>
            <w:r w:rsidRPr="00E52B85">
              <w:rPr>
                <w:rFonts w:ascii="Times New Roman" w:eastAsia="Times New Roman" w:hAnsi="Times New Roman" w:cs="Times New Roman"/>
                <w:b/>
                <w:bCs/>
                <w:sz w:val="28"/>
                <w:szCs w:val="28"/>
                <w:lang w:eastAsia="lv-LV"/>
              </w:rPr>
              <w:t>tabula</w:t>
            </w:r>
            <w:r w:rsidRPr="00E52B85">
              <w:rPr>
                <w:rFonts w:ascii="Times New Roman" w:eastAsia="Times New Roman" w:hAnsi="Times New Roman" w:cs="Times New Roman"/>
                <w:b/>
                <w:bCs/>
                <w:sz w:val="28"/>
                <w:szCs w:val="28"/>
                <w:lang w:eastAsia="lv-LV"/>
              </w:rPr>
              <w:br/>
              <w:t>Ar tiesību akta projektu izpildītās vai uzņemtās saistības, kas izriet no starptautiskajiem tiesību aktiem vai starptautiskas institūcijas vai organizācijas dokumentiem.</w:t>
            </w:r>
            <w:r w:rsidRPr="00E52B85">
              <w:rPr>
                <w:rFonts w:ascii="Times New Roman" w:eastAsia="Times New Roman" w:hAnsi="Times New Roman" w:cs="Times New Roman"/>
                <w:b/>
                <w:bCs/>
                <w:sz w:val="28"/>
                <w:szCs w:val="28"/>
                <w:lang w:eastAsia="lv-LV"/>
              </w:rPr>
              <w:br/>
              <w:t>Pasākumi šo saistību izpildei</w:t>
            </w:r>
          </w:p>
        </w:tc>
      </w:tr>
      <w:tr w:rsidR="00C54410" w:rsidRPr="00633048" w14:paraId="57641C6D" w14:textId="77777777" w:rsidTr="009D6206">
        <w:trPr>
          <w:trHeight w:val="313"/>
        </w:trPr>
        <w:tc>
          <w:tcPr>
            <w:tcW w:w="9100" w:type="dxa"/>
            <w:gridSpan w:val="4"/>
          </w:tcPr>
          <w:p w14:paraId="38921609" w14:textId="2C103457" w:rsidR="00C54410" w:rsidRPr="00C54410" w:rsidRDefault="007741AA" w:rsidP="00E52B85">
            <w:pPr>
              <w:jc w:val="center"/>
              <w:rPr>
                <w:rFonts w:ascii="Times New Roman" w:hAnsi="Times New Roman" w:cs="Times New Roman"/>
                <w:sz w:val="28"/>
                <w:szCs w:val="28"/>
              </w:rPr>
            </w:pPr>
            <w:r>
              <w:rPr>
                <w:rFonts w:ascii="Times New Roman" w:hAnsi="Times New Roman" w:cs="Times New Roman"/>
                <w:sz w:val="28"/>
                <w:szCs w:val="28"/>
              </w:rPr>
              <w:t>Projekts šo jomu neskar.</w:t>
            </w:r>
          </w:p>
        </w:tc>
      </w:tr>
    </w:tbl>
    <w:p w14:paraId="66648062" w14:textId="77777777" w:rsidR="00DD3125" w:rsidRPr="00633048" w:rsidRDefault="00DD3125" w:rsidP="00D90D01">
      <w:pPr>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5"/>
        <w:gridCol w:w="6087"/>
      </w:tblGrid>
      <w:tr w:rsidR="004E743A" w:rsidRPr="00633048" w14:paraId="1871FF23" w14:textId="77777777" w:rsidTr="00E87CB6">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66D7D0" w14:textId="77777777" w:rsidR="004E743A" w:rsidRPr="00633048" w:rsidRDefault="004E743A" w:rsidP="00E87CB6">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33048">
              <w:rPr>
                <w:rFonts w:ascii="Times New Roman" w:eastAsia="Times New Roman" w:hAnsi="Times New Roman" w:cs="Times New Roman"/>
                <w:b/>
                <w:bCs/>
                <w:sz w:val="28"/>
                <w:szCs w:val="28"/>
                <w:lang w:eastAsia="lv-LV"/>
              </w:rPr>
              <w:t>VI. Sabiedrības līdzdalība un komunikācijas aktivitātes</w:t>
            </w:r>
          </w:p>
        </w:tc>
      </w:tr>
      <w:tr w:rsidR="004E743A" w:rsidRPr="00633048" w14:paraId="6A758DE6" w14:textId="77777777" w:rsidTr="00E52B85">
        <w:trPr>
          <w:trHeight w:val="721"/>
          <w:jc w:val="center"/>
        </w:trPr>
        <w:tc>
          <w:tcPr>
            <w:tcW w:w="250" w:type="pct"/>
            <w:tcBorders>
              <w:top w:val="outset" w:sz="6" w:space="0" w:color="414142"/>
              <w:left w:val="outset" w:sz="6" w:space="0" w:color="414142"/>
              <w:bottom w:val="outset" w:sz="6" w:space="0" w:color="414142"/>
              <w:right w:val="outset" w:sz="6" w:space="0" w:color="414142"/>
            </w:tcBorders>
            <w:hideMark/>
          </w:tcPr>
          <w:p w14:paraId="68559A82" w14:textId="77777777" w:rsidR="004E743A" w:rsidRPr="00633048" w:rsidRDefault="004E743A"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55B3701B" w14:textId="01B8F0B1" w:rsidR="006F10C9" w:rsidRDefault="004E743A" w:rsidP="007251FB">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Plānotās sabiedrības līdzdalības un komunikācijas aktivitātes saistībā ar projektu</w:t>
            </w:r>
          </w:p>
          <w:p w14:paraId="61F2CE24" w14:textId="77777777" w:rsidR="006F10C9" w:rsidRPr="006F10C9" w:rsidRDefault="006F10C9" w:rsidP="006F10C9">
            <w:pPr>
              <w:rPr>
                <w:rFonts w:ascii="Times New Roman" w:eastAsia="Times New Roman" w:hAnsi="Times New Roman" w:cs="Times New Roman"/>
                <w:sz w:val="28"/>
                <w:szCs w:val="28"/>
                <w:lang w:eastAsia="lv-LV"/>
              </w:rPr>
            </w:pPr>
          </w:p>
          <w:p w14:paraId="2EF66F3F" w14:textId="3F169F87" w:rsidR="004E743A" w:rsidRPr="006F10C9" w:rsidRDefault="004E743A" w:rsidP="006F10C9">
            <w:pPr>
              <w:jc w:val="center"/>
              <w:rPr>
                <w:rFonts w:ascii="Times New Roman" w:eastAsia="Times New Roman" w:hAnsi="Times New Roman" w:cs="Times New Roman"/>
                <w:sz w:val="28"/>
                <w:szCs w:val="28"/>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14:paraId="69F4ABF4" w14:textId="071DEBBC" w:rsidR="004E743A" w:rsidRPr="00633048" w:rsidRDefault="004E743A" w:rsidP="0069147F">
            <w:pPr>
              <w:pStyle w:val="naisf"/>
              <w:spacing w:before="0" w:after="0"/>
              <w:ind w:right="57" w:firstLine="0"/>
              <w:rPr>
                <w:sz w:val="28"/>
                <w:szCs w:val="28"/>
              </w:rPr>
            </w:pPr>
            <w:r w:rsidRPr="00633048">
              <w:rPr>
                <w:sz w:val="28"/>
                <w:szCs w:val="28"/>
              </w:rPr>
              <w:t xml:space="preserve">Saskaņā ar Ministru kabineta 2009. gada 25. augusta noteikumu Nr. 970 </w:t>
            </w:r>
            <w:r w:rsidR="008451C8" w:rsidRPr="00633048">
              <w:rPr>
                <w:sz w:val="28"/>
                <w:szCs w:val="28"/>
              </w:rPr>
              <w:t>“</w:t>
            </w:r>
            <w:r w:rsidRPr="00633048">
              <w:rPr>
                <w:sz w:val="28"/>
                <w:szCs w:val="28"/>
              </w:rPr>
              <w:t>Sabiedrības līdzdalības kārtība attīstības plānošanas procesā” 7.4.</w:t>
            </w:r>
            <w:r w:rsidRPr="00633048">
              <w:rPr>
                <w:sz w:val="28"/>
                <w:szCs w:val="28"/>
                <w:vertAlign w:val="superscript"/>
              </w:rPr>
              <w:t>1</w:t>
            </w:r>
            <w:r w:rsidRPr="00633048">
              <w:rPr>
                <w:sz w:val="28"/>
                <w:szCs w:val="28"/>
              </w:rPr>
              <w:t> apakšpunktu sabiedrības pārstāvji ir aicināti līdzdarboties, rakstiski sniedzot viedokli par noteikumu projektu tā izstrādes stadijā.</w:t>
            </w:r>
          </w:p>
        </w:tc>
      </w:tr>
      <w:tr w:rsidR="004E743A" w:rsidRPr="00633048" w14:paraId="508BABE3" w14:textId="77777777" w:rsidTr="00E52B8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AD19DBA" w14:textId="77777777" w:rsidR="004E743A" w:rsidRPr="00633048" w:rsidRDefault="004E743A"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169CB500" w14:textId="77777777" w:rsidR="004E743A" w:rsidRPr="00633048" w:rsidRDefault="004E743A"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58321220" w14:textId="77777777" w:rsidR="004E743A" w:rsidRDefault="004E743A" w:rsidP="00EB5889">
            <w:pPr>
              <w:spacing w:after="0" w:line="240" w:lineRule="auto"/>
              <w:jc w:val="both"/>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 xml:space="preserve">Noteikumu projekts ievietots Vides aizsardzības un reģionālās attīstības ministrijas tīmekļvietnē  </w:t>
            </w:r>
            <w:hyperlink r:id="rId9" w:history="1">
              <w:r w:rsidRPr="00633048">
                <w:rPr>
                  <w:rFonts w:ascii="Times New Roman" w:eastAsia="Times New Roman" w:hAnsi="Times New Roman" w:cs="Times New Roman"/>
                  <w:color w:val="0000FF"/>
                  <w:sz w:val="28"/>
                  <w:szCs w:val="28"/>
                  <w:u w:val="single"/>
                  <w:lang w:eastAsia="lv-LV"/>
                </w:rPr>
                <w:t>www.varam.gov.lv</w:t>
              </w:r>
            </w:hyperlink>
            <w:r w:rsidR="008451C8" w:rsidRPr="00633048">
              <w:rPr>
                <w:rFonts w:ascii="Times New Roman" w:eastAsia="Times New Roman" w:hAnsi="Times New Roman" w:cs="Times New Roman"/>
                <w:sz w:val="28"/>
                <w:szCs w:val="28"/>
                <w:lang w:eastAsia="lv-LV"/>
              </w:rPr>
              <w:t xml:space="preserve"> </w:t>
            </w:r>
            <w:r w:rsidR="00AA491F" w:rsidRPr="00AA491F">
              <w:rPr>
                <w:rFonts w:ascii="Times New Roman" w:eastAsia="Times New Roman" w:hAnsi="Times New Roman" w:cs="Times New Roman"/>
                <w:sz w:val="28"/>
                <w:szCs w:val="28"/>
                <w:lang w:eastAsia="lv-LV"/>
              </w:rPr>
              <w:t xml:space="preserve">2018. gada </w:t>
            </w:r>
            <w:r w:rsidR="00EB5889">
              <w:rPr>
                <w:rFonts w:ascii="Times New Roman" w:eastAsia="Times New Roman" w:hAnsi="Times New Roman" w:cs="Times New Roman"/>
                <w:sz w:val="28"/>
                <w:szCs w:val="28"/>
                <w:lang w:eastAsia="lv-LV"/>
              </w:rPr>
              <w:t>3. jūlijā</w:t>
            </w:r>
            <w:r w:rsidRPr="00AA491F">
              <w:rPr>
                <w:rFonts w:ascii="Times New Roman" w:eastAsia="Times New Roman" w:hAnsi="Times New Roman" w:cs="Times New Roman"/>
                <w:sz w:val="28"/>
                <w:szCs w:val="28"/>
                <w:lang w:eastAsia="lv-LV"/>
              </w:rPr>
              <w:t>, līdz</w:t>
            </w:r>
            <w:r w:rsidRPr="00633048">
              <w:rPr>
                <w:rFonts w:ascii="Times New Roman" w:eastAsia="Times New Roman" w:hAnsi="Times New Roman" w:cs="Times New Roman"/>
                <w:sz w:val="28"/>
                <w:szCs w:val="28"/>
                <w:lang w:eastAsia="lv-LV"/>
              </w:rPr>
              <w:t xml:space="preserve"> ar to ieinteresētajām personām </w:t>
            </w:r>
            <w:r w:rsidR="004D0293" w:rsidRPr="00633048">
              <w:rPr>
                <w:rFonts w:ascii="Times New Roman" w:eastAsia="Times New Roman" w:hAnsi="Times New Roman" w:cs="Times New Roman"/>
                <w:sz w:val="28"/>
                <w:szCs w:val="28"/>
                <w:lang w:eastAsia="lv-LV"/>
              </w:rPr>
              <w:t>tika sniegta</w:t>
            </w:r>
            <w:r w:rsidRPr="00633048">
              <w:rPr>
                <w:rFonts w:ascii="Times New Roman" w:eastAsia="Times New Roman" w:hAnsi="Times New Roman" w:cs="Times New Roman"/>
                <w:sz w:val="28"/>
                <w:szCs w:val="28"/>
                <w:lang w:eastAsia="lv-LV"/>
              </w:rPr>
              <w:t xml:space="preserve"> iespēja izteikt viedokli un sniegt priekšlikumus.</w:t>
            </w:r>
          </w:p>
          <w:p w14:paraId="13EE3ADB" w14:textId="77777777" w:rsidR="004F0820" w:rsidRDefault="004F0820" w:rsidP="00EB5889">
            <w:pPr>
              <w:spacing w:after="0" w:line="240" w:lineRule="auto"/>
              <w:jc w:val="both"/>
              <w:rPr>
                <w:rFonts w:ascii="Times New Roman" w:eastAsia="Times New Roman" w:hAnsi="Times New Roman" w:cs="Times New Roman"/>
                <w:sz w:val="28"/>
                <w:szCs w:val="28"/>
                <w:lang w:eastAsia="lv-LV"/>
              </w:rPr>
            </w:pPr>
          </w:p>
          <w:p w14:paraId="14D87EF8" w14:textId="07E25500" w:rsidR="004F0820" w:rsidRPr="00633048" w:rsidRDefault="004F0820" w:rsidP="004F082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Tāpat komersanti, kuri veic </w:t>
            </w:r>
            <w:r w:rsidRPr="004F0820">
              <w:rPr>
                <w:rFonts w:ascii="Times New Roman" w:eastAsia="Times New Roman" w:hAnsi="Times New Roman" w:cs="Times New Roman"/>
                <w:sz w:val="28"/>
                <w:szCs w:val="28"/>
                <w:lang w:eastAsia="lv-LV"/>
              </w:rPr>
              <w:t>koksnes iepakojuma pārstrādes darbības, un Latvijas Valsts koksnes ķīmijas institūts tika elektroni</w:t>
            </w:r>
            <w:r>
              <w:rPr>
                <w:rFonts w:ascii="Times New Roman" w:eastAsia="Times New Roman" w:hAnsi="Times New Roman" w:cs="Times New Roman"/>
                <w:sz w:val="28"/>
                <w:szCs w:val="28"/>
                <w:lang w:eastAsia="lv-LV"/>
              </w:rPr>
              <w:t>ski aicināti sniegt komentārus.</w:t>
            </w:r>
          </w:p>
        </w:tc>
      </w:tr>
      <w:tr w:rsidR="004E743A" w:rsidRPr="00633048" w14:paraId="5C21F8DA" w14:textId="77777777" w:rsidTr="00E52B8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4DFB5C" w14:textId="77777777" w:rsidR="004E743A" w:rsidRPr="00633048" w:rsidRDefault="004E743A"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5FB0AE5E" w14:textId="77777777" w:rsidR="004E743A" w:rsidRPr="00633048" w:rsidRDefault="004E743A"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181E43F6" w14:textId="737B2A85" w:rsidR="004E743A" w:rsidRPr="00633048" w:rsidRDefault="004F0820" w:rsidP="00231C4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Viedokļi netika saņemti.</w:t>
            </w:r>
          </w:p>
        </w:tc>
      </w:tr>
      <w:tr w:rsidR="004E743A" w:rsidRPr="00633048" w14:paraId="03E976CF" w14:textId="77777777" w:rsidTr="00E52B8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E549DC9" w14:textId="77777777" w:rsidR="004E743A" w:rsidRPr="00633048" w:rsidRDefault="004E743A"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2F35F2A6" w14:textId="77777777" w:rsidR="004E743A" w:rsidRPr="00633048" w:rsidRDefault="004E743A"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43AAA0D9" w14:textId="21C246B9" w:rsidR="004E743A" w:rsidRPr="00633048" w:rsidRDefault="004E743A" w:rsidP="00E87CB6">
            <w:pPr>
              <w:spacing w:before="100" w:beforeAutospacing="1" w:after="100" w:afterAutospacing="1" w:line="293" w:lineRule="atLeast"/>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Nav</w:t>
            </w:r>
            <w:r w:rsidR="007741AA">
              <w:rPr>
                <w:rFonts w:ascii="Times New Roman" w:eastAsia="Times New Roman" w:hAnsi="Times New Roman" w:cs="Times New Roman"/>
                <w:sz w:val="28"/>
                <w:szCs w:val="28"/>
                <w:lang w:eastAsia="lv-LV"/>
              </w:rPr>
              <w:t>.</w:t>
            </w:r>
          </w:p>
        </w:tc>
      </w:tr>
    </w:tbl>
    <w:p w14:paraId="538C3871" w14:textId="77777777" w:rsidR="00DC5978" w:rsidRPr="00633048" w:rsidRDefault="00DC5978" w:rsidP="00D90D01">
      <w:pPr>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5"/>
        <w:gridCol w:w="6087"/>
      </w:tblGrid>
      <w:tr w:rsidR="004E743A" w:rsidRPr="00633048" w14:paraId="57739773" w14:textId="77777777" w:rsidTr="00E87CB6">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2A2FAB" w14:textId="77777777" w:rsidR="004E743A" w:rsidRPr="00633048" w:rsidRDefault="004E743A" w:rsidP="00E87CB6">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33048">
              <w:rPr>
                <w:rFonts w:ascii="Times New Roman" w:eastAsia="Times New Roman" w:hAnsi="Times New Roman" w:cs="Times New Roman"/>
                <w:b/>
                <w:bCs/>
                <w:sz w:val="28"/>
                <w:szCs w:val="28"/>
                <w:lang w:eastAsia="lv-LV"/>
              </w:rPr>
              <w:t>VII. Tiesību akta projekta izpildes nodrošināšana un tās ietekme uz institūcijām</w:t>
            </w:r>
          </w:p>
        </w:tc>
      </w:tr>
      <w:tr w:rsidR="004E743A" w:rsidRPr="00633048" w14:paraId="50637565" w14:textId="77777777" w:rsidTr="00E52B8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885F903" w14:textId="77777777" w:rsidR="004E743A" w:rsidRPr="00633048" w:rsidRDefault="004E743A"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16AEA097" w14:textId="77777777" w:rsidR="004E743A" w:rsidRPr="00633048" w:rsidRDefault="004E743A"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Projekta izpildē iesaistītās institūcijas</w:t>
            </w:r>
          </w:p>
        </w:tc>
        <w:tc>
          <w:tcPr>
            <w:tcW w:w="3361" w:type="pct"/>
            <w:tcBorders>
              <w:top w:val="outset" w:sz="6" w:space="0" w:color="414142"/>
              <w:left w:val="outset" w:sz="6" w:space="0" w:color="414142"/>
              <w:bottom w:val="outset" w:sz="6" w:space="0" w:color="414142"/>
              <w:right w:val="outset" w:sz="6" w:space="0" w:color="414142"/>
            </w:tcBorders>
            <w:hideMark/>
          </w:tcPr>
          <w:p w14:paraId="445372AF" w14:textId="64155B13" w:rsidR="004E743A" w:rsidRPr="00633048" w:rsidRDefault="00F27712" w:rsidP="009E1994">
            <w:pPr>
              <w:pStyle w:val="NumPar1"/>
              <w:numPr>
                <w:ilvl w:val="0"/>
                <w:numId w:val="0"/>
              </w:numPr>
              <w:snapToGrid w:val="0"/>
              <w:rPr>
                <w:sz w:val="28"/>
                <w:szCs w:val="28"/>
              </w:rPr>
            </w:pPr>
            <w:r w:rsidRPr="00633048">
              <w:rPr>
                <w:sz w:val="28"/>
                <w:szCs w:val="28"/>
              </w:rPr>
              <w:t>Valsts vides dienests</w:t>
            </w:r>
          </w:p>
        </w:tc>
      </w:tr>
      <w:tr w:rsidR="004E743A" w:rsidRPr="00633048" w14:paraId="788C3687" w14:textId="77777777" w:rsidTr="00E52B8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29B8B05" w14:textId="77777777" w:rsidR="004E743A" w:rsidRPr="00633048" w:rsidRDefault="004E743A"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43104CC" w14:textId="77777777" w:rsidR="004E743A" w:rsidRPr="00633048" w:rsidRDefault="004E743A"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Projekta izpildes ietekme uz pārvaldes funkcijām un institucionālo struktūru.</w:t>
            </w:r>
          </w:p>
          <w:p w14:paraId="1791F8FA" w14:textId="77777777" w:rsidR="004E743A" w:rsidRPr="00633048" w:rsidRDefault="004E743A" w:rsidP="00E87CB6">
            <w:pPr>
              <w:spacing w:before="100" w:beforeAutospacing="1" w:after="100" w:afterAutospacing="1" w:line="293" w:lineRule="atLeast"/>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361" w:type="pct"/>
            <w:tcBorders>
              <w:top w:val="outset" w:sz="6" w:space="0" w:color="414142"/>
              <w:left w:val="outset" w:sz="6" w:space="0" w:color="414142"/>
              <w:bottom w:val="outset" w:sz="6" w:space="0" w:color="414142"/>
              <w:right w:val="outset" w:sz="6" w:space="0" w:color="414142"/>
            </w:tcBorders>
            <w:hideMark/>
          </w:tcPr>
          <w:p w14:paraId="560953D4" w14:textId="77777777" w:rsidR="004E743A" w:rsidRPr="00633048" w:rsidRDefault="004E743A" w:rsidP="008451C8">
            <w:pPr>
              <w:pStyle w:val="naisnod"/>
              <w:spacing w:before="0" w:after="0"/>
              <w:ind w:left="57" w:right="57"/>
              <w:jc w:val="both"/>
              <w:rPr>
                <w:b w:val="0"/>
                <w:sz w:val="28"/>
                <w:szCs w:val="28"/>
              </w:rPr>
            </w:pPr>
            <w:r w:rsidRPr="00633048">
              <w:rPr>
                <w:b w:val="0"/>
                <w:sz w:val="28"/>
                <w:szCs w:val="28"/>
              </w:rPr>
              <w:t>Noteikumu projekts neietekmē iesaistīto institūciju funkcijas un uzdevumus.</w:t>
            </w:r>
          </w:p>
          <w:p w14:paraId="3EE1D105" w14:textId="77777777" w:rsidR="004E743A" w:rsidRPr="00633048" w:rsidRDefault="004E743A" w:rsidP="008451C8">
            <w:pPr>
              <w:pStyle w:val="naisnod"/>
              <w:spacing w:before="0" w:after="0"/>
              <w:ind w:left="57" w:right="57"/>
              <w:jc w:val="both"/>
              <w:rPr>
                <w:b w:val="0"/>
                <w:sz w:val="28"/>
                <w:szCs w:val="28"/>
              </w:rPr>
            </w:pPr>
          </w:p>
          <w:p w14:paraId="781C80F5" w14:textId="77777777" w:rsidR="004E743A" w:rsidRPr="00633048" w:rsidRDefault="004E743A" w:rsidP="00425EC2">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633048">
              <w:rPr>
                <w:rFonts w:ascii="Times New Roman" w:eastAsia="Times New Roman" w:hAnsi="Times New Roman" w:cs="Times New Roman"/>
                <w:bCs/>
                <w:sz w:val="28"/>
                <w:szCs w:val="28"/>
                <w:lang w:eastAsia="lv-LV"/>
              </w:rPr>
              <w:t>Jaunas institūcijas nav jāveido. Esošās institūcijas nav jāreorganizē.</w:t>
            </w:r>
          </w:p>
        </w:tc>
      </w:tr>
      <w:tr w:rsidR="004E743A" w:rsidRPr="00633048" w14:paraId="275B2BF2" w14:textId="77777777" w:rsidTr="00E52B8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614DF3E" w14:textId="77777777" w:rsidR="004E743A" w:rsidRPr="00633048" w:rsidRDefault="004E743A"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59C50D49" w14:textId="77777777" w:rsidR="004E743A" w:rsidRPr="00633048" w:rsidRDefault="004E743A" w:rsidP="00E87CB6">
            <w:pPr>
              <w:spacing w:after="0" w:line="240" w:lineRule="auto"/>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779B9976" w14:textId="351FF5E2" w:rsidR="004E743A" w:rsidRPr="00633048" w:rsidRDefault="004E743A" w:rsidP="00E87CB6">
            <w:pPr>
              <w:spacing w:before="100" w:beforeAutospacing="1" w:after="100" w:afterAutospacing="1" w:line="293" w:lineRule="atLeast"/>
              <w:rPr>
                <w:rFonts w:ascii="Times New Roman" w:eastAsia="Times New Roman" w:hAnsi="Times New Roman" w:cs="Times New Roman"/>
                <w:sz w:val="28"/>
                <w:szCs w:val="28"/>
                <w:lang w:eastAsia="lv-LV"/>
              </w:rPr>
            </w:pPr>
            <w:r w:rsidRPr="00633048">
              <w:rPr>
                <w:rFonts w:ascii="Times New Roman" w:eastAsia="Times New Roman" w:hAnsi="Times New Roman" w:cs="Times New Roman"/>
                <w:sz w:val="28"/>
                <w:szCs w:val="28"/>
                <w:lang w:eastAsia="lv-LV"/>
              </w:rPr>
              <w:t>Nav</w:t>
            </w:r>
            <w:r w:rsidR="007741AA">
              <w:rPr>
                <w:rFonts w:ascii="Times New Roman" w:eastAsia="Times New Roman" w:hAnsi="Times New Roman" w:cs="Times New Roman"/>
                <w:sz w:val="28"/>
                <w:szCs w:val="28"/>
                <w:lang w:eastAsia="lv-LV"/>
              </w:rPr>
              <w:t>.</w:t>
            </w:r>
          </w:p>
        </w:tc>
      </w:tr>
    </w:tbl>
    <w:p w14:paraId="6FB1A1ED" w14:textId="77777777" w:rsidR="004E743A" w:rsidRPr="00633048" w:rsidRDefault="004E743A" w:rsidP="004E743A">
      <w:pPr>
        <w:spacing w:after="0" w:line="240" w:lineRule="auto"/>
        <w:rPr>
          <w:rFonts w:ascii="Times New Roman" w:hAnsi="Times New Roman" w:cs="Times New Roman"/>
          <w:sz w:val="28"/>
          <w:szCs w:val="28"/>
        </w:rPr>
      </w:pPr>
    </w:p>
    <w:p w14:paraId="0C9DF816" w14:textId="77777777" w:rsidR="00907205" w:rsidRPr="00633048" w:rsidRDefault="00907205" w:rsidP="004E743A">
      <w:pPr>
        <w:tabs>
          <w:tab w:val="left" w:pos="6237"/>
        </w:tabs>
        <w:spacing w:after="0" w:line="240" w:lineRule="auto"/>
        <w:rPr>
          <w:rFonts w:ascii="Times New Roman" w:hAnsi="Times New Roman" w:cs="Times New Roman"/>
          <w:sz w:val="28"/>
          <w:szCs w:val="28"/>
        </w:rPr>
      </w:pPr>
    </w:p>
    <w:p w14:paraId="2343288E" w14:textId="77777777" w:rsidR="004E743A" w:rsidRPr="00633048" w:rsidRDefault="004E743A" w:rsidP="004E743A">
      <w:pPr>
        <w:tabs>
          <w:tab w:val="left" w:pos="6237"/>
        </w:tabs>
        <w:spacing w:after="0" w:line="240" w:lineRule="auto"/>
        <w:rPr>
          <w:rFonts w:ascii="Times New Roman" w:hAnsi="Times New Roman" w:cs="Times New Roman"/>
          <w:sz w:val="28"/>
          <w:szCs w:val="28"/>
        </w:rPr>
      </w:pPr>
      <w:r w:rsidRPr="00633048">
        <w:rPr>
          <w:rFonts w:ascii="Times New Roman" w:hAnsi="Times New Roman" w:cs="Times New Roman"/>
          <w:sz w:val="28"/>
          <w:szCs w:val="28"/>
        </w:rPr>
        <w:t xml:space="preserve">Vides aizsardzības un </w:t>
      </w:r>
    </w:p>
    <w:p w14:paraId="62778AC7" w14:textId="77777777" w:rsidR="004E743A" w:rsidRPr="00633048" w:rsidRDefault="004E743A" w:rsidP="004E743A">
      <w:pPr>
        <w:tabs>
          <w:tab w:val="left" w:pos="6237"/>
        </w:tabs>
        <w:spacing w:after="0" w:line="240" w:lineRule="auto"/>
        <w:rPr>
          <w:rFonts w:ascii="Times New Roman" w:hAnsi="Times New Roman" w:cs="Times New Roman"/>
          <w:sz w:val="28"/>
          <w:szCs w:val="28"/>
        </w:rPr>
      </w:pPr>
      <w:r w:rsidRPr="00633048">
        <w:rPr>
          <w:rFonts w:ascii="Times New Roman" w:hAnsi="Times New Roman" w:cs="Times New Roman"/>
          <w:sz w:val="28"/>
          <w:szCs w:val="28"/>
        </w:rPr>
        <w:t>reģionālās attīstības ministrs</w:t>
      </w:r>
      <w:r w:rsidRPr="00633048">
        <w:rPr>
          <w:rFonts w:ascii="Times New Roman" w:hAnsi="Times New Roman" w:cs="Times New Roman"/>
          <w:sz w:val="28"/>
          <w:szCs w:val="28"/>
        </w:rPr>
        <w:tab/>
        <w:t>Kaspars Gerhards</w:t>
      </w:r>
    </w:p>
    <w:p w14:paraId="1F13E12B" w14:textId="77777777" w:rsidR="004E743A" w:rsidRPr="00633048" w:rsidRDefault="004E743A" w:rsidP="004E743A">
      <w:pPr>
        <w:tabs>
          <w:tab w:val="left" w:pos="6237"/>
        </w:tabs>
        <w:spacing w:after="0" w:line="240" w:lineRule="auto"/>
        <w:rPr>
          <w:rFonts w:ascii="Times New Roman" w:hAnsi="Times New Roman" w:cs="Times New Roman"/>
          <w:sz w:val="28"/>
          <w:szCs w:val="28"/>
        </w:rPr>
      </w:pPr>
    </w:p>
    <w:p w14:paraId="2E5865C5" w14:textId="6A8F60B0" w:rsidR="004E743A" w:rsidRPr="00633048" w:rsidRDefault="004E743A" w:rsidP="004E743A">
      <w:pPr>
        <w:tabs>
          <w:tab w:val="left" w:pos="6237"/>
        </w:tabs>
        <w:spacing w:after="0" w:line="240" w:lineRule="auto"/>
        <w:rPr>
          <w:rFonts w:ascii="Times New Roman" w:hAnsi="Times New Roman" w:cs="Times New Roman"/>
          <w:sz w:val="28"/>
          <w:szCs w:val="28"/>
        </w:rPr>
      </w:pPr>
    </w:p>
    <w:p w14:paraId="6B665F72" w14:textId="77777777" w:rsidR="00D11495" w:rsidRPr="002D3841" w:rsidRDefault="00D11495" w:rsidP="004E743A">
      <w:pPr>
        <w:tabs>
          <w:tab w:val="left" w:pos="6237"/>
        </w:tabs>
        <w:spacing w:after="0" w:line="240" w:lineRule="auto"/>
        <w:rPr>
          <w:rFonts w:ascii="Times New Roman" w:hAnsi="Times New Roman" w:cs="Times New Roman"/>
          <w:sz w:val="20"/>
          <w:szCs w:val="20"/>
        </w:rPr>
      </w:pPr>
      <w:r w:rsidRPr="002D3841">
        <w:rPr>
          <w:rFonts w:ascii="Times New Roman" w:hAnsi="Times New Roman" w:cs="Times New Roman"/>
          <w:sz w:val="20"/>
          <w:szCs w:val="20"/>
        </w:rPr>
        <w:t>Slaidiņa 67026487</w:t>
      </w:r>
    </w:p>
    <w:p w14:paraId="1A7E70CD" w14:textId="33E4971B" w:rsidR="000D6C3A" w:rsidRPr="002D3841" w:rsidRDefault="004B1951" w:rsidP="00251200">
      <w:pPr>
        <w:tabs>
          <w:tab w:val="left" w:pos="6237"/>
        </w:tabs>
        <w:spacing w:after="0" w:line="240" w:lineRule="auto"/>
        <w:rPr>
          <w:rFonts w:ascii="Times New Roman" w:eastAsia="Times New Roman" w:hAnsi="Times New Roman" w:cs="Times New Roman"/>
          <w:sz w:val="20"/>
          <w:szCs w:val="20"/>
          <w:lang w:eastAsia="lv-LV"/>
        </w:rPr>
      </w:pPr>
      <w:hyperlink r:id="rId10" w:history="1">
        <w:r w:rsidR="00D11495" w:rsidRPr="002D3841">
          <w:rPr>
            <w:rStyle w:val="Hyperlink"/>
            <w:rFonts w:ascii="Times New Roman" w:hAnsi="Times New Roman" w:cs="Times New Roman"/>
            <w:sz w:val="20"/>
            <w:szCs w:val="20"/>
          </w:rPr>
          <w:t>natalija.slaidina@varamm.gov.lv</w:t>
        </w:r>
      </w:hyperlink>
      <w:r w:rsidR="00D11495" w:rsidRPr="002D3841">
        <w:rPr>
          <w:rFonts w:ascii="Times New Roman" w:hAnsi="Times New Roman" w:cs="Times New Roman"/>
          <w:sz w:val="20"/>
          <w:szCs w:val="20"/>
        </w:rPr>
        <w:t xml:space="preserve"> </w:t>
      </w:r>
    </w:p>
    <w:sectPr w:rsidR="000D6C3A" w:rsidRPr="002D3841" w:rsidSect="00425EC2">
      <w:headerReference w:type="default" r:id="rId11"/>
      <w:footerReference w:type="default" r:id="rId12"/>
      <w:footerReference w:type="first" r:id="rId13"/>
      <w:pgSz w:w="11906" w:h="16838"/>
      <w:pgMar w:top="85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0E3DF" w14:textId="77777777" w:rsidR="004B1951" w:rsidRDefault="004B1951" w:rsidP="00E57E0B">
      <w:pPr>
        <w:spacing w:after="0" w:line="240" w:lineRule="auto"/>
      </w:pPr>
      <w:r>
        <w:separator/>
      </w:r>
    </w:p>
  </w:endnote>
  <w:endnote w:type="continuationSeparator" w:id="0">
    <w:p w14:paraId="23D9C301" w14:textId="77777777" w:rsidR="004B1951" w:rsidRDefault="004B1951" w:rsidP="00E5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6828F" w14:textId="7C86ED1A" w:rsidR="00E87CB6" w:rsidRPr="00B30E13" w:rsidRDefault="00E87CB6" w:rsidP="00431A17">
    <w:pPr>
      <w:pStyle w:val="Footer"/>
      <w:tabs>
        <w:tab w:val="left" w:pos="7655"/>
      </w:tabs>
      <w:rPr>
        <w:rFonts w:ascii="Times New Roman" w:hAnsi="Times New Roman" w:cs="Times New Roman"/>
        <w:sz w:val="20"/>
        <w:szCs w:val="20"/>
      </w:rPr>
    </w:pPr>
    <w:r w:rsidRPr="00B30E13">
      <w:rPr>
        <w:rFonts w:ascii="Times New Roman" w:hAnsi="Times New Roman" w:cs="Times New Roman"/>
        <w:sz w:val="20"/>
        <w:szCs w:val="20"/>
      </w:rPr>
      <w:t>VARANAnot_</w:t>
    </w:r>
    <w:r w:rsidR="00EB44F4">
      <w:rPr>
        <w:rFonts w:ascii="Times New Roman" w:hAnsi="Times New Roman" w:cs="Times New Roman"/>
        <w:sz w:val="20"/>
        <w:szCs w:val="20"/>
      </w:rPr>
      <w:t>17</w:t>
    </w:r>
    <w:r w:rsidR="006F10C9">
      <w:rPr>
        <w:rFonts w:ascii="Times New Roman" w:hAnsi="Times New Roman" w:cs="Times New Roman"/>
        <w:sz w:val="20"/>
        <w:szCs w:val="20"/>
      </w:rPr>
      <w:t>07</w:t>
    </w:r>
    <w:r w:rsidR="00AA491F">
      <w:rPr>
        <w:rFonts w:ascii="Times New Roman" w:hAnsi="Times New Roman" w:cs="Times New Roman"/>
        <w:sz w:val="20"/>
        <w:szCs w:val="20"/>
      </w:rPr>
      <w:t>2018_EOW_skelda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6397C" w14:textId="694B53C5" w:rsidR="00E87CB6" w:rsidRPr="00B30E13" w:rsidRDefault="00E87CB6">
    <w:pPr>
      <w:pStyle w:val="Footer"/>
      <w:rPr>
        <w:rFonts w:ascii="Times New Roman" w:hAnsi="Times New Roman" w:cs="Times New Roman"/>
        <w:sz w:val="20"/>
        <w:szCs w:val="20"/>
      </w:rPr>
    </w:pPr>
    <w:r w:rsidRPr="00B30E13">
      <w:rPr>
        <w:rFonts w:ascii="Times New Roman" w:hAnsi="Times New Roman" w:cs="Times New Roman"/>
        <w:sz w:val="20"/>
        <w:szCs w:val="20"/>
      </w:rPr>
      <w:t>VARANAnot_</w:t>
    </w:r>
    <w:r w:rsidR="00EB44F4">
      <w:rPr>
        <w:rFonts w:ascii="Times New Roman" w:hAnsi="Times New Roman" w:cs="Times New Roman"/>
        <w:sz w:val="20"/>
        <w:szCs w:val="20"/>
      </w:rPr>
      <w:t>17</w:t>
    </w:r>
    <w:r w:rsidR="006F10C9">
      <w:rPr>
        <w:rFonts w:ascii="Times New Roman" w:hAnsi="Times New Roman" w:cs="Times New Roman"/>
        <w:sz w:val="20"/>
        <w:szCs w:val="20"/>
      </w:rPr>
      <w:t>07</w:t>
    </w:r>
    <w:r w:rsidR="00AA491F">
      <w:rPr>
        <w:rFonts w:ascii="Times New Roman" w:hAnsi="Times New Roman" w:cs="Times New Roman"/>
        <w:sz w:val="20"/>
        <w:szCs w:val="20"/>
      </w:rPr>
      <w:t>2018_EOW_skelda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68401" w14:textId="77777777" w:rsidR="004B1951" w:rsidRDefault="004B1951" w:rsidP="00E57E0B">
      <w:pPr>
        <w:spacing w:after="0" w:line="240" w:lineRule="auto"/>
      </w:pPr>
      <w:r>
        <w:separator/>
      </w:r>
    </w:p>
  </w:footnote>
  <w:footnote w:type="continuationSeparator" w:id="0">
    <w:p w14:paraId="6D7007BB" w14:textId="77777777" w:rsidR="004B1951" w:rsidRDefault="004B1951" w:rsidP="00E57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66299"/>
      <w:docPartObj>
        <w:docPartGallery w:val="Page Numbers (Top of Page)"/>
        <w:docPartUnique/>
      </w:docPartObj>
    </w:sdtPr>
    <w:sdtEndPr>
      <w:rPr>
        <w:rFonts w:ascii="Times New Roman" w:hAnsi="Times New Roman" w:cs="Times New Roman"/>
        <w:noProof/>
        <w:sz w:val="24"/>
        <w:szCs w:val="24"/>
      </w:rPr>
    </w:sdtEndPr>
    <w:sdtContent>
      <w:p w14:paraId="79FB365F" w14:textId="41707C5D" w:rsidR="00E87CB6" w:rsidRPr="00425EC2" w:rsidRDefault="00E87CB6">
        <w:pPr>
          <w:pStyle w:val="Header"/>
          <w:jc w:val="center"/>
          <w:rPr>
            <w:rFonts w:ascii="Times New Roman" w:hAnsi="Times New Roman" w:cs="Times New Roman"/>
            <w:sz w:val="24"/>
            <w:szCs w:val="24"/>
          </w:rPr>
        </w:pPr>
        <w:r w:rsidRPr="00425EC2">
          <w:rPr>
            <w:rFonts w:ascii="Times New Roman" w:hAnsi="Times New Roman" w:cs="Times New Roman"/>
            <w:sz w:val="24"/>
            <w:szCs w:val="24"/>
          </w:rPr>
          <w:fldChar w:fldCharType="begin"/>
        </w:r>
        <w:r w:rsidRPr="00425EC2">
          <w:rPr>
            <w:rFonts w:ascii="Times New Roman" w:hAnsi="Times New Roman" w:cs="Times New Roman"/>
            <w:sz w:val="24"/>
            <w:szCs w:val="24"/>
          </w:rPr>
          <w:instrText xml:space="preserve"> PAGE   \* MERGEFORMAT </w:instrText>
        </w:r>
        <w:r w:rsidRPr="00425EC2">
          <w:rPr>
            <w:rFonts w:ascii="Times New Roman" w:hAnsi="Times New Roman" w:cs="Times New Roman"/>
            <w:sz w:val="24"/>
            <w:szCs w:val="24"/>
          </w:rPr>
          <w:fldChar w:fldCharType="separate"/>
        </w:r>
        <w:r w:rsidR="00D26882">
          <w:rPr>
            <w:rFonts w:ascii="Times New Roman" w:hAnsi="Times New Roman" w:cs="Times New Roman"/>
            <w:noProof/>
            <w:sz w:val="24"/>
            <w:szCs w:val="24"/>
          </w:rPr>
          <w:t>2</w:t>
        </w:r>
        <w:r w:rsidRPr="00425EC2">
          <w:rPr>
            <w:rFonts w:ascii="Times New Roman" w:hAnsi="Times New Roman" w:cs="Times New Roman"/>
            <w:noProof/>
            <w:sz w:val="24"/>
            <w:szCs w:val="24"/>
          </w:rPr>
          <w:fldChar w:fldCharType="end"/>
        </w:r>
      </w:p>
    </w:sdtContent>
  </w:sdt>
  <w:p w14:paraId="3561E4E8" w14:textId="77777777" w:rsidR="00E87CB6" w:rsidRPr="00425EC2" w:rsidRDefault="00E87CB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4B9"/>
    <w:multiLevelType w:val="hybridMultilevel"/>
    <w:tmpl w:val="8F6222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212747"/>
    <w:multiLevelType w:val="multilevel"/>
    <w:tmpl w:val="FBD0F488"/>
    <w:name w:val="0,901923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B1F23CE"/>
    <w:multiLevelType w:val="multilevel"/>
    <w:tmpl w:val="596AC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1"/>
    <w:rsid w:val="00016B6B"/>
    <w:rsid w:val="00020F9F"/>
    <w:rsid w:val="0002266A"/>
    <w:rsid w:val="000361D4"/>
    <w:rsid w:val="00042446"/>
    <w:rsid w:val="00053550"/>
    <w:rsid w:val="00062229"/>
    <w:rsid w:val="00084003"/>
    <w:rsid w:val="00092A2B"/>
    <w:rsid w:val="000A3094"/>
    <w:rsid w:val="000D6C3A"/>
    <w:rsid w:val="000E1DFF"/>
    <w:rsid w:val="000E45EE"/>
    <w:rsid w:val="001020CA"/>
    <w:rsid w:val="001030B6"/>
    <w:rsid w:val="00112598"/>
    <w:rsid w:val="001576DE"/>
    <w:rsid w:val="0016369E"/>
    <w:rsid w:val="00177EED"/>
    <w:rsid w:val="00182E08"/>
    <w:rsid w:val="001A468B"/>
    <w:rsid w:val="001C7AB2"/>
    <w:rsid w:val="00231C46"/>
    <w:rsid w:val="00231CA9"/>
    <w:rsid w:val="002376B2"/>
    <w:rsid w:val="00251200"/>
    <w:rsid w:val="00254B51"/>
    <w:rsid w:val="00255B82"/>
    <w:rsid w:val="0029443B"/>
    <w:rsid w:val="002B6ECB"/>
    <w:rsid w:val="002B7251"/>
    <w:rsid w:val="002D297A"/>
    <w:rsid w:val="002D3841"/>
    <w:rsid w:val="002D7D58"/>
    <w:rsid w:val="002F024D"/>
    <w:rsid w:val="002F5134"/>
    <w:rsid w:val="002F759F"/>
    <w:rsid w:val="00314342"/>
    <w:rsid w:val="00336B35"/>
    <w:rsid w:val="00350F11"/>
    <w:rsid w:val="003848FD"/>
    <w:rsid w:val="003916BC"/>
    <w:rsid w:val="003A2B56"/>
    <w:rsid w:val="003A2B5F"/>
    <w:rsid w:val="003B7C86"/>
    <w:rsid w:val="003C0A93"/>
    <w:rsid w:val="003F3723"/>
    <w:rsid w:val="00406751"/>
    <w:rsid w:val="00422406"/>
    <w:rsid w:val="00425EC2"/>
    <w:rsid w:val="00425F6D"/>
    <w:rsid w:val="004316BB"/>
    <w:rsid w:val="00431A17"/>
    <w:rsid w:val="004322B3"/>
    <w:rsid w:val="00461FDE"/>
    <w:rsid w:val="0048750C"/>
    <w:rsid w:val="00490C93"/>
    <w:rsid w:val="004B1951"/>
    <w:rsid w:val="004D0293"/>
    <w:rsid w:val="004D0A92"/>
    <w:rsid w:val="004D14E4"/>
    <w:rsid w:val="004E743A"/>
    <w:rsid w:val="004F0820"/>
    <w:rsid w:val="004F2EF3"/>
    <w:rsid w:val="0050209A"/>
    <w:rsid w:val="00504B58"/>
    <w:rsid w:val="00516113"/>
    <w:rsid w:val="00520B0B"/>
    <w:rsid w:val="005340D3"/>
    <w:rsid w:val="00536C61"/>
    <w:rsid w:val="00541115"/>
    <w:rsid w:val="005651CC"/>
    <w:rsid w:val="00570834"/>
    <w:rsid w:val="00581C7B"/>
    <w:rsid w:val="00582777"/>
    <w:rsid w:val="005A3445"/>
    <w:rsid w:val="005A3F63"/>
    <w:rsid w:val="005A46DB"/>
    <w:rsid w:val="005A54B1"/>
    <w:rsid w:val="005C3C89"/>
    <w:rsid w:val="005D4B52"/>
    <w:rsid w:val="005F1304"/>
    <w:rsid w:val="0061740A"/>
    <w:rsid w:val="0062185A"/>
    <w:rsid w:val="006254AA"/>
    <w:rsid w:val="00633048"/>
    <w:rsid w:val="00650DFB"/>
    <w:rsid w:val="006608C1"/>
    <w:rsid w:val="0069147F"/>
    <w:rsid w:val="00695385"/>
    <w:rsid w:val="006A2927"/>
    <w:rsid w:val="006B1C18"/>
    <w:rsid w:val="006B2F29"/>
    <w:rsid w:val="006C7DBB"/>
    <w:rsid w:val="006D581E"/>
    <w:rsid w:val="006E509F"/>
    <w:rsid w:val="006F10C9"/>
    <w:rsid w:val="006F3D56"/>
    <w:rsid w:val="006F7E5F"/>
    <w:rsid w:val="0070070D"/>
    <w:rsid w:val="007251FB"/>
    <w:rsid w:val="00743054"/>
    <w:rsid w:val="0074680D"/>
    <w:rsid w:val="00757E9A"/>
    <w:rsid w:val="007741AA"/>
    <w:rsid w:val="00791F15"/>
    <w:rsid w:val="007C1154"/>
    <w:rsid w:val="007C2869"/>
    <w:rsid w:val="007C3FE4"/>
    <w:rsid w:val="007C753E"/>
    <w:rsid w:val="007D2123"/>
    <w:rsid w:val="007D472D"/>
    <w:rsid w:val="007E1603"/>
    <w:rsid w:val="008016D0"/>
    <w:rsid w:val="00805DB6"/>
    <w:rsid w:val="00823D71"/>
    <w:rsid w:val="008451C8"/>
    <w:rsid w:val="008607B7"/>
    <w:rsid w:val="008834F7"/>
    <w:rsid w:val="008843CE"/>
    <w:rsid w:val="008848F6"/>
    <w:rsid w:val="00891AAB"/>
    <w:rsid w:val="008A1746"/>
    <w:rsid w:val="008A7012"/>
    <w:rsid w:val="008A7E6E"/>
    <w:rsid w:val="008B6F6D"/>
    <w:rsid w:val="008C7BD2"/>
    <w:rsid w:val="008E3415"/>
    <w:rsid w:val="008F6CDC"/>
    <w:rsid w:val="0090444C"/>
    <w:rsid w:val="00906588"/>
    <w:rsid w:val="00907205"/>
    <w:rsid w:val="009078D0"/>
    <w:rsid w:val="00913A1D"/>
    <w:rsid w:val="00915356"/>
    <w:rsid w:val="009176D8"/>
    <w:rsid w:val="00921EE9"/>
    <w:rsid w:val="00930E2F"/>
    <w:rsid w:val="00934CED"/>
    <w:rsid w:val="00943FEC"/>
    <w:rsid w:val="00961C69"/>
    <w:rsid w:val="00963F5B"/>
    <w:rsid w:val="00971970"/>
    <w:rsid w:val="00981DFE"/>
    <w:rsid w:val="00982171"/>
    <w:rsid w:val="0099541F"/>
    <w:rsid w:val="00996FA0"/>
    <w:rsid w:val="009D4F2C"/>
    <w:rsid w:val="009E1994"/>
    <w:rsid w:val="009E5AED"/>
    <w:rsid w:val="009F20DD"/>
    <w:rsid w:val="009F2D7C"/>
    <w:rsid w:val="00A6527C"/>
    <w:rsid w:val="00A70E7E"/>
    <w:rsid w:val="00AA22EA"/>
    <w:rsid w:val="00AA491F"/>
    <w:rsid w:val="00AB4B9B"/>
    <w:rsid w:val="00AD6459"/>
    <w:rsid w:val="00AE4AFC"/>
    <w:rsid w:val="00B05406"/>
    <w:rsid w:val="00B063C0"/>
    <w:rsid w:val="00B11646"/>
    <w:rsid w:val="00B13C7C"/>
    <w:rsid w:val="00B150BA"/>
    <w:rsid w:val="00B168B4"/>
    <w:rsid w:val="00B23652"/>
    <w:rsid w:val="00B2583B"/>
    <w:rsid w:val="00B30E13"/>
    <w:rsid w:val="00B419D7"/>
    <w:rsid w:val="00B42955"/>
    <w:rsid w:val="00B61E89"/>
    <w:rsid w:val="00B76C83"/>
    <w:rsid w:val="00B771E7"/>
    <w:rsid w:val="00B834FF"/>
    <w:rsid w:val="00B85695"/>
    <w:rsid w:val="00BA5FEF"/>
    <w:rsid w:val="00BC0668"/>
    <w:rsid w:val="00BC1A21"/>
    <w:rsid w:val="00BE79F4"/>
    <w:rsid w:val="00C1091A"/>
    <w:rsid w:val="00C32749"/>
    <w:rsid w:val="00C32805"/>
    <w:rsid w:val="00C45426"/>
    <w:rsid w:val="00C54410"/>
    <w:rsid w:val="00C63D3F"/>
    <w:rsid w:val="00C65612"/>
    <w:rsid w:val="00C70ACB"/>
    <w:rsid w:val="00C7204B"/>
    <w:rsid w:val="00C73EEE"/>
    <w:rsid w:val="00C745EB"/>
    <w:rsid w:val="00C84415"/>
    <w:rsid w:val="00C93C01"/>
    <w:rsid w:val="00CB4D43"/>
    <w:rsid w:val="00CB5620"/>
    <w:rsid w:val="00CB6C9B"/>
    <w:rsid w:val="00CD7BD3"/>
    <w:rsid w:val="00D11495"/>
    <w:rsid w:val="00D26882"/>
    <w:rsid w:val="00D26AF4"/>
    <w:rsid w:val="00D8740C"/>
    <w:rsid w:val="00D87659"/>
    <w:rsid w:val="00D90D01"/>
    <w:rsid w:val="00D9343F"/>
    <w:rsid w:val="00DC376B"/>
    <w:rsid w:val="00DC5978"/>
    <w:rsid w:val="00DD1DC0"/>
    <w:rsid w:val="00DD3125"/>
    <w:rsid w:val="00E03E9A"/>
    <w:rsid w:val="00E05061"/>
    <w:rsid w:val="00E06AE3"/>
    <w:rsid w:val="00E0763D"/>
    <w:rsid w:val="00E1561C"/>
    <w:rsid w:val="00E438B2"/>
    <w:rsid w:val="00E52B85"/>
    <w:rsid w:val="00E52D06"/>
    <w:rsid w:val="00E5617A"/>
    <w:rsid w:val="00E57849"/>
    <w:rsid w:val="00E57E0B"/>
    <w:rsid w:val="00E84905"/>
    <w:rsid w:val="00E876F5"/>
    <w:rsid w:val="00E87CB6"/>
    <w:rsid w:val="00EB44F4"/>
    <w:rsid w:val="00EB5889"/>
    <w:rsid w:val="00EF2722"/>
    <w:rsid w:val="00F07A3B"/>
    <w:rsid w:val="00F1035D"/>
    <w:rsid w:val="00F123D1"/>
    <w:rsid w:val="00F272CF"/>
    <w:rsid w:val="00F27712"/>
    <w:rsid w:val="00F320AA"/>
    <w:rsid w:val="00F57D66"/>
    <w:rsid w:val="00FB1F6B"/>
    <w:rsid w:val="00FD096B"/>
    <w:rsid w:val="00FF76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E7ABC"/>
  <w15:docId w15:val="{718F2FBE-7730-4497-AEE0-C97B4C0C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D90D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90D01"/>
    <w:rPr>
      <w:color w:val="0000FF"/>
      <w:u w:val="single"/>
    </w:rPr>
  </w:style>
  <w:style w:type="table" w:styleId="TableGrid">
    <w:name w:val="Table Grid"/>
    <w:basedOn w:val="TableNormal"/>
    <w:uiPriority w:val="39"/>
    <w:rsid w:val="00D9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4E743A"/>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4E743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4316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316BB"/>
    <w:rPr>
      <w:sz w:val="16"/>
      <w:szCs w:val="16"/>
    </w:rPr>
  </w:style>
  <w:style w:type="paragraph" w:styleId="CommentText">
    <w:name w:val="annotation text"/>
    <w:basedOn w:val="Normal"/>
    <w:link w:val="CommentTextChar"/>
    <w:uiPriority w:val="99"/>
    <w:semiHidden/>
    <w:unhideWhenUsed/>
    <w:rsid w:val="004316BB"/>
    <w:pPr>
      <w:spacing w:line="240" w:lineRule="auto"/>
    </w:pPr>
    <w:rPr>
      <w:sz w:val="20"/>
      <w:szCs w:val="20"/>
    </w:rPr>
  </w:style>
  <w:style w:type="character" w:customStyle="1" w:styleId="CommentTextChar">
    <w:name w:val="Comment Text Char"/>
    <w:basedOn w:val="DefaultParagraphFont"/>
    <w:link w:val="CommentText"/>
    <w:uiPriority w:val="99"/>
    <w:semiHidden/>
    <w:rsid w:val="004316BB"/>
    <w:rPr>
      <w:sz w:val="20"/>
      <w:szCs w:val="20"/>
    </w:rPr>
  </w:style>
  <w:style w:type="paragraph" w:styleId="ListParagraph">
    <w:name w:val="List Paragraph"/>
    <w:basedOn w:val="Normal"/>
    <w:uiPriority w:val="34"/>
    <w:qFormat/>
    <w:rsid w:val="004316BB"/>
    <w:pPr>
      <w:ind w:left="720"/>
      <w:contextualSpacing/>
    </w:pPr>
  </w:style>
  <w:style w:type="paragraph" w:styleId="BalloonText">
    <w:name w:val="Balloon Text"/>
    <w:basedOn w:val="Normal"/>
    <w:link w:val="BalloonTextChar"/>
    <w:uiPriority w:val="99"/>
    <w:semiHidden/>
    <w:unhideWhenUsed/>
    <w:rsid w:val="00431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B"/>
    <w:rPr>
      <w:rFonts w:ascii="Segoe UI" w:hAnsi="Segoe UI" w:cs="Segoe UI"/>
      <w:sz w:val="18"/>
      <w:szCs w:val="18"/>
    </w:rPr>
  </w:style>
  <w:style w:type="paragraph" w:styleId="NormalWeb">
    <w:name w:val="Normal (Web)"/>
    <w:basedOn w:val="Normal"/>
    <w:uiPriority w:val="99"/>
    <w:semiHidden/>
    <w:unhideWhenUsed/>
    <w:rsid w:val="00E57E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57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E0B"/>
    <w:rPr>
      <w:sz w:val="20"/>
      <w:szCs w:val="20"/>
    </w:rPr>
  </w:style>
  <w:style w:type="character" w:styleId="FootnoteReference">
    <w:name w:val="footnote reference"/>
    <w:basedOn w:val="DefaultParagraphFont"/>
    <w:uiPriority w:val="99"/>
    <w:semiHidden/>
    <w:unhideWhenUsed/>
    <w:rsid w:val="00E57E0B"/>
    <w:rPr>
      <w:vertAlign w:val="superscript"/>
    </w:rPr>
  </w:style>
  <w:style w:type="paragraph" w:styleId="Header">
    <w:name w:val="header"/>
    <w:basedOn w:val="Normal"/>
    <w:link w:val="HeaderChar"/>
    <w:uiPriority w:val="99"/>
    <w:unhideWhenUsed/>
    <w:rsid w:val="00CB4D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4D43"/>
  </w:style>
  <w:style w:type="paragraph" w:styleId="Footer">
    <w:name w:val="footer"/>
    <w:basedOn w:val="Normal"/>
    <w:link w:val="FooterChar"/>
    <w:uiPriority w:val="99"/>
    <w:unhideWhenUsed/>
    <w:rsid w:val="00CB4D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4D43"/>
  </w:style>
  <w:style w:type="paragraph" w:styleId="CommentSubject">
    <w:name w:val="annotation subject"/>
    <w:basedOn w:val="CommentText"/>
    <w:next w:val="CommentText"/>
    <w:link w:val="CommentSubjectChar"/>
    <w:uiPriority w:val="99"/>
    <w:semiHidden/>
    <w:unhideWhenUsed/>
    <w:rsid w:val="00907205"/>
    <w:rPr>
      <w:b/>
      <w:bCs/>
    </w:rPr>
  </w:style>
  <w:style w:type="character" w:customStyle="1" w:styleId="CommentSubjectChar">
    <w:name w:val="Comment Subject Char"/>
    <w:basedOn w:val="CommentTextChar"/>
    <w:link w:val="CommentSubject"/>
    <w:uiPriority w:val="99"/>
    <w:semiHidden/>
    <w:rsid w:val="00907205"/>
    <w:rPr>
      <w:b/>
      <w:bCs/>
      <w:sz w:val="20"/>
      <w:szCs w:val="20"/>
    </w:rPr>
  </w:style>
  <w:style w:type="paragraph" w:styleId="Revision">
    <w:name w:val="Revision"/>
    <w:hidden/>
    <w:uiPriority w:val="99"/>
    <w:semiHidden/>
    <w:rsid w:val="008A1746"/>
    <w:pPr>
      <w:spacing w:after="0" w:line="240" w:lineRule="auto"/>
    </w:pPr>
  </w:style>
  <w:style w:type="paragraph" w:customStyle="1" w:styleId="NumPar1">
    <w:name w:val="NumPar 1"/>
    <w:basedOn w:val="Normal"/>
    <w:next w:val="Normal"/>
    <w:rsid w:val="007C1154"/>
    <w:pPr>
      <w:numPr>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2">
    <w:name w:val="NumPar 2"/>
    <w:basedOn w:val="Normal"/>
    <w:next w:val="Normal"/>
    <w:rsid w:val="007C1154"/>
    <w:pPr>
      <w:numPr>
        <w:ilvl w:val="1"/>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3">
    <w:name w:val="NumPar 3"/>
    <w:basedOn w:val="Normal"/>
    <w:next w:val="Normal"/>
    <w:rsid w:val="007C1154"/>
    <w:pPr>
      <w:numPr>
        <w:ilvl w:val="2"/>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4">
    <w:name w:val="NumPar 4"/>
    <w:basedOn w:val="Normal"/>
    <w:next w:val="Normal"/>
    <w:rsid w:val="007C1154"/>
    <w:pPr>
      <w:numPr>
        <w:ilvl w:val="3"/>
        <w:numId w:val="2"/>
      </w:numPr>
      <w:spacing w:before="120" w:after="120" w:line="240" w:lineRule="auto"/>
      <w:jc w:val="both"/>
    </w:pPr>
    <w:rPr>
      <w:rFonts w:ascii="Times New Roman" w:eastAsia="Times New Roman" w:hAnsi="Times New Roman" w:cs="Times New Roman"/>
      <w:snapToGrid w:val="0"/>
      <w:sz w:val="24"/>
      <w:szCs w:val="24"/>
      <w:lang w:eastAsia="lv-LV"/>
    </w:rPr>
  </w:style>
  <w:style w:type="character" w:styleId="Emphasis">
    <w:name w:val="Emphasis"/>
    <w:basedOn w:val="DefaultParagraphFont"/>
    <w:uiPriority w:val="20"/>
    <w:qFormat/>
    <w:rsid w:val="00B2583B"/>
    <w:rPr>
      <w:i/>
      <w:iCs/>
    </w:rPr>
  </w:style>
  <w:style w:type="table" w:customStyle="1" w:styleId="TableGrid1">
    <w:name w:val="Table Grid1"/>
    <w:basedOn w:val="TableNormal"/>
    <w:next w:val="TableGrid"/>
    <w:uiPriority w:val="39"/>
    <w:rsid w:val="005D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06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9619">
      <w:bodyDiv w:val="1"/>
      <w:marLeft w:val="0"/>
      <w:marRight w:val="0"/>
      <w:marTop w:val="0"/>
      <w:marBottom w:val="0"/>
      <w:divBdr>
        <w:top w:val="none" w:sz="0" w:space="0" w:color="auto"/>
        <w:left w:val="none" w:sz="0" w:space="0" w:color="auto"/>
        <w:bottom w:val="none" w:sz="0" w:space="0" w:color="auto"/>
        <w:right w:val="none" w:sz="0" w:space="0" w:color="auto"/>
      </w:divBdr>
    </w:div>
    <w:div w:id="718238891">
      <w:bodyDiv w:val="1"/>
      <w:marLeft w:val="0"/>
      <w:marRight w:val="0"/>
      <w:marTop w:val="0"/>
      <w:marBottom w:val="0"/>
      <w:divBdr>
        <w:top w:val="none" w:sz="0" w:space="0" w:color="auto"/>
        <w:left w:val="none" w:sz="0" w:space="0" w:color="auto"/>
        <w:bottom w:val="none" w:sz="0" w:space="0" w:color="auto"/>
        <w:right w:val="none" w:sz="0" w:space="0" w:color="auto"/>
      </w:divBdr>
    </w:div>
    <w:div w:id="1012873418">
      <w:bodyDiv w:val="1"/>
      <w:marLeft w:val="0"/>
      <w:marRight w:val="0"/>
      <w:marTop w:val="0"/>
      <w:marBottom w:val="0"/>
      <w:divBdr>
        <w:top w:val="none" w:sz="0" w:space="0" w:color="auto"/>
        <w:left w:val="none" w:sz="0" w:space="0" w:color="auto"/>
        <w:bottom w:val="none" w:sz="0" w:space="0" w:color="auto"/>
        <w:right w:val="none" w:sz="0" w:space="0" w:color="auto"/>
      </w:divBdr>
    </w:div>
    <w:div w:id="1626038030">
      <w:bodyDiv w:val="1"/>
      <w:marLeft w:val="0"/>
      <w:marRight w:val="0"/>
      <w:marTop w:val="0"/>
      <w:marBottom w:val="0"/>
      <w:divBdr>
        <w:top w:val="none" w:sz="0" w:space="0" w:color="auto"/>
        <w:left w:val="none" w:sz="0" w:space="0" w:color="auto"/>
        <w:bottom w:val="none" w:sz="0" w:space="0" w:color="auto"/>
        <w:right w:val="none" w:sz="0" w:space="0" w:color="auto"/>
      </w:divBdr>
    </w:div>
    <w:div w:id="1747527993">
      <w:bodyDiv w:val="1"/>
      <w:marLeft w:val="0"/>
      <w:marRight w:val="0"/>
      <w:marTop w:val="0"/>
      <w:marBottom w:val="0"/>
      <w:divBdr>
        <w:top w:val="none" w:sz="0" w:space="0" w:color="auto"/>
        <w:left w:val="none" w:sz="0" w:space="0" w:color="auto"/>
        <w:bottom w:val="none" w:sz="0" w:space="0" w:color="auto"/>
        <w:right w:val="none" w:sz="0" w:space="0" w:color="auto"/>
      </w:divBdr>
    </w:div>
    <w:div w:id="1834684271">
      <w:bodyDiv w:val="1"/>
      <w:marLeft w:val="0"/>
      <w:marRight w:val="0"/>
      <w:marTop w:val="0"/>
      <w:marBottom w:val="0"/>
      <w:divBdr>
        <w:top w:val="none" w:sz="0" w:space="0" w:color="auto"/>
        <w:left w:val="none" w:sz="0" w:space="0" w:color="auto"/>
        <w:bottom w:val="none" w:sz="0" w:space="0" w:color="auto"/>
        <w:right w:val="none" w:sz="0" w:space="0" w:color="auto"/>
      </w:divBdr>
    </w:div>
    <w:div w:id="2093235329">
      <w:bodyDiv w:val="1"/>
      <w:marLeft w:val="0"/>
      <w:marRight w:val="0"/>
      <w:marTop w:val="0"/>
      <w:marBottom w:val="0"/>
      <w:divBdr>
        <w:top w:val="none" w:sz="0" w:space="0" w:color="auto"/>
        <w:left w:val="none" w:sz="0" w:space="0" w:color="auto"/>
        <w:bottom w:val="none" w:sz="0" w:space="0" w:color="auto"/>
        <w:right w:val="none" w:sz="0" w:space="0" w:color="auto"/>
      </w:divBdr>
      <w:divsChild>
        <w:div w:id="578684370">
          <w:marLeft w:val="0"/>
          <w:marRight w:val="0"/>
          <w:marTop w:val="0"/>
          <w:marBottom w:val="0"/>
          <w:divBdr>
            <w:top w:val="none" w:sz="0" w:space="0" w:color="auto"/>
            <w:left w:val="none" w:sz="0" w:space="0" w:color="auto"/>
            <w:bottom w:val="none" w:sz="0" w:space="0" w:color="auto"/>
            <w:right w:val="none" w:sz="0" w:space="0" w:color="auto"/>
          </w:divBdr>
        </w:div>
        <w:div w:id="170231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lija.slaidina@varam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7D3FF-678F-475D-90FE-9245A230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12389</Words>
  <Characters>7062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MK noteikumu projekts "Kārtība atkritumu statusa piemērošanas izbeigšanai koksnes šķeldas materiāliem, kas iegūti no koksnes iepakojuma atkritumiem"</vt:lpstr>
    </vt:vector>
  </TitlesOfParts>
  <Company>VARAM</Company>
  <LinksUpToDate>false</LinksUpToDate>
  <CharactersWithSpaces>19413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atkritumu statusa piemērošanas izbeigšanai koksnes šķeldas materiāliem, kas iegūti no koksnes iepakojuma atkritumiem"</dc:title>
  <dc:subject>Noteikumu projekta anotācija</dc:subject>
  <dc:creator>Natalija.Slaidina@varam.gov.lv</dc:creator>
  <dc:description>67026487, natalija.slaidina@varam.gov.lv, 67026515, ilze.donina@varam.gov.lv</dc:description>
  <cp:lastModifiedBy>Laila Bremša</cp:lastModifiedBy>
  <cp:revision>2</cp:revision>
  <cp:lastPrinted>2018-07-24T05:39:00Z</cp:lastPrinted>
  <dcterms:created xsi:type="dcterms:W3CDTF">2018-07-24T05:43:00Z</dcterms:created>
  <dcterms:modified xsi:type="dcterms:W3CDTF">2018-07-24T05:43:00Z</dcterms:modified>
</cp:coreProperties>
</file>