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1E21" w14:textId="20BBD58E" w:rsidR="00BD5588" w:rsidRPr="002323BC" w:rsidRDefault="00D004D5" w:rsidP="009C0967">
      <w:pPr>
        <w:pStyle w:val="Title"/>
        <w:spacing w:before="130" w:line="260" w:lineRule="exact"/>
        <w:ind w:firstLine="539"/>
        <w:rPr>
          <w:b/>
          <w:bCs/>
          <w:sz w:val="24"/>
          <w:szCs w:val="24"/>
        </w:rPr>
      </w:pPr>
      <w:r w:rsidRPr="002323BC">
        <w:rPr>
          <w:b/>
          <w:bCs/>
          <w:sz w:val="24"/>
          <w:szCs w:val="24"/>
        </w:rPr>
        <w:t>Ministru kabineta noteikumu projekta “</w:t>
      </w:r>
      <w:r w:rsidR="00ED24B4" w:rsidRPr="002323BC">
        <w:rPr>
          <w:b/>
          <w:sz w:val="24"/>
          <w:szCs w:val="24"/>
        </w:rPr>
        <w:t>Finanšu nodrošinājuma apmēra aprēķināšanas kārtība atkritumu apsaimniekošanas darbībām</w:t>
      </w:r>
      <w:r w:rsidRPr="002323BC">
        <w:rPr>
          <w:b/>
          <w:sz w:val="24"/>
          <w:szCs w:val="24"/>
        </w:rPr>
        <w:t>”</w:t>
      </w:r>
      <w:r w:rsidRPr="002323BC">
        <w:rPr>
          <w:sz w:val="24"/>
          <w:szCs w:val="24"/>
        </w:rPr>
        <w:t xml:space="preserve"> </w:t>
      </w:r>
      <w:r w:rsidRPr="002323BC">
        <w:rPr>
          <w:b/>
          <w:bCs/>
          <w:sz w:val="24"/>
          <w:szCs w:val="24"/>
        </w:rPr>
        <w:t>sākotnējās ietekmes novērtējuma ziņojums (anotācija)</w:t>
      </w:r>
    </w:p>
    <w:p w14:paraId="4F2AB526" w14:textId="77777777" w:rsidR="00796128" w:rsidRDefault="00796128" w:rsidP="00796128">
      <w:pPr>
        <w:jc w:val="center"/>
        <w:rPr>
          <w:b/>
        </w:rPr>
      </w:pPr>
    </w:p>
    <w:tbl>
      <w:tblPr>
        <w:tblStyle w:val="TableGrid"/>
        <w:tblW w:w="9067" w:type="dxa"/>
        <w:tblLook w:val="04A0" w:firstRow="1" w:lastRow="0" w:firstColumn="1" w:lastColumn="0" w:noHBand="0" w:noVBand="1"/>
      </w:tblPr>
      <w:tblGrid>
        <w:gridCol w:w="2093"/>
        <w:gridCol w:w="6974"/>
      </w:tblGrid>
      <w:tr w:rsidR="00796128" w14:paraId="6C7969F0" w14:textId="77777777" w:rsidTr="00796128">
        <w:tc>
          <w:tcPr>
            <w:tcW w:w="9067" w:type="dxa"/>
            <w:gridSpan w:val="2"/>
            <w:tcBorders>
              <w:top w:val="single" w:sz="4" w:space="0" w:color="auto"/>
              <w:left w:val="single" w:sz="4" w:space="0" w:color="auto"/>
              <w:bottom w:val="single" w:sz="4" w:space="0" w:color="auto"/>
              <w:right w:val="single" w:sz="4" w:space="0" w:color="auto"/>
            </w:tcBorders>
            <w:hideMark/>
          </w:tcPr>
          <w:p w14:paraId="34744B4C" w14:textId="77777777" w:rsidR="00796128" w:rsidRDefault="00796128">
            <w:pPr>
              <w:jc w:val="center"/>
              <w:rPr>
                <w:bCs/>
              </w:rPr>
            </w:pPr>
            <w:r>
              <w:rPr>
                <w:bCs/>
                <w:iCs/>
              </w:rPr>
              <w:t>Tiesību akta projekta anotācijas kopsavilkums</w:t>
            </w:r>
          </w:p>
        </w:tc>
      </w:tr>
      <w:tr w:rsidR="00796128" w14:paraId="25F0FFA3" w14:textId="77777777" w:rsidTr="00796128">
        <w:tc>
          <w:tcPr>
            <w:tcW w:w="2093" w:type="dxa"/>
            <w:tcBorders>
              <w:top w:val="single" w:sz="4" w:space="0" w:color="auto"/>
              <w:left w:val="single" w:sz="4" w:space="0" w:color="auto"/>
              <w:bottom w:val="single" w:sz="4" w:space="0" w:color="auto"/>
              <w:right w:val="single" w:sz="4" w:space="0" w:color="auto"/>
            </w:tcBorders>
            <w:hideMark/>
          </w:tcPr>
          <w:p w14:paraId="08E21965" w14:textId="77777777" w:rsidR="00796128" w:rsidRDefault="00796128">
            <w:pPr>
              <w:jc w:val="center"/>
              <w:rPr>
                <w:bCs/>
              </w:rPr>
            </w:pPr>
            <w:r>
              <w:rPr>
                <w:iCs/>
              </w:rPr>
              <w:t>Mērķis, risinājums un projekta spēkā stāšanās laiks</w:t>
            </w:r>
          </w:p>
        </w:tc>
        <w:tc>
          <w:tcPr>
            <w:tcW w:w="6974" w:type="dxa"/>
            <w:tcBorders>
              <w:top w:val="single" w:sz="4" w:space="0" w:color="auto"/>
              <w:left w:val="single" w:sz="4" w:space="0" w:color="auto"/>
              <w:bottom w:val="single" w:sz="4" w:space="0" w:color="auto"/>
              <w:right w:val="single" w:sz="4" w:space="0" w:color="auto"/>
            </w:tcBorders>
            <w:hideMark/>
          </w:tcPr>
          <w:p w14:paraId="64F4FF3F" w14:textId="77777777" w:rsidR="00796128" w:rsidRDefault="00796128">
            <w:pPr>
              <w:jc w:val="both"/>
              <w:rPr>
                <w:rFonts w:cstheme="minorBidi"/>
              </w:rPr>
            </w:pPr>
            <w:r>
              <w:t>Saskaņā ar Ministru kabineta 2009. gada 15. decembra instrukcijas Nr. 19 “Tiesību akta projekta sākotnējās ietekmes izvērtēšanas kārtība” 5.</w:t>
            </w:r>
            <w:r>
              <w:rPr>
                <w:vertAlign w:val="superscript"/>
              </w:rPr>
              <w:t>1</w:t>
            </w:r>
            <w:r>
              <w:t> punktu sākotnējās ietekmes novērtējuma ziņojuma (anotācijas) kopsavilkums nav aizpildāms.</w:t>
            </w:r>
          </w:p>
        </w:tc>
      </w:tr>
    </w:tbl>
    <w:p w14:paraId="468A9CD9" w14:textId="77777777" w:rsidR="00BD5588" w:rsidRDefault="00BD5588" w:rsidP="00BD5588">
      <w:pPr>
        <w:pStyle w:val="Title"/>
        <w:spacing w:before="130" w:line="260" w:lineRule="exact"/>
        <w:ind w:firstLine="539"/>
        <w:jc w:val="both"/>
        <w:rPr>
          <w:sz w:val="24"/>
          <w:szCs w:val="24"/>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693"/>
        <w:gridCol w:w="5944"/>
      </w:tblGrid>
      <w:tr w:rsidR="00796128" w14:paraId="5501E0EF" w14:textId="77777777" w:rsidTr="00796128">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3FABBC2" w14:textId="77777777" w:rsidR="00796128" w:rsidRPr="000D2E4C" w:rsidRDefault="00796128" w:rsidP="00FE4745">
            <w:pPr>
              <w:spacing w:before="100" w:beforeAutospacing="1" w:after="100" w:afterAutospacing="1" w:line="293" w:lineRule="atLeast"/>
              <w:jc w:val="center"/>
              <w:rPr>
                <w:b/>
                <w:bCs/>
              </w:rPr>
            </w:pPr>
            <w:r w:rsidRPr="000D2E4C">
              <w:rPr>
                <w:b/>
                <w:bCs/>
              </w:rPr>
              <w:t>I. Tiesību akta projekta izstrādes nepieciešamība</w:t>
            </w:r>
          </w:p>
        </w:tc>
      </w:tr>
      <w:tr w:rsidR="00796128" w14:paraId="61D50B93" w14:textId="77777777" w:rsidTr="00796128">
        <w:trPr>
          <w:trHeight w:val="324"/>
        </w:trPr>
        <w:tc>
          <w:tcPr>
            <w:tcW w:w="418" w:type="dxa"/>
            <w:tcBorders>
              <w:top w:val="outset" w:sz="6" w:space="0" w:color="414142"/>
              <w:left w:val="outset" w:sz="6" w:space="0" w:color="414142"/>
              <w:bottom w:val="outset" w:sz="6" w:space="0" w:color="414142"/>
              <w:right w:val="outset" w:sz="6" w:space="0" w:color="414142"/>
            </w:tcBorders>
            <w:hideMark/>
          </w:tcPr>
          <w:p w14:paraId="441F1A66" w14:textId="77777777" w:rsidR="00796128" w:rsidRPr="000D2E4C" w:rsidRDefault="00796128" w:rsidP="00FE4745">
            <w:pPr>
              <w:spacing w:before="100" w:beforeAutospacing="1" w:after="100" w:afterAutospacing="1" w:line="293" w:lineRule="atLeast"/>
              <w:jc w:val="center"/>
            </w:pPr>
            <w:r w:rsidRPr="000D2E4C">
              <w:t>1.</w:t>
            </w:r>
          </w:p>
        </w:tc>
        <w:tc>
          <w:tcPr>
            <w:tcW w:w="2693" w:type="dxa"/>
            <w:tcBorders>
              <w:top w:val="outset" w:sz="6" w:space="0" w:color="414142"/>
              <w:left w:val="outset" w:sz="6" w:space="0" w:color="414142"/>
              <w:bottom w:val="outset" w:sz="6" w:space="0" w:color="414142"/>
              <w:right w:val="outset" w:sz="6" w:space="0" w:color="414142"/>
            </w:tcBorders>
            <w:hideMark/>
          </w:tcPr>
          <w:p w14:paraId="78449245" w14:textId="77777777" w:rsidR="00796128" w:rsidRPr="000D2E4C" w:rsidRDefault="00796128" w:rsidP="00FE4745">
            <w:r w:rsidRPr="000D2E4C">
              <w:t>Pamatojums</w:t>
            </w:r>
          </w:p>
        </w:tc>
        <w:tc>
          <w:tcPr>
            <w:tcW w:w="5944" w:type="dxa"/>
            <w:tcBorders>
              <w:top w:val="outset" w:sz="6" w:space="0" w:color="414142"/>
              <w:left w:val="outset" w:sz="6" w:space="0" w:color="414142"/>
              <w:bottom w:val="outset" w:sz="6" w:space="0" w:color="414142"/>
              <w:right w:val="outset" w:sz="6" w:space="0" w:color="414142"/>
            </w:tcBorders>
          </w:tcPr>
          <w:p w14:paraId="79AC4B63" w14:textId="0374EFE8" w:rsidR="00796128" w:rsidRPr="00C33737" w:rsidRDefault="00796128" w:rsidP="00FE4745">
            <w:pPr>
              <w:ind w:right="57"/>
              <w:jc w:val="both"/>
            </w:pPr>
            <w:r w:rsidRPr="002323BC">
              <w:t>Atkritumu apsaimniekošanas likuma (turpmāk – AAL) 12.</w:t>
            </w:r>
            <w:r>
              <w:t> </w:t>
            </w:r>
            <w:r w:rsidRPr="002323BC">
              <w:t>panta otrās daļas 7. un 8.</w:t>
            </w:r>
            <w:r>
              <w:t> </w:t>
            </w:r>
            <w:r w:rsidRPr="002323BC">
              <w:t>punkts</w:t>
            </w:r>
            <w:r>
              <w:t>.</w:t>
            </w:r>
          </w:p>
        </w:tc>
      </w:tr>
      <w:tr w:rsidR="00796128" w14:paraId="4A7B8257" w14:textId="77777777" w:rsidTr="00796128">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4529F4EC" w14:textId="77777777" w:rsidR="00796128" w:rsidRPr="000D2E4C" w:rsidRDefault="00796128" w:rsidP="00796128">
            <w:pPr>
              <w:spacing w:before="100" w:beforeAutospacing="1" w:after="100" w:afterAutospacing="1" w:line="293" w:lineRule="atLeast"/>
              <w:jc w:val="center"/>
            </w:pPr>
            <w:r w:rsidRPr="000D2E4C">
              <w:t>2.</w:t>
            </w:r>
          </w:p>
        </w:tc>
        <w:tc>
          <w:tcPr>
            <w:tcW w:w="2693" w:type="dxa"/>
            <w:tcBorders>
              <w:top w:val="outset" w:sz="6" w:space="0" w:color="414142"/>
              <w:left w:val="outset" w:sz="6" w:space="0" w:color="414142"/>
              <w:bottom w:val="outset" w:sz="6" w:space="0" w:color="414142"/>
              <w:right w:val="outset" w:sz="6" w:space="0" w:color="414142"/>
            </w:tcBorders>
            <w:hideMark/>
          </w:tcPr>
          <w:p w14:paraId="75A5D880" w14:textId="77777777" w:rsidR="00796128" w:rsidRPr="000D2E4C" w:rsidRDefault="00796128" w:rsidP="00796128">
            <w:r w:rsidRPr="000D2E4C">
              <w:t>Pašreizējā situācija un problēmas, kuru risināšanai tiesību akta projekts izstrādāts, tiesiskā regulējuma mērķis un būtība</w:t>
            </w:r>
          </w:p>
        </w:tc>
        <w:tc>
          <w:tcPr>
            <w:tcW w:w="5944" w:type="dxa"/>
            <w:tcBorders>
              <w:top w:val="outset" w:sz="6" w:space="0" w:color="414142"/>
              <w:left w:val="outset" w:sz="6" w:space="0" w:color="414142"/>
              <w:bottom w:val="outset" w:sz="6" w:space="0" w:color="414142"/>
              <w:right w:val="outset" w:sz="6" w:space="0" w:color="414142"/>
            </w:tcBorders>
            <w:hideMark/>
          </w:tcPr>
          <w:p w14:paraId="506228BE" w14:textId="77777777" w:rsidR="00796128" w:rsidRPr="00796128" w:rsidRDefault="00796128" w:rsidP="00796128">
            <w:pPr>
              <w:jc w:val="both"/>
            </w:pPr>
            <w:r w:rsidRPr="00796128">
              <w:t xml:space="preserve">2018. gada 1. janvārī ir stājušies spēkā AAL grozījumi, kas paredz, ka atkritumu apsaimniekotājs atļaujas saņemšanai AAL 12. panta pirmās daļas 2., 5. un 6. punktā minētajām darbībām, kā arī pārstrādei un reģenerācijai iesniedz Valsts vides dienestam finanšu nodrošinājumu. Finanšu nodrošinājums ir kredītiestādes izsniegta pirmā pieprasījuma garantijas vēstule vai apdrošinātāja izsniegta apdrošināšanas polise, kurā ietverta apdrošinātāja neatsaucama apņemšanās izmaksāt apdrošināšanas atlīdzību pēc Valsts vides dienesta (turpmāk – VVD) pirmā pieprasījuma, kā arī šā pieprasījuma neapstrīdamība.  Noteikumu projekts “Finanšu nodrošinājuma apmēra aprēķināšanas kārtība atkritumu apsaimniekošanas darbībām” (turpmāk – Noteikumu projekts) izstrādāts ar mērķi sakārtot atkritumu apsaimniekošanas sistēmu valstī, likvidējot tā saucamo pelēko sektoru – negodprātīgos uzņēmumus, kas nepilda uzņemtās saistības un neveic atkritumu apsaimniekošanu saskaņā ar Latvijas Republikas spēkā esošajiem normatīvajiem aktiem. </w:t>
            </w:r>
          </w:p>
          <w:p w14:paraId="60C1D5D7" w14:textId="77777777" w:rsidR="00796128" w:rsidRPr="00796128" w:rsidRDefault="00796128" w:rsidP="00796128">
            <w:pPr>
              <w:jc w:val="both"/>
              <w:rPr>
                <w:highlight w:val="yellow"/>
              </w:rPr>
            </w:pPr>
          </w:p>
          <w:p w14:paraId="07358AA0" w14:textId="77777777" w:rsidR="00796128" w:rsidRPr="00796128" w:rsidRDefault="00796128" w:rsidP="00796128">
            <w:pPr>
              <w:jc w:val="both"/>
            </w:pPr>
            <w:r w:rsidRPr="00796128">
              <w:rPr>
                <w:color w:val="000000"/>
                <w:shd w:val="clear" w:color="auto" w:fill="FFFFFF"/>
              </w:rPr>
              <w:t>Ar izstrādāto Noteikumu projektu tiks nodrošināta iespēja risināt gadījumus, kas</w:t>
            </w:r>
            <w:r w:rsidRPr="00796128">
              <w:t xml:space="preserve"> minēti Atkritumu apsaimniekošanas likuma 12. panta 1.</w:t>
            </w:r>
            <w:r w:rsidRPr="00796128">
              <w:rPr>
                <w:vertAlign w:val="superscript"/>
              </w:rPr>
              <w:t>4 </w:t>
            </w:r>
            <w:r w:rsidRPr="00796128">
              <w:t>daļā. Finanšu nodrošinājuma pieprasījuma gadījumā VVD izdod administratīvo aktu par attiecīgo pārkāpumu, informējot par to arī finanšu nodrošinājuma izsniedzēju. Ja noteiktajā termiņā apsaimniekotājs nav izpildījis savas saistības, tad VVD ir tiesīgs vērsties pie finanšu nodrošinājuma izsniedzēja, jo saskaņā ar AAL finanšu nodrošinājums ir kredītiestādes izsniegta pirmā pieprasījuma garantijas vēstule vai apdrošinātāja izsniegta apdrošināšanas polise, kurā ietverta apdrošinātāja neatsaucama apņemšanās izmaksāt apdrošināšanas atlīdzību pēc Valsts vides dienesta pirmā pieprasījuma, kā arī šā pieprasījuma neapstrīdamība. Tālākās attiecības starp apsaimniekotāju un finanšu nodrošinājuma izsniedzēju ir risināmas civilprocesa kārtībā.</w:t>
            </w:r>
          </w:p>
          <w:p w14:paraId="2C13D6B8" w14:textId="77777777" w:rsidR="00796128" w:rsidRPr="00796128" w:rsidRDefault="00796128" w:rsidP="00796128">
            <w:pPr>
              <w:jc w:val="both"/>
            </w:pPr>
          </w:p>
          <w:p w14:paraId="0CE8651B" w14:textId="10212C56" w:rsidR="00796128" w:rsidRPr="00796128" w:rsidRDefault="00796128" w:rsidP="00796128">
            <w:pPr>
              <w:ind w:left="57" w:right="57"/>
              <w:jc w:val="both"/>
            </w:pPr>
            <w:r w:rsidRPr="00796128">
              <w:t xml:space="preserve">VVD būs iespēja pieprasīt finanšu nodrošinājuma izmaksu īsākā laika periodā gadījumos, kad ir nepieciešams veikt neatliekamās darbības, līdzīgi kā 2017. gadā Jūrmalas ugunsgrēka gadījumā. Šādā situācijā VVD ir jāpamato savs </w:t>
            </w:r>
            <w:r w:rsidRPr="00796128">
              <w:lastRenderedPageBreak/>
              <w:t xml:space="preserve">lēmums ar Vides aizsardzības likuma 25. panta ceturto daļu. Finanšu nodrošinājumu ir iespējams saņemt uz laika periodu no viena līdz trīs gadiem, pēc apsaimniekotāja izvēles. Rēķinot nodrošinājumu uz trīs gadiem ir jāņem vērā atšķirīgās summas, kas noteiktas līdz 2020.gadam noteiktumu projekta 9. punktā. </w:t>
            </w:r>
          </w:p>
        </w:tc>
      </w:tr>
      <w:tr w:rsidR="00796128" w14:paraId="5C58D90A" w14:textId="77777777" w:rsidTr="00796128">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7F443305" w14:textId="77777777" w:rsidR="00796128" w:rsidRPr="000D2E4C" w:rsidRDefault="00796128" w:rsidP="00796128">
            <w:pPr>
              <w:spacing w:before="100" w:beforeAutospacing="1" w:after="100" w:afterAutospacing="1" w:line="293" w:lineRule="atLeast"/>
              <w:jc w:val="center"/>
            </w:pPr>
            <w:r w:rsidRPr="000D2E4C">
              <w:lastRenderedPageBreak/>
              <w:t>3.</w:t>
            </w:r>
          </w:p>
        </w:tc>
        <w:tc>
          <w:tcPr>
            <w:tcW w:w="2693" w:type="dxa"/>
            <w:tcBorders>
              <w:top w:val="outset" w:sz="6" w:space="0" w:color="414142"/>
              <w:left w:val="outset" w:sz="6" w:space="0" w:color="414142"/>
              <w:bottom w:val="outset" w:sz="6" w:space="0" w:color="414142"/>
              <w:right w:val="outset" w:sz="6" w:space="0" w:color="414142"/>
            </w:tcBorders>
            <w:hideMark/>
          </w:tcPr>
          <w:p w14:paraId="76664AD6" w14:textId="77777777" w:rsidR="00796128" w:rsidRPr="000D2E4C" w:rsidRDefault="00796128" w:rsidP="00796128">
            <w:r w:rsidRPr="00320276">
              <w:t>Projekta izstrādē iesaistītās institūcijas un publiskas personas kapitālsabiedrības</w:t>
            </w:r>
          </w:p>
        </w:tc>
        <w:tc>
          <w:tcPr>
            <w:tcW w:w="5944" w:type="dxa"/>
            <w:tcBorders>
              <w:top w:val="outset" w:sz="6" w:space="0" w:color="414142"/>
              <w:left w:val="outset" w:sz="6" w:space="0" w:color="414142"/>
              <w:bottom w:val="outset" w:sz="6" w:space="0" w:color="414142"/>
              <w:right w:val="outset" w:sz="6" w:space="0" w:color="414142"/>
            </w:tcBorders>
            <w:hideMark/>
          </w:tcPr>
          <w:p w14:paraId="4D51F60B" w14:textId="77777777" w:rsidR="00796128" w:rsidRPr="000D2E4C" w:rsidRDefault="00796128" w:rsidP="00796128">
            <w:pPr>
              <w:ind w:left="57" w:right="57"/>
              <w:jc w:val="both"/>
            </w:pPr>
            <w:r>
              <w:t xml:space="preserve">Vides aizsardzības un reģionālās attīstības ministrija (turpmāk  – </w:t>
            </w:r>
            <w:r w:rsidRPr="000D2E4C">
              <w:t>VARAM</w:t>
            </w:r>
            <w:r>
              <w:t>)</w:t>
            </w:r>
          </w:p>
        </w:tc>
      </w:tr>
      <w:tr w:rsidR="00796128" w14:paraId="53ACACCB" w14:textId="77777777" w:rsidTr="00796128">
        <w:tc>
          <w:tcPr>
            <w:tcW w:w="418" w:type="dxa"/>
            <w:tcBorders>
              <w:top w:val="outset" w:sz="6" w:space="0" w:color="414142"/>
              <w:left w:val="outset" w:sz="6" w:space="0" w:color="414142"/>
              <w:bottom w:val="outset" w:sz="6" w:space="0" w:color="414142"/>
              <w:right w:val="outset" w:sz="6" w:space="0" w:color="414142"/>
            </w:tcBorders>
            <w:hideMark/>
          </w:tcPr>
          <w:p w14:paraId="578B34B1" w14:textId="77777777" w:rsidR="00796128" w:rsidRPr="000D2E4C" w:rsidRDefault="00796128" w:rsidP="00796128">
            <w:pPr>
              <w:spacing w:before="100" w:beforeAutospacing="1" w:after="100" w:afterAutospacing="1" w:line="293" w:lineRule="atLeast"/>
              <w:jc w:val="center"/>
            </w:pPr>
            <w:r w:rsidRPr="000D2E4C">
              <w:t>4.</w:t>
            </w:r>
          </w:p>
        </w:tc>
        <w:tc>
          <w:tcPr>
            <w:tcW w:w="2693" w:type="dxa"/>
            <w:tcBorders>
              <w:top w:val="outset" w:sz="6" w:space="0" w:color="414142"/>
              <w:left w:val="outset" w:sz="6" w:space="0" w:color="414142"/>
              <w:bottom w:val="outset" w:sz="6" w:space="0" w:color="414142"/>
              <w:right w:val="outset" w:sz="6" w:space="0" w:color="414142"/>
            </w:tcBorders>
            <w:hideMark/>
          </w:tcPr>
          <w:p w14:paraId="12713EE6" w14:textId="77777777" w:rsidR="00796128" w:rsidRPr="000D2E4C" w:rsidRDefault="00796128" w:rsidP="00796128">
            <w:r w:rsidRPr="000D2E4C">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1D86B3CE" w14:textId="77777777" w:rsidR="00796128" w:rsidRPr="000D2E4C" w:rsidRDefault="00796128" w:rsidP="00796128">
            <w:pPr>
              <w:ind w:left="57" w:right="57"/>
              <w:jc w:val="both"/>
            </w:pPr>
            <w:r>
              <w:t>Nav.</w:t>
            </w:r>
          </w:p>
        </w:tc>
      </w:tr>
    </w:tbl>
    <w:p w14:paraId="49F47BEF" w14:textId="77777777" w:rsidR="00BD5588" w:rsidRDefault="00BD5588" w:rsidP="00BD5588">
      <w:pPr>
        <w:pStyle w:val="Title"/>
        <w:spacing w:before="130" w:line="260" w:lineRule="exact"/>
        <w:ind w:firstLine="539"/>
        <w:jc w:val="both"/>
        <w:rPr>
          <w:sz w:val="24"/>
          <w:szCs w:val="24"/>
        </w:rPr>
      </w:pPr>
    </w:p>
    <w:tbl>
      <w:tblPr>
        <w:tblStyle w:val="TableGrid"/>
        <w:tblW w:w="0" w:type="auto"/>
        <w:tblInd w:w="108" w:type="dxa"/>
        <w:tblLook w:val="04A0" w:firstRow="1" w:lastRow="0" w:firstColumn="1" w:lastColumn="0" w:noHBand="0" w:noVBand="1"/>
      </w:tblPr>
      <w:tblGrid>
        <w:gridCol w:w="425"/>
        <w:gridCol w:w="2668"/>
        <w:gridCol w:w="5860"/>
      </w:tblGrid>
      <w:tr w:rsidR="00A97FD9" w14:paraId="342FDBCD" w14:textId="77777777" w:rsidTr="00766A92">
        <w:tc>
          <w:tcPr>
            <w:tcW w:w="9072" w:type="dxa"/>
            <w:gridSpan w:val="3"/>
          </w:tcPr>
          <w:p w14:paraId="371B7A4E" w14:textId="7A910FD4" w:rsidR="00441CCB" w:rsidRPr="004373EF" w:rsidRDefault="00D004D5" w:rsidP="00766A92">
            <w:pPr>
              <w:pStyle w:val="Title"/>
              <w:spacing w:before="130" w:line="260" w:lineRule="exact"/>
              <w:rPr>
                <w:sz w:val="24"/>
                <w:szCs w:val="24"/>
              </w:rPr>
            </w:pPr>
            <w:r w:rsidRPr="004373EF">
              <w:rPr>
                <w:b/>
                <w:bCs/>
                <w:sz w:val="24"/>
                <w:szCs w:val="24"/>
              </w:rPr>
              <w:t xml:space="preserve">II. Tiesību akta projekta ietekme uz sabiedrību, tautsaimniecības attīstību </w:t>
            </w:r>
            <w:r w:rsidRPr="004373EF">
              <w:rPr>
                <w:b/>
                <w:bCs/>
                <w:sz w:val="24"/>
                <w:szCs w:val="24"/>
              </w:rPr>
              <w:t>un administratīvo slogu</w:t>
            </w:r>
          </w:p>
        </w:tc>
      </w:tr>
      <w:tr w:rsidR="00A97FD9" w14:paraId="2FF8F598" w14:textId="77777777" w:rsidTr="00766A92">
        <w:tc>
          <w:tcPr>
            <w:tcW w:w="426" w:type="dxa"/>
          </w:tcPr>
          <w:p w14:paraId="2B101CAB" w14:textId="167EF3F0" w:rsidR="00441CCB" w:rsidRPr="0082500F" w:rsidRDefault="00D004D5" w:rsidP="00BD5588">
            <w:pPr>
              <w:pStyle w:val="Title"/>
              <w:spacing w:before="130" w:line="260" w:lineRule="exact"/>
              <w:jc w:val="both"/>
              <w:rPr>
                <w:sz w:val="24"/>
                <w:szCs w:val="24"/>
              </w:rPr>
            </w:pPr>
            <w:r w:rsidRPr="00766A92">
              <w:rPr>
                <w:sz w:val="24"/>
                <w:szCs w:val="24"/>
              </w:rPr>
              <w:t>1.</w:t>
            </w:r>
          </w:p>
        </w:tc>
        <w:tc>
          <w:tcPr>
            <w:tcW w:w="2693" w:type="dxa"/>
          </w:tcPr>
          <w:p w14:paraId="242893C1" w14:textId="47DE41E3" w:rsidR="00441CCB" w:rsidRPr="0082500F" w:rsidRDefault="00D004D5" w:rsidP="00BD5588">
            <w:pPr>
              <w:pStyle w:val="Title"/>
              <w:spacing w:before="130" w:line="260" w:lineRule="exact"/>
              <w:jc w:val="both"/>
              <w:rPr>
                <w:sz w:val="24"/>
                <w:szCs w:val="24"/>
              </w:rPr>
            </w:pPr>
            <w:r w:rsidRPr="00766A92">
              <w:rPr>
                <w:sz w:val="24"/>
                <w:szCs w:val="24"/>
              </w:rPr>
              <w:t>Sabiedrības mērķgrupas, kuras tiesiskais regulējums ietekmē vai varētu ietekmēt</w:t>
            </w:r>
          </w:p>
        </w:tc>
        <w:tc>
          <w:tcPr>
            <w:tcW w:w="5953" w:type="dxa"/>
          </w:tcPr>
          <w:p w14:paraId="43B91F77" w14:textId="650D3856" w:rsidR="00441CCB" w:rsidRPr="0082500F" w:rsidRDefault="00D004D5" w:rsidP="00BD5588">
            <w:pPr>
              <w:pStyle w:val="Title"/>
              <w:spacing w:before="130" w:line="260" w:lineRule="exact"/>
              <w:jc w:val="both"/>
              <w:rPr>
                <w:sz w:val="24"/>
                <w:szCs w:val="24"/>
              </w:rPr>
            </w:pPr>
            <w:r w:rsidRPr="00766A92">
              <w:rPr>
                <w:sz w:val="24"/>
                <w:szCs w:val="24"/>
              </w:rPr>
              <w:t>Atkritumu apsaimniekotāji, kas veic atkritumu pārvadāšanu, uzglabāšanu, slēgtas vai rekultivētas atkritumu izgāztuves atrakšanu un atkritumu pāršķir</w:t>
            </w:r>
            <w:r w:rsidRPr="00766A92">
              <w:rPr>
                <w:sz w:val="24"/>
                <w:szCs w:val="24"/>
              </w:rPr>
              <w:t>ošanu, pārstrādi vai reģenerāciju, kredītiestādes, apdrošinātāji, VVD.</w:t>
            </w:r>
          </w:p>
        </w:tc>
      </w:tr>
      <w:tr w:rsidR="00A97FD9" w14:paraId="26BEB7D0" w14:textId="77777777" w:rsidTr="00766A92">
        <w:tc>
          <w:tcPr>
            <w:tcW w:w="426" w:type="dxa"/>
          </w:tcPr>
          <w:p w14:paraId="7CF28821" w14:textId="7267A7D9" w:rsidR="00441CCB" w:rsidRPr="0082500F" w:rsidRDefault="00D004D5" w:rsidP="00BD5588">
            <w:pPr>
              <w:pStyle w:val="Title"/>
              <w:spacing w:before="130" w:line="260" w:lineRule="exact"/>
              <w:jc w:val="both"/>
              <w:rPr>
                <w:sz w:val="24"/>
                <w:szCs w:val="24"/>
              </w:rPr>
            </w:pPr>
            <w:r w:rsidRPr="00766A92">
              <w:rPr>
                <w:sz w:val="24"/>
                <w:szCs w:val="24"/>
              </w:rPr>
              <w:t>2.</w:t>
            </w:r>
          </w:p>
        </w:tc>
        <w:tc>
          <w:tcPr>
            <w:tcW w:w="2693" w:type="dxa"/>
          </w:tcPr>
          <w:p w14:paraId="7F5D57DD" w14:textId="7CB2862A" w:rsidR="00441CCB" w:rsidRPr="0082500F" w:rsidRDefault="00D004D5" w:rsidP="00BD5588">
            <w:pPr>
              <w:pStyle w:val="Title"/>
              <w:spacing w:before="130" w:line="260" w:lineRule="exact"/>
              <w:jc w:val="both"/>
              <w:rPr>
                <w:sz w:val="24"/>
                <w:szCs w:val="24"/>
              </w:rPr>
            </w:pPr>
            <w:r w:rsidRPr="00766A92">
              <w:rPr>
                <w:sz w:val="24"/>
                <w:szCs w:val="24"/>
              </w:rPr>
              <w:t>Tiesiskā regulējuma ietekme uz tautsaimniecību un administratīvo slogu</w:t>
            </w:r>
          </w:p>
        </w:tc>
        <w:tc>
          <w:tcPr>
            <w:tcW w:w="5953" w:type="dxa"/>
          </w:tcPr>
          <w:p w14:paraId="0A9BE73F" w14:textId="77777777" w:rsidR="00441CCB" w:rsidRPr="0082500F" w:rsidRDefault="00D004D5" w:rsidP="00441CCB">
            <w:pPr>
              <w:jc w:val="both"/>
              <w:rPr>
                <w:highlight w:val="yellow"/>
              </w:rPr>
            </w:pPr>
            <w:r w:rsidRPr="0082500F">
              <w:t>Noteikumu projekts pilnveidos atkritumu apsaimniekošanas sistēmu, nosakot kārtību AAL ietverto prasību īstenoš</w:t>
            </w:r>
            <w:r w:rsidRPr="0082500F">
              <w:t>anai, kā arī ļaus kontrolēt nelikumīgas darbības un nepieciešamības gadījumā segt izdevumus, kas saistās ar apsaimniekotāju radīto potenciālo vides piesārņojumu valstij.</w:t>
            </w:r>
          </w:p>
          <w:p w14:paraId="1A032026" w14:textId="77777777" w:rsidR="00441CCB" w:rsidRPr="0082500F" w:rsidRDefault="00441CCB" w:rsidP="00441CCB">
            <w:pPr>
              <w:jc w:val="both"/>
            </w:pPr>
          </w:p>
          <w:p w14:paraId="30A7D08A" w14:textId="77777777" w:rsidR="00766A92" w:rsidRPr="00AB2B46" w:rsidRDefault="00D004D5" w:rsidP="00766A92">
            <w:pPr>
              <w:jc w:val="both"/>
            </w:pPr>
            <w:r w:rsidRPr="00AB2B46">
              <w:t xml:space="preserve">VARAM, konsultējoties ar atkritumu apsaimniekošanas nozares pārstāvjiem, ir </w:t>
            </w:r>
            <w:r w:rsidRPr="00AB2B46">
              <w:t>izstrādājusi finanšu nodrošinājuma apmēra sadalījumu, izejot no atļauju veidiem, kas būtu vērtējams kā samērīgs uzņēmumiem un tajā pat laikā, kā pierāda Igaunijas un Lietuvas pieredze, samazinātu pelēkā sektora ietekmi tirgū.</w:t>
            </w:r>
          </w:p>
          <w:p w14:paraId="4992ED67" w14:textId="2F87F748" w:rsidR="00441CCB" w:rsidRPr="00766A92" w:rsidRDefault="00D004D5" w:rsidP="00441CCB">
            <w:pPr>
              <w:pStyle w:val="Style3"/>
              <w:widowControl/>
              <w:spacing w:line="293" w:lineRule="exact"/>
              <w:ind w:firstLine="0"/>
              <w:rPr>
                <w:rStyle w:val="FontStyle16"/>
                <w:rFonts w:ascii="Times New Roman" w:hAnsi="Times New Roman"/>
                <w:sz w:val="24"/>
                <w:szCs w:val="24"/>
              </w:rPr>
            </w:pPr>
            <w:r w:rsidRPr="00766A92">
              <w:rPr>
                <w:rStyle w:val="FontStyle15"/>
                <w:rFonts w:ascii="Times New Roman" w:hAnsi="Times New Roman"/>
                <w:sz w:val="24"/>
                <w:szCs w:val="24"/>
              </w:rPr>
              <w:t>Latvijas atkritumu saimniecība</w:t>
            </w:r>
            <w:r w:rsidRPr="00766A92">
              <w:rPr>
                <w:rStyle w:val="FontStyle15"/>
                <w:rFonts w:ascii="Times New Roman" w:hAnsi="Times New Roman"/>
                <w:sz w:val="24"/>
                <w:szCs w:val="24"/>
              </w:rPr>
              <w:t>s uzņēmumu asociācijas ieskatā maksimālais finanšu nodrošinājuma apmēra slieksnis būtu nosakāms, ievērojot Projekt</w:t>
            </w:r>
            <w:r w:rsidR="00766A92">
              <w:rPr>
                <w:rStyle w:val="FontStyle15"/>
                <w:rFonts w:ascii="Times New Roman" w:hAnsi="Times New Roman"/>
                <w:sz w:val="24"/>
                <w:szCs w:val="24"/>
              </w:rPr>
              <w:t>ā</w:t>
            </w:r>
            <w:r w:rsidRPr="00766A92">
              <w:rPr>
                <w:rStyle w:val="FontStyle15"/>
                <w:rFonts w:ascii="Times New Roman" w:hAnsi="Times New Roman"/>
                <w:sz w:val="24"/>
                <w:szCs w:val="24"/>
              </w:rPr>
              <w:t xml:space="preserve"> noteiktos minimālos finanšu nodrošinājuma apmērus, paredzot, ka finanšu nodrošinājuma garantijas summas vai apdrošināšanas prēmijas apmērs n</w:t>
            </w:r>
            <w:r w:rsidRPr="00766A92">
              <w:rPr>
                <w:rStyle w:val="FontStyle15"/>
                <w:rFonts w:ascii="Times New Roman" w:hAnsi="Times New Roman"/>
                <w:sz w:val="24"/>
                <w:szCs w:val="24"/>
              </w:rPr>
              <w:t xml:space="preserve">evar būt lielāks par divkāršu minimālā finanšu nodrošinājuma apmēru attiecīgajā gadā, proti, 2018.gadā </w:t>
            </w:r>
            <w:r w:rsidR="009E665E" w:rsidRPr="00766A92">
              <w:rPr>
                <w:rStyle w:val="FontStyle15"/>
                <w:rFonts w:ascii="Times New Roman" w:hAnsi="Times New Roman"/>
                <w:sz w:val="24"/>
                <w:szCs w:val="24"/>
              </w:rPr>
              <w:t>–</w:t>
            </w:r>
            <w:r w:rsidRPr="00766A92">
              <w:rPr>
                <w:rStyle w:val="FontStyle15"/>
                <w:rFonts w:ascii="Times New Roman" w:hAnsi="Times New Roman"/>
                <w:sz w:val="24"/>
                <w:szCs w:val="24"/>
              </w:rPr>
              <w:t xml:space="preserve"> 70 000 </w:t>
            </w:r>
            <w:r w:rsidRPr="00766A92">
              <w:rPr>
                <w:rStyle w:val="FontStyle16"/>
                <w:rFonts w:ascii="Times New Roman" w:hAnsi="Times New Roman"/>
                <w:sz w:val="24"/>
                <w:szCs w:val="24"/>
              </w:rPr>
              <w:t xml:space="preserve">euro; </w:t>
            </w:r>
            <w:r w:rsidRPr="00766A92">
              <w:rPr>
                <w:rStyle w:val="FontStyle15"/>
                <w:rFonts w:ascii="Times New Roman" w:hAnsi="Times New Roman"/>
                <w:sz w:val="24"/>
                <w:szCs w:val="24"/>
              </w:rPr>
              <w:t>2019.</w:t>
            </w:r>
            <w:r w:rsidR="00166ADF">
              <w:rPr>
                <w:rStyle w:val="FontStyle15"/>
                <w:rFonts w:ascii="Times New Roman" w:hAnsi="Times New Roman"/>
                <w:sz w:val="24"/>
                <w:szCs w:val="24"/>
              </w:rPr>
              <w:t> </w:t>
            </w:r>
            <w:r w:rsidRPr="00766A92">
              <w:rPr>
                <w:rStyle w:val="FontStyle15"/>
                <w:rFonts w:ascii="Times New Roman" w:hAnsi="Times New Roman"/>
                <w:sz w:val="24"/>
                <w:szCs w:val="24"/>
              </w:rPr>
              <w:t xml:space="preserve">gadā </w:t>
            </w:r>
            <w:r w:rsidR="009E665E" w:rsidRPr="00766A92">
              <w:rPr>
                <w:rStyle w:val="FontStyle15"/>
                <w:rFonts w:ascii="Times New Roman" w:hAnsi="Times New Roman"/>
                <w:sz w:val="24"/>
                <w:szCs w:val="24"/>
              </w:rPr>
              <w:t>–</w:t>
            </w:r>
            <w:r w:rsidRPr="00766A92">
              <w:rPr>
                <w:rStyle w:val="FontStyle15"/>
                <w:rFonts w:ascii="Times New Roman" w:hAnsi="Times New Roman"/>
                <w:sz w:val="24"/>
                <w:szCs w:val="24"/>
              </w:rPr>
              <w:t xml:space="preserve"> 86 000 </w:t>
            </w:r>
            <w:r w:rsidRPr="00766A92">
              <w:rPr>
                <w:rStyle w:val="FontStyle16"/>
                <w:rFonts w:ascii="Times New Roman" w:hAnsi="Times New Roman"/>
                <w:sz w:val="24"/>
                <w:szCs w:val="24"/>
              </w:rPr>
              <w:t xml:space="preserve">euro; </w:t>
            </w:r>
            <w:r w:rsidRPr="00766A92">
              <w:rPr>
                <w:rStyle w:val="FontStyle15"/>
                <w:rFonts w:ascii="Times New Roman" w:hAnsi="Times New Roman"/>
                <w:sz w:val="24"/>
                <w:szCs w:val="24"/>
              </w:rPr>
              <w:t xml:space="preserve">sākot ar 2020.gadu </w:t>
            </w:r>
            <w:r w:rsidR="009E665E" w:rsidRPr="00766A92">
              <w:rPr>
                <w:rStyle w:val="FontStyle15"/>
                <w:rFonts w:ascii="Times New Roman" w:hAnsi="Times New Roman"/>
                <w:sz w:val="24"/>
                <w:szCs w:val="24"/>
              </w:rPr>
              <w:t xml:space="preserve">– </w:t>
            </w:r>
            <w:r w:rsidRPr="00766A92">
              <w:rPr>
                <w:rStyle w:val="FontStyle15"/>
                <w:rFonts w:ascii="Times New Roman" w:hAnsi="Times New Roman"/>
                <w:sz w:val="24"/>
                <w:szCs w:val="24"/>
              </w:rPr>
              <w:t xml:space="preserve">100 000 </w:t>
            </w:r>
            <w:r w:rsidRPr="00766A92">
              <w:rPr>
                <w:rStyle w:val="FontStyle16"/>
                <w:rFonts w:ascii="Times New Roman" w:hAnsi="Times New Roman"/>
                <w:sz w:val="24"/>
                <w:szCs w:val="24"/>
              </w:rPr>
              <w:t>euro.</w:t>
            </w:r>
          </w:p>
          <w:p w14:paraId="24AA5DD7" w14:textId="77777777" w:rsidR="00441CCB" w:rsidRPr="0082500F" w:rsidRDefault="00441CCB" w:rsidP="00441CCB">
            <w:pPr>
              <w:jc w:val="both"/>
            </w:pPr>
          </w:p>
          <w:p w14:paraId="36DEB748" w14:textId="77777777" w:rsidR="00441CCB" w:rsidRPr="0082500F" w:rsidRDefault="00D004D5" w:rsidP="00441CCB">
            <w:pPr>
              <w:jc w:val="both"/>
            </w:pPr>
            <w:r w:rsidRPr="0082500F">
              <w:t>Noteikumu projektam būs pozitīva ietekme uz vidi, tas nodrošinās atbildīgāku</w:t>
            </w:r>
            <w:r w:rsidRPr="0082500F">
              <w:t xml:space="preserve"> atkritumu apsaimniekošanu, ļaus ierobežot šaubīgu uzņēmumu ienākšanu tirgū.</w:t>
            </w:r>
          </w:p>
          <w:p w14:paraId="192A0526" w14:textId="77777777" w:rsidR="00441CCB" w:rsidRPr="00766A92" w:rsidRDefault="00441CCB" w:rsidP="00441CCB">
            <w:pPr>
              <w:jc w:val="both"/>
              <w:rPr>
                <w:highlight w:val="yellow"/>
              </w:rPr>
            </w:pPr>
          </w:p>
          <w:p w14:paraId="7C143AEC" w14:textId="77777777" w:rsidR="00441CCB" w:rsidRPr="0082500F" w:rsidRDefault="00D004D5" w:rsidP="00441CCB">
            <w:pPr>
              <w:spacing w:after="120"/>
              <w:ind w:right="108"/>
              <w:jc w:val="both"/>
            </w:pPr>
            <w:r w:rsidRPr="0082500F">
              <w:t>Administratīvo izmaksu novērtējumā iekļauts aprēķins par finanšu nodrošinājuma sagatavošanu, kas ir jāveic saņemot atkritumu apsaimniekošanas atļauju.</w:t>
            </w:r>
          </w:p>
          <w:p w14:paraId="2F2571D0" w14:textId="77777777" w:rsidR="00441CCB" w:rsidRPr="0082500F" w:rsidRDefault="00D004D5" w:rsidP="00441CCB">
            <w:pPr>
              <w:ind w:left="110" w:right="108"/>
              <w:jc w:val="center"/>
              <w:rPr>
                <w:lang w:eastAsia="en-US"/>
              </w:rPr>
            </w:pPr>
            <w:r w:rsidRPr="0082500F">
              <w:t>C = (f x l) x (n x b), kur</w:t>
            </w:r>
          </w:p>
          <w:p w14:paraId="4A8BF8A0" w14:textId="77777777" w:rsidR="00441CCB" w:rsidRPr="0082500F" w:rsidRDefault="00D004D5" w:rsidP="00441CCB">
            <w:pPr>
              <w:ind w:left="110" w:right="108"/>
              <w:jc w:val="both"/>
            </w:pPr>
            <w:r w:rsidRPr="0082500F">
              <w:rPr>
                <w:b/>
                <w:bCs/>
              </w:rPr>
              <w:lastRenderedPageBreak/>
              <w:t>C</w:t>
            </w:r>
            <w:r w:rsidRPr="0082500F">
              <w:t xml:space="preserve"> – iesniegto finanšu nodrošinājumu uzskaites un apkopošanas izmaksas jeb administratīvās izmaksas;</w:t>
            </w:r>
          </w:p>
          <w:p w14:paraId="76CDF793" w14:textId="77777777" w:rsidR="00441CCB" w:rsidRPr="0082500F" w:rsidRDefault="00D004D5" w:rsidP="00441CCB">
            <w:pPr>
              <w:pStyle w:val="tv213"/>
              <w:spacing w:before="0" w:beforeAutospacing="0" w:after="0" w:afterAutospacing="0"/>
              <w:ind w:left="110" w:right="108"/>
              <w:jc w:val="both"/>
            </w:pPr>
            <w:r w:rsidRPr="0082500F">
              <w:rPr>
                <w:b/>
                <w:bCs/>
              </w:rPr>
              <w:t>f</w:t>
            </w:r>
            <w:r w:rsidRPr="0082500F">
              <w:t xml:space="preserve"> – finanšu līdzekļu apjoms, kas nepieciešams, lai nodrošinātu noteikumu projektā paredzēto finanšu nodrošinājuma sagatavošanu (stundas samaksas likme) – pr</w:t>
            </w:r>
            <w:r w:rsidRPr="0082500F">
              <w:t xml:space="preserve">ivātajā sektorā stundas likme ir aprēķināta, dalot vidējo mēneša algu privātajā sektorā (pēc Centrālās statistikas pārvaldes tīmekļa vietnes </w:t>
            </w:r>
            <w:hyperlink r:id="rId7" w:history="1">
              <w:r w:rsidRPr="0082500F">
                <w:rPr>
                  <w:rStyle w:val="Hyperlink"/>
                </w:rPr>
                <w:t>www.csb.gov.lv</w:t>
              </w:r>
            </w:hyperlink>
            <w:r w:rsidRPr="0082500F">
              <w:t xml:space="preserve"> datiem 2016. gadā tā bija 855,00 </w:t>
            </w:r>
            <w:r w:rsidRPr="0082500F">
              <w:rPr>
                <w:i/>
                <w:iCs/>
              </w:rPr>
              <w:t>euro/</w:t>
            </w:r>
            <w:r w:rsidRPr="0082500F">
              <w:t xml:space="preserve">mēnesī) ar Darba likuma </w:t>
            </w:r>
            <w:r w:rsidRPr="0082500F">
              <w:t xml:space="preserve">131. panta pirmajā daļā minēto normālo darba laiku (40 stundas nedēļā x 4 = 160 stundas mēnesī) = </w:t>
            </w:r>
            <w:r w:rsidRPr="0082500F">
              <w:rPr>
                <w:b/>
                <w:bCs/>
              </w:rPr>
              <w:t>5,34 </w:t>
            </w:r>
            <w:r w:rsidRPr="0082500F">
              <w:rPr>
                <w:b/>
                <w:bCs/>
                <w:i/>
                <w:iCs/>
              </w:rPr>
              <w:t>euro</w:t>
            </w:r>
            <w:r w:rsidRPr="0082500F">
              <w:rPr>
                <w:b/>
                <w:bCs/>
              </w:rPr>
              <w:t>/stundā</w:t>
            </w:r>
            <w:r w:rsidRPr="0082500F">
              <w:t>;</w:t>
            </w:r>
          </w:p>
          <w:p w14:paraId="569FC05B" w14:textId="77777777" w:rsidR="00441CCB" w:rsidRPr="0082500F" w:rsidRDefault="00D004D5" w:rsidP="00441CCB">
            <w:pPr>
              <w:pStyle w:val="tv213"/>
              <w:spacing w:before="0" w:beforeAutospacing="0" w:after="0" w:afterAutospacing="0"/>
              <w:ind w:left="110" w:right="108"/>
              <w:jc w:val="both"/>
            </w:pPr>
            <w:r w:rsidRPr="0082500F">
              <w:rPr>
                <w:b/>
                <w:bCs/>
              </w:rPr>
              <w:t xml:space="preserve">l </w:t>
            </w:r>
            <w:r w:rsidRPr="0082500F">
              <w:t xml:space="preserve">– laika patēriņš, kas nepieciešams, lai veiktu finanšu nodrošinājuma sagatavošanu – </w:t>
            </w:r>
            <w:r w:rsidRPr="0082500F">
              <w:rPr>
                <w:b/>
                <w:bCs/>
              </w:rPr>
              <w:t>80 stundas</w:t>
            </w:r>
            <w:r w:rsidRPr="0082500F">
              <w:t>;</w:t>
            </w:r>
          </w:p>
          <w:p w14:paraId="49A349EF" w14:textId="77777777" w:rsidR="00441CCB" w:rsidRPr="0082500F" w:rsidRDefault="00D004D5" w:rsidP="00441CCB">
            <w:pPr>
              <w:pStyle w:val="tv213"/>
              <w:spacing w:before="0" w:beforeAutospacing="0" w:after="0" w:afterAutospacing="0"/>
              <w:ind w:left="110" w:right="108"/>
              <w:jc w:val="both"/>
            </w:pPr>
            <w:r w:rsidRPr="0082500F">
              <w:rPr>
                <w:b/>
                <w:bCs/>
              </w:rPr>
              <w:t>n</w:t>
            </w:r>
            <w:r w:rsidRPr="0082500F">
              <w:t xml:space="preserve"> – atkritumu apsaimniekotāju</w:t>
            </w:r>
            <w:r w:rsidRPr="0082500F">
              <w:t xml:space="preserve"> skaits, uz ko attiecas projektā paredzētās prasības – </w:t>
            </w:r>
            <w:r w:rsidRPr="0082500F">
              <w:rPr>
                <w:b/>
                <w:bCs/>
              </w:rPr>
              <w:t>140 atkritumu apsaimniekotāji (ieskaitot pārstrādes un reģenerācijas iekārtu operatorus)</w:t>
            </w:r>
            <w:r w:rsidRPr="0082500F">
              <w:t>;</w:t>
            </w:r>
          </w:p>
          <w:p w14:paraId="18583EBA" w14:textId="77777777" w:rsidR="00441CCB" w:rsidRPr="0082500F" w:rsidRDefault="00D004D5" w:rsidP="00441CCB">
            <w:pPr>
              <w:pStyle w:val="tv213"/>
              <w:spacing w:before="0" w:beforeAutospacing="0" w:after="0" w:afterAutospacing="0"/>
              <w:ind w:left="110" w:right="108"/>
              <w:jc w:val="both"/>
            </w:pPr>
            <w:r w:rsidRPr="0082500F">
              <w:rPr>
                <w:b/>
                <w:bCs/>
              </w:rPr>
              <w:t>b</w:t>
            </w:r>
            <w:r w:rsidRPr="0082500F">
              <w:t xml:space="preserve"> – biežums finanšu nodrošinājuma sagatavošanai - </w:t>
            </w:r>
            <w:r w:rsidRPr="0082500F">
              <w:rPr>
                <w:b/>
                <w:bCs/>
              </w:rPr>
              <w:t>reizi 3 gados</w:t>
            </w:r>
            <w:r w:rsidRPr="0082500F">
              <w:t>.</w:t>
            </w:r>
          </w:p>
          <w:p w14:paraId="3B00BF7B" w14:textId="0C6B2470" w:rsidR="00441CCB" w:rsidRPr="0082500F" w:rsidRDefault="00D004D5" w:rsidP="00441CCB">
            <w:pPr>
              <w:pStyle w:val="Title"/>
              <w:spacing w:before="130" w:line="260" w:lineRule="exact"/>
              <w:jc w:val="both"/>
              <w:rPr>
                <w:sz w:val="24"/>
                <w:szCs w:val="24"/>
              </w:rPr>
            </w:pPr>
            <w:r w:rsidRPr="00766A92">
              <w:rPr>
                <w:sz w:val="24"/>
                <w:szCs w:val="24"/>
              </w:rPr>
              <w:t xml:space="preserve">Aprēķins: (5,34 x 80) x (140 x 0,3) = 42,72 x 276 = 17 942,4 </w:t>
            </w:r>
            <w:r w:rsidRPr="00766A92">
              <w:rPr>
                <w:i/>
                <w:sz w:val="24"/>
                <w:szCs w:val="24"/>
              </w:rPr>
              <w:t>euro/gadā</w:t>
            </w:r>
          </w:p>
        </w:tc>
      </w:tr>
      <w:tr w:rsidR="00A97FD9" w14:paraId="7BCE197B" w14:textId="77777777" w:rsidTr="00766A92">
        <w:tc>
          <w:tcPr>
            <w:tcW w:w="426" w:type="dxa"/>
          </w:tcPr>
          <w:p w14:paraId="7D9E7023" w14:textId="74C84258" w:rsidR="00441CCB" w:rsidRPr="0082500F" w:rsidRDefault="00D004D5" w:rsidP="00441CCB">
            <w:pPr>
              <w:pStyle w:val="Title"/>
              <w:spacing w:before="130" w:line="260" w:lineRule="exact"/>
              <w:jc w:val="both"/>
              <w:rPr>
                <w:sz w:val="24"/>
                <w:szCs w:val="24"/>
              </w:rPr>
            </w:pPr>
            <w:r w:rsidRPr="00766A92">
              <w:rPr>
                <w:sz w:val="24"/>
                <w:szCs w:val="24"/>
              </w:rPr>
              <w:t>3.</w:t>
            </w:r>
          </w:p>
        </w:tc>
        <w:tc>
          <w:tcPr>
            <w:tcW w:w="2693" w:type="dxa"/>
          </w:tcPr>
          <w:p w14:paraId="4240FD27" w14:textId="41A62AB2" w:rsidR="00441CCB" w:rsidRPr="0082500F" w:rsidRDefault="00D004D5" w:rsidP="00441CCB">
            <w:pPr>
              <w:pStyle w:val="Title"/>
              <w:spacing w:before="130" w:line="260" w:lineRule="exact"/>
              <w:jc w:val="both"/>
              <w:rPr>
                <w:sz w:val="24"/>
                <w:szCs w:val="24"/>
              </w:rPr>
            </w:pPr>
            <w:r w:rsidRPr="00766A92">
              <w:rPr>
                <w:sz w:val="24"/>
                <w:szCs w:val="24"/>
              </w:rPr>
              <w:t>Administratīvo izmaksu monetārs novērtējums</w:t>
            </w:r>
          </w:p>
        </w:tc>
        <w:tc>
          <w:tcPr>
            <w:tcW w:w="5953" w:type="dxa"/>
          </w:tcPr>
          <w:p w14:paraId="523CA68C" w14:textId="0E265E53" w:rsidR="00441CCB" w:rsidRPr="0082500F" w:rsidRDefault="00D004D5" w:rsidP="00441CCB">
            <w:pPr>
              <w:pStyle w:val="Title"/>
              <w:spacing w:before="130" w:line="260" w:lineRule="exact"/>
              <w:jc w:val="both"/>
              <w:rPr>
                <w:sz w:val="24"/>
                <w:szCs w:val="24"/>
              </w:rPr>
            </w:pPr>
            <w:r w:rsidRPr="00766A92">
              <w:rPr>
                <w:sz w:val="24"/>
                <w:szCs w:val="24"/>
              </w:rPr>
              <w:t>Nav attiecināms.</w:t>
            </w:r>
          </w:p>
        </w:tc>
      </w:tr>
      <w:tr w:rsidR="00A97FD9" w14:paraId="5A739756" w14:textId="77777777" w:rsidTr="00766A92">
        <w:tc>
          <w:tcPr>
            <w:tcW w:w="426" w:type="dxa"/>
          </w:tcPr>
          <w:p w14:paraId="2CB46E9C" w14:textId="5EAB44A4" w:rsidR="00441CCB" w:rsidRPr="0082500F" w:rsidRDefault="00D004D5" w:rsidP="00441CCB">
            <w:pPr>
              <w:pStyle w:val="Title"/>
              <w:spacing w:before="130" w:line="260" w:lineRule="exact"/>
              <w:jc w:val="both"/>
              <w:rPr>
                <w:sz w:val="24"/>
                <w:szCs w:val="24"/>
              </w:rPr>
            </w:pPr>
            <w:r w:rsidRPr="00766A92">
              <w:rPr>
                <w:sz w:val="24"/>
                <w:szCs w:val="24"/>
              </w:rPr>
              <w:t>4.</w:t>
            </w:r>
          </w:p>
        </w:tc>
        <w:tc>
          <w:tcPr>
            <w:tcW w:w="2693" w:type="dxa"/>
          </w:tcPr>
          <w:p w14:paraId="210411F1" w14:textId="6B7542AF" w:rsidR="00441CCB" w:rsidRPr="0082500F" w:rsidRDefault="00D004D5" w:rsidP="00441CCB">
            <w:pPr>
              <w:pStyle w:val="Title"/>
              <w:spacing w:before="130" w:line="260" w:lineRule="exact"/>
              <w:jc w:val="both"/>
              <w:rPr>
                <w:sz w:val="24"/>
                <w:szCs w:val="24"/>
              </w:rPr>
            </w:pPr>
            <w:r w:rsidRPr="00766A92">
              <w:rPr>
                <w:sz w:val="24"/>
                <w:szCs w:val="24"/>
              </w:rPr>
              <w:t>Atbilstības izmaksu monetārs novērtējums</w:t>
            </w:r>
          </w:p>
        </w:tc>
        <w:tc>
          <w:tcPr>
            <w:tcW w:w="5953" w:type="dxa"/>
          </w:tcPr>
          <w:p w14:paraId="0C8C1E20" w14:textId="70FD4F78" w:rsidR="00441CCB" w:rsidRPr="0082500F" w:rsidRDefault="00D004D5" w:rsidP="00441CCB">
            <w:pPr>
              <w:jc w:val="both"/>
            </w:pPr>
            <w:r w:rsidRPr="0082500F">
              <w:t>Pēc VARAM novērtējuma atbilstības izmaksas par finanšu nodrošinājuma uzturē</w:t>
            </w:r>
            <w:r w:rsidRPr="0082500F">
              <w:t>šanu gādā sastādīs aptuveni 5</w:t>
            </w:r>
            <w:r w:rsidR="005D4C28">
              <w:t> </w:t>
            </w:r>
            <w:r w:rsidRPr="0082500F">
              <w:t>000</w:t>
            </w:r>
            <w:r w:rsidR="005D4C28">
              <w:t> </w:t>
            </w:r>
            <w:r w:rsidRPr="0082500F">
              <w:rPr>
                <w:i/>
              </w:rPr>
              <w:t>euro</w:t>
            </w:r>
            <w:r w:rsidRPr="0082500F">
              <w:t xml:space="preserve"> gadā. Šīs izmaksas ir atkarīgas no finanšu nodrošinājuma veida (bankas garantija vai apdrošināšana) un starp apsaimniekotāju un apdrošinātāju vai banku noslēgtā līguma nosacījumiem.</w:t>
            </w:r>
          </w:p>
          <w:p w14:paraId="34311807" w14:textId="77777777" w:rsidR="00441CCB" w:rsidRPr="0082500F" w:rsidRDefault="00441CCB" w:rsidP="00441CCB">
            <w:pPr>
              <w:pStyle w:val="Title"/>
              <w:spacing w:before="130" w:line="260" w:lineRule="exact"/>
              <w:jc w:val="both"/>
              <w:rPr>
                <w:sz w:val="24"/>
                <w:szCs w:val="24"/>
              </w:rPr>
            </w:pPr>
          </w:p>
        </w:tc>
      </w:tr>
      <w:tr w:rsidR="00A97FD9" w14:paraId="3BA2F605" w14:textId="77777777" w:rsidTr="00766A92">
        <w:tc>
          <w:tcPr>
            <w:tcW w:w="426" w:type="dxa"/>
          </w:tcPr>
          <w:p w14:paraId="1F81B36F" w14:textId="20D9AFCC" w:rsidR="00441CCB" w:rsidRPr="0082500F" w:rsidRDefault="00D004D5" w:rsidP="00441CCB">
            <w:pPr>
              <w:pStyle w:val="Title"/>
              <w:spacing w:before="130" w:line="260" w:lineRule="exact"/>
              <w:jc w:val="both"/>
              <w:rPr>
                <w:sz w:val="24"/>
                <w:szCs w:val="24"/>
              </w:rPr>
            </w:pPr>
            <w:r w:rsidRPr="00766A92">
              <w:rPr>
                <w:sz w:val="24"/>
                <w:szCs w:val="24"/>
              </w:rPr>
              <w:t>5.</w:t>
            </w:r>
          </w:p>
        </w:tc>
        <w:tc>
          <w:tcPr>
            <w:tcW w:w="2693" w:type="dxa"/>
          </w:tcPr>
          <w:p w14:paraId="4DCD6019" w14:textId="5A39F7C1" w:rsidR="00441CCB" w:rsidRPr="0082500F" w:rsidRDefault="00D004D5" w:rsidP="00441CCB">
            <w:pPr>
              <w:pStyle w:val="Title"/>
              <w:spacing w:before="130" w:line="260" w:lineRule="exact"/>
              <w:jc w:val="both"/>
              <w:rPr>
                <w:sz w:val="24"/>
                <w:szCs w:val="24"/>
              </w:rPr>
            </w:pPr>
            <w:r w:rsidRPr="00766A92">
              <w:rPr>
                <w:sz w:val="24"/>
                <w:szCs w:val="24"/>
              </w:rPr>
              <w:t>Cita informācija</w:t>
            </w:r>
          </w:p>
        </w:tc>
        <w:tc>
          <w:tcPr>
            <w:tcW w:w="5953" w:type="dxa"/>
          </w:tcPr>
          <w:p w14:paraId="5AEC7074" w14:textId="7CE28E5C" w:rsidR="00441CCB" w:rsidRPr="0082500F" w:rsidRDefault="00D004D5" w:rsidP="00441CCB">
            <w:pPr>
              <w:pStyle w:val="Title"/>
              <w:spacing w:before="130" w:line="260" w:lineRule="exact"/>
              <w:jc w:val="both"/>
              <w:rPr>
                <w:sz w:val="24"/>
                <w:szCs w:val="24"/>
              </w:rPr>
            </w:pPr>
            <w:r w:rsidRPr="00766A92">
              <w:rPr>
                <w:sz w:val="24"/>
                <w:szCs w:val="24"/>
              </w:rPr>
              <w:t>Nav.</w:t>
            </w:r>
          </w:p>
        </w:tc>
      </w:tr>
    </w:tbl>
    <w:p w14:paraId="785341C0" w14:textId="77777777" w:rsidR="00441CCB" w:rsidRPr="002323BC" w:rsidRDefault="00441CCB"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A97FD9" w14:paraId="55B5C9D0" w14:textId="77777777" w:rsidTr="00BD5588">
        <w:trPr>
          <w:cantSplit/>
        </w:trPr>
        <w:tc>
          <w:tcPr>
            <w:tcW w:w="8365" w:type="dxa"/>
            <w:shd w:val="clear" w:color="auto" w:fill="auto"/>
            <w:vAlign w:val="center"/>
            <w:hideMark/>
          </w:tcPr>
          <w:p w14:paraId="3B58B8C9" w14:textId="77777777" w:rsidR="00BD5588" w:rsidRPr="002323BC" w:rsidRDefault="00D004D5" w:rsidP="00E71146">
            <w:pPr>
              <w:jc w:val="center"/>
              <w:rPr>
                <w:b/>
                <w:bCs/>
                <w:lang w:eastAsia="en-US"/>
              </w:rPr>
            </w:pPr>
            <w:r w:rsidRPr="002323BC">
              <w:br w:type="page"/>
            </w:r>
            <w:r w:rsidRPr="002323BC">
              <w:rPr>
                <w:b/>
                <w:bCs/>
                <w:lang w:eastAsia="en-US"/>
              </w:rPr>
              <w:t xml:space="preserve">III. </w:t>
            </w:r>
            <w:r w:rsidRPr="002323BC">
              <w:rPr>
                <w:b/>
                <w:bCs/>
                <w:lang w:eastAsia="en-US"/>
              </w:rPr>
              <w:t>Tiesību akta projekta ietekme uz valsts budžetu un pašvaldību budžetiem</w:t>
            </w:r>
          </w:p>
        </w:tc>
      </w:tr>
      <w:tr w:rsidR="00A97FD9" w14:paraId="7F1113E2" w14:textId="77777777" w:rsidTr="00E71146">
        <w:trPr>
          <w:cantSplit/>
        </w:trPr>
        <w:tc>
          <w:tcPr>
            <w:tcW w:w="8365" w:type="dxa"/>
            <w:shd w:val="clear" w:color="auto" w:fill="auto"/>
          </w:tcPr>
          <w:p w14:paraId="3A0C25C0" w14:textId="77777777" w:rsidR="00357D0A" w:rsidRPr="002323BC" w:rsidRDefault="00D004D5" w:rsidP="00357D0A">
            <w:pPr>
              <w:jc w:val="center"/>
              <w:rPr>
                <w:lang w:eastAsia="en-US"/>
              </w:rPr>
            </w:pPr>
            <w:r w:rsidRPr="002323BC">
              <w:t>Projekts šo jomu neskar.</w:t>
            </w:r>
          </w:p>
        </w:tc>
      </w:tr>
    </w:tbl>
    <w:p w14:paraId="4D34BCD6" w14:textId="77777777" w:rsidR="004B715D" w:rsidRPr="002323BC" w:rsidRDefault="004B715D" w:rsidP="004B715D">
      <w:pPr>
        <w:pStyle w:val="Title"/>
        <w:spacing w:before="130" w:line="260" w:lineRule="exact"/>
        <w:ind w:firstLine="539"/>
        <w:jc w:val="both"/>
        <w:rPr>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3"/>
        <w:gridCol w:w="2673"/>
        <w:gridCol w:w="5793"/>
      </w:tblGrid>
      <w:tr w:rsidR="00A97FD9" w14:paraId="78110F36" w14:textId="77777777" w:rsidTr="006843F7">
        <w:trPr>
          <w:cantSplit/>
        </w:trPr>
        <w:tc>
          <w:tcPr>
            <w:tcW w:w="9129" w:type="dxa"/>
            <w:gridSpan w:val="3"/>
            <w:vAlign w:val="center"/>
            <w:hideMark/>
          </w:tcPr>
          <w:p w14:paraId="7B3D41C5" w14:textId="77777777" w:rsidR="00BD5588" w:rsidRPr="002323BC" w:rsidRDefault="00D004D5" w:rsidP="00E71146">
            <w:pPr>
              <w:jc w:val="center"/>
              <w:rPr>
                <w:b/>
                <w:bCs/>
              </w:rPr>
            </w:pPr>
            <w:r w:rsidRPr="002323BC">
              <w:rPr>
                <w:b/>
                <w:bCs/>
              </w:rPr>
              <w:t>IV. Tiesību akta projekta ietekme uz spēkā esošo tiesību normu sistēmu</w:t>
            </w:r>
          </w:p>
        </w:tc>
      </w:tr>
      <w:tr w:rsidR="00A97FD9" w14:paraId="1E2B14E8" w14:textId="77777777" w:rsidTr="006843F7">
        <w:trPr>
          <w:cantSplit/>
        </w:trPr>
        <w:tc>
          <w:tcPr>
            <w:tcW w:w="597" w:type="dxa"/>
          </w:tcPr>
          <w:p w14:paraId="52C76D9A" w14:textId="2DD62D3E" w:rsidR="006843F7" w:rsidRPr="002323BC" w:rsidRDefault="00D004D5" w:rsidP="00A76D2F">
            <w:pPr>
              <w:jc w:val="center"/>
            </w:pPr>
            <w:r>
              <w:t>1.</w:t>
            </w:r>
          </w:p>
        </w:tc>
        <w:tc>
          <w:tcPr>
            <w:tcW w:w="2694" w:type="dxa"/>
          </w:tcPr>
          <w:p w14:paraId="47C48B34" w14:textId="7677C490" w:rsidR="006843F7" w:rsidRPr="006843F7" w:rsidRDefault="00D004D5" w:rsidP="00766A92">
            <w:r w:rsidRPr="006843F7">
              <w:t>Saistītie tiesību aktu projekti</w:t>
            </w:r>
          </w:p>
        </w:tc>
        <w:tc>
          <w:tcPr>
            <w:tcW w:w="5838" w:type="dxa"/>
          </w:tcPr>
          <w:p w14:paraId="41817324" w14:textId="66392C9D" w:rsidR="006843F7" w:rsidRPr="002323BC" w:rsidRDefault="00D004D5" w:rsidP="004373EF">
            <w:pPr>
              <w:jc w:val="both"/>
            </w:pPr>
            <w:r>
              <w:t xml:space="preserve">Saistībā ar </w:t>
            </w:r>
            <w:r w:rsidR="004373EF">
              <w:t>N</w:t>
            </w:r>
            <w:r>
              <w:t xml:space="preserve">oteikumu projektu ir nepieciešams </w:t>
            </w:r>
            <w:r>
              <w:t>veikt grozījumus AAL 12.</w:t>
            </w:r>
            <w:r w:rsidR="004373EF">
              <w:t> </w:t>
            </w:r>
            <w:r>
              <w:t xml:space="preserve">panta </w:t>
            </w:r>
            <w:r w:rsidR="004373EF">
              <w:t>1.</w:t>
            </w:r>
            <w:r w:rsidR="004373EF" w:rsidRPr="004373EF">
              <w:rPr>
                <w:vertAlign w:val="superscript"/>
              </w:rPr>
              <w:t>5</w:t>
            </w:r>
            <w:r w:rsidR="004373EF">
              <w:t xml:space="preserve"> daļā un otrās daļas 7. </w:t>
            </w:r>
            <w:r>
              <w:t>un 8</w:t>
            </w:r>
            <w:r w:rsidR="004373EF">
              <w:t>. punktā</w:t>
            </w:r>
            <w:r>
              <w:t>, precizējot deleģējumu Ministru kabinetam.</w:t>
            </w:r>
          </w:p>
        </w:tc>
      </w:tr>
      <w:tr w:rsidR="00A97FD9" w14:paraId="396B1290" w14:textId="77777777" w:rsidTr="006843F7">
        <w:trPr>
          <w:cantSplit/>
        </w:trPr>
        <w:tc>
          <w:tcPr>
            <w:tcW w:w="597" w:type="dxa"/>
          </w:tcPr>
          <w:p w14:paraId="4DB8E99A" w14:textId="1C106E75" w:rsidR="006843F7" w:rsidRPr="002323BC" w:rsidRDefault="00D004D5" w:rsidP="00A76D2F">
            <w:pPr>
              <w:jc w:val="center"/>
            </w:pPr>
            <w:r>
              <w:t>2.</w:t>
            </w:r>
          </w:p>
        </w:tc>
        <w:tc>
          <w:tcPr>
            <w:tcW w:w="2694" w:type="dxa"/>
          </w:tcPr>
          <w:p w14:paraId="49E69EEC" w14:textId="2F6BA5BE" w:rsidR="006843F7" w:rsidRPr="001A5ACB" w:rsidRDefault="00D004D5" w:rsidP="00766A92">
            <w:r w:rsidRPr="004373EF">
              <w:rPr>
                <w:iCs/>
              </w:rPr>
              <w:t>Atbildīgā institūcija</w:t>
            </w:r>
          </w:p>
        </w:tc>
        <w:tc>
          <w:tcPr>
            <w:tcW w:w="5838" w:type="dxa"/>
          </w:tcPr>
          <w:p w14:paraId="4DBBD1C3" w14:textId="6D3C822C" w:rsidR="006843F7" w:rsidRPr="002323BC" w:rsidRDefault="00D004D5" w:rsidP="006843F7">
            <w:pPr>
              <w:jc w:val="both"/>
            </w:pPr>
            <w:r>
              <w:t>VARAM.</w:t>
            </w:r>
          </w:p>
        </w:tc>
      </w:tr>
      <w:tr w:rsidR="00A97FD9" w14:paraId="308D1D19" w14:textId="77777777" w:rsidTr="006843F7">
        <w:trPr>
          <w:cantSplit/>
        </w:trPr>
        <w:tc>
          <w:tcPr>
            <w:tcW w:w="597" w:type="dxa"/>
          </w:tcPr>
          <w:p w14:paraId="40C6BA45" w14:textId="3D6A5173" w:rsidR="006843F7" w:rsidRPr="002323BC" w:rsidRDefault="00D004D5" w:rsidP="00A76D2F">
            <w:pPr>
              <w:jc w:val="center"/>
            </w:pPr>
            <w:r>
              <w:t>3.</w:t>
            </w:r>
          </w:p>
        </w:tc>
        <w:tc>
          <w:tcPr>
            <w:tcW w:w="2694" w:type="dxa"/>
          </w:tcPr>
          <w:p w14:paraId="22E4CB86" w14:textId="3E60A115" w:rsidR="006843F7" w:rsidRPr="001A5ACB" w:rsidRDefault="00D004D5" w:rsidP="00766A92">
            <w:r w:rsidRPr="004373EF">
              <w:rPr>
                <w:iCs/>
              </w:rPr>
              <w:t>Cita informācija</w:t>
            </w:r>
          </w:p>
        </w:tc>
        <w:tc>
          <w:tcPr>
            <w:tcW w:w="5838" w:type="dxa"/>
          </w:tcPr>
          <w:p w14:paraId="1FBCFEF1" w14:textId="30C05315" w:rsidR="006843F7" w:rsidRPr="002323BC" w:rsidRDefault="00D004D5" w:rsidP="006843F7">
            <w:pPr>
              <w:jc w:val="both"/>
            </w:pPr>
            <w:r w:rsidRPr="002323BC">
              <w:t>Nav.</w:t>
            </w:r>
          </w:p>
        </w:tc>
      </w:tr>
    </w:tbl>
    <w:p w14:paraId="75CDC02D" w14:textId="77777777" w:rsidR="00BD5588" w:rsidRPr="002323BC"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97FD9" w14:paraId="01F399D3" w14:textId="77777777" w:rsidTr="00E71146">
        <w:trPr>
          <w:cantSplit/>
        </w:trPr>
        <w:tc>
          <w:tcPr>
            <w:tcW w:w="5000" w:type="pct"/>
            <w:vAlign w:val="center"/>
            <w:hideMark/>
          </w:tcPr>
          <w:p w14:paraId="71526B84" w14:textId="77777777" w:rsidR="00BD5588" w:rsidRPr="002323BC" w:rsidRDefault="00D004D5" w:rsidP="00E71146">
            <w:pPr>
              <w:jc w:val="center"/>
              <w:rPr>
                <w:b/>
                <w:bCs/>
              </w:rPr>
            </w:pPr>
            <w:r w:rsidRPr="002323BC">
              <w:rPr>
                <w:b/>
                <w:bCs/>
              </w:rPr>
              <w:t xml:space="preserve">V. Tiesību akta projekta atbilstība Latvijas Republikas starptautiskajām </w:t>
            </w:r>
            <w:r w:rsidRPr="002323BC">
              <w:rPr>
                <w:b/>
                <w:bCs/>
              </w:rPr>
              <w:t>saistībām</w:t>
            </w:r>
          </w:p>
        </w:tc>
      </w:tr>
      <w:tr w:rsidR="00A97FD9" w14:paraId="1270929E" w14:textId="77777777" w:rsidTr="00A76D2F">
        <w:trPr>
          <w:cantSplit/>
        </w:trPr>
        <w:tc>
          <w:tcPr>
            <w:tcW w:w="5000" w:type="pct"/>
          </w:tcPr>
          <w:p w14:paraId="7960D24B" w14:textId="77777777" w:rsidR="00A76D2F" w:rsidRPr="002323BC" w:rsidRDefault="00D004D5" w:rsidP="00A76D2F">
            <w:pPr>
              <w:jc w:val="center"/>
            </w:pPr>
            <w:r w:rsidRPr="002323BC">
              <w:t>Projekts šo jomu neskar.</w:t>
            </w:r>
          </w:p>
        </w:tc>
      </w:tr>
    </w:tbl>
    <w:p w14:paraId="03B57C43" w14:textId="77777777" w:rsidR="00BD5588" w:rsidRPr="002323BC"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97FD9" w14:paraId="3C1CCD62" w14:textId="77777777" w:rsidTr="00E71146">
        <w:trPr>
          <w:cantSplit/>
        </w:trPr>
        <w:tc>
          <w:tcPr>
            <w:tcW w:w="5000" w:type="pct"/>
            <w:gridSpan w:val="3"/>
            <w:vAlign w:val="center"/>
            <w:hideMark/>
          </w:tcPr>
          <w:p w14:paraId="646CC70B" w14:textId="77777777" w:rsidR="00BD5588" w:rsidRPr="002323BC" w:rsidRDefault="00D004D5" w:rsidP="00E71146">
            <w:pPr>
              <w:jc w:val="center"/>
              <w:rPr>
                <w:b/>
                <w:bCs/>
              </w:rPr>
            </w:pPr>
            <w:r w:rsidRPr="002323BC">
              <w:rPr>
                <w:b/>
                <w:bCs/>
              </w:rPr>
              <w:t>VI. Sabiedrības līdzdalība un komunikācijas aktivitātes</w:t>
            </w:r>
          </w:p>
        </w:tc>
      </w:tr>
      <w:tr w:rsidR="00A97FD9" w14:paraId="008E9C1C" w14:textId="77777777" w:rsidTr="00E71146">
        <w:trPr>
          <w:cantSplit/>
        </w:trPr>
        <w:tc>
          <w:tcPr>
            <w:tcW w:w="311" w:type="pct"/>
            <w:hideMark/>
          </w:tcPr>
          <w:p w14:paraId="38000105" w14:textId="77777777" w:rsidR="00BD5588" w:rsidRPr="002323BC" w:rsidRDefault="00D004D5" w:rsidP="00E71146">
            <w:pPr>
              <w:jc w:val="center"/>
            </w:pPr>
            <w:r w:rsidRPr="002323BC">
              <w:lastRenderedPageBreak/>
              <w:t>1.</w:t>
            </w:r>
          </w:p>
        </w:tc>
        <w:tc>
          <w:tcPr>
            <w:tcW w:w="1479" w:type="pct"/>
            <w:hideMark/>
          </w:tcPr>
          <w:p w14:paraId="7333DD2D" w14:textId="77777777" w:rsidR="00BD5588" w:rsidRPr="002323BC" w:rsidRDefault="00D004D5" w:rsidP="00E71146">
            <w:r w:rsidRPr="002323BC">
              <w:t>Plānotās sabiedrības līdzdalības un komunikācijas aktivitātes saistībā ar projektu</w:t>
            </w:r>
          </w:p>
        </w:tc>
        <w:tc>
          <w:tcPr>
            <w:tcW w:w="3210" w:type="pct"/>
            <w:hideMark/>
          </w:tcPr>
          <w:p w14:paraId="27B908AD" w14:textId="77777777" w:rsidR="00BD5588" w:rsidRPr="002323BC" w:rsidRDefault="00D004D5" w:rsidP="00B813FC">
            <w:pPr>
              <w:jc w:val="both"/>
            </w:pPr>
            <w:r w:rsidRPr="002323BC">
              <w:t xml:space="preserve">Saskaņā ar Ministru kabineta 2009. gada 25. augusta noteikumu Nr. 970 </w:t>
            </w:r>
            <w:r w:rsidRPr="002323BC">
              <w:t>“Sabiedrības līdzdalības kārtība attīstības plānošanas procesā” 7.4.</w:t>
            </w:r>
            <w:r w:rsidRPr="002323BC">
              <w:rPr>
                <w:vertAlign w:val="superscript"/>
              </w:rPr>
              <w:t>1</w:t>
            </w:r>
            <w:r w:rsidRPr="002323BC">
              <w:t> apakšpunktu, sabiedrības pārstāvji ir aicināti līdzdarboties, rakstiski sniedzot viedokli par noteikumu projektu tā izstrādes stadijā.</w:t>
            </w:r>
          </w:p>
        </w:tc>
      </w:tr>
      <w:tr w:rsidR="00A97FD9" w14:paraId="4106A4D4" w14:textId="77777777" w:rsidTr="00E71146">
        <w:trPr>
          <w:cantSplit/>
        </w:trPr>
        <w:tc>
          <w:tcPr>
            <w:tcW w:w="311" w:type="pct"/>
            <w:hideMark/>
          </w:tcPr>
          <w:p w14:paraId="7A0787AE" w14:textId="77777777" w:rsidR="00BD5588" w:rsidRPr="002323BC" w:rsidRDefault="00D004D5" w:rsidP="00E71146">
            <w:pPr>
              <w:jc w:val="center"/>
            </w:pPr>
            <w:r w:rsidRPr="002323BC">
              <w:t>2.</w:t>
            </w:r>
          </w:p>
        </w:tc>
        <w:tc>
          <w:tcPr>
            <w:tcW w:w="1479" w:type="pct"/>
            <w:hideMark/>
          </w:tcPr>
          <w:p w14:paraId="0DED102E" w14:textId="77777777" w:rsidR="00BD5588" w:rsidRPr="002323BC" w:rsidRDefault="00D004D5" w:rsidP="00E71146">
            <w:r w:rsidRPr="002323BC">
              <w:t>Sabiedrības līdzdalība projekta izstrādē</w:t>
            </w:r>
          </w:p>
        </w:tc>
        <w:tc>
          <w:tcPr>
            <w:tcW w:w="3210" w:type="pct"/>
            <w:hideMark/>
          </w:tcPr>
          <w:p w14:paraId="5A927E5D" w14:textId="721B8074" w:rsidR="00BD5588" w:rsidRPr="002323BC" w:rsidRDefault="00D004D5" w:rsidP="00AC049F">
            <w:pPr>
              <w:jc w:val="both"/>
            </w:pPr>
            <w:r w:rsidRPr="002323BC">
              <w:t xml:space="preserve">Noteikumu projekts ievietots Vides aizsardzības un reģionālās attīstības ministrijas tīmekļvietnē  </w:t>
            </w:r>
            <w:hyperlink r:id="rId8" w:history="1">
              <w:r w:rsidRPr="002323BC">
                <w:rPr>
                  <w:color w:val="0000FF"/>
                  <w:u w:val="single"/>
                </w:rPr>
                <w:t>www.varam.gov.lv</w:t>
              </w:r>
            </w:hyperlink>
            <w:r w:rsidRPr="002323BC">
              <w:t xml:space="preserve"> 2018. gada 6. februārī, sniedzot ieinteresētajām personām iespēju izteikt viedokli un iesniegt priekšlikumus.</w:t>
            </w:r>
            <w:r w:rsidR="00AC049F">
              <w:t xml:space="preserve"> 2018.gada 13.februārī VARAM rīkoja sanāksmi ar ieinteresētajām pusēm (Latvijas apdrošinātāju asociācija, Latvijas komercbanku asociācija, atkritumu apsaimniekošanas uzņēmumu pārstāvji), lai apspriestu noteikumu projektu un pēc iespējas iestrādāja visus priekšlikumus, kas izskanēja sanāksmes laikā.</w:t>
            </w:r>
          </w:p>
        </w:tc>
      </w:tr>
      <w:tr w:rsidR="00A97FD9" w14:paraId="724705D2" w14:textId="77777777" w:rsidTr="00E71146">
        <w:trPr>
          <w:cantSplit/>
        </w:trPr>
        <w:tc>
          <w:tcPr>
            <w:tcW w:w="311" w:type="pct"/>
            <w:hideMark/>
          </w:tcPr>
          <w:p w14:paraId="36EE3A33" w14:textId="77777777" w:rsidR="00BD5588" w:rsidRPr="002323BC" w:rsidRDefault="00D004D5" w:rsidP="00E71146">
            <w:pPr>
              <w:jc w:val="center"/>
            </w:pPr>
            <w:r w:rsidRPr="002323BC">
              <w:t>3.</w:t>
            </w:r>
          </w:p>
        </w:tc>
        <w:tc>
          <w:tcPr>
            <w:tcW w:w="1479" w:type="pct"/>
            <w:hideMark/>
          </w:tcPr>
          <w:p w14:paraId="6C3B808E" w14:textId="77777777" w:rsidR="00BD5588" w:rsidRPr="002323BC" w:rsidRDefault="00D004D5" w:rsidP="00E71146">
            <w:r w:rsidRPr="002323BC">
              <w:t>Sabiedrības līdzdalības rezultāti</w:t>
            </w:r>
          </w:p>
        </w:tc>
        <w:tc>
          <w:tcPr>
            <w:tcW w:w="3210" w:type="pct"/>
            <w:hideMark/>
          </w:tcPr>
          <w:p w14:paraId="41BFB31C" w14:textId="393D1940" w:rsidR="00BD5588" w:rsidRPr="002323BC" w:rsidRDefault="00D004D5" w:rsidP="00E71146">
            <w:r>
              <w:t xml:space="preserve">Sabiedrības līdzdalības ietvaros nekādi priekšlikumi/ iebildumi </w:t>
            </w:r>
            <w:r>
              <w:t>par noteikumu projektu netika saņemti.</w:t>
            </w:r>
          </w:p>
        </w:tc>
      </w:tr>
      <w:tr w:rsidR="00A97FD9" w14:paraId="7CD9CC22" w14:textId="77777777" w:rsidTr="00E71146">
        <w:trPr>
          <w:cantSplit/>
        </w:trPr>
        <w:tc>
          <w:tcPr>
            <w:tcW w:w="311" w:type="pct"/>
            <w:hideMark/>
          </w:tcPr>
          <w:p w14:paraId="29B74286" w14:textId="77777777" w:rsidR="00BD5588" w:rsidRPr="002323BC" w:rsidRDefault="00D004D5" w:rsidP="00E71146">
            <w:pPr>
              <w:jc w:val="center"/>
            </w:pPr>
            <w:r w:rsidRPr="002323BC">
              <w:t>4.</w:t>
            </w:r>
          </w:p>
        </w:tc>
        <w:tc>
          <w:tcPr>
            <w:tcW w:w="1479" w:type="pct"/>
            <w:hideMark/>
          </w:tcPr>
          <w:p w14:paraId="767FE49F" w14:textId="77777777" w:rsidR="00BD5588" w:rsidRPr="002323BC" w:rsidRDefault="00D004D5" w:rsidP="00E71146">
            <w:r w:rsidRPr="002323BC">
              <w:t>Cita informācija</w:t>
            </w:r>
          </w:p>
        </w:tc>
        <w:tc>
          <w:tcPr>
            <w:tcW w:w="3210" w:type="pct"/>
            <w:hideMark/>
          </w:tcPr>
          <w:p w14:paraId="23728EB7" w14:textId="77777777" w:rsidR="00BD5588" w:rsidRPr="002323BC" w:rsidRDefault="00D004D5" w:rsidP="00E71146">
            <w:r w:rsidRPr="002323BC">
              <w:t>Nav.</w:t>
            </w:r>
          </w:p>
        </w:tc>
      </w:tr>
    </w:tbl>
    <w:p w14:paraId="4A792365" w14:textId="77777777" w:rsidR="00BD5588" w:rsidRPr="002323BC"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97FD9" w14:paraId="21C6AD26" w14:textId="77777777" w:rsidTr="00E71146">
        <w:trPr>
          <w:cantSplit/>
        </w:trPr>
        <w:tc>
          <w:tcPr>
            <w:tcW w:w="5000" w:type="pct"/>
            <w:gridSpan w:val="3"/>
            <w:vAlign w:val="center"/>
            <w:hideMark/>
          </w:tcPr>
          <w:p w14:paraId="244FBB06" w14:textId="77777777" w:rsidR="00BD5588" w:rsidRPr="002323BC" w:rsidRDefault="00D004D5" w:rsidP="00E71146">
            <w:pPr>
              <w:jc w:val="center"/>
              <w:rPr>
                <w:b/>
                <w:bCs/>
              </w:rPr>
            </w:pPr>
            <w:r w:rsidRPr="002323BC">
              <w:rPr>
                <w:b/>
                <w:bCs/>
              </w:rPr>
              <w:t>VII. Tiesību akta projekta izpildes nodrošināšana un tās ietekme uz institūcijām</w:t>
            </w:r>
          </w:p>
        </w:tc>
      </w:tr>
      <w:tr w:rsidR="00A97FD9" w14:paraId="595F2CA1" w14:textId="77777777" w:rsidTr="00E71146">
        <w:trPr>
          <w:cantSplit/>
        </w:trPr>
        <w:tc>
          <w:tcPr>
            <w:tcW w:w="311" w:type="pct"/>
            <w:hideMark/>
          </w:tcPr>
          <w:p w14:paraId="5DED47B8" w14:textId="77777777" w:rsidR="00BD5588" w:rsidRPr="002323BC" w:rsidRDefault="00D004D5" w:rsidP="00E71146">
            <w:pPr>
              <w:jc w:val="center"/>
            </w:pPr>
            <w:r w:rsidRPr="002323BC">
              <w:t>1.</w:t>
            </w:r>
          </w:p>
        </w:tc>
        <w:tc>
          <w:tcPr>
            <w:tcW w:w="1479" w:type="pct"/>
            <w:hideMark/>
          </w:tcPr>
          <w:p w14:paraId="72E55188" w14:textId="77777777" w:rsidR="00BD5588" w:rsidRPr="002323BC" w:rsidRDefault="00D004D5" w:rsidP="00E71146">
            <w:r w:rsidRPr="002323BC">
              <w:t>Projekta izpildē iesaistītās institūcijas</w:t>
            </w:r>
          </w:p>
        </w:tc>
        <w:tc>
          <w:tcPr>
            <w:tcW w:w="3210" w:type="pct"/>
            <w:hideMark/>
          </w:tcPr>
          <w:p w14:paraId="6275B9A0" w14:textId="77FE778D" w:rsidR="00BD5588" w:rsidRPr="002323BC" w:rsidRDefault="00D004D5" w:rsidP="00392DF3">
            <w:r w:rsidRPr="002323BC">
              <w:rPr>
                <w:szCs w:val="28"/>
              </w:rPr>
              <w:t>Valsts vides dienests</w:t>
            </w:r>
          </w:p>
        </w:tc>
      </w:tr>
      <w:tr w:rsidR="00A97FD9" w14:paraId="0D0946D2" w14:textId="77777777" w:rsidTr="00E71146">
        <w:trPr>
          <w:cantSplit/>
        </w:trPr>
        <w:tc>
          <w:tcPr>
            <w:tcW w:w="311" w:type="pct"/>
            <w:hideMark/>
          </w:tcPr>
          <w:p w14:paraId="333FFFD8" w14:textId="77777777" w:rsidR="00BD5588" w:rsidRPr="002323BC" w:rsidRDefault="00D004D5" w:rsidP="00E71146">
            <w:pPr>
              <w:jc w:val="center"/>
            </w:pPr>
            <w:r w:rsidRPr="002323BC">
              <w:t>2.</w:t>
            </w:r>
          </w:p>
        </w:tc>
        <w:tc>
          <w:tcPr>
            <w:tcW w:w="1479" w:type="pct"/>
            <w:hideMark/>
          </w:tcPr>
          <w:p w14:paraId="3946D5C4" w14:textId="77777777" w:rsidR="004A4FEB" w:rsidRPr="002323BC" w:rsidRDefault="00D004D5" w:rsidP="00E71146">
            <w:r w:rsidRPr="002323BC">
              <w:t xml:space="preserve">Projekta izpildes ietekme uz </w:t>
            </w:r>
            <w:r w:rsidRPr="002323BC">
              <w:t>pārvaldes funkcijām un institucionālo struktūru.</w:t>
            </w:r>
          </w:p>
          <w:p w14:paraId="6D8380F0" w14:textId="77777777" w:rsidR="00BD5588" w:rsidRPr="002323BC" w:rsidRDefault="00D004D5" w:rsidP="00E71146">
            <w:r w:rsidRPr="002323BC">
              <w:br/>
              <w:t>Jaunu institūciju izveide, esošu institūciju likvidācija vai reorganizācija, to ietekme uz institūcijas cilvēkresursiem</w:t>
            </w:r>
          </w:p>
        </w:tc>
        <w:tc>
          <w:tcPr>
            <w:tcW w:w="3210" w:type="pct"/>
            <w:hideMark/>
          </w:tcPr>
          <w:p w14:paraId="68F674FD" w14:textId="77777777" w:rsidR="004A4FEB" w:rsidRPr="002323BC" w:rsidRDefault="00D004D5" w:rsidP="004A4FEB">
            <w:pPr>
              <w:pStyle w:val="naisnod"/>
              <w:spacing w:before="0" w:after="0"/>
              <w:ind w:right="57"/>
              <w:jc w:val="both"/>
              <w:rPr>
                <w:b w:val="0"/>
              </w:rPr>
            </w:pPr>
            <w:r w:rsidRPr="002323BC">
              <w:rPr>
                <w:b w:val="0"/>
              </w:rPr>
              <w:t>Noteikumu projekts neietekmē iesaistīto institūciju funkcijas un uzdevumus.</w:t>
            </w:r>
          </w:p>
          <w:p w14:paraId="51F30D36" w14:textId="77777777" w:rsidR="004A4FEB" w:rsidRPr="002323BC" w:rsidRDefault="004A4FEB" w:rsidP="004A4FEB">
            <w:pPr>
              <w:pStyle w:val="naisnod"/>
              <w:spacing w:before="0" w:after="0"/>
              <w:ind w:left="57" w:right="57"/>
              <w:jc w:val="both"/>
              <w:rPr>
                <w:b w:val="0"/>
              </w:rPr>
            </w:pPr>
          </w:p>
          <w:p w14:paraId="744EC1C2" w14:textId="77777777" w:rsidR="004A4FEB" w:rsidRPr="002323BC" w:rsidRDefault="004A4FEB" w:rsidP="004A4FEB">
            <w:pPr>
              <w:rPr>
                <w:bCs/>
              </w:rPr>
            </w:pPr>
          </w:p>
          <w:p w14:paraId="0C6C13F5" w14:textId="77777777" w:rsidR="004A4FEB" w:rsidRPr="002323BC" w:rsidRDefault="004A4FEB" w:rsidP="004A4FEB">
            <w:pPr>
              <w:rPr>
                <w:bCs/>
              </w:rPr>
            </w:pPr>
          </w:p>
          <w:p w14:paraId="294667CF" w14:textId="77777777" w:rsidR="00BD5588" w:rsidRPr="002323BC" w:rsidRDefault="00D004D5" w:rsidP="004A4FEB">
            <w:r w:rsidRPr="002323BC">
              <w:rPr>
                <w:bCs/>
              </w:rPr>
              <w:t xml:space="preserve">Jaunas </w:t>
            </w:r>
            <w:r w:rsidRPr="002323BC">
              <w:rPr>
                <w:bCs/>
              </w:rPr>
              <w:t>institūcijas nav jāveido. Esošās institūcijas nav jāreorganizē.</w:t>
            </w:r>
          </w:p>
        </w:tc>
      </w:tr>
      <w:tr w:rsidR="00A97FD9" w14:paraId="1AEF99FF" w14:textId="77777777" w:rsidTr="00E71146">
        <w:trPr>
          <w:cantSplit/>
        </w:trPr>
        <w:tc>
          <w:tcPr>
            <w:tcW w:w="311" w:type="pct"/>
            <w:hideMark/>
          </w:tcPr>
          <w:p w14:paraId="37EE98DE" w14:textId="77777777" w:rsidR="00BD5588" w:rsidRPr="002323BC" w:rsidRDefault="00D004D5" w:rsidP="00E71146">
            <w:pPr>
              <w:jc w:val="center"/>
            </w:pPr>
            <w:r w:rsidRPr="002323BC">
              <w:t>3.</w:t>
            </w:r>
          </w:p>
        </w:tc>
        <w:tc>
          <w:tcPr>
            <w:tcW w:w="1479" w:type="pct"/>
            <w:hideMark/>
          </w:tcPr>
          <w:p w14:paraId="576B476D" w14:textId="77777777" w:rsidR="00BD5588" w:rsidRPr="002323BC" w:rsidRDefault="00D004D5" w:rsidP="00E71146">
            <w:r w:rsidRPr="002323BC">
              <w:t>Cita informācija</w:t>
            </w:r>
          </w:p>
        </w:tc>
        <w:tc>
          <w:tcPr>
            <w:tcW w:w="3210" w:type="pct"/>
            <w:hideMark/>
          </w:tcPr>
          <w:p w14:paraId="49A00514" w14:textId="77777777" w:rsidR="00BD5588" w:rsidRPr="002323BC" w:rsidRDefault="00D004D5" w:rsidP="00E71146">
            <w:r w:rsidRPr="002323BC">
              <w:t>Nav.</w:t>
            </w:r>
          </w:p>
        </w:tc>
      </w:tr>
    </w:tbl>
    <w:p w14:paraId="74F39B48" w14:textId="77777777" w:rsidR="00E44472" w:rsidRPr="002323BC" w:rsidRDefault="00E44472"/>
    <w:p w14:paraId="40991C95" w14:textId="77777777" w:rsidR="004A4FEB" w:rsidRPr="002323BC" w:rsidRDefault="004A4FEB"/>
    <w:p w14:paraId="4CEA4AAF" w14:textId="77777777" w:rsidR="004A4FEB" w:rsidRPr="002323BC" w:rsidRDefault="00D004D5" w:rsidP="004A4FEB">
      <w:pPr>
        <w:tabs>
          <w:tab w:val="left" w:pos="6237"/>
        </w:tabs>
      </w:pPr>
      <w:r w:rsidRPr="002323BC">
        <w:t xml:space="preserve">Vides aizsardzības un </w:t>
      </w:r>
    </w:p>
    <w:p w14:paraId="533FEB26" w14:textId="77777777" w:rsidR="004A4FEB" w:rsidRPr="002323BC" w:rsidRDefault="00D004D5" w:rsidP="004A4FEB">
      <w:pPr>
        <w:tabs>
          <w:tab w:val="left" w:pos="6237"/>
        </w:tabs>
      </w:pPr>
      <w:r w:rsidRPr="002323BC">
        <w:t>reģionālās attīstības ministrs</w:t>
      </w:r>
      <w:r w:rsidRPr="002323BC">
        <w:tab/>
        <w:t>Kaspars Gerhards</w:t>
      </w:r>
    </w:p>
    <w:p w14:paraId="562CE6E5" w14:textId="77777777" w:rsidR="004A4FEB" w:rsidRPr="002323BC" w:rsidRDefault="004A4FEB" w:rsidP="004A4FEB">
      <w:pPr>
        <w:tabs>
          <w:tab w:val="left" w:pos="6237"/>
        </w:tabs>
        <w:rPr>
          <w:sz w:val="28"/>
          <w:szCs w:val="28"/>
        </w:rPr>
      </w:pPr>
    </w:p>
    <w:p w14:paraId="13A2D415" w14:textId="77777777" w:rsidR="004A4FEB" w:rsidRPr="002323BC" w:rsidRDefault="004A4FEB" w:rsidP="004A4FEB">
      <w:pPr>
        <w:tabs>
          <w:tab w:val="left" w:pos="6237"/>
        </w:tabs>
        <w:rPr>
          <w:szCs w:val="28"/>
        </w:rPr>
      </w:pPr>
    </w:p>
    <w:p w14:paraId="68AEEAE4" w14:textId="77777777" w:rsidR="004A4FEB" w:rsidRPr="002323BC" w:rsidRDefault="00D004D5" w:rsidP="004A4FEB">
      <w:pPr>
        <w:tabs>
          <w:tab w:val="left" w:pos="6237"/>
        </w:tabs>
        <w:rPr>
          <w:sz w:val="18"/>
          <w:szCs w:val="18"/>
        </w:rPr>
      </w:pPr>
      <w:r w:rsidRPr="002323BC">
        <w:rPr>
          <w:sz w:val="18"/>
          <w:szCs w:val="18"/>
        </w:rPr>
        <w:t>Cudečka-Puriņa 67026461</w:t>
      </w:r>
    </w:p>
    <w:p w14:paraId="19760EB0" w14:textId="77777777" w:rsidR="004A4FEB" w:rsidRPr="002323BC" w:rsidRDefault="00D004D5" w:rsidP="004A4FEB">
      <w:pPr>
        <w:rPr>
          <w:sz w:val="18"/>
          <w:szCs w:val="18"/>
        </w:rPr>
      </w:pPr>
      <w:hyperlink r:id="rId9" w:history="1">
        <w:r w:rsidR="00D15A01" w:rsidRPr="002323BC">
          <w:rPr>
            <w:rStyle w:val="Hyperlink"/>
            <w:sz w:val="18"/>
            <w:szCs w:val="18"/>
          </w:rPr>
          <w:t>natalija.cudecka-purina@varam.gov.lv</w:t>
        </w:r>
      </w:hyperlink>
    </w:p>
    <w:sectPr w:rsidR="004A4FEB" w:rsidRPr="002323BC" w:rsidSect="004373EF">
      <w:headerReference w:type="default" r:id="rId10"/>
      <w:footerReference w:type="default" r:id="rId11"/>
      <w:footerReference w:type="first" r:id="rId12"/>
      <w:pgSz w:w="11906" w:h="16838"/>
      <w:pgMar w:top="426"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B951" w14:textId="77777777" w:rsidR="00D004D5" w:rsidRDefault="00D004D5">
      <w:r>
        <w:separator/>
      </w:r>
    </w:p>
  </w:endnote>
  <w:endnote w:type="continuationSeparator" w:id="0">
    <w:p w14:paraId="5AA355ED" w14:textId="77777777" w:rsidR="00D004D5" w:rsidRDefault="00D0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Mangal"/>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43C8" w14:textId="484B9098" w:rsidR="00E71146" w:rsidRPr="004A4FEB" w:rsidRDefault="00D004D5">
    <w:pPr>
      <w:pStyle w:val="Footer"/>
      <w:rPr>
        <w:sz w:val="20"/>
        <w:szCs w:val="20"/>
      </w:rPr>
    </w:pPr>
    <w:r w:rsidRPr="004A4FEB">
      <w:rPr>
        <w:sz w:val="20"/>
        <w:szCs w:val="20"/>
      </w:rPr>
      <w:t>VARAMAnot_</w:t>
    </w:r>
    <w:r w:rsidR="00D15A01">
      <w:rPr>
        <w:sz w:val="20"/>
        <w:szCs w:val="20"/>
      </w:rPr>
      <w:t>fin_nodros_</w:t>
    </w:r>
    <w:r w:rsidR="004373EF">
      <w:rPr>
        <w:sz w:val="20"/>
        <w:szCs w:val="20"/>
      </w:rPr>
      <w:t>300518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855E" w14:textId="77777777" w:rsidR="004373EF" w:rsidRPr="004A4FEB" w:rsidRDefault="00D004D5" w:rsidP="004373EF">
    <w:pPr>
      <w:pStyle w:val="Footer"/>
      <w:rPr>
        <w:sz w:val="20"/>
        <w:szCs w:val="20"/>
      </w:rPr>
    </w:pPr>
    <w:r w:rsidRPr="004A4FEB">
      <w:rPr>
        <w:sz w:val="20"/>
        <w:szCs w:val="20"/>
      </w:rPr>
      <w:t>VARAMAnot_</w:t>
    </w:r>
    <w:r>
      <w:rPr>
        <w:sz w:val="20"/>
        <w:szCs w:val="20"/>
      </w:rPr>
      <w:t>fin_nodros_300518</w:t>
    </w:r>
  </w:p>
  <w:p w14:paraId="70D25FB7" w14:textId="77777777" w:rsidR="004373EF" w:rsidRDefault="0043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DBF5" w14:textId="77777777" w:rsidR="00D004D5" w:rsidRDefault="00D004D5">
      <w:r>
        <w:separator/>
      </w:r>
    </w:p>
  </w:footnote>
  <w:footnote w:type="continuationSeparator" w:id="0">
    <w:p w14:paraId="1B3B7772" w14:textId="77777777" w:rsidR="00D004D5" w:rsidRDefault="00D0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00511"/>
      <w:docPartObj>
        <w:docPartGallery w:val="Page Numbers (Top of Page)"/>
        <w:docPartUnique/>
      </w:docPartObj>
    </w:sdtPr>
    <w:sdtEndPr>
      <w:rPr>
        <w:noProof/>
      </w:rPr>
    </w:sdtEndPr>
    <w:sdtContent>
      <w:p w14:paraId="6E173696" w14:textId="152D79CB" w:rsidR="004373EF" w:rsidRDefault="00D004D5">
        <w:pPr>
          <w:pStyle w:val="Header"/>
          <w:jc w:val="center"/>
        </w:pPr>
        <w:r>
          <w:fldChar w:fldCharType="begin"/>
        </w:r>
        <w:r>
          <w:instrText xml:space="preserve"> PAGE   \* MERGEFORMAT </w:instrText>
        </w:r>
        <w:r>
          <w:fldChar w:fldCharType="separate"/>
        </w:r>
        <w:r w:rsidR="0079612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579F"/>
    <w:rsid w:val="0005520A"/>
    <w:rsid w:val="00077A54"/>
    <w:rsid w:val="00090ED1"/>
    <w:rsid w:val="000C1813"/>
    <w:rsid w:val="000E5D55"/>
    <w:rsid w:val="00166ADF"/>
    <w:rsid w:val="001A5ACB"/>
    <w:rsid w:val="002323BC"/>
    <w:rsid w:val="00357D0A"/>
    <w:rsid w:val="00364E12"/>
    <w:rsid w:val="00377DC9"/>
    <w:rsid w:val="00380813"/>
    <w:rsid w:val="00392DF3"/>
    <w:rsid w:val="003E1507"/>
    <w:rsid w:val="004373EF"/>
    <w:rsid w:val="00441CCB"/>
    <w:rsid w:val="0047188E"/>
    <w:rsid w:val="004A4FEB"/>
    <w:rsid w:val="004B715D"/>
    <w:rsid w:val="004D0AC1"/>
    <w:rsid w:val="004D7FC3"/>
    <w:rsid w:val="004F74A9"/>
    <w:rsid w:val="0053642D"/>
    <w:rsid w:val="005443C9"/>
    <w:rsid w:val="005D4C28"/>
    <w:rsid w:val="0063438F"/>
    <w:rsid w:val="00653038"/>
    <w:rsid w:val="006843F7"/>
    <w:rsid w:val="006D5B64"/>
    <w:rsid w:val="00714234"/>
    <w:rsid w:val="00766A92"/>
    <w:rsid w:val="007746CB"/>
    <w:rsid w:val="00796128"/>
    <w:rsid w:val="007F0D66"/>
    <w:rsid w:val="0082500F"/>
    <w:rsid w:val="00826D15"/>
    <w:rsid w:val="008302D6"/>
    <w:rsid w:val="00845630"/>
    <w:rsid w:val="00853D1D"/>
    <w:rsid w:val="008D3A36"/>
    <w:rsid w:val="009A3838"/>
    <w:rsid w:val="009A5155"/>
    <w:rsid w:val="009C0967"/>
    <w:rsid w:val="009E6546"/>
    <w:rsid w:val="009E665E"/>
    <w:rsid w:val="00A1273B"/>
    <w:rsid w:val="00A70DA7"/>
    <w:rsid w:val="00A71EDA"/>
    <w:rsid w:val="00A76D2F"/>
    <w:rsid w:val="00A96A57"/>
    <w:rsid w:val="00A97FD9"/>
    <w:rsid w:val="00AB2B46"/>
    <w:rsid w:val="00AC049F"/>
    <w:rsid w:val="00AF33BD"/>
    <w:rsid w:val="00B27642"/>
    <w:rsid w:val="00B52A67"/>
    <w:rsid w:val="00B75E0B"/>
    <w:rsid w:val="00B813FC"/>
    <w:rsid w:val="00B94112"/>
    <w:rsid w:val="00BB0130"/>
    <w:rsid w:val="00BB2CF9"/>
    <w:rsid w:val="00BD5588"/>
    <w:rsid w:val="00C22119"/>
    <w:rsid w:val="00D004D5"/>
    <w:rsid w:val="00D15A01"/>
    <w:rsid w:val="00D17A29"/>
    <w:rsid w:val="00D85596"/>
    <w:rsid w:val="00DF321F"/>
    <w:rsid w:val="00E20366"/>
    <w:rsid w:val="00E22388"/>
    <w:rsid w:val="00E44472"/>
    <w:rsid w:val="00E47506"/>
    <w:rsid w:val="00E6255D"/>
    <w:rsid w:val="00E64F63"/>
    <w:rsid w:val="00E71146"/>
    <w:rsid w:val="00EC4934"/>
    <w:rsid w:val="00EC4A26"/>
    <w:rsid w:val="00EC675E"/>
    <w:rsid w:val="00ED24B4"/>
    <w:rsid w:val="00EE1D08"/>
    <w:rsid w:val="00F539FE"/>
    <w:rsid w:val="00FA469C"/>
    <w:rsid w:val="00FD7A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F0B118-CA6E-4072-B016-E039EB88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5443C9"/>
    <w:rPr>
      <w:sz w:val="16"/>
      <w:szCs w:val="16"/>
    </w:rPr>
  </w:style>
  <w:style w:type="paragraph" w:styleId="CommentText">
    <w:name w:val="annotation text"/>
    <w:basedOn w:val="Normal"/>
    <w:link w:val="CommentTextChar"/>
    <w:uiPriority w:val="99"/>
    <w:semiHidden/>
    <w:unhideWhenUsed/>
    <w:rsid w:val="005443C9"/>
    <w:rPr>
      <w:sz w:val="20"/>
      <w:szCs w:val="20"/>
    </w:rPr>
  </w:style>
  <w:style w:type="character" w:customStyle="1" w:styleId="CommentTextChar">
    <w:name w:val="Comment Text Char"/>
    <w:basedOn w:val="DefaultParagraphFont"/>
    <w:link w:val="CommentText"/>
    <w:uiPriority w:val="99"/>
    <w:semiHidden/>
    <w:rsid w:val="005443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443C9"/>
    <w:rPr>
      <w:b/>
      <w:bCs/>
    </w:rPr>
  </w:style>
  <w:style w:type="character" w:customStyle="1" w:styleId="CommentSubjectChar">
    <w:name w:val="Comment Subject Char"/>
    <w:basedOn w:val="CommentTextChar"/>
    <w:link w:val="CommentSubject"/>
    <w:uiPriority w:val="99"/>
    <w:semiHidden/>
    <w:rsid w:val="005443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4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C9"/>
    <w:rPr>
      <w:rFonts w:ascii="Segoe UI" w:eastAsia="Times New Roman" w:hAnsi="Segoe UI" w:cs="Segoe UI"/>
      <w:sz w:val="18"/>
      <w:szCs w:val="18"/>
      <w:lang w:eastAsia="lv-LV"/>
    </w:rPr>
  </w:style>
  <w:style w:type="paragraph" w:customStyle="1" w:styleId="Style3">
    <w:name w:val="Style3"/>
    <w:basedOn w:val="Normal"/>
    <w:uiPriority w:val="99"/>
    <w:rsid w:val="00FA469C"/>
    <w:pPr>
      <w:widowControl w:val="0"/>
      <w:autoSpaceDE w:val="0"/>
      <w:autoSpaceDN w:val="0"/>
      <w:adjustRightInd w:val="0"/>
      <w:spacing w:line="292" w:lineRule="exact"/>
      <w:ind w:firstLine="720"/>
      <w:jc w:val="both"/>
    </w:pPr>
    <w:rPr>
      <w:rFonts w:ascii="Calibri" w:hAnsi="Calibri"/>
    </w:rPr>
  </w:style>
  <w:style w:type="character" w:customStyle="1" w:styleId="FontStyle15">
    <w:name w:val="Font Style15"/>
    <w:uiPriority w:val="99"/>
    <w:rsid w:val="00FA469C"/>
    <w:rPr>
      <w:rFonts w:ascii="Calibri" w:hAnsi="Calibri" w:cs="Calibri"/>
      <w:sz w:val="22"/>
      <w:szCs w:val="22"/>
    </w:rPr>
  </w:style>
  <w:style w:type="character" w:customStyle="1" w:styleId="FontStyle16">
    <w:name w:val="Font Style16"/>
    <w:uiPriority w:val="99"/>
    <w:rsid w:val="00FA469C"/>
    <w:rPr>
      <w:rFonts w:ascii="Calibri" w:hAnsi="Calibri" w:cs="Calibri"/>
      <w:i/>
      <w:iCs/>
      <w:sz w:val="22"/>
      <w:szCs w:val="22"/>
    </w:rPr>
  </w:style>
  <w:style w:type="table" w:styleId="TableGrid">
    <w:name w:val="Table Grid"/>
    <w:basedOn w:val="TableNormal"/>
    <w:uiPriority w:val="39"/>
    <w:rsid w:val="0044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7961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lija.cudecka-pur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9F28-D417-4AAE-9869-438B6C6F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5861</Words>
  <Characters>3341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“Finanšu nodrošinājuma apmēra aprēķināšanas kārtība atkritumu apsaimniekošanas darbībām" sākotnējās ietekmes novērtējuma ziņojums (anotācija)</vt:lpstr>
    </vt:vector>
  </TitlesOfParts>
  <Company>VARAM</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“Finanšu nodrošinājuma apmēra aprēķināšanas kārtība atkritumu apsaimniekošanas darbībām" sākotnējās ietekmes novērtējuma ziņojums (anotācija)</dc:title>
  <dc:subject>Noteikumu projekta anotācija</dc:subject>
  <dc:creator>Undīne Šūba</dc:creator>
  <dc:description>67026461, natalija.cudecka-purina@varam.gov.lv</dc:description>
  <cp:lastModifiedBy>Tatjana Alekse</cp:lastModifiedBy>
  <cp:revision>4</cp:revision>
  <dcterms:created xsi:type="dcterms:W3CDTF">2018-06-13T12:46:00Z</dcterms:created>
  <dcterms:modified xsi:type="dcterms:W3CDTF">2018-06-14T08:59:00Z</dcterms:modified>
</cp:coreProperties>
</file>