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364C" w14:textId="6C0E2A19" w:rsidR="00EB1721" w:rsidRPr="00AF72FA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2FA">
        <w:rPr>
          <w:rFonts w:ascii="Times New Roman" w:hAnsi="Times New Roman" w:cs="Times New Roman"/>
          <w:sz w:val="28"/>
          <w:szCs w:val="28"/>
        </w:rPr>
        <w:t>1.</w:t>
      </w:r>
      <w:r w:rsidR="00023C9C">
        <w:rPr>
          <w:rFonts w:ascii="Times New Roman" w:hAnsi="Times New Roman" w:cs="Times New Roman"/>
          <w:sz w:val="28"/>
          <w:szCs w:val="28"/>
        </w:rPr>
        <w:t> </w:t>
      </w:r>
      <w:r w:rsidRPr="00AF72FA">
        <w:rPr>
          <w:rFonts w:ascii="Times New Roman" w:hAnsi="Times New Roman" w:cs="Times New Roman"/>
          <w:sz w:val="28"/>
          <w:szCs w:val="28"/>
        </w:rPr>
        <w:t>pielikums</w:t>
      </w:r>
    </w:p>
    <w:p w14:paraId="7429D0CE" w14:textId="77777777" w:rsidR="00EB1721" w:rsidRPr="00AF72FA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33C6ED1" w14:textId="77777777" w:rsidR="00EB1721" w:rsidRPr="00AF72FA" w:rsidRDefault="00EB1721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2018.</w:t>
      </w:r>
      <w:r w:rsidR="00BB4489">
        <w:rPr>
          <w:rFonts w:ascii="Times New Roman" w:hAnsi="Times New Roman" w:cs="Times New Roman"/>
          <w:sz w:val="28"/>
          <w:szCs w:val="28"/>
        </w:rPr>
        <w:t> </w:t>
      </w:r>
      <w:r w:rsidRPr="00AF72FA">
        <w:rPr>
          <w:rFonts w:ascii="Times New Roman" w:hAnsi="Times New Roman" w:cs="Times New Roman"/>
          <w:sz w:val="28"/>
          <w:szCs w:val="28"/>
        </w:rPr>
        <w:t>gada......</w:t>
      </w:r>
    </w:p>
    <w:p w14:paraId="407404B1" w14:textId="374C9817" w:rsidR="00EB1721" w:rsidRPr="00AF72FA" w:rsidRDefault="00BB4489" w:rsidP="00EB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B1721" w:rsidRPr="00AF72FA">
        <w:rPr>
          <w:rFonts w:ascii="Times New Roman" w:hAnsi="Times New Roman" w:cs="Times New Roman"/>
          <w:sz w:val="28"/>
          <w:szCs w:val="28"/>
        </w:rPr>
        <w:t>oteikumiem Nr.....</w:t>
      </w:r>
    </w:p>
    <w:p w14:paraId="3DE4E00E" w14:textId="46AA4407" w:rsidR="00EB1721" w:rsidRPr="00B45A62" w:rsidRDefault="00EB1721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45D32" w14:textId="76A497D0" w:rsidR="00EB1721" w:rsidRDefault="00D24A8F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Koksnes šķeldai</w:t>
      </w:r>
      <w:r w:rsidRPr="00B45A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piemērojamie</w:t>
      </w:r>
      <w:r w:rsidRPr="00B45A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B1721" w:rsidRPr="00B45A62">
        <w:rPr>
          <w:rFonts w:ascii="Times New Roman" w:hAnsi="Times New Roman" w:cs="Times New Roman"/>
          <w:b/>
          <w:sz w:val="28"/>
          <w:szCs w:val="28"/>
        </w:rPr>
        <w:t xml:space="preserve">tkritumu </w:t>
      </w:r>
      <w:r w:rsidR="00C05050">
        <w:rPr>
          <w:rFonts w:ascii="Times New Roman" w:hAnsi="Times New Roman" w:cs="Times New Roman"/>
          <w:b/>
          <w:sz w:val="28"/>
          <w:szCs w:val="28"/>
        </w:rPr>
        <w:t>statusa</w:t>
      </w:r>
      <w:r w:rsidR="00EB1721" w:rsidRPr="00B45A62">
        <w:rPr>
          <w:rFonts w:ascii="Times New Roman" w:hAnsi="Times New Roman" w:cs="Times New Roman"/>
          <w:b/>
          <w:sz w:val="28"/>
          <w:szCs w:val="28"/>
        </w:rPr>
        <w:t xml:space="preserve"> izbeigšana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2D0C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kritēriji </w:t>
      </w:r>
    </w:p>
    <w:p w14:paraId="692595E7" w14:textId="77777777" w:rsidR="000D70E5" w:rsidRPr="00B45A62" w:rsidRDefault="000D70E5" w:rsidP="00967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EB1721" w:rsidRPr="002632C2" w14:paraId="4269EE02" w14:textId="77777777" w:rsidTr="001225E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EE0D" w14:textId="6DDD65A1" w:rsidR="00EB1721" w:rsidRPr="0096718E" w:rsidRDefault="00EB1721" w:rsidP="00B45A62">
            <w:pPr>
              <w:pStyle w:val="ListParagraph"/>
              <w:spacing w:before="60" w:after="60"/>
              <w:ind w:left="36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18E">
              <w:rPr>
                <w:rFonts w:ascii="Times New Roman" w:hAnsi="Times New Roman"/>
                <w:b/>
                <w:sz w:val="28"/>
                <w:szCs w:val="28"/>
              </w:rPr>
              <w:t>Kritēriji</w:t>
            </w:r>
            <w:r w:rsidR="00D97986" w:rsidRPr="0096718E">
              <w:rPr>
                <w:rFonts w:ascii="Times New Roman" w:hAnsi="Times New Roman"/>
                <w:b/>
                <w:sz w:val="28"/>
                <w:szCs w:val="28"/>
              </w:rPr>
              <w:t xml:space="preserve"> atkritumu statusa piemērošanas izbeigšanai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4CFB" w14:textId="77777777" w:rsidR="00EB1721" w:rsidRPr="0096718E" w:rsidRDefault="00EB1721" w:rsidP="00B45A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8E">
              <w:rPr>
                <w:rFonts w:ascii="Times New Roman" w:hAnsi="Times New Roman" w:cs="Times New Roman"/>
                <w:b/>
                <w:sz w:val="28"/>
                <w:szCs w:val="28"/>
              </w:rPr>
              <w:t>Paškontroles kritēriji</w:t>
            </w:r>
          </w:p>
        </w:tc>
      </w:tr>
      <w:tr w:rsidR="00EB1721" w:rsidRPr="002632C2" w14:paraId="133C4195" w14:textId="77777777" w:rsidTr="001225E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C62" w14:textId="2E811989" w:rsidR="00D24A8F" w:rsidRPr="001B7FE7" w:rsidRDefault="00D24A8F" w:rsidP="001225ED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71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Prasības </w:t>
            </w:r>
            <w:r w:rsidR="0060243A" w:rsidRPr="009671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koksnes iepakojuma </w:t>
            </w:r>
            <w:r w:rsidRPr="009671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atkritumiem, kas tiek izmantoti koksnes </w:t>
            </w:r>
            <w:r w:rsidRPr="001B7FE7">
              <w:rPr>
                <w:rFonts w:ascii="Times New Roman" w:hAnsi="Times New Roman"/>
                <w:sz w:val="28"/>
                <w:szCs w:val="28"/>
                <w:u w:val="single"/>
              </w:rPr>
              <w:t>šķeldas iegū</w:t>
            </w:r>
            <w:r w:rsidR="004B0AE2" w:rsidRPr="001B7FE7">
              <w:rPr>
                <w:rFonts w:ascii="Times New Roman" w:hAnsi="Times New Roman"/>
                <w:sz w:val="28"/>
                <w:szCs w:val="28"/>
                <w:u w:val="single"/>
              </w:rPr>
              <w:t>šanai</w:t>
            </w:r>
          </w:p>
          <w:p w14:paraId="08D7CF0A" w14:textId="43F88A28" w:rsidR="00D24A8F" w:rsidRPr="001B7FE7" w:rsidRDefault="00E700C6" w:rsidP="00EB6F61">
            <w:pPr>
              <w:pStyle w:val="BodyTextIndent"/>
              <w:spacing w:line="276" w:lineRule="auto"/>
              <w:ind w:left="241"/>
              <w:rPr>
                <w:iCs w:val="0"/>
                <w:sz w:val="28"/>
                <w:szCs w:val="28"/>
                <w:lang w:val="lv-LV"/>
              </w:rPr>
            </w:pPr>
            <w:r w:rsidRPr="001B7FE7">
              <w:rPr>
                <w:iCs w:val="0"/>
                <w:sz w:val="28"/>
                <w:szCs w:val="28"/>
                <w:lang w:val="lv-LV"/>
              </w:rPr>
              <w:t>Kā izej</w:t>
            </w:r>
            <w:r w:rsidR="001B7FE7" w:rsidRPr="001B7FE7">
              <w:rPr>
                <w:iCs w:val="0"/>
                <w:sz w:val="28"/>
                <w:szCs w:val="28"/>
                <w:lang w:val="lv-LV"/>
              </w:rPr>
              <w:t>viela tiek izmantoti vienīgi tie</w:t>
            </w:r>
            <w:r w:rsidRPr="001B7FE7">
              <w:rPr>
                <w:iCs w:val="0"/>
                <w:sz w:val="28"/>
                <w:szCs w:val="28"/>
                <w:lang w:val="lv-LV"/>
              </w:rPr>
              <w:t xml:space="preserve"> koksnes iepakojuma atkritumi, kam ir šādi kodi atbilstoši</w:t>
            </w:r>
            <w:r w:rsidR="001B7FE7" w:rsidRPr="001B7FE7">
              <w:rPr>
                <w:iCs w:val="0"/>
                <w:sz w:val="28"/>
                <w:szCs w:val="28"/>
                <w:lang w:val="lv-LV"/>
              </w:rPr>
              <w:t xml:space="preserve"> ministru kabineta 2011. </w:t>
            </w:r>
            <w:r w:rsidR="00886520" w:rsidRPr="001B7FE7">
              <w:rPr>
                <w:iCs w:val="0"/>
                <w:sz w:val="28"/>
                <w:szCs w:val="28"/>
                <w:lang w:val="lv-LV"/>
              </w:rPr>
              <w:t>gada</w:t>
            </w:r>
            <w:r w:rsidR="00886520">
              <w:rPr>
                <w:iCs w:val="0"/>
                <w:sz w:val="28"/>
                <w:szCs w:val="28"/>
                <w:lang w:val="lv-LV"/>
              </w:rPr>
              <w:t xml:space="preserve"> </w:t>
            </w:r>
            <w:r w:rsidR="001B7FE7" w:rsidRPr="001B7FE7">
              <w:rPr>
                <w:iCs w:val="0"/>
                <w:sz w:val="28"/>
                <w:szCs w:val="28"/>
                <w:lang w:val="lv-LV"/>
              </w:rPr>
              <w:t>19. aprīļa noteikumiem Nr. 302 “Noteikumi par atkritumu klasifikatoru un īpašībām, kuras padara atkritumus bīstamus”:</w:t>
            </w:r>
          </w:p>
          <w:p w14:paraId="2AB251DF" w14:textId="2A5A1FBD" w:rsidR="00D24A8F" w:rsidRPr="001B7FE7" w:rsidRDefault="001B7FE7" w:rsidP="001225ED">
            <w:pPr>
              <w:pStyle w:val="BodyTextIndent"/>
              <w:numPr>
                <w:ilvl w:val="1"/>
                <w:numId w:val="6"/>
              </w:numPr>
              <w:spacing w:before="240" w:line="276" w:lineRule="auto"/>
              <w:ind w:left="1027"/>
              <w:rPr>
                <w:iCs w:val="0"/>
                <w:sz w:val="28"/>
                <w:szCs w:val="28"/>
                <w:lang w:val="lv-LV"/>
              </w:rPr>
            </w:pPr>
            <w:r w:rsidRPr="001B7FE7">
              <w:rPr>
                <w:iCs w:val="0"/>
                <w:sz w:val="28"/>
                <w:szCs w:val="28"/>
                <w:lang w:val="lv-LV"/>
              </w:rPr>
              <w:t>15 01 03 “Koka</w:t>
            </w:r>
            <w:r w:rsidR="00D24A8F" w:rsidRPr="001B7FE7">
              <w:rPr>
                <w:iCs w:val="0"/>
                <w:sz w:val="28"/>
                <w:szCs w:val="28"/>
                <w:lang w:val="lv-LV"/>
              </w:rPr>
              <w:t xml:space="preserve"> iepakojums”;</w:t>
            </w:r>
          </w:p>
          <w:p w14:paraId="15FB9275" w14:textId="396F2965" w:rsidR="00D24A8F" w:rsidRPr="001B7FE7" w:rsidRDefault="001B7FE7" w:rsidP="001225ED">
            <w:pPr>
              <w:pStyle w:val="BodyTextIndent"/>
              <w:numPr>
                <w:ilvl w:val="1"/>
                <w:numId w:val="6"/>
              </w:numPr>
              <w:spacing w:line="276" w:lineRule="auto"/>
              <w:ind w:left="1027"/>
              <w:rPr>
                <w:iCs w:val="0"/>
                <w:sz w:val="28"/>
                <w:szCs w:val="28"/>
                <w:lang w:val="lv-LV"/>
              </w:rPr>
            </w:pPr>
            <w:r w:rsidRPr="001B7FE7">
              <w:rPr>
                <w:iCs w:val="0"/>
                <w:sz w:val="28"/>
                <w:szCs w:val="28"/>
                <w:lang w:val="lv-LV"/>
              </w:rPr>
              <w:t>20 01 </w:t>
            </w:r>
            <w:r w:rsidR="00D24A8F" w:rsidRPr="001B7FE7">
              <w:rPr>
                <w:iCs w:val="0"/>
                <w:sz w:val="28"/>
                <w:szCs w:val="28"/>
                <w:lang w:val="lv-LV"/>
              </w:rPr>
              <w:t>38 “</w:t>
            </w:r>
            <w:r w:rsidRPr="001B7FE7">
              <w:rPr>
                <w:iCs w:val="0"/>
                <w:sz w:val="28"/>
                <w:szCs w:val="28"/>
                <w:lang w:val="lv-LV"/>
              </w:rPr>
              <w:t>Koksne, kas neatbilst 20 01 37 klasei</w:t>
            </w:r>
            <w:r w:rsidR="00D24A8F" w:rsidRPr="001B7FE7">
              <w:rPr>
                <w:iCs w:val="0"/>
                <w:sz w:val="28"/>
                <w:szCs w:val="28"/>
                <w:lang w:val="lv-LV"/>
              </w:rPr>
              <w:t>”;</w:t>
            </w:r>
          </w:p>
          <w:p w14:paraId="2FE3BE41" w14:textId="1B5160E4" w:rsidR="00EB1721" w:rsidRPr="00EB6F61" w:rsidRDefault="001B7FE7" w:rsidP="00EB6F61">
            <w:pPr>
              <w:pStyle w:val="BodyTextIndent"/>
              <w:numPr>
                <w:ilvl w:val="1"/>
                <w:numId w:val="6"/>
              </w:numPr>
              <w:spacing w:line="276" w:lineRule="auto"/>
              <w:ind w:left="1027"/>
              <w:rPr>
                <w:iCs w:val="0"/>
                <w:sz w:val="28"/>
                <w:szCs w:val="28"/>
                <w:lang w:val="lv-LV"/>
              </w:rPr>
            </w:pPr>
            <w:r w:rsidRPr="001B7FE7">
              <w:rPr>
                <w:iCs w:val="0"/>
                <w:sz w:val="28"/>
                <w:szCs w:val="28"/>
                <w:lang w:val="lv-LV"/>
              </w:rPr>
              <w:t>19 12 </w:t>
            </w:r>
            <w:r w:rsidR="00D24A8F" w:rsidRPr="001B7FE7">
              <w:rPr>
                <w:iCs w:val="0"/>
                <w:sz w:val="28"/>
                <w:szCs w:val="28"/>
                <w:lang w:val="lv-LV"/>
              </w:rPr>
              <w:t>07 “</w:t>
            </w:r>
            <w:r w:rsidRPr="001B7FE7">
              <w:rPr>
                <w:iCs w:val="0"/>
                <w:sz w:val="28"/>
                <w:szCs w:val="28"/>
                <w:lang w:val="lv-LV"/>
              </w:rPr>
              <w:t>Koksne, kas neatbilst 19 12 06 klasei”</w:t>
            </w:r>
            <w:r w:rsidR="004B0AE2" w:rsidRPr="001B7FE7">
              <w:rPr>
                <w:iCs w:val="0"/>
                <w:sz w:val="28"/>
                <w:szCs w:val="28"/>
                <w:lang w:val="lv-LV"/>
              </w:rPr>
              <w:t>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525B" w14:textId="712ADB31" w:rsidR="001225ED" w:rsidRPr="002632C2" w:rsidRDefault="001225ED" w:rsidP="000D70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721" w:rsidRPr="002632C2" w14:paraId="7F6A02E1" w14:textId="77777777" w:rsidTr="001225E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3C5F" w14:textId="77777777" w:rsidR="00513AF3" w:rsidRPr="0096718E" w:rsidRDefault="00513AF3" w:rsidP="000D70E5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718E">
              <w:rPr>
                <w:rFonts w:ascii="Times New Roman" w:hAnsi="Times New Roman"/>
                <w:sz w:val="28"/>
                <w:szCs w:val="28"/>
                <w:u w:val="single"/>
              </w:rPr>
              <w:t>Prasības koksnes iepakojuma atkritumu mehāniskajam pārstrādes procesam</w:t>
            </w:r>
          </w:p>
          <w:p w14:paraId="5454F3A9" w14:textId="1FD5BB58" w:rsidR="00513AF3" w:rsidRDefault="00513AF3" w:rsidP="000D70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Koksnes iepakojuma atkritumu mehāniska pārstrāde tiek veikta, </w:t>
            </w:r>
            <w:r w:rsidRPr="001463FD">
              <w:rPr>
                <w:rFonts w:ascii="Times New Roman" w:hAnsi="Times New Roman"/>
                <w:sz w:val="28"/>
                <w:szCs w:val="28"/>
              </w:rPr>
              <w:t>lai sagatavoto šķeldu varētu izmantot kā biomasas kurināmo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260FB3" w14:textId="1D627412" w:rsidR="00EB1721" w:rsidRPr="001B7FE7" w:rsidRDefault="00513AF3" w:rsidP="001B7FE7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Koksnes iepakojuma atkritumu</w:t>
            </w:r>
            <w:r w:rsidRPr="0060243A">
              <w:rPr>
                <w:rFonts w:ascii="Times New Roman" w:hAnsi="Times New Roman"/>
                <w:sz w:val="28"/>
                <w:szCs w:val="28"/>
              </w:rPr>
              <w:t xml:space="preserve"> izkraušana notiek atsevišķā izkraušanas zonā, kas nav uzglabāšanas zona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040E">
              <w:rPr>
                <w:rFonts w:ascii="Times New Roman" w:hAnsi="Times New Roman"/>
                <w:sz w:val="28"/>
                <w:szCs w:val="28"/>
              </w:rPr>
              <w:t xml:space="preserve"> ierīkojot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atsevišķu</w:t>
            </w:r>
            <w:r w:rsidRPr="00A2040E">
              <w:rPr>
                <w:rFonts w:ascii="Times New Roman" w:hAnsi="Times New Roman"/>
                <w:sz w:val="28"/>
                <w:szCs w:val="28"/>
              </w:rPr>
              <w:t xml:space="preserve"> izkraušanas zonu koksnes iepakojuma atkritumiem, kas atzīti par neatbilstošiem I sadaļā minētajiem nosacījumiem.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89BF" w14:textId="32840A9F" w:rsidR="00EB1721" w:rsidRPr="002632C2" w:rsidRDefault="001B7FE7" w:rsidP="001B7F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Tādas koksnes šķeldu partijas, </w:t>
            </w:r>
            <w:r w:rsidRPr="004B0AE2">
              <w:rPr>
                <w:rFonts w:ascii="Times New Roman" w:hAnsi="Times New Roman"/>
                <w:sz w:val="28"/>
                <w:szCs w:val="28"/>
              </w:rPr>
              <w:t xml:space="preserve">kas satur III sadaļā minētajiem nosacījumiem neatbilstošas šķeldas, pārstrādes veicējs nogādā uz </w:t>
            </w:r>
            <w:r>
              <w:rPr>
                <w:rFonts w:ascii="Times New Roman" w:hAnsi="Times New Roman"/>
                <w:sz w:val="28"/>
                <w:szCs w:val="28"/>
              </w:rPr>
              <w:t>attiecīgām</w:t>
            </w:r>
            <w:r w:rsidRPr="004B0AE2">
              <w:rPr>
                <w:rFonts w:ascii="Times New Roman" w:hAnsi="Times New Roman"/>
                <w:sz w:val="28"/>
                <w:szCs w:val="28"/>
              </w:rPr>
              <w:t xml:space="preserve"> pārstrādes vietām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2E78" w:rsidRPr="002632C2" w14:paraId="39F1E40B" w14:textId="77777777" w:rsidTr="003F2E78">
        <w:trPr>
          <w:trHeight w:val="835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9929" w14:textId="718DFE96" w:rsidR="003F2E78" w:rsidRPr="0096718E" w:rsidRDefault="003F2E78" w:rsidP="001225ED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718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lastRenderedPageBreak/>
              <w:t>No koksnes iepakojuma mehāniskas pārstrādes ceļā iegūtas šķeldas kvalitātes prasības</w:t>
            </w:r>
          </w:p>
          <w:p w14:paraId="21097F94" w14:textId="54F8D58E" w:rsidR="003F2E78" w:rsidRDefault="003F2E78" w:rsidP="001225ED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Šķelda nesatur svešķermeņus cilvēka acij saredzamā lielumā. Svešķermeņi ir:</w:t>
            </w:r>
          </w:p>
          <w:p w14:paraId="047027C3" w14:textId="77777777" w:rsidR="003F2E78" w:rsidRDefault="003F2E78" w:rsidP="001225ED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melnais un krāsainais metāls;</w:t>
            </w:r>
          </w:p>
          <w:p w14:paraId="5DB212E5" w14:textId="77777777" w:rsidR="003F2E78" w:rsidRDefault="003F2E78" w:rsidP="001225ED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zeme, stikls, akmeņi;</w:t>
            </w:r>
          </w:p>
          <w:p w14:paraId="138BB7BB" w14:textId="77777777" w:rsidR="003F2E78" w:rsidRDefault="003F2E78" w:rsidP="001225ED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eļļas, eļļas emulsijas, smērvielas, taukvielas;</w:t>
            </w:r>
          </w:p>
          <w:p w14:paraId="721440EB" w14:textId="77777777" w:rsidR="003F2E78" w:rsidRDefault="003F2E78" w:rsidP="001225ED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polivinilhlorīds (PVC) jebkādā formā.</w:t>
            </w:r>
          </w:p>
          <w:p w14:paraId="1024C5D4" w14:textId="77777777" w:rsidR="003F2E78" w:rsidRDefault="003F2E78" w:rsidP="001225ED">
            <w:pPr>
              <w:pStyle w:val="ListParagraph"/>
              <w:numPr>
                <w:ilvl w:val="1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Koksnes šķeldās netiek pārsniegts neviens no sekojošu elementu robežlielumiem: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006"/>
            </w:tblGrid>
            <w:tr w:rsidR="003F2E78" w:rsidRPr="00DB4230" w14:paraId="3CF35C58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67C95D26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Elements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33075FCF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Maksimālā robežvērtība</w:t>
                  </w:r>
                  <w:r w:rsidRPr="009051B4">
                    <w:rPr>
                      <w:lang w:val="lv-LV"/>
                    </w:rPr>
                    <w:br/>
                    <w:t>(mg/kg sausnas)</w:t>
                  </w:r>
                </w:p>
              </w:tc>
            </w:tr>
            <w:tr w:rsidR="003F2E78" w:rsidRPr="00DB4230" w14:paraId="771C2662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5F2A7522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Dzīvsudrabs, Hg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7ADC7908" w14:textId="0568F908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0,2</w:t>
                  </w:r>
                </w:p>
              </w:tc>
            </w:tr>
            <w:tr w:rsidR="003F2E78" w:rsidRPr="00DB4230" w14:paraId="3C4B8F5B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0DF96ED2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Arsēns, As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351D3373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4</w:t>
                  </w:r>
                </w:p>
              </w:tc>
            </w:tr>
            <w:tr w:rsidR="003F2E78" w:rsidRPr="00DB4230" w14:paraId="4C7946CC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39C761F6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Kadmijs, Cd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3105F448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5</w:t>
                  </w:r>
                </w:p>
              </w:tc>
            </w:tr>
            <w:tr w:rsidR="003F2E78" w:rsidRPr="00DB4230" w14:paraId="2B32D857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639DD560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Hroms, Cr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390FB8D7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30</w:t>
                  </w:r>
                </w:p>
              </w:tc>
            </w:tr>
            <w:tr w:rsidR="003F2E78" w:rsidRPr="00DB4230" w14:paraId="18593DAE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58A238FA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Varš, Cu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6270B193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30</w:t>
                  </w:r>
                </w:p>
              </w:tc>
            </w:tr>
            <w:tr w:rsidR="003F2E78" w:rsidRPr="00DB4230" w14:paraId="288E1C95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329FF78E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Svins, Pb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3DE8D708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50</w:t>
                  </w:r>
                </w:p>
              </w:tc>
            </w:tr>
            <w:tr w:rsidR="003F2E78" w:rsidRPr="00DB4230" w14:paraId="7B038C1D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6EEB4F53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Cinks, Zn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544F2321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200</w:t>
                  </w:r>
                </w:p>
              </w:tc>
            </w:tr>
            <w:tr w:rsidR="003F2E78" w:rsidRPr="00DB4230" w14:paraId="592D02A0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522340A6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Hlors, Cl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2D7413EC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900</w:t>
                  </w:r>
                </w:p>
              </w:tc>
            </w:tr>
            <w:tr w:rsidR="003F2E78" w:rsidRPr="00DB4230" w14:paraId="1CE9D0D8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2ECA8F50" w14:textId="77777777" w:rsidR="003F2E78" w:rsidRPr="009051B4" w:rsidRDefault="003F2E78" w:rsidP="001225ED">
                  <w:pPr>
                    <w:pStyle w:val="Contenudetableau"/>
                    <w:pBdr>
                      <w:bottom w:val="single" w:sz="6" w:space="0" w:color="A2A9B1"/>
                    </w:pBdr>
                    <w:rPr>
                      <w:color w:val="000000"/>
                      <w:lang w:val="lv-LV"/>
                    </w:rPr>
                  </w:pPr>
                  <w:r w:rsidRPr="009051B4">
                    <w:rPr>
                      <w:lang w:val="lv-LV"/>
                    </w:rPr>
                    <w:t>PCP (</w:t>
                  </w:r>
                  <w:r w:rsidRPr="00886520">
                    <w:rPr>
                      <w:lang w:val="lv-LV"/>
                    </w:rPr>
                    <w:t>Pentahlorfenols</w:t>
                  </w:r>
                  <w:r w:rsidRPr="009051B4">
                    <w:rPr>
                      <w:lang w:val="lv-LV"/>
                    </w:rPr>
                    <w:t>)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2BE8CC13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3</w:t>
                  </w:r>
                </w:p>
              </w:tc>
            </w:tr>
            <w:tr w:rsidR="003F2E78" w:rsidRPr="00DB4230" w14:paraId="0DBC1826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50FD9D13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PCB</w:t>
                  </w:r>
                </w:p>
                <w:p w14:paraId="2C7FBAFE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(Polihlorbifenils)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14:paraId="3B357AFD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2</w:t>
                  </w:r>
                </w:p>
              </w:tc>
            </w:tr>
            <w:tr w:rsidR="003F2E78" w:rsidRPr="00DB4230" w14:paraId="62A1AED6" w14:textId="77777777" w:rsidTr="00823AD8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03F7344A" w14:textId="77777777" w:rsidR="003F2E78" w:rsidRPr="009051B4" w:rsidRDefault="003F2E78" w:rsidP="001225ED">
                  <w:pPr>
                    <w:pStyle w:val="Contenudetableau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Slāpeklis (N)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14:paraId="3D9D9D20" w14:textId="77777777" w:rsidR="003F2E78" w:rsidRPr="009051B4" w:rsidRDefault="003F2E78" w:rsidP="001225ED">
                  <w:pPr>
                    <w:pStyle w:val="Contenudetableau"/>
                    <w:jc w:val="center"/>
                    <w:rPr>
                      <w:lang w:val="lv-LV"/>
                    </w:rPr>
                  </w:pPr>
                  <w:r w:rsidRPr="009051B4">
                    <w:rPr>
                      <w:lang w:val="lv-LV"/>
                    </w:rPr>
                    <w:t>Maksimālais pieļaujamais daudzums — 1,5 % no sausnas</w:t>
                  </w:r>
                </w:p>
              </w:tc>
            </w:tr>
          </w:tbl>
          <w:p w14:paraId="3333C0FF" w14:textId="36E4F216" w:rsidR="003F2E78" w:rsidRPr="001225ED" w:rsidRDefault="003F2E78" w:rsidP="001225ED">
            <w:pPr>
              <w:pStyle w:val="ListParagraph"/>
              <w:spacing w:before="60" w:after="60" w:line="276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574D" w14:textId="3AE51F1A" w:rsidR="003F2E78" w:rsidRDefault="003F2E78" w:rsidP="001225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 pārliecinātos par šķeldas atbilstību III sadaļas prasībām, tiek veiktas šķeldas pa</w:t>
            </w:r>
            <w:r w:rsidR="00856E18">
              <w:rPr>
                <w:rFonts w:ascii="Times New Roman" w:hAnsi="Times New Roman" w:cs="Times New Roman"/>
                <w:sz w:val="28"/>
                <w:szCs w:val="28"/>
              </w:rPr>
              <w:t>raugu analīzes, līdz iegūti divu secīgu partiju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analīžu rezultāti, kas apliecina koksnes šķ</w:t>
            </w:r>
            <w:r w:rsidR="0096718E">
              <w:rPr>
                <w:rFonts w:ascii="Times New Roman" w:hAnsi="Times New Roman" w:cs="Times New Roman"/>
                <w:sz w:val="28"/>
                <w:szCs w:val="28"/>
              </w:rPr>
              <w:t>eldas atbilstību III sadaļas 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 2. punkta prasībām.</w:t>
            </w:r>
          </w:p>
          <w:p w14:paraId="1DF89DFF" w14:textId="77777777" w:rsidR="003F2E78" w:rsidRDefault="003F2E78" w:rsidP="0096718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Šķeldai tiek veiktas arī plānveida analīzes, lai pārliecinātos par </w:t>
            </w:r>
            <w:r w:rsidR="00856E18">
              <w:rPr>
                <w:rFonts w:ascii="Times New Roman" w:hAnsi="Times New Roman" w:cs="Times New Roman"/>
                <w:sz w:val="28"/>
                <w:szCs w:val="28"/>
              </w:rPr>
              <w:t>tās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atbilstību III sadaļas prasībām. Tās tiek veiktas vismaz vienu reizi pusgadā un šo analīžu veikšanas plāns ir ietverts kvalitātes pārvaldības sistēmā.</w:t>
            </w:r>
          </w:p>
          <w:p w14:paraId="637FD3EC" w14:textId="50149834" w:rsidR="00C71D88" w:rsidRPr="002632C2" w:rsidRDefault="00C71D88" w:rsidP="000346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Šķeldas analīzes veic </w:t>
            </w:r>
            <w:r w:rsidR="0003469C">
              <w:rPr>
                <w:rFonts w:ascii="Times New Roman" w:hAnsi="Times New Roman" w:cs="Times New Roman"/>
                <w:sz w:val="28"/>
                <w:szCs w:val="28"/>
              </w:rPr>
              <w:t>akreditētā laboratorijā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E78" w:rsidRPr="002632C2" w14:paraId="4C6D3759" w14:textId="77777777" w:rsidTr="00DA42AD">
        <w:trPr>
          <w:trHeight w:val="977"/>
        </w:trPr>
        <w:tc>
          <w:tcPr>
            <w:tcW w:w="2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F961" w14:textId="77777777" w:rsidR="003F2E78" w:rsidRPr="004B0AE2" w:rsidRDefault="003F2E78" w:rsidP="001225ED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ind w:left="74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696" w14:textId="77777777" w:rsidR="003F2E78" w:rsidRPr="00856E18" w:rsidRDefault="003F2E78" w:rsidP="001225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Paškontroles kritēriji, kas attiecas uz Latvijas teritorijā ievestu šķeldu</w:t>
            </w:r>
          </w:p>
          <w:p w14:paraId="412F4FAE" w14:textId="42EB9547" w:rsidR="00856E18" w:rsidRDefault="00856E18" w:rsidP="00856E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 pārliecinātos par šķeldas atbilstību III sadaļas prasībām, tiek veiktas šķeldas paraugu analīzes, līdz iegūti divu secīgu partiju analīžu rezultāti, kas apliecina šķeldas atbilstību III sadaļas prasībām.</w:t>
            </w:r>
          </w:p>
          <w:p w14:paraId="0BED3BDE" w14:textId="30D902C3" w:rsidR="00856E18" w:rsidRDefault="00856E18" w:rsidP="0096718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Šķeldai tiek veiktas arī plānveida analīzes, lai pārliecinātos par smago metālu un </w:t>
            </w:r>
            <w:r w:rsidR="00DA42AD">
              <w:rPr>
                <w:rFonts w:ascii="Times New Roman" w:hAnsi="Times New Roman" w:cs="Times New Roman"/>
                <w:sz w:val="28"/>
                <w:szCs w:val="28"/>
              </w:rPr>
              <w:t>halogēnorganisku</w:t>
            </w:r>
            <w:r w:rsidR="00DA42AD" w:rsidRPr="00F57DE0">
              <w:rPr>
                <w:rFonts w:ascii="Times New Roman" w:hAnsi="Times New Roman" w:cs="Times New Roman"/>
                <w:sz w:val="28"/>
                <w:szCs w:val="28"/>
              </w:rPr>
              <w:t xml:space="preserve"> savienojumu </w:t>
            </w:r>
            <w:r w:rsidR="00DA42AD">
              <w:rPr>
                <w:rFonts w:ascii="Times New Roman" w:hAnsi="Times New Roman" w:cs="Times New Roman"/>
                <w:sz w:val="28"/>
                <w:szCs w:val="28"/>
              </w:rPr>
              <w:t>neesamību, kā arī šķeldas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atbilstību III sadaļas prasībām. Tās tiek veiktas vismaz vienu reizi pusgadā un šo analīžu veikšanas plāns ir ietverts kvalitātes pārvaldības sistēmā.</w:t>
            </w:r>
          </w:p>
          <w:p w14:paraId="65D8E244" w14:textId="1469E190" w:rsidR="00C71D88" w:rsidRDefault="00C71D88" w:rsidP="000346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Šķeldas analīzes veic </w:t>
            </w:r>
            <w:r w:rsidR="0003469C">
              <w:rPr>
                <w:rFonts w:ascii="Times New Roman" w:hAnsi="Times New Roman" w:cs="Times New Roman"/>
                <w:sz w:val="28"/>
                <w:szCs w:val="28"/>
              </w:rPr>
              <w:t>akreditētā laboratorijā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2E072A8" w14:textId="77777777" w:rsidR="000D6C3A" w:rsidRDefault="000D6C3A"/>
    <w:p w14:paraId="735C94A0" w14:textId="77777777" w:rsidR="00EB1721" w:rsidRDefault="00EB1721"/>
    <w:p w14:paraId="41BEBEA1" w14:textId="77777777" w:rsidR="00EB1721" w:rsidRPr="008663B9" w:rsidRDefault="00EB1721" w:rsidP="0096718E">
      <w:pPr>
        <w:pStyle w:val="naisf"/>
        <w:spacing w:before="0" w:after="0"/>
        <w:ind w:left="-426"/>
        <w:rPr>
          <w:sz w:val="28"/>
          <w:szCs w:val="28"/>
        </w:rPr>
      </w:pPr>
      <w:r w:rsidRPr="008663B9">
        <w:rPr>
          <w:sz w:val="28"/>
          <w:szCs w:val="28"/>
        </w:rPr>
        <w:t>Vides aizsardzības un</w:t>
      </w:r>
    </w:p>
    <w:p w14:paraId="7DF12AF4" w14:textId="040981C9" w:rsidR="00EB1721" w:rsidRDefault="00EB1721" w:rsidP="0096718E">
      <w:pPr>
        <w:pStyle w:val="naisf"/>
        <w:spacing w:before="0" w:after="0"/>
        <w:ind w:left="-426"/>
      </w:pPr>
      <w:r w:rsidRPr="008663B9">
        <w:rPr>
          <w:sz w:val="28"/>
          <w:szCs w:val="28"/>
        </w:rPr>
        <w:t>reģionālās attīstības ministrs                                       </w:t>
      </w:r>
      <w:r>
        <w:rPr>
          <w:sz w:val="28"/>
          <w:szCs w:val="28"/>
        </w:rPr>
        <w:t>     K</w:t>
      </w:r>
      <w:r w:rsidR="00045B51">
        <w:rPr>
          <w:sz w:val="28"/>
          <w:szCs w:val="28"/>
        </w:rPr>
        <w:t>aspars </w:t>
      </w:r>
      <w:r>
        <w:rPr>
          <w:sz w:val="28"/>
          <w:szCs w:val="28"/>
        </w:rPr>
        <w:t>Gerhards</w:t>
      </w:r>
    </w:p>
    <w:sectPr w:rsidR="00EB1721" w:rsidSect="00122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FA69" w14:textId="77777777" w:rsidR="00B26BA8" w:rsidRDefault="00B26BA8" w:rsidP="00BB4489">
      <w:pPr>
        <w:spacing w:after="0" w:line="240" w:lineRule="auto"/>
      </w:pPr>
      <w:r>
        <w:separator/>
      </w:r>
    </w:p>
  </w:endnote>
  <w:endnote w:type="continuationSeparator" w:id="0">
    <w:p w14:paraId="0168861A" w14:textId="77777777" w:rsidR="00B26BA8" w:rsidRDefault="00B26BA8" w:rsidP="00B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FE0BF" w14:textId="77777777" w:rsidR="00491216" w:rsidRDefault="00491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E19" w14:textId="6C5B0262" w:rsidR="00BB4489" w:rsidRPr="00906EE2" w:rsidRDefault="00997DE6">
    <w:pPr>
      <w:pStyle w:val="Footer"/>
      <w:rPr>
        <w:rFonts w:ascii="Times New Roman" w:hAnsi="Times New Roman" w:cs="Times New Roman"/>
        <w:sz w:val="20"/>
        <w:szCs w:val="20"/>
      </w:rPr>
    </w:pPr>
    <w:r w:rsidRPr="00906EE2">
      <w:rPr>
        <w:rFonts w:ascii="Times New Roman" w:hAnsi="Times New Roman" w:cs="Times New Roman"/>
        <w:sz w:val="20"/>
        <w:szCs w:val="20"/>
      </w:rPr>
      <w:t>VARAMNotp1_</w:t>
    </w:r>
    <w:r w:rsidR="00491216">
      <w:rPr>
        <w:rFonts w:ascii="Times New Roman" w:hAnsi="Times New Roman" w:cs="Times New Roman"/>
        <w:sz w:val="20"/>
        <w:szCs w:val="20"/>
      </w:rPr>
      <w:t>0307</w:t>
    </w:r>
    <w:r w:rsidR="002534B0" w:rsidRPr="00906EE2">
      <w:rPr>
        <w:rFonts w:ascii="Times New Roman" w:hAnsi="Times New Roman" w:cs="Times New Roman"/>
        <w:sz w:val="20"/>
        <w:szCs w:val="20"/>
      </w:rPr>
      <w:t>20</w:t>
    </w:r>
    <w:r w:rsidR="001225ED">
      <w:rPr>
        <w:rFonts w:ascii="Times New Roman" w:hAnsi="Times New Roman" w:cs="Times New Roman"/>
        <w:sz w:val="20"/>
        <w:szCs w:val="20"/>
      </w:rPr>
      <w:t>18</w:t>
    </w:r>
    <w:r w:rsidR="00950F81">
      <w:rPr>
        <w:rFonts w:ascii="Times New Roman" w:hAnsi="Times New Roman" w:cs="Times New Roman"/>
        <w:sz w:val="20"/>
        <w:szCs w:val="20"/>
      </w:rPr>
      <w:t>_EOW_skelda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10FB" w14:textId="63E71BE6" w:rsidR="00856012" w:rsidRPr="000D70E5" w:rsidRDefault="000D70E5" w:rsidP="000D70E5">
    <w:pPr>
      <w:pStyle w:val="Footer"/>
      <w:rPr>
        <w:rFonts w:ascii="Times New Roman" w:hAnsi="Times New Roman" w:cs="Times New Roman"/>
        <w:sz w:val="20"/>
        <w:szCs w:val="20"/>
      </w:rPr>
    </w:pPr>
    <w:r w:rsidRPr="00906EE2">
      <w:rPr>
        <w:rFonts w:ascii="Times New Roman" w:hAnsi="Times New Roman" w:cs="Times New Roman"/>
        <w:sz w:val="20"/>
        <w:szCs w:val="20"/>
      </w:rPr>
      <w:t>VARAMNotp1_</w:t>
    </w:r>
    <w:r w:rsidR="00491216">
      <w:rPr>
        <w:rFonts w:ascii="Times New Roman" w:hAnsi="Times New Roman" w:cs="Times New Roman"/>
        <w:sz w:val="20"/>
        <w:szCs w:val="20"/>
      </w:rPr>
      <w:t>0307</w:t>
    </w:r>
    <w:r w:rsidRPr="00906EE2">
      <w:rPr>
        <w:rFonts w:ascii="Times New Roman" w:hAnsi="Times New Roman" w:cs="Times New Roman"/>
        <w:sz w:val="20"/>
        <w:szCs w:val="20"/>
      </w:rPr>
      <w:t>20</w:t>
    </w:r>
    <w:r w:rsidR="00950F81">
      <w:rPr>
        <w:rFonts w:ascii="Times New Roman" w:hAnsi="Times New Roman" w:cs="Times New Roman"/>
        <w:sz w:val="20"/>
        <w:szCs w:val="20"/>
      </w:rPr>
      <w:t>18_EOW_skelda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71108" w14:textId="77777777" w:rsidR="00B26BA8" w:rsidRDefault="00B26BA8" w:rsidP="00BB4489">
      <w:pPr>
        <w:spacing w:after="0" w:line="240" w:lineRule="auto"/>
      </w:pPr>
      <w:r>
        <w:separator/>
      </w:r>
    </w:p>
  </w:footnote>
  <w:footnote w:type="continuationSeparator" w:id="0">
    <w:p w14:paraId="11DB622F" w14:textId="77777777" w:rsidR="00B26BA8" w:rsidRDefault="00B26BA8" w:rsidP="00BB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0640" w14:textId="77777777" w:rsidR="00491216" w:rsidRDefault="00491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85757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339ED" w14:textId="64DA0103" w:rsidR="00B81661" w:rsidRPr="00B81661" w:rsidRDefault="00B816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6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6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6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B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6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12F771" w14:textId="77777777" w:rsidR="00B81661" w:rsidRDefault="00B81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0B25" w14:textId="77777777" w:rsidR="00491216" w:rsidRDefault="00491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4"/>
    <w:multiLevelType w:val="multilevel"/>
    <w:tmpl w:val="ECBC8B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43D03"/>
    <w:multiLevelType w:val="multilevel"/>
    <w:tmpl w:val="CA0E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10324"/>
    <w:multiLevelType w:val="multilevel"/>
    <w:tmpl w:val="36269DD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ED1340"/>
    <w:multiLevelType w:val="multilevel"/>
    <w:tmpl w:val="929E494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492148"/>
    <w:multiLevelType w:val="multilevel"/>
    <w:tmpl w:val="CC6A7B2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7649BB"/>
    <w:multiLevelType w:val="multilevel"/>
    <w:tmpl w:val="9758B19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2A38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D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A4165"/>
    <w:multiLevelType w:val="hybridMultilevel"/>
    <w:tmpl w:val="EE70F2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708"/>
    <w:multiLevelType w:val="hybridMultilevel"/>
    <w:tmpl w:val="668C8082"/>
    <w:lvl w:ilvl="0" w:tplc="04FA4AFE">
      <w:numFmt w:val="bullet"/>
      <w:lvlText w:val="-"/>
      <w:lvlJc w:val="left"/>
      <w:pPr>
        <w:ind w:left="55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0" w15:restartNumberingAfterBreak="0">
    <w:nsid w:val="649E5727"/>
    <w:multiLevelType w:val="multilevel"/>
    <w:tmpl w:val="85744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E2F5B"/>
    <w:multiLevelType w:val="multilevel"/>
    <w:tmpl w:val="F3DA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21"/>
    <w:rsid w:val="00003ABB"/>
    <w:rsid w:val="00013F2C"/>
    <w:rsid w:val="00015DAB"/>
    <w:rsid w:val="00023C9C"/>
    <w:rsid w:val="000318B6"/>
    <w:rsid w:val="0003469C"/>
    <w:rsid w:val="00045B51"/>
    <w:rsid w:val="0005487F"/>
    <w:rsid w:val="00080AF7"/>
    <w:rsid w:val="00082B98"/>
    <w:rsid w:val="0008667E"/>
    <w:rsid w:val="000B7678"/>
    <w:rsid w:val="000C1455"/>
    <w:rsid w:val="000C4694"/>
    <w:rsid w:val="000C57CC"/>
    <w:rsid w:val="000C7A84"/>
    <w:rsid w:val="000D6C3A"/>
    <w:rsid w:val="000D70E5"/>
    <w:rsid w:val="000E66F2"/>
    <w:rsid w:val="000F3828"/>
    <w:rsid w:val="000F446A"/>
    <w:rsid w:val="00115A56"/>
    <w:rsid w:val="001225ED"/>
    <w:rsid w:val="0013258E"/>
    <w:rsid w:val="00133E44"/>
    <w:rsid w:val="001463FD"/>
    <w:rsid w:val="00151B5E"/>
    <w:rsid w:val="0015511B"/>
    <w:rsid w:val="001B7FE7"/>
    <w:rsid w:val="001F03AC"/>
    <w:rsid w:val="00210769"/>
    <w:rsid w:val="00221BD3"/>
    <w:rsid w:val="00225CD9"/>
    <w:rsid w:val="002534B0"/>
    <w:rsid w:val="002632C2"/>
    <w:rsid w:val="00265142"/>
    <w:rsid w:val="00283D61"/>
    <w:rsid w:val="00285C78"/>
    <w:rsid w:val="002A5793"/>
    <w:rsid w:val="002C0B33"/>
    <w:rsid w:val="002D0C6B"/>
    <w:rsid w:val="002D7F1C"/>
    <w:rsid w:val="002E0A76"/>
    <w:rsid w:val="003432E9"/>
    <w:rsid w:val="00356B78"/>
    <w:rsid w:val="00373974"/>
    <w:rsid w:val="00381687"/>
    <w:rsid w:val="00396DB3"/>
    <w:rsid w:val="003A00AF"/>
    <w:rsid w:val="003A7867"/>
    <w:rsid w:val="003F2E78"/>
    <w:rsid w:val="00402C78"/>
    <w:rsid w:val="00462230"/>
    <w:rsid w:val="004853D7"/>
    <w:rsid w:val="00491216"/>
    <w:rsid w:val="004B0AE2"/>
    <w:rsid w:val="004E686B"/>
    <w:rsid w:val="004F3C0B"/>
    <w:rsid w:val="00502063"/>
    <w:rsid w:val="005115E0"/>
    <w:rsid w:val="00513AF3"/>
    <w:rsid w:val="005433A9"/>
    <w:rsid w:val="00543E21"/>
    <w:rsid w:val="005750AD"/>
    <w:rsid w:val="005939DF"/>
    <w:rsid w:val="00593EE7"/>
    <w:rsid w:val="0059698D"/>
    <w:rsid w:val="005A1BD9"/>
    <w:rsid w:val="005B206B"/>
    <w:rsid w:val="005B27B8"/>
    <w:rsid w:val="005F173B"/>
    <w:rsid w:val="0060243A"/>
    <w:rsid w:val="00626C83"/>
    <w:rsid w:val="006341BD"/>
    <w:rsid w:val="00653351"/>
    <w:rsid w:val="00674BD3"/>
    <w:rsid w:val="00681413"/>
    <w:rsid w:val="006859C5"/>
    <w:rsid w:val="006C79FD"/>
    <w:rsid w:val="006D6E2A"/>
    <w:rsid w:val="00742A3A"/>
    <w:rsid w:val="00747CC3"/>
    <w:rsid w:val="00785437"/>
    <w:rsid w:val="007B6C5B"/>
    <w:rsid w:val="007E6281"/>
    <w:rsid w:val="0082360B"/>
    <w:rsid w:val="00826AE3"/>
    <w:rsid w:val="00827479"/>
    <w:rsid w:val="00846750"/>
    <w:rsid w:val="00856012"/>
    <w:rsid w:val="00856E18"/>
    <w:rsid w:val="00886520"/>
    <w:rsid w:val="008876FA"/>
    <w:rsid w:val="008C7035"/>
    <w:rsid w:val="009051B4"/>
    <w:rsid w:val="00906EE2"/>
    <w:rsid w:val="00950F81"/>
    <w:rsid w:val="009626E2"/>
    <w:rsid w:val="0096718E"/>
    <w:rsid w:val="009978B6"/>
    <w:rsid w:val="00997DE6"/>
    <w:rsid w:val="009A57BE"/>
    <w:rsid w:val="009C2324"/>
    <w:rsid w:val="009D2E73"/>
    <w:rsid w:val="009E19AD"/>
    <w:rsid w:val="00A2040E"/>
    <w:rsid w:val="00A257E6"/>
    <w:rsid w:val="00A25EED"/>
    <w:rsid w:val="00A82133"/>
    <w:rsid w:val="00A95799"/>
    <w:rsid w:val="00AB519E"/>
    <w:rsid w:val="00B26BA8"/>
    <w:rsid w:val="00B45843"/>
    <w:rsid w:val="00B45A62"/>
    <w:rsid w:val="00B520DE"/>
    <w:rsid w:val="00B62BE7"/>
    <w:rsid w:val="00B7548F"/>
    <w:rsid w:val="00B81661"/>
    <w:rsid w:val="00BB4489"/>
    <w:rsid w:val="00C05050"/>
    <w:rsid w:val="00C6564E"/>
    <w:rsid w:val="00C71D88"/>
    <w:rsid w:val="00C75107"/>
    <w:rsid w:val="00C943E7"/>
    <w:rsid w:val="00D24A8F"/>
    <w:rsid w:val="00D43FE7"/>
    <w:rsid w:val="00D847EF"/>
    <w:rsid w:val="00D973F1"/>
    <w:rsid w:val="00D97986"/>
    <w:rsid w:val="00DA2928"/>
    <w:rsid w:val="00DA42AD"/>
    <w:rsid w:val="00DA557B"/>
    <w:rsid w:val="00DB4230"/>
    <w:rsid w:val="00DC55D4"/>
    <w:rsid w:val="00E001F2"/>
    <w:rsid w:val="00E30307"/>
    <w:rsid w:val="00E43DE9"/>
    <w:rsid w:val="00E700C6"/>
    <w:rsid w:val="00EB1721"/>
    <w:rsid w:val="00EB6F61"/>
    <w:rsid w:val="00EE43D6"/>
    <w:rsid w:val="00EE7313"/>
    <w:rsid w:val="00F13757"/>
    <w:rsid w:val="00F22837"/>
    <w:rsid w:val="00F30563"/>
    <w:rsid w:val="00F47839"/>
    <w:rsid w:val="00F53088"/>
    <w:rsid w:val="00F57DE0"/>
    <w:rsid w:val="00F64309"/>
    <w:rsid w:val="00F77B64"/>
    <w:rsid w:val="00FE74B5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FB2445"/>
  <w15:docId w15:val="{3655FEEB-BC3A-4ACF-97F3-218B760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21"/>
  </w:style>
  <w:style w:type="paragraph" w:styleId="Heading1">
    <w:name w:val="heading 1"/>
    <w:basedOn w:val="Normal"/>
    <w:link w:val="Heading1Char"/>
    <w:uiPriority w:val="9"/>
    <w:qFormat/>
    <w:rsid w:val="0054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21"/>
    <w:pPr>
      <w:ind w:left="720"/>
      <w:contextualSpacing/>
    </w:pPr>
    <w:rPr>
      <w:rFonts w:ascii="Calibri" w:eastAsia="SimSun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EB1721"/>
    <w:rPr>
      <w:b/>
      <w:bCs/>
    </w:rPr>
  </w:style>
  <w:style w:type="paragraph" w:customStyle="1" w:styleId="naisf">
    <w:name w:val="naisf"/>
    <w:basedOn w:val="Normal"/>
    <w:rsid w:val="00EB172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89"/>
  </w:style>
  <w:style w:type="paragraph" w:styleId="Footer">
    <w:name w:val="footer"/>
    <w:basedOn w:val="Normal"/>
    <w:link w:val="FooterChar"/>
    <w:uiPriority w:val="99"/>
    <w:unhideWhenUsed/>
    <w:rsid w:val="00BB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89"/>
  </w:style>
  <w:style w:type="paragraph" w:styleId="BalloonText">
    <w:name w:val="Balloon Text"/>
    <w:basedOn w:val="Normal"/>
    <w:link w:val="BalloonTextChar"/>
    <w:uiPriority w:val="99"/>
    <w:semiHidden/>
    <w:unhideWhenUsed/>
    <w:rsid w:val="00B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4A8F"/>
    <w:pPr>
      <w:suppressAutoHyphens/>
      <w:spacing w:after="0" w:line="240" w:lineRule="auto"/>
      <w:ind w:left="4680"/>
      <w:jc w:val="both"/>
    </w:pPr>
    <w:rPr>
      <w:rFonts w:ascii="Times New Roman" w:eastAsia="SimSun" w:hAnsi="Times New Roman" w:cs="Times New Roman"/>
      <w:iCs/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4A8F"/>
    <w:rPr>
      <w:rFonts w:ascii="Times New Roman" w:eastAsia="SimSun" w:hAnsi="Times New Roman" w:cs="Times New Roman"/>
      <w:iCs/>
      <w:sz w:val="24"/>
      <w:szCs w:val="24"/>
      <w:lang w:val="fr-FR"/>
    </w:rPr>
  </w:style>
  <w:style w:type="paragraph" w:customStyle="1" w:styleId="Contenudetableau">
    <w:name w:val="Contenu de tableau"/>
    <w:basedOn w:val="Normal"/>
    <w:rsid w:val="00DB42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3E2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D43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projekta pielikums</dc:subject>
  <dc:creator>Natalija.Slaidina@varam.gov.lv</dc:creator>
  <cp:keywords/>
  <dc:description/>
  <cp:lastModifiedBy>Laila Bremša</cp:lastModifiedBy>
  <cp:revision>2</cp:revision>
  <cp:lastPrinted>2018-03-13T12:36:00Z</cp:lastPrinted>
  <dcterms:created xsi:type="dcterms:W3CDTF">2018-07-23T08:05:00Z</dcterms:created>
  <dcterms:modified xsi:type="dcterms:W3CDTF">2018-07-23T08:05:00Z</dcterms:modified>
</cp:coreProperties>
</file>