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A30829" w:rsidRPr="00A30829" w:rsidP="002E2CEA" w14:paraId="4A0AE73A" w14:textId="328D8E52">
      <w:pPr>
        <w:tabs>
          <w:tab w:val="left" w:pos="3544"/>
        </w:tabs>
        <w:spacing w:after="0"/>
        <w:jc w:val="center"/>
        <w:rPr>
          <w:rFonts w:ascii="Times New Roman" w:hAnsi="Times New Roman"/>
          <w:b/>
          <w:sz w:val="26"/>
          <w:szCs w:val="26"/>
        </w:rPr>
      </w:pPr>
      <w:r w:rsidRPr="00A30829">
        <w:rPr>
          <w:rFonts w:ascii="Times New Roman" w:hAnsi="Times New Roman"/>
          <w:b/>
          <w:sz w:val="26"/>
          <w:szCs w:val="26"/>
        </w:rPr>
        <w:t>Informatīvais ziņojums</w:t>
      </w:r>
    </w:p>
    <w:p w:rsidR="00A30829" w:rsidRPr="00A30829" w:rsidP="00A30829" w14:paraId="4A0AE73B" w14:textId="77777777">
      <w:pPr>
        <w:tabs>
          <w:tab w:val="left" w:pos="3544"/>
        </w:tabs>
        <w:spacing w:after="0"/>
        <w:jc w:val="center"/>
        <w:rPr>
          <w:rFonts w:ascii="Times New Roman" w:hAnsi="Times New Roman"/>
          <w:b/>
          <w:sz w:val="26"/>
          <w:szCs w:val="26"/>
        </w:rPr>
      </w:pPr>
      <w:r w:rsidRPr="00A30829">
        <w:rPr>
          <w:rFonts w:ascii="Times New Roman" w:hAnsi="Times New Roman"/>
          <w:b/>
          <w:sz w:val="26"/>
          <w:szCs w:val="26"/>
        </w:rPr>
        <w:t>par prioritāri atveramajām datu kopām, kas ir valsts iestāžu rīcībā</w:t>
      </w:r>
    </w:p>
    <w:p w:rsidR="00A30829" w:rsidRPr="00A30829" w:rsidP="00A30829" w14:paraId="4A0AE73C" w14:textId="77777777">
      <w:pPr>
        <w:spacing w:after="0"/>
        <w:jc w:val="center"/>
        <w:rPr>
          <w:rFonts w:ascii="Times New Roman" w:hAnsi="Times New Roman"/>
          <w:b/>
          <w:highlight w:val="yellow"/>
        </w:rPr>
      </w:pPr>
    </w:p>
    <w:p w:rsidR="00A30829" w:rsidRPr="002E2CEA" w:rsidP="002E2CEA" w14:paraId="4A0AE73D" w14:textId="77777777">
      <w:pPr>
        <w:spacing w:after="0" w:line="240" w:lineRule="auto"/>
        <w:ind w:firstLine="709"/>
        <w:jc w:val="both"/>
        <w:rPr>
          <w:rFonts w:ascii="Times New Roman" w:hAnsi="Times New Roman"/>
          <w:sz w:val="24"/>
          <w:szCs w:val="24"/>
        </w:rPr>
      </w:pPr>
      <w:r w:rsidRPr="002E2CEA">
        <w:rPr>
          <w:rFonts w:ascii="Times New Roman" w:hAnsi="Times New Roman"/>
          <w:sz w:val="24"/>
          <w:szCs w:val="24"/>
        </w:rPr>
        <w:t>Informatīvais ziņojums</w:t>
      </w:r>
      <w:r w:rsidRPr="002E2CEA">
        <w:rPr>
          <w:rFonts w:ascii="Times New Roman" w:hAnsi="Times New Roman"/>
          <w:b/>
          <w:sz w:val="24"/>
          <w:szCs w:val="24"/>
        </w:rPr>
        <w:t xml:space="preserve"> </w:t>
      </w:r>
      <w:r w:rsidRPr="002E2CEA">
        <w:rPr>
          <w:rFonts w:ascii="Times New Roman" w:hAnsi="Times New Roman"/>
          <w:sz w:val="24"/>
          <w:szCs w:val="24"/>
        </w:rPr>
        <w:t xml:space="preserve">par prioritāri atveramajām datu kopām, kas ir valsts iestāžu rīcībā (turpmāk – informatīvais ziņojums) ir izstrādāts, izpildot Ministru kabineta 2018.gada 6.februārī Vides aizsardzības un reģionālās attīstības ministrijai (turpmāk – VARAM) doto uzdevumu turpināt strādāt pie arvien jaunu datu kopu atvēršanas sabiedrībai atvērto datu formātā. Informatīvajā ziņojumā ir aprakstīta pašreizējā situācija valsts iestāžu datu atvēršanas procesā un norādītas prioritārās valsts iestāžu datu kopas, kuras nepieciešams publicēt Latvijas Atvērto datu portālā. Kā prioritāri atveramās datu kopas izvēlētas tās datu kopas, kuru publicēšana informācijas un komunikācijas tehnoloģiju (turpmāk – IKT) nozarei dod iespēju radīt jaunus pakalpojumus un produktus. Atveramās datu kopas noteiktas sadarbībā ar IKT nevalstiskajām organizācijām – Latvijas atvērto tehnoloģiju asociāciju un Latvijas informācijas un komunikācijas tehnoloģiju asociāciju. </w:t>
      </w:r>
    </w:p>
    <w:p w:rsidR="00A30829" w:rsidRPr="002E2CEA" w:rsidP="002E2CEA" w14:paraId="4A0AE73E" w14:textId="77777777">
      <w:pPr>
        <w:spacing w:after="0" w:line="240" w:lineRule="auto"/>
        <w:ind w:firstLine="709"/>
        <w:jc w:val="both"/>
        <w:rPr>
          <w:rFonts w:ascii="Times New Roman" w:hAnsi="Times New Roman"/>
          <w:sz w:val="24"/>
          <w:szCs w:val="24"/>
        </w:rPr>
      </w:pPr>
    </w:p>
    <w:p w:rsidR="00A30829" w:rsidRPr="002E2CEA" w:rsidP="002E2CEA" w14:paraId="4A0AE73F" w14:textId="77777777">
      <w:pPr>
        <w:pStyle w:val="ListParagraph"/>
        <w:numPr>
          <w:ilvl w:val="0"/>
          <w:numId w:val="12"/>
        </w:numPr>
        <w:jc w:val="both"/>
        <w:rPr>
          <w:b/>
        </w:rPr>
      </w:pPr>
      <w:r w:rsidRPr="002E2CEA">
        <w:rPr>
          <w:b/>
        </w:rPr>
        <w:t>Pašreizējās situācijas apraksts</w:t>
      </w:r>
    </w:p>
    <w:p w:rsidR="00A30829" w:rsidRPr="002E2CEA" w:rsidP="002E2CEA" w14:paraId="4A0AE740" w14:textId="77777777">
      <w:pPr>
        <w:pStyle w:val="ListParagraph"/>
        <w:ind w:left="1069"/>
        <w:jc w:val="both"/>
        <w:rPr>
          <w:b/>
        </w:rPr>
      </w:pPr>
    </w:p>
    <w:p w:rsidR="00A30829" w:rsidRPr="002E2CEA" w:rsidP="002E2CEA" w14:paraId="4A0AE741" w14:textId="77777777">
      <w:pPr>
        <w:spacing w:after="0" w:line="240" w:lineRule="auto"/>
        <w:ind w:firstLine="709"/>
        <w:jc w:val="both"/>
        <w:rPr>
          <w:rFonts w:ascii="Times New Roman" w:hAnsi="Times New Roman"/>
          <w:sz w:val="24"/>
          <w:szCs w:val="24"/>
        </w:rPr>
      </w:pPr>
      <w:r w:rsidRPr="002E2CEA">
        <w:rPr>
          <w:rFonts w:ascii="Times New Roman" w:hAnsi="Times New Roman"/>
          <w:sz w:val="24"/>
          <w:szCs w:val="24"/>
        </w:rPr>
        <w:t>Atbilstoši Starptautiskajai atvērto datu hartai</w:t>
      </w:r>
      <w:r>
        <w:rPr>
          <w:rStyle w:val="FootnoteReference"/>
          <w:rFonts w:ascii="Times New Roman" w:hAnsi="Times New Roman"/>
          <w:sz w:val="24"/>
          <w:szCs w:val="24"/>
        </w:rPr>
        <w:footnoteReference w:id="2"/>
      </w:r>
      <w:r w:rsidRPr="002E2CEA">
        <w:rPr>
          <w:rFonts w:ascii="Times New Roman" w:hAnsi="Times New Roman"/>
          <w:sz w:val="24"/>
          <w:szCs w:val="24"/>
        </w:rPr>
        <w:t xml:space="preserve"> ikviena organizācija tiek aicināta digitālās informācijas uzturēšanas jomā ievērot principu “atvērts pēc noklusējuma”, publiski sniedzot informāciju sabiedrībai, izņemot gadījumus, kad to nedrīkst veikt. Pēc Eiropas Komisijas viedokļa datu atvēršana var ievērojami uzlabot valsts administrācijas caurskatāmību un veicināt iedzīvotāju sociālās un politiskās aktivitātes izaugsmi. 2014.-2020. gada attīstības plānošanas periodā Publiskās pārvaldes datu pieejamība atvērto datu kopu veidā ir viens no e-pārvaldes politikas pamatprincipiem.</w:t>
      </w:r>
    </w:p>
    <w:p w:rsidR="00A30829" w:rsidRPr="002E2CEA" w:rsidP="002E2CEA" w14:paraId="4A0AE742" w14:textId="77777777">
      <w:pPr>
        <w:spacing w:after="0" w:line="240" w:lineRule="auto"/>
        <w:ind w:firstLine="709"/>
        <w:jc w:val="both"/>
        <w:rPr>
          <w:rFonts w:ascii="Times New Roman" w:hAnsi="Times New Roman"/>
          <w:sz w:val="24"/>
          <w:szCs w:val="24"/>
        </w:rPr>
      </w:pPr>
      <w:r w:rsidRPr="002E2CEA">
        <w:rPr>
          <w:rFonts w:ascii="Times New Roman" w:hAnsi="Times New Roman"/>
          <w:sz w:val="24"/>
          <w:szCs w:val="24"/>
        </w:rPr>
        <w:t xml:space="preserve">Publiskajā pārvaldē tikai atsevišķos izņēmuma gadījumos tiek nodrošinātas atvērto datu izmantošanas iespējas. Nodrošinot valsts rīcībā esošo datu brīvu pieejamību, tiktu radīti priekšnoteikumi privātā, nevalstiskā un zinātniskā sektora iespējamai sadarbībai, kas balstītos uz publiskās pārvaldes radītiem datiem. Tā rezultātā tiktu radīti jauni e-pakalpojumi un veicināta IKT produktu attīstība, kā arī iespēja pastarpinātai situācijas analīzei un izpētei, tādejādi sekmējot valsts ekonomisko izaugsmi, darbavietu radīšanu, kā arī sociālo procesu modelēšanu un paredzēšanu nākotnē. </w:t>
      </w:r>
    </w:p>
    <w:p w:rsidR="00A30829" w:rsidRPr="002E2CEA" w:rsidP="002E2CEA" w14:paraId="4A0AE743" w14:textId="77777777">
      <w:pPr>
        <w:spacing w:after="0" w:line="240" w:lineRule="auto"/>
        <w:ind w:firstLine="709"/>
        <w:jc w:val="both"/>
        <w:rPr>
          <w:rFonts w:ascii="Times New Roman" w:hAnsi="Times New Roman"/>
          <w:sz w:val="24"/>
          <w:szCs w:val="24"/>
        </w:rPr>
      </w:pPr>
      <w:r w:rsidRPr="002E2CEA">
        <w:rPr>
          <w:rFonts w:ascii="Times New Roman" w:hAnsi="Times New Roman"/>
          <w:sz w:val="24"/>
          <w:szCs w:val="24"/>
        </w:rPr>
        <w:t xml:space="preserve">Latvijā šobrīd nav vienotas pieejas atvērto datu politikas ieviešanai, jo nav noteiktas prioritātes, un datu atvēršana tiek organizēta tikai Eiropas reģionālā attīstības fonda (turpmāk – ERAF) vai citu ārvalstu finansētajos projektos. Iestādēm, kuras nav piedalījušās ERAF vai citu ārvalstu projektu īstenošanā, izdevumi datu apmaiņai un sadarbspējas attīstībai ir jāfinansē no pieejamā budžeta. </w:t>
      </w:r>
    </w:p>
    <w:p w:rsidR="00A30829" w:rsidRPr="002E2CEA" w:rsidP="002E2CEA" w14:paraId="4A0AE744" w14:textId="77777777">
      <w:pPr>
        <w:spacing w:after="0" w:line="240" w:lineRule="auto"/>
        <w:ind w:firstLine="709"/>
        <w:jc w:val="both"/>
        <w:rPr>
          <w:rFonts w:ascii="Times New Roman" w:hAnsi="Times New Roman"/>
          <w:sz w:val="24"/>
          <w:szCs w:val="24"/>
        </w:rPr>
      </w:pPr>
      <w:r w:rsidRPr="002E2CEA">
        <w:rPr>
          <w:rFonts w:ascii="Times New Roman" w:hAnsi="Times New Roman"/>
          <w:sz w:val="24"/>
          <w:szCs w:val="24"/>
        </w:rPr>
        <w:t>Eiropas Savienības fondu projektu specifiskajos atbalsta mērķa īstenošanas noteikumos</w:t>
      </w:r>
      <w:r>
        <w:rPr>
          <w:rStyle w:val="FootnoteReference"/>
          <w:rFonts w:ascii="Times New Roman" w:hAnsi="Times New Roman"/>
          <w:sz w:val="24"/>
          <w:szCs w:val="24"/>
        </w:rPr>
        <w:footnoteReference w:id="3"/>
      </w:r>
      <w:r w:rsidRPr="002E2CEA">
        <w:rPr>
          <w:rFonts w:ascii="Times New Roman" w:hAnsi="Times New Roman"/>
          <w:sz w:val="24"/>
          <w:szCs w:val="24"/>
        </w:rPr>
        <w:t xml:space="preserve"> tiek paredzēts, ka viens no pasākuma mērķiem ir radīt priekšnosacījumus publiskās pārvaldes rīcībā esošās informācijas izmantošanai ārpus publiskā sektora. Attiecīgi viena no atbalstāmajām aktivitātēm ir datu atkalizmantošana.</w:t>
      </w:r>
    </w:p>
    <w:p w:rsidR="00A30829" w:rsidRPr="002E2CEA" w:rsidP="002E2CEA" w14:paraId="4A0AE745" w14:textId="77777777">
      <w:pPr>
        <w:pStyle w:val="Title"/>
        <w:ind w:firstLine="720"/>
        <w:jc w:val="both"/>
        <w:outlineLvl w:val="0"/>
        <w:rPr>
          <w:sz w:val="24"/>
          <w:szCs w:val="24"/>
        </w:rPr>
      </w:pPr>
      <w:r w:rsidRPr="002E2CEA">
        <w:rPr>
          <w:sz w:val="24"/>
          <w:szCs w:val="24"/>
        </w:rPr>
        <w:t xml:space="preserve">Valdība šā gada 3.aprīlī apstiprināja VARAM izstrādāto informatīvo ziņojumu “Par veicamajiem pasākumiem Digitālās ekonomikas un sabiedrības indikatora DESI Latvijas rādītāju uzlabošanai” un ar Ministru kabineta protokollēmumu uzdeva visām ministrijām un padotības iestādēm līdz 2018. gada 15.aprīlim izstrādāt un iesniegt VARAM plānu par atkalizmantošanai paredzēto datu kopu publicēšanas grafiku Latvijas atvērto datu portālā periodam līdz 2018. gada </w:t>
      </w:r>
      <w:r w:rsidRPr="002E2CEA">
        <w:rPr>
          <w:sz w:val="24"/>
          <w:szCs w:val="24"/>
        </w:rPr>
        <w:t>28.decembrim, neskaitot tās datu kopas, kuras plānots sagatavot un publicēt atvērto datu portālā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un 2.2.1.2. pasākuma “Kultūras mantojuma digitalizācija” projektos.</w:t>
      </w:r>
    </w:p>
    <w:p w:rsidR="00A30829" w:rsidRPr="002E2CEA" w:rsidP="002E2CEA" w14:paraId="4A0AE746" w14:textId="77777777">
      <w:pPr>
        <w:spacing w:after="0" w:line="240" w:lineRule="auto"/>
        <w:ind w:firstLine="709"/>
        <w:jc w:val="both"/>
        <w:rPr>
          <w:rFonts w:ascii="Times New Roman" w:hAnsi="Times New Roman"/>
          <w:sz w:val="24"/>
          <w:szCs w:val="24"/>
        </w:rPr>
      </w:pPr>
      <w:r w:rsidRPr="002E2CEA">
        <w:rPr>
          <w:rFonts w:ascii="Times New Roman" w:hAnsi="Times New Roman"/>
          <w:sz w:val="24"/>
          <w:szCs w:val="24"/>
        </w:rPr>
        <w:t>Vienlaikus datu publicēšana pati par sevi nerada tiešus ieguvumus, tā rada tikai nepieciešamos apstākļus, lai, balstoties uz pieejamo informāciju, radītu papildu pievienoto vērtību</w:t>
      </w:r>
      <w:r>
        <w:rPr>
          <w:rStyle w:val="FootnoteReference"/>
          <w:rFonts w:ascii="Times New Roman" w:hAnsi="Times New Roman"/>
          <w:sz w:val="24"/>
          <w:szCs w:val="24"/>
        </w:rPr>
        <w:footnoteReference w:id="4"/>
      </w:r>
      <w:r w:rsidRPr="002E2CEA">
        <w:rPr>
          <w:rFonts w:ascii="Times New Roman" w:hAnsi="Times New Roman"/>
          <w:sz w:val="24"/>
          <w:szCs w:val="24"/>
        </w:rPr>
        <w:t xml:space="preserve">. Valstij, publicējot arvien jaunas tās rīcībā esošas datu kopas, atvērto datu formātā, tās potenciāli kalpo kā resursi jaunu pakalpojumu un lietotņu izstrādē. Lai popularizētu atvērto datu sniegtās iespējas, dažādu lietotņu izstrādē ir publicēti vairāki saraksti ar atvērto datu ar lietojumprogrammām, kuru radīšanā ir izmantoti atvērtie dati (piemēram: </w:t>
      </w:r>
      <w:r>
        <w:fldChar w:fldCharType="begin"/>
      </w:r>
      <w:r>
        <w:instrText xml:space="preserve"> HYPERLINK "http://sites.linkeddata.center/help/business/cases/296-apps-that-use-uk-datasets" </w:instrText>
      </w:r>
      <w:r>
        <w:fldChar w:fldCharType="separate"/>
      </w:r>
      <w:r w:rsidRPr="002E2CEA">
        <w:rPr>
          <w:rStyle w:val="Hyperlink"/>
          <w:rFonts w:ascii="Times New Roman" w:hAnsi="Times New Roman"/>
          <w:sz w:val="24"/>
          <w:szCs w:val="24"/>
        </w:rPr>
        <w:t>http://sites.linkeddata.center/help/business/cases/296-apps-that-use-uk-datasets</w:t>
      </w:r>
      <w:r>
        <w:fldChar w:fldCharType="end"/>
      </w:r>
      <w:r w:rsidRPr="002E2CEA">
        <w:rPr>
          <w:rFonts w:ascii="Times New Roman" w:hAnsi="Times New Roman"/>
          <w:sz w:val="24"/>
          <w:szCs w:val="24"/>
        </w:rPr>
        <w:t>). Arī Eiropas datu portālā (</w:t>
      </w:r>
      <w:r>
        <w:fldChar w:fldCharType="begin"/>
      </w:r>
      <w:r>
        <w:instrText xml:space="preserve"> HYPERLINK "https://www.europeandataportal.eu/" </w:instrText>
      </w:r>
      <w:r>
        <w:fldChar w:fldCharType="separate"/>
      </w:r>
      <w:r w:rsidRPr="002E2CEA">
        <w:rPr>
          <w:rStyle w:val="Internetasaite"/>
          <w:rFonts w:ascii="Times New Roman" w:hAnsi="Times New Roman"/>
          <w:sz w:val="24"/>
          <w:szCs w:val="24"/>
        </w:rPr>
        <w:t>https://www.europeandataportal.eu</w:t>
      </w:r>
      <w:r>
        <w:fldChar w:fldCharType="end"/>
      </w:r>
      <w:r w:rsidRPr="002E2CEA">
        <w:rPr>
          <w:rFonts w:ascii="Times New Roman" w:hAnsi="Times New Roman"/>
          <w:sz w:val="24"/>
          <w:szCs w:val="24"/>
        </w:rPr>
        <w:t>) ir publicēti vairāk kā 300 piemēri lietojumprogrammām, kuru radīšanā ir izmantoti atvērtie dati.</w:t>
      </w:r>
    </w:p>
    <w:p w:rsidR="00A30829" w:rsidRPr="002E2CEA" w:rsidP="002E2CEA" w14:paraId="4A0AE747" w14:textId="77777777">
      <w:pPr>
        <w:spacing w:after="0" w:line="240" w:lineRule="auto"/>
        <w:jc w:val="both"/>
        <w:rPr>
          <w:rFonts w:ascii="Times New Roman" w:hAnsi="Times New Roman"/>
          <w:sz w:val="24"/>
          <w:szCs w:val="24"/>
        </w:rPr>
      </w:pPr>
    </w:p>
    <w:p w:rsidR="00A30829" w:rsidRPr="002E2CEA" w:rsidP="002E2CEA" w14:paraId="4A0AE748" w14:textId="77777777">
      <w:pPr>
        <w:pStyle w:val="ListParagraph"/>
        <w:numPr>
          <w:ilvl w:val="0"/>
          <w:numId w:val="12"/>
        </w:numPr>
        <w:jc w:val="both"/>
        <w:rPr>
          <w:b/>
        </w:rPr>
      </w:pPr>
      <w:r w:rsidRPr="002E2CEA">
        <w:rPr>
          <w:b/>
        </w:rPr>
        <w:t>Valsts kases datu publicēšana</w:t>
      </w:r>
    </w:p>
    <w:p w:rsidR="00A30829" w:rsidRPr="002E2CEA" w:rsidP="002E2CEA" w14:paraId="4A0AE749" w14:textId="77777777">
      <w:pPr>
        <w:spacing w:after="0" w:line="240" w:lineRule="auto"/>
        <w:jc w:val="both"/>
        <w:rPr>
          <w:rFonts w:ascii="Times New Roman" w:hAnsi="Times New Roman"/>
          <w:b/>
          <w:sz w:val="24"/>
          <w:szCs w:val="24"/>
        </w:rPr>
      </w:pPr>
    </w:p>
    <w:p w:rsidR="00A30829" w:rsidRPr="002E2CEA" w:rsidP="002E2CEA" w14:paraId="4A0AE74A" w14:textId="77777777">
      <w:pPr>
        <w:spacing w:after="0" w:line="240" w:lineRule="auto"/>
        <w:ind w:firstLine="709"/>
        <w:jc w:val="both"/>
        <w:rPr>
          <w:rFonts w:ascii="Times New Roman" w:hAnsi="Times New Roman"/>
          <w:sz w:val="24"/>
          <w:szCs w:val="24"/>
        </w:rPr>
      </w:pPr>
      <w:r w:rsidRPr="002E2CEA">
        <w:rPr>
          <w:rFonts w:ascii="Times New Roman" w:hAnsi="Times New Roman"/>
          <w:sz w:val="24"/>
          <w:szCs w:val="24"/>
        </w:rPr>
        <w:t>Valsts kases rīcībā esošo datu publicēšana par valsts pamatbudžeta un valsts speciālā budžeta (turpmāk – valsts budžeta) izpildi pa budžeta programmām/ apakšprogrammām pilnā budžeta ieņēmumu un izdevumu ekonomiskās klasifikācijas griezumā Latvijas Atvērto datu portālā dotu iespēju veikt dažāda veida pētījumus par valsts budžeta izpildes pozīcijām, kā arī ļautu analizēt valsts budžeta izpildi pa pārskata periodiem –- ceturkšņiem. Valsts budžeta izdevumu publicēšana detalizēti pa izdevumu klasifikācijas kodiem sekmētu plašākas datu analīzes iespējas, izmantojot dažādas datu apstrādes lietotnes un vizualizācijas rīkus.</w:t>
      </w:r>
    </w:p>
    <w:p w:rsidR="00A30829" w:rsidRPr="002E2CEA" w:rsidP="002E2CEA" w14:paraId="4A0AE74B" w14:textId="77777777">
      <w:pPr>
        <w:spacing w:after="0" w:line="240" w:lineRule="auto"/>
        <w:ind w:firstLine="709"/>
        <w:jc w:val="both"/>
        <w:rPr>
          <w:rFonts w:ascii="Times New Roman" w:hAnsi="Times New Roman"/>
          <w:sz w:val="24"/>
          <w:szCs w:val="24"/>
        </w:rPr>
      </w:pPr>
      <w:r w:rsidRPr="002E2CEA">
        <w:rPr>
          <w:rFonts w:ascii="Times New Roman" w:hAnsi="Times New Roman"/>
          <w:sz w:val="24"/>
          <w:szCs w:val="24"/>
        </w:rPr>
        <w:t>Valsts kase plāno publicēt datu kopas atvērto datu formātā par valsts budžeta izpildi pa budžeta programmām/ apakšprogrammām pilnā budžeta ieņēmumu un izdevumu ekonomiskās klasifikācijas griezumā līdz 2018. gada beigām.</w:t>
      </w:r>
    </w:p>
    <w:p w:rsidR="00A30829" w:rsidRPr="002E2CEA" w:rsidP="002E2CEA" w14:paraId="4A0AE74D" w14:textId="27D50780">
      <w:pPr>
        <w:spacing w:after="0" w:line="240" w:lineRule="auto"/>
        <w:ind w:firstLine="709"/>
        <w:jc w:val="both"/>
        <w:rPr>
          <w:rFonts w:ascii="Times New Roman" w:hAnsi="Times New Roman"/>
          <w:sz w:val="24"/>
          <w:szCs w:val="24"/>
        </w:rPr>
      </w:pPr>
      <w:r w:rsidRPr="002E2CEA">
        <w:rPr>
          <w:rFonts w:ascii="Times New Roman" w:hAnsi="Times New Roman"/>
          <w:sz w:val="24"/>
          <w:szCs w:val="24"/>
        </w:rPr>
        <w:t>Kā piemērs, kur plaši tiek izmantoti dažādu valstu budžetu izdevumu dati, ir portāls OpenSpending.org, kurā ir pieejamas 2533 datu kopas no 79 pasaules valstīm.</w:t>
      </w:r>
    </w:p>
    <w:p w:rsidR="00A30829" w:rsidRPr="002E2CEA" w:rsidP="002E2CEA" w14:paraId="4A0AE74E" w14:textId="77777777">
      <w:pPr>
        <w:spacing w:after="0" w:line="240" w:lineRule="auto"/>
        <w:jc w:val="both"/>
        <w:rPr>
          <w:rFonts w:ascii="Times New Roman" w:hAnsi="Times New Roman"/>
          <w:sz w:val="24"/>
          <w:szCs w:val="24"/>
        </w:rPr>
      </w:pPr>
    </w:p>
    <w:p w:rsidR="00A30829" w:rsidRPr="002E2CEA" w:rsidP="002E2CEA" w14:paraId="4A0AE74F" w14:textId="77777777">
      <w:pPr>
        <w:pStyle w:val="ListParagraph"/>
        <w:numPr>
          <w:ilvl w:val="0"/>
          <w:numId w:val="12"/>
        </w:numPr>
        <w:jc w:val="both"/>
        <w:rPr>
          <w:b/>
        </w:rPr>
      </w:pPr>
      <w:r w:rsidRPr="002E2CEA">
        <w:rPr>
          <w:b/>
        </w:rPr>
        <w:t>Iekšlietu ministrijas Informācijas centra datu publicēšana</w:t>
      </w:r>
    </w:p>
    <w:p w:rsidR="00A30829" w:rsidRPr="002E2CEA" w:rsidP="002E2CEA" w14:paraId="4A0AE750" w14:textId="77777777">
      <w:pPr>
        <w:spacing w:after="0" w:line="240" w:lineRule="auto"/>
        <w:jc w:val="both"/>
        <w:rPr>
          <w:rFonts w:ascii="Times New Roman" w:hAnsi="Times New Roman"/>
          <w:sz w:val="24"/>
          <w:szCs w:val="24"/>
        </w:rPr>
      </w:pPr>
      <w:r w:rsidRPr="002E2CEA">
        <w:rPr>
          <w:rFonts w:ascii="Times New Roman" w:hAnsi="Times New Roman"/>
          <w:sz w:val="24"/>
          <w:szCs w:val="24"/>
        </w:rPr>
        <w:t xml:space="preserve"> </w:t>
      </w:r>
    </w:p>
    <w:p w:rsidR="00A30829" w:rsidRPr="002E2CEA" w:rsidP="002E2CEA" w14:paraId="4A0AE751" w14:textId="77777777">
      <w:pPr>
        <w:pStyle w:val="NormalWeb"/>
        <w:spacing w:before="0" w:beforeAutospacing="0" w:after="0" w:afterAutospacing="0"/>
        <w:ind w:firstLine="360"/>
        <w:jc w:val="both"/>
      </w:pPr>
      <w:r w:rsidRPr="002E2CEA">
        <w:t xml:space="preserve">IeM IC šobrīd ir izstrādājis un tuvāko mēnešu laikā atvērto datu formātā plāno publicēt ceļu satiksmes pārkāpumu un negadījumu karti, kurā lietotājs ērtā veidā var atlasīt informāciju pēc viņam interesējošiem parametriem (lokācija, ceļu satiksmes pārkāpuma veids u.c. parametri). Plānots, ka dati būs arī lejupielādējamas mašīnlasāmā formātā. Tikšanās laikā IeM IC darbinieki bija pretimnākoši un apņēmās mašīnlasāmā formātā šā gada laikā publicēt arī citus IC rīcībā esošos statistikas datus: </w:t>
      </w:r>
    </w:p>
    <w:p w:rsidR="00A30829" w:rsidRPr="002E2CEA" w:rsidP="002E2CEA" w14:paraId="4A0AE752" w14:textId="77777777">
      <w:pPr>
        <w:pStyle w:val="NormalWeb"/>
        <w:numPr>
          <w:ilvl w:val="0"/>
          <w:numId w:val="17"/>
        </w:numPr>
        <w:spacing w:before="0" w:beforeAutospacing="0" w:after="0" w:afterAutospacing="0"/>
      </w:pPr>
      <w:r w:rsidRPr="002E2CEA">
        <w:t>statistiskos datus par valstī reģistrētajiem noziedzīgajiem nodarījumiem (pēc visiem Krimināllikuma pantiem);</w:t>
      </w:r>
    </w:p>
    <w:p w:rsidR="00A30829" w:rsidRPr="002E2CEA" w:rsidP="002E2CEA" w14:paraId="4A0AE753" w14:textId="77777777">
      <w:pPr>
        <w:pStyle w:val="NormalWeb"/>
        <w:numPr>
          <w:ilvl w:val="0"/>
          <w:numId w:val="17"/>
        </w:numPr>
        <w:spacing w:before="0" w:beforeAutospacing="0" w:after="0" w:afterAutospacing="0"/>
        <w:rPr>
          <w:rFonts w:eastAsia="Times New Roman"/>
        </w:rPr>
      </w:pPr>
      <w:r w:rsidRPr="002E2CEA">
        <w:t>kriminālprocesos cietušās personas (pēc dzimuma un vecuma kategorijām)</w:t>
      </w:r>
      <w:r w:rsidRPr="002E2CEA">
        <w:rPr>
          <w:rFonts w:eastAsia="Times New Roman"/>
        </w:rPr>
        <w:t>;</w:t>
      </w:r>
    </w:p>
    <w:p w:rsidR="00A30829" w:rsidRPr="002E2CEA" w:rsidP="002E2CEA" w14:paraId="4A0AE754" w14:textId="77777777">
      <w:pPr>
        <w:pStyle w:val="NormalWeb"/>
        <w:numPr>
          <w:ilvl w:val="0"/>
          <w:numId w:val="17"/>
        </w:numPr>
        <w:spacing w:before="0" w:beforeAutospacing="0" w:after="0" w:afterAutospacing="0"/>
      </w:pPr>
      <w:r w:rsidRPr="002E2CEA">
        <w:rPr>
          <w:rFonts w:eastAsia="Times New Roman"/>
        </w:rPr>
        <w:t>personas, kurām ir tiesības uz aizstāvību (pēc dzimuma un vecuma kategorijām un no tām vēl atsevišķi personas, kurām celta apsūdzība)</w:t>
      </w:r>
      <w:r w:rsidRPr="002E2CEA">
        <w:t>.</w:t>
      </w:r>
    </w:p>
    <w:p w:rsidR="00A30829" w:rsidRPr="002E2CEA" w:rsidP="002E2CEA" w14:paraId="4A0AE755" w14:textId="77777777">
      <w:pPr>
        <w:spacing w:after="0" w:line="240" w:lineRule="auto"/>
        <w:ind w:firstLine="709"/>
        <w:jc w:val="both"/>
        <w:rPr>
          <w:rFonts w:ascii="Times New Roman" w:hAnsi="Times New Roman"/>
          <w:sz w:val="24"/>
          <w:szCs w:val="24"/>
        </w:rPr>
      </w:pPr>
    </w:p>
    <w:p w:rsidR="00A30829" w:rsidRPr="002E2CEA" w:rsidP="002E2CEA" w14:paraId="4A0AE756" w14:textId="77777777">
      <w:pPr>
        <w:pStyle w:val="ListParagraph"/>
        <w:numPr>
          <w:ilvl w:val="0"/>
          <w:numId w:val="12"/>
        </w:numPr>
        <w:jc w:val="both"/>
        <w:rPr>
          <w:b/>
        </w:rPr>
      </w:pPr>
      <w:r w:rsidRPr="002E2CEA">
        <w:rPr>
          <w:b/>
        </w:rPr>
        <w:t>Lauku atbalsta dienesta datu publicēšana</w:t>
      </w:r>
    </w:p>
    <w:p w:rsidR="00A30829" w:rsidRPr="002E2CEA" w:rsidP="002E2CEA" w14:paraId="4A0AE757" w14:textId="77777777">
      <w:pPr>
        <w:spacing w:after="0" w:line="240" w:lineRule="auto"/>
        <w:jc w:val="both"/>
        <w:rPr>
          <w:rFonts w:ascii="Times New Roman" w:hAnsi="Times New Roman"/>
          <w:b/>
          <w:sz w:val="24"/>
          <w:szCs w:val="24"/>
        </w:rPr>
      </w:pPr>
    </w:p>
    <w:p w:rsidR="00A30829" w:rsidRPr="002E2CEA" w:rsidP="002E2CEA" w14:paraId="4A0AE758" w14:textId="77777777">
      <w:pPr>
        <w:spacing w:after="0" w:line="240" w:lineRule="auto"/>
        <w:ind w:firstLine="709"/>
        <w:jc w:val="both"/>
        <w:rPr>
          <w:rFonts w:ascii="Times New Roman" w:hAnsi="Times New Roman"/>
          <w:sz w:val="24"/>
          <w:szCs w:val="24"/>
        </w:rPr>
      </w:pPr>
      <w:r w:rsidRPr="002E2CEA">
        <w:rPr>
          <w:rFonts w:ascii="Times New Roman" w:hAnsi="Times New Roman"/>
          <w:sz w:val="24"/>
          <w:szCs w:val="24"/>
        </w:rPr>
        <w:t>Lauku atbalsta dienests (turpmāk – LAD) līdz 2017.gadam bija sasniedzis rezultātu, ka 99% zemnieku saimniecību platību maksājumus piesaka elektroniski Lauku atbalsta dienesta elektroniskajā sistēmā (</w:t>
      </w:r>
      <w:r>
        <w:fldChar w:fldCharType="begin"/>
      </w:r>
      <w:r>
        <w:instrText xml:space="preserve"> HYPERLINK "https://eps.lad.gov.lv/login" </w:instrText>
      </w:r>
      <w:r>
        <w:fldChar w:fldCharType="separate"/>
      </w:r>
      <w:r w:rsidRPr="002E2CEA">
        <w:rPr>
          <w:rStyle w:val="Hyperlink"/>
          <w:rFonts w:ascii="Times New Roman" w:hAnsi="Times New Roman"/>
          <w:sz w:val="24"/>
          <w:szCs w:val="24"/>
        </w:rPr>
        <w:t>https://eps.lad.gov.lv/login</w:t>
      </w:r>
      <w:r>
        <w:fldChar w:fldCharType="end"/>
      </w:r>
      <w:r w:rsidRPr="002E2CEA">
        <w:rPr>
          <w:rFonts w:ascii="Times New Roman" w:hAnsi="Times New Roman"/>
          <w:sz w:val="24"/>
          <w:szCs w:val="24"/>
        </w:rPr>
        <w:t xml:space="preserve">). </w:t>
      </w:r>
    </w:p>
    <w:p w:rsidR="00A30829" w:rsidRPr="002E2CEA" w:rsidP="002E2CEA" w14:paraId="4A0AE759" w14:textId="77777777">
      <w:pPr>
        <w:spacing w:after="0" w:line="240" w:lineRule="auto"/>
        <w:ind w:firstLine="709"/>
        <w:jc w:val="both"/>
        <w:rPr>
          <w:rFonts w:ascii="Times New Roman" w:hAnsi="Times New Roman"/>
          <w:sz w:val="24"/>
          <w:szCs w:val="24"/>
        </w:rPr>
      </w:pPr>
      <w:r w:rsidRPr="002E2CEA">
        <w:rPr>
          <w:rFonts w:ascii="Times New Roman" w:hAnsi="Times New Roman"/>
          <w:sz w:val="24"/>
          <w:szCs w:val="24"/>
        </w:rPr>
        <w:t xml:space="preserve">Zemnieku saimniecības sniedz informāciju par to, kādā platībā tiek audzēta attiecīgā lauksaimniecības kultūra. Šādu datu pieejamība uzņēmējiem, integrējot tos ar citiem datiem par zemes lietojamību, sniegtu iespēju vizualizēt Latvijas zemi dažādos veidos, izstrādājot dažādus mācību līdzekļus skolēniem. Ņemot vērā lauksaimniecības nozares attīstību gan Latvijā, gan pasaulē, uzņēmējiem svarīgi būtu arī iegūt informāciju par dažādu augu kultūru attīstības tendencēm Latvijā. </w:t>
      </w:r>
    </w:p>
    <w:p w:rsidR="00A30829" w:rsidRPr="002E2CEA" w:rsidP="002E2CEA" w14:paraId="4A0AE75A" w14:textId="77777777">
      <w:pPr>
        <w:spacing w:after="0" w:line="240" w:lineRule="auto"/>
        <w:ind w:firstLine="709"/>
        <w:jc w:val="both"/>
        <w:rPr>
          <w:rFonts w:ascii="Times New Roman" w:hAnsi="Times New Roman"/>
          <w:sz w:val="24"/>
          <w:szCs w:val="24"/>
        </w:rPr>
      </w:pPr>
      <w:r w:rsidRPr="002E2CEA">
        <w:rPr>
          <w:rFonts w:ascii="Times New Roman" w:hAnsi="Times New Roman"/>
          <w:sz w:val="24"/>
          <w:szCs w:val="24"/>
        </w:rPr>
        <w:t>Pēdējos gados ievērojami pieaug briežu dzimtas dzīvnieku postījumi mežsaimniecībā, īpaši priežu jaunaudzēs, tādā veidā nodarot lielus zaudējumus meža apsaimniekotājiem un padarot meža apsaimniekošanu sarežģītāku. LAD rīcībā esošie ģeotelpiskie dati par lauku blokiem un laukiem, īpaši plānotajām kultūrām blokā, AS “Latvijas valsts meži” un citiem mežu apsaimniekotājiem palīdzētu precīzāk identificēt papildu riskus, lai precīzāk plānotu jaunaudžu aizsardzību pret briežu dzimtas dzīvnieku nodarītajiem postījumiem jaunaudzēs un samazinātu nodarītos zaudējumus. Šobrīd šāda informācija nav pieejama.</w:t>
      </w:r>
    </w:p>
    <w:p w:rsidR="00A30829" w:rsidRPr="002E2CEA" w:rsidP="002E2CEA" w14:paraId="4A0AE75B" w14:textId="77777777">
      <w:pPr>
        <w:spacing w:after="0" w:line="240" w:lineRule="auto"/>
        <w:ind w:firstLine="709"/>
        <w:jc w:val="both"/>
        <w:rPr>
          <w:rFonts w:ascii="Times New Roman" w:hAnsi="Times New Roman"/>
          <w:sz w:val="24"/>
          <w:szCs w:val="24"/>
        </w:rPr>
      </w:pPr>
      <w:r w:rsidRPr="002E2CEA">
        <w:rPr>
          <w:rFonts w:ascii="Times New Roman" w:hAnsi="Times New Roman"/>
          <w:sz w:val="24"/>
          <w:szCs w:val="24"/>
        </w:rPr>
        <w:t xml:space="preserve">Tāpat LAD dati AS “Latvijas valsts meži” un citiem meža zemju apsaimniekotājiem ir nozīmīgi nekustamo īpašumu apsaimniekošanas vai iegādes procesos. Piemēram, izvērtējot zemes iznomāšanas iespējas, tiek ņemts vērā, vai iznomājamā platība atrodas lauku bloku kartē, tādā veidā prognozējot iespējamo zemes izmantošanas mērķi, kā arī iespējamos izmantošanas ierobežojumus, ja tiek konstatēti bioloģiski vērtīgie zālāji un citas dabas vērtības. Arī nekustamo īpašumu iegādes procesā, vērtējot zemju iegādes piedāvājumu, tiek ņemts vērā, vai piedāvātā lauksaimniecībā izmantojamā zeme atrodas lauku blokā, kādām mērķim tā tiek izmantota, kā arī tiek ņemts vērā, vai uz īpašuma atrodas bioloģiski vērtīgais zālājs un citas dabas vērtības, kur nav iespējama apmežošana. Tas ietekmē piedāvātā īpašuma ekonomiskās atdeves līmeņa aprēķinu. </w:t>
      </w:r>
    </w:p>
    <w:p w:rsidR="00A30829" w:rsidRPr="002E2CEA" w:rsidP="002E2CEA" w14:paraId="4A0AE75C" w14:textId="77777777">
      <w:pPr>
        <w:spacing w:after="0" w:line="240" w:lineRule="auto"/>
        <w:ind w:firstLine="709"/>
        <w:jc w:val="both"/>
        <w:rPr>
          <w:rFonts w:ascii="Times New Roman" w:hAnsi="Times New Roman"/>
          <w:sz w:val="24"/>
          <w:szCs w:val="24"/>
        </w:rPr>
      </w:pPr>
      <w:r w:rsidRPr="002E2CEA">
        <w:rPr>
          <w:rFonts w:ascii="Times New Roman" w:hAnsi="Times New Roman"/>
          <w:sz w:val="24"/>
          <w:szCs w:val="24"/>
        </w:rPr>
        <w:t xml:space="preserve">Pašvaldības ņem vērā LAD sniegtos datus par neapstrādātām lauksaimniecības zemēm, aprēķinot paaugstinātu nekustamā īpašuma nodokli. Ja zemju apsaimniekotājs ir veicis kopšanu vai ieaudzēšanu, šāds aprēķins ir nepamatots. LAD dati tiek izmantoti pārbaudei un salīdzināšanai. </w:t>
      </w:r>
    </w:p>
    <w:p w:rsidR="00A30829" w:rsidRPr="002E2CEA" w:rsidP="002E2CEA" w14:paraId="4A0AE75D" w14:textId="77777777">
      <w:pPr>
        <w:spacing w:after="0" w:line="240" w:lineRule="auto"/>
        <w:ind w:firstLine="709"/>
        <w:jc w:val="both"/>
        <w:rPr>
          <w:rFonts w:ascii="Times New Roman" w:hAnsi="Times New Roman"/>
          <w:sz w:val="24"/>
          <w:szCs w:val="24"/>
        </w:rPr>
      </w:pPr>
      <w:r w:rsidRPr="002E2CEA">
        <w:rPr>
          <w:rFonts w:ascii="Times New Roman" w:hAnsi="Times New Roman"/>
          <w:sz w:val="24"/>
          <w:szCs w:val="24"/>
        </w:rPr>
        <w:t>Līdz ar to AS "Latvijas valsts meži" un citiem meža zemju apsaimniekotājiem būtu ļoti nozīmīgi piekļūt LAD datubāzē uzturētajiem ģeotelpiskajiem datiem par lauku blokiem, laukiem, kultūrām un dabas vērtībām.</w:t>
      </w:r>
    </w:p>
    <w:p w:rsidR="00A30829" w:rsidRPr="002E2CEA" w:rsidP="002E2CEA" w14:paraId="4A0AE75E" w14:textId="77777777">
      <w:pPr>
        <w:spacing w:after="0" w:line="240" w:lineRule="auto"/>
        <w:ind w:firstLine="709"/>
        <w:jc w:val="both"/>
        <w:rPr>
          <w:rFonts w:ascii="Times New Roman" w:hAnsi="Times New Roman"/>
          <w:sz w:val="24"/>
          <w:szCs w:val="24"/>
        </w:rPr>
      </w:pPr>
      <w:r w:rsidRPr="002E2CEA">
        <w:rPr>
          <w:rFonts w:ascii="Times New Roman" w:hAnsi="Times New Roman"/>
          <w:sz w:val="24"/>
          <w:szCs w:val="24"/>
        </w:rPr>
        <w:t xml:space="preserve">LAD jau šobrīd Latvijas Atvērto datu portālā ir publicējis apkopotu informāciju par lauku bloku platībām, Vienotajam platību maksājumam pieteiktajām platībām, Vienotajam platību maksājumam nepieteiktajām platībām un neapstrādātajām lauksaimniecībā izmantojamās zemes platībām, novadu un pagastu iedalījumos (ha). Sarunā ar LAD pārstāvjiem attieksme pret datu publicēšanu bija atbalstoša. Taču ņemot vērā, ka attiecīgajā laikā paralēli notika zemnieku platībmaksājumu pieteikšanās, tad tika panākta vienošanās jautājumu par datu kopu publicēšanu risināt 2018.gada 3.ceturksnī un datus publicēt līdz 2018.gada beigām. </w:t>
      </w:r>
    </w:p>
    <w:p w:rsidR="00A30829" w:rsidRPr="002E2CEA" w:rsidP="002E2CEA" w14:paraId="4A0AE75F" w14:textId="77777777">
      <w:pPr>
        <w:spacing w:after="0" w:line="240" w:lineRule="auto"/>
        <w:ind w:firstLine="709"/>
        <w:jc w:val="both"/>
        <w:rPr>
          <w:rFonts w:ascii="Times New Roman" w:hAnsi="Times New Roman"/>
          <w:sz w:val="24"/>
          <w:szCs w:val="24"/>
        </w:rPr>
      </w:pPr>
      <w:r w:rsidRPr="002E2CEA">
        <w:rPr>
          <w:rFonts w:ascii="Times New Roman" w:hAnsi="Times New Roman"/>
          <w:sz w:val="24"/>
          <w:szCs w:val="24"/>
        </w:rPr>
        <w:t>Ņemot vērā, ka LAD visa informācija jau šobrīd ir elektroniski, tad datu publicēšana Latvijas Atvērto datu portālā mašīnlasāmā formātā iestādei neradītu papildu tēriņus.</w:t>
      </w:r>
    </w:p>
    <w:p w:rsidR="00A30829" w:rsidRPr="002E2CEA" w:rsidP="002E2CEA" w14:paraId="4A0AE760" w14:textId="77777777">
      <w:pPr>
        <w:spacing w:after="0" w:line="240" w:lineRule="auto"/>
        <w:ind w:firstLine="709"/>
        <w:jc w:val="both"/>
        <w:rPr>
          <w:rFonts w:ascii="Times New Roman" w:hAnsi="Times New Roman"/>
          <w:sz w:val="24"/>
          <w:szCs w:val="24"/>
        </w:rPr>
      </w:pPr>
    </w:p>
    <w:p w:rsidR="00A30829" w:rsidRPr="002E2CEA" w:rsidP="002E2CEA" w14:paraId="4A0AE761" w14:textId="77777777">
      <w:pPr>
        <w:pStyle w:val="ListParagraph"/>
        <w:numPr>
          <w:ilvl w:val="0"/>
          <w:numId w:val="12"/>
        </w:numPr>
        <w:jc w:val="both"/>
        <w:rPr>
          <w:b/>
        </w:rPr>
      </w:pPr>
      <w:r w:rsidRPr="002E2CEA">
        <w:rPr>
          <w:b/>
        </w:rPr>
        <w:t>VARAM rīcībā esošo datu kopu publicēšana</w:t>
      </w:r>
    </w:p>
    <w:p w:rsidR="00A30829" w:rsidRPr="002E2CEA" w:rsidP="002E2CEA" w14:paraId="4A0AE762" w14:textId="77777777">
      <w:pPr>
        <w:spacing w:after="0" w:line="240" w:lineRule="auto"/>
        <w:ind w:left="709"/>
        <w:jc w:val="both"/>
        <w:rPr>
          <w:rFonts w:ascii="Times New Roman" w:hAnsi="Times New Roman"/>
          <w:sz w:val="24"/>
          <w:szCs w:val="24"/>
        </w:rPr>
      </w:pPr>
    </w:p>
    <w:p w:rsidR="00A30829" w:rsidRPr="002E2CEA" w:rsidP="002E2CEA" w14:paraId="4A0AE763" w14:textId="77777777">
      <w:pPr>
        <w:spacing w:after="0" w:line="240" w:lineRule="auto"/>
        <w:ind w:firstLine="709"/>
        <w:jc w:val="both"/>
        <w:rPr>
          <w:rFonts w:ascii="Times New Roman" w:hAnsi="Times New Roman"/>
          <w:sz w:val="24"/>
          <w:szCs w:val="24"/>
        </w:rPr>
      </w:pPr>
      <w:r w:rsidRPr="002E2CEA">
        <w:rPr>
          <w:rFonts w:ascii="Times New Roman" w:hAnsi="Times New Roman"/>
          <w:sz w:val="24"/>
          <w:szCs w:val="24"/>
        </w:rPr>
        <w:t>VARAM šā gada 22.martā uzsāka kampaņu “</w:t>
      </w:r>
      <w:r w:rsidRPr="002E2CEA">
        <w:rPr>
          <w:rFonts w:ascii="Times New Roman" w:hAnsi="Times New Roman"/>
          <w:i/>
          <w:sz w:val="24"/>
          <w:szCs w:val="24"/>
        </w:rPr>
        <w:t>Šķiro viegli</w:t>
      </w:r>
      <w:r w:rsidRPr="002E2CEA">
        <w:rPr>
          <w:rFonts w:ascii="Times New Roman" w:hAnsi="Times New Roman"/>
          <w:sz w:val="24"/>
          <w:szCs w:val="24"/>
        </w:rPr>
        <w:t>”. Kampaņas mērķis ir informēt un izglītot iedzīvotājus par atkritumu dalītās vākšanas sistēmas sniegtajām iespējām, tādējādi veicinot Eiropas Savienības fondu ieguldījumu atdevi un sasniegto rezultātu ilgtermiņa ietekmi. Kampaņas virsuzdevums ir iedzīvotāju uzvedības un paradumu maiņa – panākot, ka atkritumu šķirošana to rašanās avotā (mājsaimniecībās, darba vietās, atpūtas vietās) ikdienā kļūst par neatņemamu un pašsaprotamu dzīvesveida sastāvdaļu.</w:t>
      </w:r>
    </w:p>
    <w:p w:rsidR="00A30829" w:rsidRPr="002E2CEA" w:rsidP="002E2CEA" w14:paraId="4A0AE764" w14:textId="77777777">
      <w:pPr>
        <w:spacing w:after="0" w:line="240" w:lineRule="auto"/>
        <w:ind w:firstLine="709"/>
        <w:jc w:val="both"/>
        <w:rPr>
          <w:rFonts w:ascii="Times New Roman" w:hAnsi="Times New Roman"/>
          <w:sz w:val="24"/>
          <w:szCs w:val="24"/>
        </w:rPr>
      </w:pPr>
      <w:r w:rsidRPr="002E2CEA">
        <w:rPr>
          <w:rFonts w:ascii="Times New Roman" w:hAnsi="Times New Roman"/>
          <w:sz w:val="24"/>
          <w:szCs w:val="24"/>
        </w:rPr>
        <w:t xml:space="preserve">Dati, attēloti uz kartes, ir pieejami portālā skiroviegli.lv, bet VARAM ir apņēmusies datus atvērto datu formātā 2018.gada 3.ceturksnī publicēt arī Latvijas Atvērto datu portālā. Šāda datu pieejamība rada iespēju efektivizēt atkritumu savākšanas procesu, norādīt īsāko ceļu līdz atkritumu </w:t>
      </w:r>
      <w:r w:rsidRPr="002E2CEA">
        <w:rPr>
          <w:rFonts w:ascii="Times New Roman" w:hAnsi="Times New Roman"/>
          <w:sz w:val="24"/>
          <w:szCs w:val="24"/>
        </w:rPr>
        <w:t>konteineriem iedzīvotājiem un uzņēmējiem. Tas rada iespēju sasaistīt šos datus ar vides piesārņojuma datiem, veikt šo datu analīzi, vizualizāciju un vēl vairāk veicināt iedzīvotāju izpratni un iesaisti atkritumu škirošanā.</w:t>
      </w:r>
    </w:p>
    <w:p w:rsidR="00A30829" w:rsidRPr="002E2CEA" w:rsidP="002E2CEA" w14:paraId="4A0AE765" w14:textId="77777777">
      <w:pPr>
        <w:spacing w:after="0" w:line="240" w:lineRule="auto"/>
        <w:ind w:firstLine="709"/>
        <w:jc w:val="both"/>
        <w:rPr>
          <w:rFonts w:ascii="Times New Roman" w:hAnsi="Times New Roman"/>
          <w:sz w:val="24"/>
          <w:szCs w:val="24"/>
        </w:rPr>
      </w:pPr>
      <w:r w:rsidRPr="002E2CEA">
        <w:rPr>
          <w:rFonts w:ascii="Times New Roman" w:hAnsi="Times New Roman"/>
          <w:sz w:val="24"/>
          <w:szCs w:val="24"/>
        </w:rPr>
        <w:t xml:space="preserve">Piemērs atkritumu šķirošanas punktu kartēšanai ir Prāgas pilsētas izstrādātā Kompleksā atkritumu apsaimniekošanas sistēma. Tās ietvaros ikvienam pilsētas iedzīvotājam ir pieejama informācija ar viņam tuvumā esošiem atkritumu šķirošanas punktiem, precīzi vizualizējot, kāda materiāla pieņemšana attiecīgajā šķirošanas punktā ir iespējama (skatīt: </w:t>
      </w:r>
      <w:r>
        <w:fldChar w:fldCharType="begin"/>
      </w:r>
      <w:r>
        <w:instrText xml:space="preserve"> HYPERLINK "https://ksnko.praha.eu/map-separated/" </w:instrText>
      </w:r>
      <w:r>
        <w:fldChar w:fldCharType="separate"/>
      </w:r>
      <w:r w:rsidRPr="002E2CEA">
        <w:rPr>
          <w:rStyle w:val="Hyperlink"/>
          <w:rFonts w:ascii="Times New Roman" w:hAnsi="Times New Roman"/>
          <w:sz w:val="24"/>
          <w:szCs w:val="24"/>
        </w:rPr>
        <w:t>https://ksnko.praha.eu/map-separated/</w:t>
      </w:r>
      <w:r>
        <w:fldChar w:fldCharType="end"/>
      </w:r>
      <w:r w:rsidRPr="002E2CEA">
        <w:rPr>
          <w:rFonts w:ascii="Times New Roman" w:hAnsi="Times New Roman"/>
          <w:sz w:val="24"/>
          <w:szCs w:val="24"/>
        </w:rPr>
        <w:t>).</w:t>
      </w:r>
    </w:p>
    <w:p w:rsidR="00A30829" w:rsidRPr="002E2CEA" w:rsidP="002E2CEA" w14:paraId="4A0AE766" w14:textId="77777777">
      <w:pPr>
        <w:spacing w:after="0" w:line="240" w:lineRule="auto"/>
        <w:jc w:val="both"/>
        <w:rPr>
          <w:rFonts w:ascii="Times New Roman" w:hAnsi="Times New Roman"/>
          <w:sz w:val="24"/>
          <w:szCs w:val="24"/>
        </w:rPr>
      </w:pPr>
      <w:r w:rsidRPr="002E2CEA">
        <w:rPr>
          <w:rFonts w:ascii="Times New Roman" w:hAnsi="Times New Roman"/>
          <w:sz w:val="24"/>
          <w:szCs w:val="24"/>
        </w:rPr>
        <w:tab/>
      </w:r>
      <w:r w:rsidRPr="002E2CEA">
        <w:rPr>
          <w:rFonts w:ascii="Times New Roman" w:hAnsi="Times New Roman"/>
          <w:bCs/>
          <w:sz w:val="24"/>
          <w:szCs w:val="24"/>
        </w:rPr>
        <w:t>Valsts vides dienesta (turpmāk - VVD) Radiācijas drošības centrs (turpmāk - RDC) laika posmā no 2016.gada rudens līdz 2017.gada rudenim organizēja radona gāzes koncentrācijas monitoringu darba vietās un publiskajās ēkās. Novērtējums tika veikts projekta “Radona gāzes mērījumi Latvijas darba vietās un publiskajās ēkās 2016./2017.gadā” ietvaros.</w:t>
      </w:r>
      <w:r w:rsidRPr="002E2CEA">
        <w:rPr>
          <w:rFonts w:ascii="Times New Roman" w:hAnsi="Times New Roman"/>
          <w:sz w:val="24"/>
          <w:szCs w:val="24"/>
        </w:rPr>
        <w:t xml:space="preserve"> Šī monitoringa datus VARAM publicēs 2018.gada 3.ceturksnī. </w:t>
      </w:r>
    </w:p>
    <w:p w:rsidR="00A30829" w:rsidRPr="002E2CEA" w:rsidP="002E2CEA" w14:paraId="4A0AE767" w14:textId="77777777">
      <w:pPr>
        <w:spacing w:after="0" w:line="240" w:lineRule="auto"/>
        <w:ind w:firstLine="709"/>
        <w:jc w:val="both"/>
        <w:rPr>
          <w:rFonts w:ascii="Times New Roman" w:hAnsi="Times New Roman"/>
          <w:sz w:val="24"/>
          <w:szCs w:val="24"/>
        </w:rPr>
      </w:pPr>
      <w:r w:rsidRPr="002E2CEA">
        <w:rPr>
          <w:rFonts w:ascii="Times New Roman" w:hAnsi="Times New Roman"/>
          <w:sz w:val="24"/>
          <w:szCs w:val="24"/>
        </w:rPr>
        <w:t xml:space="preserve">Bezmaksas mērījumi tika veikti visā Latvijā 197 uzņēmumu un iestāžu 243 ēkās, kopumā izvietojot tajās 955 ilgtermiņa detektorus. Iespējamās mērījumu vietas VVD RDC izraudzījās sadarbībā ar Rīgas Stradiņa universitātes Darba drošības un vides veselības institūtu, ņemot vērā nodarbināto un ēkā pastāvīgi esošo cilvēku skaitu. Detektoru izvietošanu visās ēkās klātienē veica VVD RDC inspektori. </w:t>
      </w:r>
    </w:p>
    <w:p w:rsidR="00A30829" w:rsidRPr="002E2CEA" w:rsidP="002E2CEA" w14:paraId="4A0AE768" w14:textId="77777777">
      <w:pPr>
        <w:spacing w:after="0" w:line="240" w:lineRule="auto"/>
        <w:ind w:firstLine="709"/>
        <w:jc w:val="both"/>
        <w:rPr>
          <w:rFonts w:ascii="Times New Roman" w:hAnsi="Times New Roman"/>
          <w:sz w:val="24"/>
          <w:szCs w:val="24"/>
        </w:rPr>
      </w:pPr>
      <w:r w:rsidRPr="002E2CEA">
        <w:rPr>
          <w:rFonts w:ascii="Times New Roman" w:hAnsi="Times New Roman"/>
          <w:sz w:val="24"/>
          <w:szCs w:val="24"/>
        </w:rPr>
        <w:t>Šī monitoringa dati var sniegt informāciju uzņēmējiem, darba aizsardzības pētījumiem, kā arī pilsētvides plānotājiem, jo iegūtie dati norāda konkrētos mērījumus un to ietekmējošos faktorus.</w:t>
      </w:r>
    </w:p>
    <w:p w:rsidR="00A30829" w:rsidRPr="002E2CEA" w:rsidP="002E2CEA" w14:paraId="4A0AE769" w14:textId="77777777">
      <w:pPr>
        <w:spacing w:after="0" w:line="240" w:lineRule="auto"/>
        <w:ind w:firstLine="709"/>
        <w:jc w:val="both"/>
        <w:rPr>
          <w:rFonts w:ascii="Times New Roman" w:hAnsi="Times New Roman"/>
          <w:sz w:val="24"/>
          <w:szCs w:val="24"/>
        </w:rPr>
      </w:pPr>
    </w:p>
    <w:p w:rsidR="00A30829" w:rsidRPr="002E2CEA" w:rsidP="002E2CEA" w14:paraId="4A0AE76A" w14:textId="77777777">
      <w:pPr>
        <w:pStyle w:val="ListParagraph"/>
        <w:numPr>
          <w:ilvl w:val="0"/>
          <w:numId w:val="12"/>
        </w:numPr>
        <w:jc w:val="both"/>
        <w:rPr>
          <w:b/>
        </w:rPr>
      </w:pPr>
      <w:r w:rsidRPr="002E2CEA">
        <w:rPr>
          <w:b/>
        </w:rPr>
        <w:t>Centrālās vēlēšanu komisijas rīcībā esošo datu kopu publicēšana</w:t>
      </w:r>
    </w:p>
    <w:p w:rsidR="00A30829" w:rsidRPr="002E2CEA" w:rsidP="002E2CEA" w14:paraId="4A0AE76B" w14:textId="77777777">
      <w:pPr>
        <w:spacing w:after="0" w:line="240" w:lineRule="auto"/>
        <w:jc w:val="both"/>
        <w:rPr>
          <w:rFonts w:ascii="Times New Roman" w:hAnsi="Times New Roman"/>
          <w:sz w:val="24"/>
          <w:szCs w:val="24"/>
        </w:rPr>
      </w:pPr>
    </w:p>
    <w:p w:rsidR="00A30829" w:rsidRPr="002E2CEA" w:rsidP="002E2CEA" w14:paraId="4A0AE76C" w14:textId="77777777">
      <w:pPr>
        <w:spacing w:after="0" w:line="240" w:lineRule="auto"/>
        <w:ind w:firstLine="709"/>
        <w:jc w:val="both"/>
        <w:rPr>
          <w:rFonts w:ascii="Times New Roman" w:hAnsi="Times New Roman"/>
          <w:sz w:val="24"/>
          <w:szCs w:val="24"/>
        </w:rPr>
      </w:pPr>
      <w:r w:rsidRPr="002E2CEA">
        <w:rPr>
          <w:rFonts w:ascii="Times New Roman" w:hAnsi="Times New Roman"/>
          <w:sz w:val="24"/>
          <w:szCs w:val="24"/>
        </w:rPr>
        <w:t>Viens no Centrālās vēlēšanu komisijas</w:t>
      </w:r>
      <w:r w:rsidRPr="002E2CEA">
        <w:rPr>
          <w:rFonts w:ascii="Times New Roman" w:hAnsi="Times New Roman"/>
          <w:b/>
          <w:sz w:val="24"/>
          <w:szCs w:val="24"/>
        </w:rPr>
        <w:t xml:space="preserve"> </w:t>
      </w:r>
      <w:r w:rsidRPr="002E2CEA">
        <w:rPr>
          <w:rFonts w:ascii="Times New Roman" w:hAnsi="Times New Roman"/>
          <w:sz w:val="24"/>
          <w:szCs w:val="24"/>
        </w:rPr>
        <w:t xml:space="preserve">(turpmāk – CVK) darbības uzdevumiem ir informēt un izglītot vēlētājus un Latvijas iedzīvotājus gan par vēlēšanām, gan kandidātu sarakstiem, vēlēšanu iecirkņiem, vēlētāju aktivitāti u.c. Tikšanās laikā CVK darbinieki bija vienisprātis, ka vēlēšanu rezultātus būtu jāpublicē arī mašīnlasāmā formātā, lai iedzīvotājiem tiktu sniegta iespēja arvien vairāk veidos pilsoniski izglītoties un iegūt informāciju gan par vēlēšanu procesiem, gan analizēt vēlēšanu rezultātus un iespējams radīt jaunus analīzes rīkus. CVK pārstāvji arī apņēmās pakāpeniski publicēt pašvaldību, Saeimas un Eiropas Parlamenta vēlēšanu datus, kā arī informāciju par deputātu kandidātiem. </w:t>
      </w:r>
    </w:p>
    <w:p w:rsidR="00A30829" w:rsidRPr="002E2CEA" w:rsidP="002E2CEA" w14:paraId="4A0AE76D" w14:textId="77777777">
      <w:pPr>
        <w:pStyle w:val="ListParagraph"/>
        <w:numPr>
          <w:ilvl w:val="0"/>
          <w:numId w:val="13"/>
        </w:numPr>
        <w:suppressAutoHyphens w:val="0"/>
      </w:pPr>
      <w:r w:rsidRPr="002E2CEA">
        <w:t>Līdz 2018. gada 15.jūnijam:</w:t>
      </w:r>
    </w:p>
    <w:p w:rsidR="00A30829" w:rsidRPr="002E2CEA" w:rsidP="002E2CEA" w14:paraId="4A0AE76E" w14:textId="77777777">
      <w:pPr>
        <w:pStyle w:val="ListParagraph"/>
        <w:numPr>
          <w:ilvl w:val="0"/>
          <w:numId w:val="14"/>
        </w:numPr>
      </w:pPr>
      <w:r w:rsidRPr="002E2CEA">
        <w:t>2017. gada pašvaldību vēlēšanu rezultāti;</w:t>
      </w:r>
    </w:p>
    <w:p w:rsidR="00A30829" w:rsidRPr="002E2CEA" w:rsidP="002E2CEA" w14:paraId="4A0AE76F" w14:textId="77777777">
      <w:pPr>
        <w:pStyle w:val="ListParagraph"/>
        <w:numPr>
          <w:ilvl w:val="0"/>
          <w:numId w:val="14"/>
        </w:numPr>
      </w:pPr>
      <w:r w:rsidRPr="002E2CEA">
        <w:t>2014. gada Saeimas vēlēšanu rezultāti.</w:t>
      </w:r>
    </w:p>
    <w:p w:rsidR="00A30829" w:rsidRPr="002E2CEA" w:rsidP="002E2CEA" w14:paraId="4A0AE770" w14:textId="77777777">
      <w:pPr>
        <w:spacing w:after="0" w:line="240" w:lineRule="auto"/>
        <w:rPr>
          <w:rFonts w:ascii="Times New Roman" w:hAnsi="Times New Roman"/>
          <w:sz w:val="24"/>
          <w:szCs w:val="24"/>
        </w:rPr>
      </w:pPr>
    </w:p>
    <w:p w:rsidR="00A30829" w:rsidRPr="002E2CEA" w:rsidP="002E2CEA" w14:paraId="4A0AE771" w14:textId="77777777">
      <w:pPr>
        <w:pStyle w:val="ListParagraph"/>
        <w:numPr>
          <w:ilvl w:val="0"/>
          <w:numId w:val="13"/>
        </w:numPr>
        <w:suppressAutoHyphens w:val="0"/>
      </w:pPr>
      <w:r w:rsidRPr="002E2CEA">
        <w:t>Līdz 2018. gada 15.decembrim:</w:t>
      </w:r>
    </w:p>
    <w:p w:rsidR="00A30829" w:rsidRPr="002E2CEA" w:rsidP="002E2CEA" w14:paraId="4A0AE772" w14:textId="77777777">
      <w:pPr>
        <w:pStyle w:val="ListParagraph"/>
        <w:numPr>
          <w:ilvl w:val="0"/>
          <w:numId w:val="16"/>
        </w:numPr>
        <w:ind w:left="1418"/>
      </w:pPr>
      <w:r w:rsidRPr="002E2CEA">
        <w:t>2018. gada Saeimas vēlēšanu rezultāti;</w:t>
      </w:r>
    </w:p>
    <w:p w:rsidR="00A30829" w:rsidRPr="002E2CEA" w:rsidP="002E2CEA" w14:paraId="4A0AE773" w14:textId="77777777">
      <w:pPr>
        <w:pStyle w:val="ListParagraph"/>
        <w:numPr>
          <w:ilvl w:val="0"/>
          <w:numId w:val="16"/>
        </w:numPr>
        <w:ind w:left="1418"/>
      </w:pPr>
      <w:r w:rsidRPr="002E2CEA">
        <w:t>2014. gada Eiropas Parlamenta vēlēšanu rezultāti;</w:t>
      </w:r>
    </w:p>
    <w:p w:rsidR="00A30829" w:rsidRPr="002E2CEA" w:rsidP="002E2CEA" w14:paraId="4A0AE774" w14:textId="77777777">
      <w:pPr>
        <w:pStyle w:val="ListParagraph"/>
        <w:numPr>
          <w:ilvl w:val="0"/>
          <w:numId w:val="16"/>
        </w:numPr>
        <w:ind w:left="1418"/>
      </w:pPr>
      <w:r w:rsidRPr="002E2CEA">
        <w:t>2012. gada tautas nobalsošanas par likumprojekta “Grozījumi Latvijas Republikas Satversmē” pieņemšanu (valodas referendums) rezultāti;</w:t>
      </w:r>
    </w:p>
    <w:p w:rsidR="00A30829" w:rsidRPr="002E2CEA" w:rsidP="002E2CEA" w14:paraId="4A0AE775" w14:textId="77777777">
      <w:pPr>
        <w:pStyle w:val="ListParagraph"/>
        <w:numPr>
          <w:ilvl w:val="0"/>
          <w:numId w:val="16"/>
        </w:numPr>
        <w:ind w:left="1418"/>
      </w:pPr>
      <w:r w:rsidRPr="002E2CEA">
        <w:t>2011. gada tautas nobalsošanas par 10.Saeimas atlaišanu rezultāti.</w:t>
      </w:r>
    </w:p>
    <w:p w:rsidR="00A30829" w:rsidRPr="002E2CEA" w:rsidP="002E2CEA" w14:paraId="4A0AE776" w14:textId="77777777">
      <w:pPr>
        <w:spacing w:after="0" w:line="240" w:lineRule="auto"/>
        <w:rPr>
          <w:rFonts w:ascii="Times New Roman" w:hAnsi="Times New Roman"/>
          <w:sz w:val="24"/>
          <w:szCs w:val="24"/>
        </w:rPr>
      </w:pPr>
    </w:p>
    <w:p w:rsidR="00A30829" w:rsidRPr="002E2CEA" w:rsidP="002E2CEA" w14:paraId="4A0AE777" w14:textId="77777777">
      <w:pPr>
        <w:pStyle w:val="ListParagraph"/>
        <w:numPr>
          <w:ilvl w:val="0"/>
          <w:numId w:val="13"/>
        </w:numPr>
        <w:suppressAutoHyphens w:val="0"/>
      </w:pPr>
      <w:r w:rsidRPr="002E2CEA">
        <w:t>Līdz 2019. gada 15. augustam:</w:t>
      </w:r>
    </w:p>
    <w:p w:rsidR="00A30829" w:rsidRPr="002E2CEA" w:rsidP="002E2CEA" w14:paraId="4A0AE778" w14:textId="77777777">
      <w:pPr>
        <w:pStyle w:val="ListParagraph"/>
        <w:numPr>
          <w:ilvl w:val="0"/>
          <w:numId w:val="15"/>
        </w:numPr>
      </w:pPr>
      <w:r w:rsidRPr="002E2CEA">
        <w:t>2019. gada Eiropas Parlamenta vēlēšanu rezultāti.</w:t>
      </w:r>
    </w:p>
    <w:p w:rsidR="00A30829" w:rsidRPr="002E2CEA" w:rsidP="002E2CEA" w14:paraId="4A0AE779" w14:textId="77777777">
      <w:pPr>
        <w:spacing w:after="0" w:line="240" w:lineRule="auto"/>
        <w:ind w:firstLine="709"/>
        <w:jc w:val="both"/>
        <w:rPr>
          <w:rFonts w:ascii="Times New Roman" w:hAnsi="Times New Roman"/>
          <w:sz w:val="24"/>
          <w:szCs w:val="24"/>
        </w:rPr>
      </w:pPr>
    </w:p>
    <w:p w:rsidR="00A30829" w:rsidRPr="002E2CEA" w:rsidP="002E2CEA" w14:paraId="4A0AE77A" w14:textId="77777777">
      <w:pPr>
        <w:spacing w:after="0" w:line="240" w:lineRule="auto"/>
        <w:ind w:firstLine="709"/>
        <w:jc w:val="both"/>
        <w:rPr>
          <w:rFonts w:ascii="Times New Roman" w:hAnsi="Times New Roman"/>
          <w:sz w:val="24"/>
          <w:szCs w:val="24"/>
        </w:rPr>
      </w:pPr>
      <w:r w:rsidRPr="002E2CEA">
        <w:rPr>
          <w:rFonts w:ascii="Times New Roman" w:hAnsi="Times New Roman"/>
          <w:sz w:val="24"/>
          <w:szCs w:val="24"/>
        </w:rPr>
        <w:t xml:space="preserve">Uzkrājot datus ilgākā laika periodā, pētniekiem un uzņēmējiem būtu iespējams veikt salīdzinošo analīzi – gan pētot kandidātu izvēli kandidēt konkrētā vēlēšanu apgabalā, gan vēlētāju aktivitāti. Datu publicēšana atvērto datu formātā sekmētu kandidātu, ģeogrāfisko reģionu u.c. datu sasaisti ar citām datu bāzēm, kas ļautu analizēt kandidātu un vēlētāju aktivitāti pēc dažādiem parametriem (piemēram, laikapstākļiem vēlēšanu dienā, deputāta kandidāta aktivitāti sociālajos tīklos, reklāmas kampaņu izmaksas u.c.). Šāda analīze par deputātu kandidātiem ļautu vēlētājiem </w:t>
      </w:r>
      <w:r w:rsidRPr="002E2CEA">
        <w:rPr>
          <w:rFonts w:ascii="Times New Roman" w:hAnsi="Times New Roman"/>
          <w:sz w:val="24"/>
          <w:szCs w:val="24"/>
        </w:rPr>
        <w:t xml:space="preserve">piedāvāt konstruktīvāku, plašāku un mērķētāku informāciju. </w:t>
      </w:r>
    </w:p>
    <w:p w:rsidR="00A30829" w:rsidRPr="002E2CEA" w:rsidP="002E2CEA" w14:paraId="4A0AE77B" w14:textId="77777777">
      <w:pPr>
        <w:spacing w:after="0" w:line="240" w:lineRule="auto"/>
        <w:ind w:firstLine="709"/>
        <w:jc w:val="both"/>
        <w:rPr>
          <w:rFonts w:ascii="Times New Roman" w:hAnsi="Times New Roman"/>
          <w:sz w:val="24"/>
          <w:szCs w:val="24"/>
        </w:rPr>
      </w:pPr>
      <w:r w:rsidRPr="002E2CEA">
        <w:rPr>
          <w:rFonts w:ascii="Times New Roman" w:hAnsi="Times New Roman"/>
          <w:sz w:val="24"/>
          <w:szCs w:val="24"/>
        </w:rPr>
        <w:t>Vēlēšanu procesu caurskatāmība ir pilsoniskās līdzdalības nevalstisko organizāciju interešu lokā. Ņemot vērā, ka 2018.gadā notiks Saeimas vēlēšanas un 2019.gadā notiks Eiropas Parlamenta vēlēšanas, CVK rīcībā esošie dati var sniegt būtisku informāciju dažādu analītisko rīku izstrādei, kas veicinās iedzīvotāju izpratni par politiskajiem procesiem un iesaisti tajos.</w:t>
      </w:r>
    </w:p>
    <w:p w:rsidR="00A30829" w:rsidRPr="002E2CEA" w:rsidP="002E2CEA" w14:paraId="4A0AE77C" w14:textId="77777777">
      <w:pPr>
        <w:spacing w:after="0" w:line="240" w:lineRule="auto"/>
        <w:ind w:left="709"/>
        <w:jc w:val="both"/>
        <w:rPr>
          <w:rFonts w:ascii="Times New Roman" w:hAnsi="Times New Roman"/>
          <w:sz w:val="24"/>
          <w:szCs w:val="24"/>
        </w:rPr>
      </w:pPr>
    </w:p>
    <w:p w:rsidR="00A30829" w:rsidRPr="002E2CEA" w:rsidP="002E2CEA" w14:paraId="4A0AE77D" w14:textId="77777777">
      <w:pPr>
        <w:pStyle w:val="ListParagraph"/>
        <w:numPr>
          <w:ilvl w:val="0"/>
          <w:numId w:val="12"/>
        </w:numPr>
        <w:jc w:val="both"/>
        <w:rPr>
          <w:b/>
        </w:rPr>
      </w:pPr>
      <w:r w:rsidRPr="002E2CEA">
        <w:rPr>
          <w:b/>
        </w:rPr>
        <w:t>Autotransporta direkcijas rīcībā esošo datu publicēšana</w:t>
      </w:r>
    </w:p>
    <w:p w:rsidR="00A30829" w:rsidRPr="002E2CEA" w:rsidP="002E2CEA" w14:paraId="4A0AE77E" w14:textId="77777777">
      <w:pPr>
        <w:spacing w:after="0" w:line="240" w:lineRule="auto"/>
        <w:jc w:val="both"/>
        <w:rPr>
          <w:rFonts w:ascii="Times New Roman" w:hAnsi="Times New Roman"/>
          <w:sz w:val="24"/>
          <w:szCs w:val="24"/>
        </w:rPr>
      </w:pPr>
    </w:p>
    <w:p w:rsidR="00A30829" w:rsidRPr="002E2CEA" w:rsidP="002E2CEA" w14:paraId="4A0AE77F" w14:textId="77777777">
      <w:pPr>
        <w:spacing w:after="0" w:line="240" w:lineRule="auto"/>
        <w:ind w:firstLine="709"/>
        <w:jc w:val="both"/>
        <w:rPr>
          <w:rFonts w:ascii="Times New Roman" w:hAnsi="Times New Roman"/>
          <w:sz w:val="24"/>
          <w:szCs w:val="24"/>
        </w:rPr>
      </w:pPr>
      <w:r w:rsidRPr="002E2CEA">
        <w:rPr>
          <w:rFonts w:ascii="Times New Roman" w:hAnsi="Times New Roman"/>
          <w:sz w:val="24"/>
          <w:szCs w:val="24"/>
        </w:rPr>
        <w:t>Autotransporta direkcijas (turpmāk – ATD) rīcībā ir precīza informācija par autobusu pieturvietu koordinātām, kā arī autobusu kustības saraksti, kas tiek regulāri atjaunināti. Tikšanās laikā ATD pārstāvis informēja, ka šādu datu publicēšana sabiedrībai nāktu par labu, jo lai gan informācija ir pieejama ATD tīmekļvietnē, to izmanto salīdzinoši mazs interesentu skaits un informācija nav mašīnlasāmā formātā. Autobusu pieturvietu koordinātu un kustību sarakstu (ar automātisku informācijas atjaunināšanu reizi dienā) publicēšanas uzsākšanu Latvijas Atvērto datu portālā varētu nodrošināt līdz 2018.gada beigām, jo ATD uzturētajai Vienotajai sabiedriskā transporta pakalpojumu uzskaites sistēmai (STIFSS) jāizstrādā saskarne pēc CKAN  API (Comprehensive Knowledge Archive Network application programming interface) dokumentācijas standartiem, lai nodrošinātu automatizētu datu eksportu uz Latvijas Atvērto datu portālu. CKAN API ir atvērtā koda tehnoloģija, ar kuru realizēts Latvijas Atvērtā datu portāls. ATD risinājums ietver izveidot nepieciešamās datu struktūras Latvijas Atvērtam datu portālam. Izveidotā platforma tiks pārizmantota nākamo datu kopu publicēšanai.</w:t>
      </w:r>
    </w:p>
    <w:p w:rsidR="00A30829" w:rsidRPr="002E2CEA" w:rsidP="002E2CEA" w14:paraId="4A0AE780" w14:textId="77777777">
      <w:pPr>
        <w:spacing w:after="0" w:line="240" w:lineRule="auto"/>
        <w:ind w:firstLine="709"/>
        <w:jc w:val="both"/>
        <w:rPr>
          <w:rFonts w:ascii="Times New Roman" w:hAnsi="Times New Roman"/>
          <w:sz w:val="24"/>
          <w:szCs w:val="24"/>
        </w:rPr>
      </w:pPr>
      <w:r w:rsidRPr="002E2CEA">
        <w:rPr>
          <w:rFonts w:ascii="Times New Roman" w:hAnsi="Times New Roman"/>
          <w:sz w:val="24"/>
          <w:szCs w:val="24"/>
        </w:rPr>
        <w:t>Šo divu datu kopu pieejamība mašīnlasāmā formātā radītu priekšnosacījumus pakalpojumu (mobilo lietotņu) ērtākai, efektīvākai sabiedriskā transporta lietošanai, tūristiem Latvijas apceļošanas maršrutu plānošanā, kā arī iedzīvotājiem ikdienas lietošanai. Šo datu analīze, vizualizācija un to kombinēšana ar citām datu kopām, piemēram, noziedzīgo nodarījumu statistiku un ceļu satiksmes negadījumu karti, ļautu noteikt kritiskās, iedzīvotājiem un tūristiem potenciāli bīstamas vietas.</w:t>
      </w:r>
    </w:p>
    <w:p w:rsidR="00A30829" w:rsidRPr="002E2CEA" w:rsidP="002E2CEA" w14:paraId="4A0AE781" w14:textId="77777777">
      <w:pPr>
        <w:spacing w:after="0" w:line="240" w:lineRule="auto"/>
        <w:ind w:firstLine="709"/>
        <w:jc w:val="both"/>
        <w:rPr>
          <w:rFonts w:ascii="Times New Roman" w:hAnsi="Times New Roman"/>
          <w:sz w:val="24"/>
          <w:szCs w:val="24"/>
        </w:rPr>
      </w:pPr>
      <w:r w:rsidRPr="002E2CEA">
        <w:rPr>
          <w:rFonts w:ascii="Times New Roman" w:hAnsi="Times New Roman"/>
          <w:sz w:val="24"/>
          <w:szCs w:val="24"/>
        </w:rPr>
        <w:t xml:space="preserve">Piemēram, sasaistot šīs datu kopas ar atvērtā datu risinājumu OpenStreetMap, tiktu nodrošināta brīvi pieejama un tālāk izmantojama, kā arī rediģējama, karte. Kā starptautisks piemērs ir Londonas pilsētas autobusu lietotne </w:t>
      </w:r>
      <w:r>
        <w:fldChar w:fldCharType="begin"/>
      </w:r>
      <w:r>
        <w:instrText xml:space="preserve"> HYPERLINK "http://www.busguru.co.uk" </w:instrText>
      </w:r>
      <w:r>
        <w:fldChar w:fldCharType="separate"/>
      </w:r>
      <w:r w:rsidRPr="002E2CEA">
        <w:rPr>
          <w:rStyle w:val="Hyperlink"/>
          <w:rFonts w:ascii="Times New Roman" w:hAnsi="Times New Roman"/>
          <w:sz w:val="24"/>
          <w:szCs w:val="24"/>
        </w:rPr>
        <w:t>www.busguru.co.uk</w:t>
      </w:r>
      <w:r>
        <w:fldChar w:fldCharType="end"/>
      </w:r>
      <w:r w:rsidRPr="002E2CEA">
        <w:rPr>
          <w:rFonts w:ascii="Times New Roman" w:hAnsi="Times New Roman"/>
          <w:sz w:val="24"/>
          <w:szCs w:val="24"/>
        </w:rPr>
        <w:t xml:space="preserve">, kura pilsētas iedzīvotājiem un tās apmeklētājiem piedāvā reāllaika satiksmes informāciju un potenciālo pārvietošanās laiku. </w:t>
      </w:r>
    </w:p>
    <w:p w:rsidR="00A30829" w:rsidRPr="002E2CEA" w:rsidP="002E2CEA" w14:paraId="4A0AE782" w14:textId="77777777">
      <w:pPr>
        <w:spacing w:after="0" w:line="240" w:lineRule="auto"/>
        <w:ind w:left="709"/>
        <w:jc w:val="both"/>
        <w:rPr>
          <w:rFonts w:ascii="Times New Roman" w:hAnsi="Times New Roman"/>
          <w:sz w:val="24"/>
          <w:szCs w:val="24"/>
        </w:rPr>
      </w:pPr>
    </w:p>
    <w:p w:rsidR="00A30829" w:rsidRPr="002E2CEA" w:rsidP="002E2CEA" w14:paraId="4A0AE783" w14:textId="77777777">
      <w:pPr>
        <w:pStyle w:val="ListParagraph"/>
        <w:numPr>
          <w:ilvl w:val="0"/>
          <w:numId w:val="12"/>
        </w:numPr>
        <w:jc w:val="both"/>
        <w:rPr>
          <w:b/>
        </w:rPr>
      </w:pPr>
      <w:r w:rsidRPr="002E2CEA">
        <w:rPr>
          <w:b/>
        </w:rPr>
        <w:t xml:space="preserve">Latvijas Vides, ģeoloģijas un meteoroloģijas centra datu publicēšana </w:t>
      </w:r>
    </w:p>
    <w:p w:rsidR="00A30829" w:rsidRPr="002E2CEA" w:rsidP="002E2CEA" w14:paraId="4A0AE784" w14:textId="77777777">
      <w:pPr>
        <w:pStyle w:val="ListParagraph"/>
        <w:ind w:left="1069"/>
        <w:jc w:val="both"/>
      </w:pPr>
    </w:p>
    <w:p w:rsidR="00A30829" w:rsidRPr="002E2CEA" w:rsidP="002E2CEA" w14:paraId="4A0AE785" w14:textId="77777777">
      <w:pPr>
        <w:spacing w:after="0" w:line="240" w:lineRule="auto"/>
        <w:ind w:firstLine="709"/>
        <w:jc w:val="both"/>
        <w:rPr>
          <w:rFonts w:ascii="Times New Roman" w:hAnsi="Times New Roman"/>
          <w:sz w:val="24"/>
          <w:szCs w:val="24"/>
        </w:rPr>
      </w:pPr>
      <w:r w:rsidRPr="002E2CEA">
        <w:rPr>
          <w:rFonts w:ascii="Times New Roman" w:hAnsi="Times New Roman"/>
          <w:sz w:val="24"/>
          <w:szCs w:val="24"/>
        </w:rPr>
        <w:t xml:space="preserve">Latvijas Vides, ģeoloģijas un meteoroloģijas centra (turpmāk – LVĢMC) viens no mērķiem ir vides informācijas apkopošana, uzkrāšana un sniegšana sabiedrībai un valsts un pašvaldību institūcijām. LVĢMC jau šobrīd savā tīmekļvietnē publicē sabiedrību interesējošus datus (piem. Ūdens un Gaisa kvalitātes mērījumi), taču tas netiek darīts mašīnlasāmā veidā, tādējādi apgrūtinot to atkalizmantošanu. PFD datņu pārskatus, kurus šobrīd publicē iestāde, satur daudz dažādu interesantu metadatu par ūdens tilpņu mērījumiem, gaisa piesārņojumiem u.c., taču šāda veida pārskati ievērojami apgrūtina jaunu inovāciju radīšanu. Ņemot vērā, ka, lai sagatavotu šāda veida pārskatus ar tabulām un diagrammām, jau eksistē metadati, no kuriem tās tiek radītas, LVĢMC netiek radīts papildu slogs vai izmaksas, lai publicētu jau esošos datus Atvērto datu portālā.  </w:t>
      </w:r>
    </w:p>
    <w:p w:rsidR="00A30829" w:rsidRPr="002E2CEA" w:rsidP="002E2CEA" w14:paraId="4A0AE786" w14:textId="77777777">
      <w:pPr>
        <w:spacing w:after="0" w:line="240" w:lineRule="auto"/>
        <w:ind w:firstLine="709"/>
        <w:jc w:val="both"/>
        <w:rPr>
          <w:rFonts w:ascii="Times New Roman" w:hAnsi="Times New Roman"/>
          <w:sz w:val="24"/>
          <w:szCs w:val="24"/>
        </w:rPr>
      </w:pPr>
      <w:r w:rsidRPr="002E2CEA">
        <w:rPr>
          <w:rFonts w:ascii="Times New Roman" w:hAnsi="Times New Roman"/>
          <w:sz w:val="24"/>
          <w:szCs w:val="24"/>
        </w:rPr>
        <w:t xml:space="preserve">Lai sekmētu valsts atvērto datu politikas turpmāku virzību un radītu arvien jaunus pakalpojumus un produktu izveidi, LVĢMC līdz 2018.gada beigām publicēs šādas datu kopas: </w:t>
      </w:r>
    </w:p>
    <w:p w:rsidR="00A30829" w:rsidRPr="002E2CEA" w:rsidP="002E2CEA" w14:paraId="4A0AE787" w14:textId="77777777">
      <w:pPr>
        <w:spacing w:after="0" w:line="240" w:lineRule="auto"/>
        <w:jc w:val="both"/>
        <w:rPr>
          <w:rFonts w:ascii="Times New Roman" w:hAnsi="Times New Roman"/>
          <w:sz w:val="24"/>
          <w:szCs w:val="24"/>
        </w:rPr>
      </w:pPr>
      <w:r w:rsidRPr="002E2CEA">
        <w:rPr>
          <w:rFonts w:ascii="Times New Roman" w:hAnsi="Times New Roman"/>
          <w:sz w:val="24"/>
          <w:szCs w:val="24"/>
        </w:rPr>
        <w:t>•</w:t>
      </w:r>
      <w:r w:rsidRPr="002E2CEA">
        <w:rPr>
          <w:rFonts w:ascii="Times New Roman" w:hAnsi="Times New Roman"/>
          <w:sz w:val="24"/>
          <w:szCs w:val="24"/>
        </w:rPr>
        <w:tab/>
        <w:t>Gaisa kvalitāte;</w:t>
      </w:r>
    </w:p>
    <w:p w:rsidR="00A30829" w:rsidRPr="002E2CEA" w:rsidP="002E2CEA" w14:paraId="4A0AE788" w14:textId="77777777">
      <w:pPr>
        <w:spacing w:after="0" w:line="240" w:lineRule="auto"/>
        <w:jc w:val="both"/>
        <w:rPr>
          <w:rFonts w:ascii="Times New Roman" w:hAnsi="Times New Roman"/>
          <w:sz w:val="24"/>
          <w:szCs w:val="24"/>
        </w:rPr>
      </w:pPr>
      <w:r w:rsidRPr="002E2CEA">
        <w:rPr>
          <w:rFonts w:ascii="Times New Roman" w:hAnsi="Times New Roman"/>
          <w:sz w:val="24"/>
          <w:szCs w:val="24"/>
        </w:rPr>
        <w:t>•</w:t>
      </w:r>
      <w:r w:rsidRPr="002E2CEA">
        <w:rPr>
          <w:rFonts w:ascii="Times New Roman" w:hAnsi="Times New Roman"/>
          <w:sz w:val="24"/>
          <w:szCs w:val="24"/>
        </w:rPr>
        <w:tab/>
        <w:t xml:space="preserve">Ūdens kvalitāte. </w:t>
      </w:r>
    </w:p>
    <w:p w:rsidR="00A30829" w:rsidRPr="002E2CEA" w:rsidP="002E2CEA" w14:paraId="4A0AE78A" w14:textId="7B99AAF0">
      <w:pPr>
        <w:spacing w:after="0" w:line="240" w:lineRule="auto"/>
        <w:ind w:firstLine="709"/>
        <w:jc w:val="both"/>
        <w:rPr>
          <w:rFonts w:ascii="Times New Roman" w:hAnsi="Times New Roman"/>
          <w:sz w:val="24"/>
          <w:szCs w:val="24"/>
        </w:rPr>
      </w:pPr>
      <w:r w:rsidRPr="002E2CEA">
        <w:rPr>
          <w:rFonts w:ascii="Times New Roman" w:hAnsi="Times New Roman"/>
          <w:sz w:val="24"/>
          <w:szCs w:val="24"/>
        </w:rPr>
        <w:t xml:space="preserve">Ņemot vērā, ka LVĢMC rīcībā ir datu kopas, kuras tiek iekļautas LVĢMC maksas cenrādī (piemēram meteoroloģiskie novērojumi, prognozes trīs dienām), VARAM šo datu kopu publicēšanu mašīnlasāmā formātā bez maksas risinās sava resora iekšienē. </w:t>
      </w:r>
    </w:p>
    <w:p w:rsidR="00A30829" w:rsidRPr="002E2CEA" w:rsidP="002E2CEA" w14:paraId="4A0AE78B" w14:textId="77777777">
      <w:pPr>
        <w:pStyle w:val="ListParagraph"/>
        <w:ind w:left="1069"/>
        <w:jc w:val="both"/>
      </w:pPr>
    </w:p>
    <w:p w:rsidR="00A30829" w:rsidRPr="002E2CEA" w:rsidP="002E2CEA" w14:paraId="4A0AE78C" w14:textId="77777777">
      <w:pPr>
        <w:pStyle w:val="ListParagraph"/>
        <w:numPr>
          <w:ilvl w:val="0"/>
          <w:numId w:val="12"/>
        </w:numPr>
        <w:jc w:val="both"/>
        <w:rPr>
          <w:b/>
        </w:rPr>
      </w:pPr>
      <w:r w:rsidRPr="002E2CEA">
        <w:rPr>
          <w:b/>
        </w:rPr>
        <w:t>Dabas aizsardzības pārvaldes datu publicēšana</w:t>
      </w:r>
    </w:p>
    <w:p w:rsidR="00A30829" w:rsidRPr="002E2CEA" w:rsidP="002E2CEA" w14:paraId="4A0AE78D" w14:textId="77777777">
      <w:pPr>
        <w:pStyle w:val="ListParagraph"/>
        <w:ind w:left="1069"/>
        <w:jc w:val="both"/>
        <w:rPr>
          <w:b/>
        </w:rPr>
      </w:pPr>
      <w:bookmarkStart w:id="0" w:name="_GoBack"/>
      <w:bookmarkEnd w:id="0"/>
    </w:p>
    <w:p w:rsidR="00A30829" w:rsidRPr="002E2CEA" w:rsidP="002E2CEA" w14:paraId="4A0AE78E" w14:textId="77777777">
      <w:pPr>
        <w:spacing w:after="0" w:line="240" w:lineRule="auto"/>
        <w:ind w:firstLine="709"/>
        <w:jc w:val="both"/>
        <w:rPr>
          <w:rFonts w:ascii="Times New Roman" w:hAnsi="Times New Roman"/>
          <w:sz w:val="24"/>
          <w:szCs w:val="24"/>
        </w:rPr>
      </w:pPr>
      <w:r w:rsidRPr="002E2CEA">
        <w:rPr>
          <w:rFonts w:ascii="Times New Roman" w:hAnsi="Times New Roman"/>
          <w:sz w:val="24"/>
          <w:szCs w:val="24"/>
        </w:rPr>
        <w:t xml:space="preserve">Dabas aizsardzības pārvalde ir minama kā pozitīvs piemērs, kad iestāde, izvērtējot datu publicēšanas lietderīgumu, datus, kas ir tās rīcībā, brīvprātīgi publicē Latvijas Atvērto datu portālā. Dabas aizsardzības pārvalde ir publicējusi tās rīcībā esošos datus datu kopā “Īpaši aizsargājamās dabas teritorijas”, kas pētniekiem un uzņēmējiem sniedz labāku un atvieglotu iespēju izmantot tos savām vajadzībām, lieki neveicot papildu darbības savstarpēji savietojot dažādas datu kopas. </w:t>
      </w:r>
    </w:p>
    <w:p w:rsidR="00A30829" w:rsidRPr="002E2CEA" w:rsidP="002E2CEA" w14:paraId="4A0AE78F" w14:textId="77777777">
      <w:pPr>
        <w:spacing w:after="0" w:line="240" w:lineRule="auto"/>
        <w:ind w:firstLine="709"/>
        <w:jc w:val="both"/>
        <w:rPr>
          <w:rFonts w:ascii="Times New Roman" w:hAnsi="Times New Roman"/>
          <w:sz w:val="24"/>
          <w:szCs w:val="24"/>
        </w:rPr>
      </w:pPr>
      <w:r w:rsidRPr="002E2CEA">
        <w:rPr>
          <w:rFonts w:ascii="Times New Roman" w:hAnsi="Times New Roman"/>
          <w:sz w:val="24"/>
          <w:szCs w:val="24"/>
        </w:rPr>
        <w:t xml:space="preserve">Īpaši aizsargājamās dabas teritorijas Latvijā ir ģeogrāfiski noteiktas platības, kas atrodas īpašā valsts aizsardzībā, lai aizsargātu un saglabātu dabas daudzveidību - retas un tipiskas dabas ekosistēmas, aizsargājamo sugu dzīves vidi, savdabīgas, skaistas un Latvijai raksturīgas ainavas, ģeoloģiskos un ģeomorfoloģiskos veidojumus, dendroloģiskos stādījumus un dižkokus, kā arī sabiedrības atpūtai, izglītošanai un audzināšanai nozīmīgas teritorijas. Datu kopā apkopoti dati par īpaši aizsargājamām dabas teritorijām, to funkcionālajām zonām, mikroliegumiem un NATURA 2000 teritorijām. </w:t>
      </w:r>
    </w:p>
    <w:p w:rsidR="00A30829" w:rsidRPr="002E2CEA" w:rsidP="002E2CEA" w14:paraId="4A0AE791" w14:textId="3D5325F0">
      <w:pPr>
        <w:spacing w:after="0" w:line="240" w:lineRule="auto"/>
        <w:ind w:firstLine="709"/>
        <w:jc w:val="both"/>
        <w:rPr>
          <w:rFonts w:ascii="Times New Roman" w:hAnsi="Times New Roman"/>
          <w:sz w:val="24"/>
          <w:szCs w:val="24"/>
        </w:rPr>
      </w:pPr>
      <w:r w:rsidRPr="002E2CEA">
        <w:rPr>
          <w:rFonts w:ascii="Times New Roman" w:hAnsi="Times New Roman"/>
          <w:sz w:val="24"/>
          <w:szCs w:val="24"/>
        </w:rPr>
        <w:t>Dabas aizsardzības pārvalde nākotnē plāno publicēt atsevišķas datu kopas arī par īpaši aizsargājamiem biotopiem un Eiropas Savienības aizsargājamiem biotopiem, kā arī par īpaši aizsargājamām sugām un to dzīvotnēm. Attiecībā uz informāciju par mikroliegumiem tiks izveidota atsevišķa datu kopa, izdalot šo informāciju no datu kopas par īpaši aizsargājamām dabas teritorijām.</w:t>
      </w:r>
    </w:p>
    <w:p w:rsidR="00A30829" w:rsidP="00A30829" w14:paraId="4A0AE792" w14:textId="77777777">
      <w:pPr>
        <w:pStyle w:val="ListParagraph"/>
        <w:ind w:left="1069"/>
        <w:jc w:val="both"/>
        <w:rPr>
          <w:b/>
        </w:rPr>
      </w:pPr>
    </w:p>
    <w:p w:rsidR="002E2CEA" w:rsidP="002E2CEA" w14:paraId="355AEA9D" w14:textId="6A694727">
      <w:pPr>
        <w:pStyle w:val="ListParagraph"/>
        <w:numPr>
          <w:ilvl w:val="0"/>
          <w:numId w:val="12"/>
        </w:numPr>
        <w:jc w:val="both"/>
        <w:rPr>
          <w:b/>
        </w:rPr>
      </w:pPr>
      <w:r>
        <w:rPr>
          <w:b/>
        </w:rPr>
        <w:t>Apkopojums par iesniedzamajām datu kopām</w:t>
      </w:r>
    </w:p>
    <w:p w:rsidR="002E2CEA" w:rsidRPr="002E2CEA" w:rsidP="002E2CEA" w14:paraId="63DB8120" w14:textId="77777777">
      <w:pPr>
        <w:pStyle w:val="ListParagraph"/>
        <w:ind w:left="1069"/>
        <w:jc w:val="both"/>
        <w:rPr>
          <w:b/>
        </w:rPr>
      </w:pPr>
    </w:p>
    <w:tbl>
      <w:tblPr>
        <w:tblStyle w:val="TableGrid"/>
        <w:tblW w:w="0" w:type="auto"/>
        <w:tblLayout w:type="fixed"/>
        <w:tblLook w:val="04A0"/>
      </w:tblPr>
      <w:tblGrid>
        <w:gridCol w:w="704"/>
        <w:gridCol w:w="1814"/>
        <w:gridCol w:w="3941"/>
        <w:gridCol w:w="2602"/>
      </w:tblGrid>
      <w:tr w14:paraId="4A0AE79A" w14:textId="77777777" w:rsidTr="00537A80">
        <w:tblPrEx>
          <w:tblW w:w="0" w:type="auto"/>
          <w:tblLayout w:type="fixed"/>
          <w:tblLook w:val="04A0"/>
        </w:tblPrEx>
        <w:tc>
          <w:tcPr>
            <w:tcW w:w="704" w:type="dxa"/>
            <w:shd w:val="clear" w:color="auto" w:fill="D9D9D9" w:themeFill="background1" w:themeFillShade="D9"/>
          </w:tcPr>
          <w:p w:rsidR="00A30829" w:rsidRPr="00314809" w:rsidP="00537A80" w14:paraId="4A0AE796" w14:textId="77777777">
            <w:pPr>
              <w:jc w:val="both"/>
            </w:pPr>
            <w:r>
              <w:t>Nr.p.k.</w:t>
            </w:r>
          </w:p>
        </w:tc>
        <w:tc>
          <w:tcPr>
            <w:tcW w:w="1814" w:type="dxa"/>
            <w:shd w:val="clear" w:color="auto" w:fill="D9D9D9" w:themeFill="background1" w:themeFillShade="D9"/>
          </w:tcPr>
          <w:p w:rsidR="00A30829" w:rsidRPr="00314809" w:rsidP="00537A80" w14:paraId="4A0AE797" w14:textId="77777777">
            <w:pPr>
              <w:jc w:val="both"/>
            </w:pPr>
            <w:r w:rsidRPr="00314809">
              <w:t>Iestāde</w:t>
            </w:r>
          </w:p>
        </w:tc>
        <w:tc>
          <w:tcPr>
            <w:tcW w:w="3941" w:type="dxa"/>
            <w:shd w:val="clear" w:color="auto" w:fill="D9D9D9" w:themeFill="background1" w:themeFillShade="D9"/>
          </w:tcPr>
          <w:p w:rsidR="00A30829" w:rsidRPr="00314809" w:rsidP="00537A80" w14:paraId="4A0AE798" w14:textId="77777777">
            <w:pPr>
              <w:jc w:val="both"/>
            </w:pPr>
            <w:r w:rsidRPr="00314809">
              <w:t>Datu kopa</w:t>
            </w:r>
          </w:p>
        </w:tc>
        <w:tc>
          <w:tcPr>
            <w:tcW w:w="2602" w:type="dxa"/>
            <w:shd w:val="clear" w:color="auto" w:fill="D9D9D9" w:themeFill="background1" w:themeFillShade="D9"/>
          </w:tcPr>
          <w:p w:rsidR="00A30829" w:rsidRPr="00314809" w:rsidP="00537A80" w14:paraId="4A0AE799" w14:textId="77777777">
            <w:pPr>
              <w:jc w:val="both"/>
            </w:pPr>
            <w:r w:rsidRPr="00314809">
              <w:t>Termiņš</w:t>
            </w:r>
          </w:p>
        </w:tc>
      </w:tr>
      <w:tr w14:paraId="4A0AE79F" w14:textId="77777777" w:rsidTr="00537A80">
        <w:tblPrEx>
          <w:tblW w:w="0" w:type="auto"/>
          <w:tblLayout w:type="fixed"/>
          <w:tblLook w:val="04A0"/>
        </w:tblPrEx>
        <w:tc>
          <w:tcPr>
            <w:tcW w:w="704" w:type="dxa"/>
          </w:tcPr>
          <w:p w:rsidR="00A30829" w:rsidRPr="00314809" w:rsidP="00537A80" w14:paraId="4A0AE79B" w14:textId="77777777">
            <w:pPr>
              <w:jc w:val="both"/>
            </w:pPr>
            <w:r>
              <w:t>1.</w:t>
            </w:r>
          </w:p>
        </w:tc>
        <w:tc>
          <w:tcPr>
            <w:tcW w:w="1814" w:type="dxa"/>
          </w:tcPr>
          <w:p w:rsidR="00A30829" w:rsidRPr="00314809" w:rsidP="00537A80" w14:paraId="4A0AE79C" w14:textId="77777777">
            <w:pPr>
              <w:jc w:val="both"/>
            </w:pPr>
            <w:r w:rsidRPr="00314809">
              <w:t>CVK</w:t>
            </w:r>
          </w:p>
        </w:tc>
        <w:tc>
          <w:tcPr>
            <w:tcW w:w="3941" w:type="dxa"/>
          </w:tcPr>
          <w:p w:rsidR="00A30829" w:rsidRPr="00314809" w:rsidP="00537A80" w14:paraId="4A0AE79D" w14:textId="77777777">
            <w:pPr>
              <w:jc w:val="both"/>
            </w:pPr>
            <w:r w:rsidRPr="00314809">
              <w:t>2017. gada pašvaldību vēlēšanu rezultāti</w:t>
            </w:r>
          </w:p>
        </w:tc>
        <w:tc>
          <w:tcPr>
            <w:tcW w:w="2602" w:type="dxa"/>
          </w:tcPr>
          <w:p w:rsidR="00A30829" w:rsidRPr="00314809" w:rsidP="00537A80" w14:paraId="4A0AE79E" w14:textId="77777777">
            <w:pPr>
              <w:jc w:val="both"/>
            </w:pPr>
            <w:r w:rsidRPr="00314809">
              <w:t>Līdz 15.06.2018.</w:t>
            </w:r>
          </w:p>
        </w:tc>
      </w:tr>
      <w:tr w14:paraId="4A0AE7A4" w14:textId="77777777" w:rsidTr="00537A80">
        <w:tblPrEx>
          <w:tblW w:w="0" w:type="auto"/>
          <w:tblLayout w:type="fixed"/>
          <w:tblLook w:val="04A0"/>
        </w:tblPrEx>
        <w:tc>
          <w:tcPr>
            <w:tcW w:w="704" w:type="dxa"/>
          </w:tcPr>
          <w:p w:rsidR="00A30829" w:rsidRPr="00314809" w:rsidP="00537A80" w14:paraId="4A0AE7A0" w14:textId="77777777">
            <w:pPr>
              <w:jc w:val="both"/>
            </w:pPr>
            <w:r>
              <w:t>2.</w:t>
            </w:r>
          </w:p>
        </w:tc>
        <w:tc>
          <w:tcPr>
            <w:tcW w:w="1814" w:type="dxa"/>
          </w:tcPr>
          <w:p w:rsidR="00A30829" w:rsidRPr="00314809" w:rsidP="00537A80" w14:paraId="4A0AE7A1" w14:textId="77777777">
            <w:pPr>
              <w:jc w:val="both"/>
            </w:pPr>
            <w:r w:rsidRPr="00314809">
              <w:t>CVK</w:t>
            </w:r>
          </w:p>
        </w:tc>
        <w:tc>
          <w:tcPr>
            <w:tcW w:w="3941" w:type="dxa"/>
          </w:tcPr>
          <w:p w:rsidR="00A30829" w:rsidRPr="00314809" w:rsidP="00537A80" w14:paraId="4A0AE7A2" w14:textId="77777777">
            <w:pPr>
              <w:jc w:val="both"/>
            </w:pPr>
            <w:r w:rsidRPr="00314809">
              <w:t>2014. gada Saeimas vēlēšanu rezultāti</w:t>
            </w:r>
          </w:p>
        </w:tc>
        <w:tc>
          <w:tcPr>
            <w:tcW w:w="2602" w:type="dxa"/>
          </w:tcPr>
          <w:p w:rsidR="00A30829" w:rsidRPr="00314809" w:rsidP="00537A80" w14:paraId="4A0AE7A3" w14:textId="77777777">
            <w:pPr>
              <w:jc w:val="both"/>
            </w:pPr>
            <w:r w:rsidRPr="00314809">
              <w:t>Līdz 15.06.2018.</w:t>
            </w:r>
          </w:p>
        </w:tc>
      </w:tr>
      <w:tr w14:paraId="4A0AE7A9" w14:textId="77777777" w:rsidTr="00537A80">
        <w:tblPrEx>
          <w:tblW w:w="0" w:type="auto"/>
          <w:tblLayout w:type="fixed"/>
          <w:tblLook w:val="04A0"/>
        </w:tblPrEx>
        <w:tc>
          <w:tcPr>
            <w:tcW w:w="704" w:type="dxa"/>
          </w:tcPr>
          <w:p w:rsidR="00A30829" w:rsidRPr="00314809" w:rsidP="00537A80" w14:paraId="4A0AE7A5" w14:textId="77777777">
            <w:pPr>
              <w:jc w:val="both"/>
            </w:pPr>
            <w:r>
              <w:t>3.</w:t>
            </w:r>
          </w:p>
        </w:tc>
        <w:tc>
          <w:tcPr>
            <w:tcW w:w="1814" w:type="dxa"/>
          </w:tcPr>
          <w:p w:rsidR="00A30829" w:rsidRPr="00314809" w:rsidP="00537A80" w14:paraId="4A0AE7A6" w14:textId="77777777">
            <w:pPr>
              <w:jc w:val="both"/>
            </w:pPr>
            <w:r w:rsidRPr="00314809">
              <w:t>CVK</w:t>
            </w:r>
          </w:p>
        </w:tc>
        <w:tc>
          <w:tcPr>
            <w:tcW w:w="3941" w:type="dxa"/>
          </w:tcPr>
          <w:p w:rsidR="00A30829" w:rsidRPr="00314809" w:rsidP="00537A80" w14:paraId="4A0AE7A7" w14:textId="77777777">
            <w:pPr>
              <w:jc w:val="both"/>
            </w:pPr>
            <w:r w:rsidRPr="00314809">
              <w:t>2018. gada Saeimas vēlēšanu rezultāti</w:t>
            </w:r>
          </w:p>
        </w:tc>
        <w:tc>
          <w:tcPr>
            <w:tcW w:w="2602" w:type="dxa"/>
          </w:tcPr>
          <w:p w:rsidR="00A30829" w:rsidRPr="00314809" w:rsidP="00537A80" w14:paraId="4A0AE7A8" w14:textId="77777777">
            <w:pPr>
              <w:jc w:val="both"/>
            </w:pPr>
            <w:r w:rsidRPr="00314809">
              <w:t>Līdz 15.12.2018.</w:t>
            </w:r>
          </w:p>
        </w:tc>
      </w:tr>
      <w:tr w14:paraId="4A0AE7AE" w14:textId="77777777" w:rsidTr="00537A80">
        <w:tblPrEx>
          <w:tblW w:w="0" w:type="auto"/>
          <w:tblLayout w:type="fixed"/>
          <w:tblLook w:val="04A0"/>
        </w:tblPrEx>
        <w:tc>
          <w:tcPr>
            <w:tcW w:w="704" w:type="dxa"/>
          </w:tcPr>
          <w:p w:rsidR="00A30829" w:rsidRPr="00314809" w:rsidP="00537A80" w14:paraId="4A0AE7AA" w14:textId="77777777">
            <w:pPr>
              <w:jc w:val="both"/>
            </w:pPr>
            <w:r>
              <w:t>4.</w:t>
            </w:r>
          </w:p>
        </w:tc>
        <w:tc>
          <w:tcPr>
            <w:tcW w:w="1814" w:type="dxa"/>
          </w:tcPr>
          <w:p w:rsidR="00A30829" w:rsidRPr="00314809" w:rsidP="00537A80" w14:paraId="4A0AE7AB" w14:textId="77777777">
            <w:pPr>
              <w:jc w:val="both"/>
            </w:pPr>
            <w:r w:rsidRPr="00314809">
              <w:t>CVK</w:t>
            </w:r>
          </w:p>
        </w:tc>
        <w:tc>
          <w:tcPr>
            <w:tcW w:w="3941" w:type="dxa"/>
          </w:tcPr>
          <w:p w:rsidR="00A30829" w:rsidRPr="00314809" w:rsidP="00537A80" w14:paraId="4A0AE7AC" w14:textId="77777777">
            <w:pPr>
              <w:jc w:val="both"/>
            </w:pPr>
            <w:r w:rsidRPr="00314809">
              <w:t xml:space="preserve">2014. gada Eiropas Parlamenta vēlēšanu rezultāti </w:t>
            </w:r>
          </w:p>
        </w:tc>
        <w:tc>
          <w:tcPr>
            <w:tcW w:w="2602" w:type="dxa"/>
          </w:tcPr>
          <w:p w:rsidR="00A30829" w:rsidRPr="00314809" w:rsidP="00537A80" w14:paraId="4A0AE7AD" w14:textId="77777777">
            <w:pPr>
              <w:jc w:val="both"/>
            </w:pPr>
            <w:r w:rsidRPr="00314809">
              <w:t>Līdz 15.12.2018.</w:t>
            </w:r>
          </w:p>
        </w:tc>
      </w:tr>
      <w:tr w14:paraId="4A0AE7B3" w14:textId="77777777" w:rsidTr="00537A80">
        <w:tblPrEx>
          <w:tblW w:w="0" w:type="auto"/>
          <w:tblLayout w:type="fixed"/>
          <w:tblLook w:val="04A0"/>
        </w:tblPrEx>
        <w:tc>
          <w:tcPr>
            <w:tcW w:w="704" w:type="dxa"/>
          </w:tcPr>
          <w:p w:rsidR="00A30829" w:rsidRPr="00314809" w:rsidP="00537A80" w14:paraId="4A0AE7AF" w14:textId="77777777">
            <w:pPr>
              <w:jc w:val="both"/>
            </w:pPr>
            <w:r>
              <w:t>5.</w:t>
            </w:r>
          </w:p>
        </w:tc>
        <w:tc>
          <w:tcPr>
            <w:tcW w:w="1814" w:type="dxa"/>
          </w:tcPr>
          <w:p w:rsidR="00A30829" w:rsidRPr="00314809" w:rsidP="00537A80" w14:paraId="4A0AE7B0" w14:textId="77777777">
            <w:pPr>
              <w:jc w:val="both"/>
            </w:pPr>
            <w:r w:rsidRPr="00314809">
              <w:t>CVK</w:t>
            </w:r>
          </w:p>
        </w:tc>
        <w:tc>
          <w:tcPr>
            <w:tcW w:w="3941" w:type="dxa"/>
          </w:tcPr>
          <w:p w:rsidR="00A30829" w:rsidRPr="00314809" w:rsidP="00537A80" w14:paraId="4A0AE7B1" w14:textId="77777777">
            <w:pPr>
              <w:jc w:val="both"/>
            </w:pPr>
            <w:r w:rsidRPr="00314809">
              <w:t>2012. gada tautas nobalsošanas par likumprojekta “Grozījumi Latvijas Republikas Satversmē” pieņemšanu (valodas referendums) rezultāti</w:t>
            </w:r>
          </w:p>
        </w:tc>
        <w:tc>
          <w:tcPr>
            <w:tcW w:w="2602" w:type="dxa"/>
          </w:tcPr>
          <w:p w:rsidR="00A30829" w:rsidRPr="00314809" w:rsidP="00537A80" w14:paraId="4A0AE7B2" w14:textId="77777777">
            <w:pPr>
              <w:jc w:val="both"/>
            </w:pPr>
            <w:r w:rsidRPr="00314809">
              <w:t>Līdz 15.12.2018.</w:t>
            </w:r>
          </w:p>
        </w:tc>
      </w:tr>
      <w:tr w14:paraId="4A0AE7B8" w14:textId="77777777" w:rsidTr="00537A80">
        <w:tblPrEx>
          <w:tblW w:w="0" w:type="auto"/>
          <w:tblLayout w:type="fixed"/>
          <w:tblLook w:val="04A0"/>
        </w:tblPrEx>
        <w:tc>
          <w:tcPr>
            <w:tcW w:w="704" w:type="dxa"/>
          </w:tcPr>
          <w:p w:rsidR="00A30829" w:rsidRPr="00314809" w:rsidP="00537A80" w14:paraId="4A0AE7B4" w14:textId="77777777">
            <w:pPr>
              <w:jc w:val="both"/>
            </w:pPr>
            <w:r>
              <w:t>6.</w:t>
            </w:r>
          </w:p>
        </w:tc>
        <w:tc>
          <w:tcPr>
            <w:tcW w:w="1814" w:type="dxa"/>
          </w:tcPr>
          <w:p w:rsidR="00A30829" w:rsidRPr="00314809" w:rsidP="00537A80" w14:paraId="4A0AE7B5" w14:textId="77777777">
            <w:pPr>
              <w:jc w:val="both"/>
            </w:pPr>
            <w:r w:rsidRPr="00314809">
              <w:t>CVK</w:t>
            </w:r>
          </w:p>
        </w:tc>
        <w:tc>
          <w:tcPr>
            <w:tcW w:w="3941" w:type="dxa"/>
          </w:tcPr>
          <w:p w:rsidR="00A30829" w:rsidRPr="00314809" w:rsidP="00537A80" w14:paraId="4A0AE7B6" w14:textId="77777777">
            <w:pPr>
              <w:jc w:val="both"/>
            </w:pPr>
            <w:r w:rsidRPr="00314809">
              <w:t>2011. gada tautas nobalsošanas par 10.Saeimas atlaišanu rezultāti</w:t>
            </w:r>
          </w:p>
        </w:tc>
        <w:tc>
          <w:tcPr>
            <w:tcW w:w="2602" w:type="dxa"/>
          </w:tcPr>
          <w:p w:rsidR="00A30829" w:rsidRPr="00314809" w:rsidP="00537A80" w14:paraId="4A0AE7B7" w14:textId="77777777">
            <w:pPr>
              <w:jc w:val="both"/>
            </w:pPr>
            <w:r w:rsidRPr="00314809">
              <w:t>Līdz 15.12.2018.</w:t>
            </w:r>
          </w:p>
        </w:tc>
      </w:tr>
      <w:tr w14:paraId="4A0AE7BD" w14:textId="77777777" w:rsidTr="00537A80">
        <w:tblPrEx>
          <w:tblW w:w="0" w:type="auto"/>
          <w:tblLayout w:type="fixed"/>
          <w:tblLook w:val="04A0"/>
        </w:tblPrEx>
        <w:tc>
          <w:tcPr>
            <w:tcW w:w="704" w:type="dxa"/>
          </w:tcPr>
          <w:p w:rsidR="00A30829" w:rsidRPr="00314809" w:rsidP="00537A80" w14:paraId="4A0AE7B9" w14:textId="77777777">
            <w:pPr>
              <w:jc w:val="both"/>
            </w:pPr>
            <w:r>
              <w:t>7.</w:t>
            </w:r>
          </w:p>
        </w:tc>
        <w:tc>
          <w:tcPr>
            <w:tcW w:w="1814" w:type="dxa"/>
          </w:tcPr>
          <w:p w:rsidR="00A30829" w:rsidRPr="00314809" w:rsidP="00537A80" w14:paraId="4A0AE7BA" w14:textId="77777777">
            <w:pPr>
              <w:jc w:val="both"/>
            </w:pPr>
            <w:r w:rsidRPr="00314809">
              <w:t>CVK</w:t>
            </w:r>
          </w:p>
        </w:tc>
        <w:tc>
          <w:tcPr>
            <w:tcW w:w="3941" w:type="dxa"/>
          </w:tcPr>
          <w:p w:rsidR="00A30829" w:rsidRPr="00314809" w:rsidP="00537A80" w14:paraId="4A0AE7BB" w14:textId="77777777">
            <w:pPr>
              <w:jc w:val="both"/>
            </w:pPr>
            <w:r w:rsidRPr="00314809">
              <w:t>2019. gada Eiropas Parlamenta vēlēšanu rezultāti</w:t>
            </w:r>
          </w:p>
        </w:tc>
        <w:tc>
          <w:tcPr>
            <w:tcW w:w="2602" w:type="dxa"/>
          </w:tcPr>
          <w:p w:rsidR="00A30829" w:rsidRPr="00314809" w:rsidP="00537A80" w14:paraId="4A0AE7BC" w14:textId="77777777">
            <w:pPr>
              <w:jc w:val="both"/>
            </w:pPr>
            <w:r w:rsidRPr="00314809">
              <w:t>Līdz 15.08.2019.</w:t>
            </w:r>
          </w:p>
        </w:tc>
      </w:tr>
      <w:tr w14:paraId="4A0AE7C2" w14:textId="77777777" w:rsidTr="00537A80">
        <w:tblPrEx>
          <w:tblW w:w="0" w:type="auto"/>
          <w:tblLayout w:type="fixed"/>
          <w:tblLook w:val="04A0"/>
        </w:tblPrEx>
        <w:tc>
          <w:tcPr>
            <w:tcW w:w="704" w:type="dxa"/>
          </w:tcPr>
          <w:p w:rsidR="00A30829" w:rsidRPr="00314809" w:rsidP="00537A80" w14:paraId="4A0AE7BE" w14:textId="77777777">
            <w:pPr>
              <w:jc w:val="both"/>
            </w:pPr>
            <w:r>
              <w:t>8.</w:t>
            </w:r>
          </w:p>
        </w:tc>
        <w:tc>
          <w:tcPr>
            <w:tcW w:w="1814" w:type="dxa"/>
          </w:tcPr>
          <w:p w:rsidR="00A30829" w:rsidRPr="00314809" w:rsidP="00537A80" w14:paraId="4A0AE7BF" w14:textId="77777777">
            <w:pPr>
              <w:jc w:val="both"/>
            </w:pPr>
            <w:r w:rsidRPr="00314809">
              <w:t>Valsts kase</w:t>
            </w:r>
          </w:p>
        </w:tc>
        <w:tc>
          <w:tcPr>
            <w:tcW w:w="3941" w:type="dxa"/>
          </w:tcPr>
          <w:p w:rsidR="00A30829" w:rsidRPr="00314809" w:rsidP="00537A80" w14:paraId="4A0AE7C0" w14:textId="77777777">
            <w:pPr>
              <w:jc w:val="both"/>
            </w:pPr>
            <w:r>
              <w:t>Valsts pamatbudžeta un valsts speciālā budžeta izpilde pa budžeta programmām/apakšprogrammām pa budžeta ieņēmumu un izdevumu ekonomiskās klasifikācijas kodiem</w:t>
            </w:r>
          </w:p>
        </w:tc>
        <w:tc>
          <w:tcPr>
            <w:tcW w:w="2602" w:type="dxa"/>
          </w:tcPr>
          <w:p w:rsidR="00A30829" w:rsidRPr="00314809" w:rsidP="00537A80" w14:paraId="4A0AE7C1" w14:textId="77777777">
            <w:pPr>
              <w:jc w:val="both"/>
            </w:pPr>
            <w:r>
              <w:rPr>
                <w:color w:val="000000"/>
              </w:rPr>
              <w:t>L</w:t>
            </w:r>
            <w:r w:rsidRPr="00314809">
              <w:rPr>
                <w:color w:val="000000"/>
              </w:rPr>
              <w:t>īdz 2018. gada beigām</w:t>
            </w:r>
          </w:p>
        </w:tc>
      </w:tr>
      <w:tr w14:paraId="4A0AE7C7" w14:textId="77777777" w:rsidTr="00537A80">
        <w:tblPrEx>
          <w:tblW w:w="0" w:type="auto"/>
          <w:tblLayout w:type="fixed"/>
          <w:tblLook w:val="04A0"/>
        </w:tblPrEx>
        <w:tc>
          <w:tcPr>
            <w:tcW w:w="704" w:type="dxa"/>
          </w:tcPr>
          <w:p w:rsidR="00A30829" w:rsidRPr="00314809" w:rsidP="00537A80" w14:paraId="4A0AE7C3" w14:textId="77777777">
            <w:pPr>
              <w:jc w:val="both"/>
            </w:pPr>
            <w:r>
              <w:t>9.</w:t>
            </w:r>
          </w:p>
        </w:tc>
        <w:tc>
          <w:tcPr>
            <w:tcW w:w="1814" w:type="dxa"/>
          </w:tcPr>
          <w:p w:rsidR="00A30829" w:rsidRPr="00314809" w:rsidP="00537A80" w14:paraId="4A0AE7C4" w14:textId="77777777">
            <w:pPr>
              <w:jc w:val="both"/>
            </w:pPr>
            <w:r w:rsidRPr="00314809">
              <w:t>IeM IC</w:t>
            </w:r>
          </w:p>
        </w:tc>
        <w:tc>
          <w:tcPr>
            <w:tcW w:w="3941" w:type="dxa"/>
          </w:tcPr>
          <w:p w:rsidR="00A30829" w:rsidRPr="00314809" w:rsidP="00537A80" w14:paraId="4A0AE7C5" w14:textId="77777777">
            <w:pPr>
              <w:jc w:val="both"/>
            </w:pPr>
            <w:r w:rsidRPr="00314809">
              <w:t xml:space="preserve">Ceļu satiksmes pārkāpumu un negadījumu </w:t>
            </w:r>
            <w:r w:rsidRPr="00314809">
              <w:t>kart</w:t>
            </w:r>
            <w:r>
              <w:t>e</w:t>
            </w:r>
          </w:p>
        </w:tc>
        <w:tc>
          <w:tcPr>
            <w:tcW w:w="2602" w:type="dxa"/>
          </w:tcPr>
          <w:p w:rsidR="00A30829" w:rsidRPr="00314809" w:rsidP="00537A80" w14:paraId="4A0AE7C6" w14:textId="77777777">
            <w:pPr>
              <w:jc w:val="both"/>
            </w:pPr>
            <w:r w:rsidRPr="00314809">
              <w:rPr>
                <w:color w:val="000000"/>
              </w:rPr>
              <w:t>2018.gada 3.ceturksnis</w:t>
            </w:r>
          </w:p>
        </w:tc>
      </w:tr>
      <w:tr w14:paraId="4A0AE7CC" w14:textId="77777777" w:rsidTr="00537A80">
        <w:tblPrEx>
          <w:tblW w:w="0" w:type="auto"/>
          <w:tblLayout w:type="fixed"/>
          <w:tblLook w:val="04A0"/>
        </w:tblPrEx>
        <w:tc>
          <w:tcPr>
            <w:tcW w:w="704" w:type="dxa"/>
          </w:tcPr>
          <w:p w:rsidR="00A30829" w:rsidRPr="00314809" w:rsidP="00537A80" w14:paraId="4A0AE7C8" w14:textId="77777777">
            <w:pPr>
              <w:jc w:val="both"/>
            </w:pPr>
            <w:r>
              <w:t>11.</w:t>
            </w:r>
          </w:p>
        </w:tc>
        <w:tc>
          <w:tcPr>
            <w:tcW w:w="1814" w:type="dxa"/>
          </w:tcPr>
          <w:p w:rsidR="00A30829" w:rsidRPr="00314809" w:rsidP="00537A80" w14:paraId="4A0AE7C9" w14:textId="77777777">
            <w:pPr>
              <w:jc w:val="both"/>
            </w:pPr>
            <w:r w:rsidRPr="00314809">
              <w:t>IeM IC</w:t>
            </w:r>
          </w:p>
        </w:tc>
        <w:tc>
          <w:tcPr>
            <w:tcW w:w="3941" w:type="dxa"/>
            <w:vAlign w:val="bottom"/>
          </w:tcPr>
          <w:p w:rsidR="00A30829" w:rsidRPr="00314809" w:rsidP="00537A80" w14:paraId="4A0AE7CA" w14:textId="77777777">
            <w:pPr>
              <w:jc w:val="both"/>
            </w:pPr>
            <w:r w:rsidRPr="00314809">
              <w:rPr>
                <w:color w:val="000000"/>
              </w:rPr>
              <w:t>Statistiskos datus par valstī reģistrētajiem noziedzīgajiem nodarījumiem (pēc visiem Krimināllikuma pantiem)</w:t>
            </w:r>
          </w:p>
        </w:tc>
        <w:tc>
          <w:tcPr>
            <w:tcW w:w="2602" w:type="dxa"/>
          </w:tcPr>
          <w:p w:rsidR="00A30829" w:rsidRPr="00314809" w:rsidP="00537A80" w14:paraId="4A0AE7CB" w14:textId="77777777">
            <w:pPr>
              <w:jc w:val="both"/>
            </w:pPr>
            <w:r>
              <w:rPr>
                <w:color w:val="000000"/>
              </w:rPr>
              <w:t>L</w:t>
            </w:r>
            <w:r w:rsidRPr="00314809">
              <w:rPr>
                <w:color w:val="000000"/>
              </w:rPr>
              <w:t>īdz 2018. gada beigām</w:t>
            </w:r>
          </w:p>
        </w:tc>
      </w:tr>
      <w:tr w14:paraId="4A0AE7D1" w14:textId="77777777" w:rsidTr="00537A80">
        <w:tblPrEx>
          <w:tblW w:w="0" w:type="auto"/>
          <w:tblLayout w:type="fixed"/>
          <w:tblLook w:val="04A0"/>
        </w:tblPrEx>
        <w:tc>
          <w:tcPr>
            <w:tcW w:w="704" w:type="dxa"/>
          </w:tcPr>
          <w:p w:rsidR="00A30829" w:rsidRPr="00314809" w:rsidP="00537A80" w14:paraId="4A0AE7CD" w14:textId="77777777">
            <w:pPr>
              <w:jc w:val="both"/>
            </w:pPr>
            <w:r>
              <w:t>12.</w:t>
            </w:r>
          </w:p>
        </w:tc>
        <w:tc>
          <w:tcPr>
            <w:tcW w:w="1814" w:type="dxa"/>
          </w:tcPr>
          <w:p w:rsidR="00A30829" w:rsidRPr="00314809" w:rsidP="00537A80" w14:paraId="4A0AE7CE" w14:textId="77777777">
            <w:pPr>
              <w:jc w:val="both"/>
            </w:pPr>
            <w:r w:rsidRPr="00314809">
              <w:t>IeM IC</w:t>
            </w:r>
          </w:p>
        </w:tc>
        <w:tc>
          <w:tcPr>
            <w:tcW w:w="3941" w:type="dxa"/>
          </w:tcPr>
          <w:p w:rsidR="00A30829" w:rsidRPr="00314809" w:rsidP="00537A80" w14:paraId="4A0AE7CF" w14:textId="77777777">
            <w:pPr>
              <w:jc w:val="both"/>
            </w:pPr>
            <w:r w:rsidRPr="00314809">
              <w:t xml:space="preserve">Kriminālprocesos cietušās personas (pēc dzimuma un vecuma kategorijām) </w:t>
            </w:r>
          </w:p>
        </w:tc>
        <w:tc>
          <w:tcPr>
            <w:tcW w:w="2602" w:type="dxa"/>
          </w:tcPr>
          <w:p w:rsidR="00A30829" w:rsidRPr="00314809" w:rsidP="00537A80" w14:paraId="4A0AE7D0" w14:textId="77777777">
            <w:pPr>
              <w:jc w:val="both"/>
            </w:pPr>
            <w:r>
              <w:rPr>
                <w:color w:val="000000"/>
              </w:rPr>
              <w:t>L</w:t>
            </w:r>
            <w:r w:rsidRPr="00314809">
              <w:rPr>
                <w:color w:val="000000"/>
              </w:rPr>
              <w:t>īdz 2018.gada beigām</w:t>
            </w:r>
          </w:p>
        </w:tc>
      </w:tr>
      <w:tr w14:paraId="4A0AE7D6" w14:textId="77777777" w:rsidTr="00537A80">
        <w:tblPrEx>
          <w:tblW w:w="0" w:type="auto"/>
          <w:tblLayout w:type="fixed"/>
          <w:tblLook w:val="04A0"/>
        </w:tblPrEx>
        <w:tc>
          <w:tcPr>
            <w:tcW w:w="704" w:type="dxa"/>
          </w:tcPr>
          <w:p w:rsidR="00A30829" w:rsidRPr="00314809" w:rsidP="00537A80" w14:paraId="4A0AE7D2" w14:textId="77777777">
            <w:pPr>
              <w:jc w:val="both"/>
            </w:pPr>
            <w:r>
              <w:t>13.</w:t>
            </w:r>
          </w:p>
        </w:tc>
        <w:tc>
          <w:tcPr>
            <w:tcW w:w="1814" w:type="dxa"/>
          </w:tcPr>
          <w:p w:rsidR="00A30829" w:rsidRPr="00314809" w:rsidP="00537A80" w14:paraId="4A0AE7D3" w14:textId="77777777">
            <w:pPr>
              <w:jc w:val="both"/>
            </w:pPr>
            <w:r w:rsidRPr="00314809">
              <w:t>IeM IC</w:t>
            </w:r>
          </w:p>
        </w:tc>
        <w:tc>
          <w:tcPr>
            <w:tcW w:w="3941" w:type="dxa"/>
            <w:vAlign w:val="bottom"/>
          </w:tcPr>
          <w:p w:rsidR="00A30829" w:rsidRPr="00314809" w:rsidP="00537A80" w14:paraId="4A0AE7D4" w14:textId="77777777">
            <w:pPr>
              <w:jc w:val="both"/>
            </w:pPr>
            <w:r w:rsidRPr="00314809">
              <w:rPr>
                <w:color w:val="000000"/>
              </w:rPr>
              <w:t>Personas, kurām ir tiesības uz aizstāvību (pēc dzimuma un vecuma kategorijām un no tām vēl atsevišķi personas, kurām celta apsūdzība).</w:t>
            </w:r>
          </w:p>
        </w:tc>
        <w:tc>
          <w:tcPr>
            <w:tcW w:w="2602" w:type="dxa"/>
          </w:tcPr>
          <w:p w:rsidR="00A30829" w:rsidRPr="00314809" w:rsidP="00537A80" w14:paraId="4A0AE7D5" w14:textId="77777777">
            <w:pPr>
              <w:jc w:val="both"/>
            </w:pPr>
            <w:r>
              <w:rPr>
                <w:color w:val="000000"/>
              </w:rPr>
              <w:t>Lī</w:t>
            </w:r>
            <w:r w:rsidRPr="00314809">
              <w:rPr>
                <w:color w:val="000000"/>
              </w:rPr>
              <w:t>dz 2018.gada beigām</w:t>
            </w:r>
          </w:p>
        </w:tc>
      </w:tr>
      <w:tr w14:paraId="4A0AE7DB" w14:textId="77777777" w:rsidTr="00537A80">
        <w:tblPrEx>
          <w:tblW w:w="0" w:type="auto"/>
          <w:tblLayout w:type="fixed"/>
          <w:tblLook w:val="04A0"/>
        </w:tblPrEx>
        <w:tc>
          <w:tcPr>
            <w:tcW w:w="704" w:type="dxa"/>
          </w:tcPr>
          <w:p w:rsidR="00A30829" w:rsidP="00537A80" w14:paraId="4A0AE7D7" w14:textId="77777777">
            <w:pPr>
              <w:jc w:val="both"/>
            </w:pPr>
            <w:r>
              <w:t>14.</w:t>
            </w:r>
          </w:p>
        </w:tc>
        <w:tc>
          <w:tcPr>
            <w:tcW w:w="1814" w:type="dxa"/>
          </w:tcPr>
          <w:p w:rsidR="00A30829" w:rsidRPr="00314809" w:rsidP="00537A80" w14:paraId="4A0AE7D8" w14:textId="77777777">
            <w:pPr>
              <w:jc w:val="both"/>
            </w:pPr>
            <w:r>
              <w:t>LAD</w:t>
            </w:r>
          </w:p>
        </w:tc>
        <w:tc>
          <w:tcPr>
            <w:tcW w:w="3941" w:type="dxa"/>
            <w:vAlign w:val="center"/>
          </w:tcPr>
          <w:p w:rsidR="00A30829" w:rsidRPr="00314809" w:rsidP="00537A80" w14:paraId="4A0AE7D9" w14:textId="77777777">
            <w:pPr>
              <w:jc w:val="both"/>
            </w:pPr>
            <w:r w:rsidRPr="00314809">
              <w:rPr>
                <w:color w:val="000000"/>
              </w:rPr>
              <w:t>Dati kādā platībā tiek audzēta attiecīgā lauksaimniecības kultūra</w:t>
            </w:r>
          </w:p>
        </w:tc>
        <w:tc>
          <w:tcPr>
            <w:tcW w:w="2602" w:type="dxa"/>
          </w:tcPr>
          <w:p w:rsidR="00A30829" w:rsidRPr="00314809" w:rsidP="00537A80" w14:paraId="4A0AE7DA" w14:textId="77777777">
            <w:pPr>
              <w:jc w:val="both"/>
            </w:pPr>
            <w:r>
              <w:rPr>
                <w:color w:val="000000"/>
              </w:rPr>
              <w:t>Līdz 2018.gada beigām</w:t>
            </w:r>
          </w:p>
        </w:tc>
      </w:tr>
      <w:tr w14:paraId="4A0AE7E0" w14:textId="77777777" w:rsidTr="00537A80">
        <w:tblPrEx>
          <w:tblW w:w="0" w:type="auto"/>
          <w:tblLayout w:type="fixed"/>
          <w:tblLook w:val="04A0"/>
        </w:tblPrEx>
        <w:tc>
          <w:tcPr>
            <w:tcW w:w="704" w:type="dxa"/>
          </w:tcPr>
          <w:p w:rsidR="00A30829" w:rsidRPr="00314809" w:rsidP="00537A80" w14:paraId="4A0AE7DC" w14:textId="77777777">
            <w:pPr>
              <w:jc w:val="both"/>
            </w:pPr>
            <w:r>
              <w:t>15.</w:t>
            </w:r>
          </w:p>
        </w:tc>
        <w:tc>
          <w:tcPr>
            <w:tcW w:w="1814" w:type="dxa"/>
          </w:tcPr>
          <w:p w:rsidR="00A30829" w:rsidRPr="00314809" w:rsidP="00537A80" w14:paraId="4A0AE7DD" w14:textId="77777777">
            <w:pPr>
              <w:jc w:val="both"/>
            </w:pPr>
            <w:r w:rsidRPr="00314809">
              <w:t>VARAM</w:t>
            </w:r>
          </w:p>
        </w:tc>
        <w:tc>
          <w:tcPr>
            <w:tcW w:w="3941" w:type="dxa"/>
          </w:tcPr>
          <w:p w:rsidR="00A30829" w:rsidRPr="00314809" w:rsidP="00537A80" w14:paraId="4A0AE7DE" w14:textId="77777777">
            <w:pPr>
              <w:jc w:val="both"/>
            </w:pPr>
            <w:r>
              <w:t>Šķirošanas punktu kartes dati</w:t>
            </w:r>
          </w:p>
        </w:tc>
        <w:tc>
          <w:tcPr>
            <w:tcW w:w="2602" w:type="dxa"/>
          </w:tcPr>
          <w:p w:rsidR="00A30829" w:rsidRPr="00314809" w:rsidP="00537A80" w14:paraId="4A0AE7DF" w14:textId="77777777">
            <w:pPr>
              <w:jc w:val="both"/>
            </w:pPr>
            <w:r w:rsidRPr="00314809">
              <w:rPr>
                <w:color w:val="000000"/>
              </w:rPr>
              <w:t xml:space="preserve">2018.gada 3.ceturksnī </w:t>
            </w:r>
          </w:p>
        </w:tc>
      </w:tr>
      <w:tr w14:paraId="4A0AE7E5" w14:textId="77777777" w:rsidTr="00537A80">
        <w:tblPrEx>
          <w:tblW w:w="0" w:type="auto"/>
          <w:tblLayout w:type="fixed"/>
          <w:tblLook w:val="04A0"/>
        </w:tblPrEx>
        <w:tc>
          <w:tcPr>
            <w:tcW w:w="704" w:type="dxa"/>
          </w:tcPr>
          <w:p w:rsidR="00A30829" w:rsidRPr="00314809" w:rsidP="00537A80" w14:paraId="4A0AE7E1" w14:textId="77777777">
            <w:pPr>
              <w:jc w:val="both"/>
            </w:pPr>
            <w:r>
              <w:t>16.</w:t>
            </w:r>
          </w:p>
        </w:tc>
        <w:tc>
          <w:tcPr>
            <w:tcW w:w="1814" w:type="dxa"/>
          </w:tcPr>
          <w:p w:rsidR="00A30829" w:rsidRPr="00314809" w:rsidP="00537A80" w14:paraId="4A0AE7E2" w14:textId="77777777">
            <w:pPr>
              <w:jc w:val="both"/>
            </w:pPr>
            <w:r w:rsidRPr="00314809">
              <w:t>VARAM</w:t>
            </w:r>
          </w:p>
        </w:tc>
        <w:tc>
          <w:tcPr>
            <w:tcW w:w="3941" w:type="dxa"/>
          </w:tcPr>
          <w:p w:rsidR="00A30829" w:rsidRPr="00314809" w:rsidP="00537A80" w14:paraId="4A0AE7E3" w14:textId="77777777">
            <w:pPr>
              <w:jc w:val="both"/>
            </w:pPr>
            <w:r w:rsidRPr="00314809">
              <w:t>Radona gāzes mērījumu dati</w:t>
            </w:r>
          </w:p>
        </w:tc>
        <w:tc>
          <w:tcPr>
            <w:tcW w:w="2602" w:type="dxa"/>
          </w:tcPr>
          <w:p w:rsidR="00A30829" w:rsidRPr="00314809" w:rsidP="00537A80" w14:paraId="4A0AE7E4" w14:textId="77777777">
            <w:pPr>
              <w:jc w:val="both"/>
            </w:pPr>
            <w:r w:rsidRPr="00314809">
              <w:rPr>
                <w:color w:val="000000"/>
              </w:rPr>
              <w:t>2018.gada 3.ceturksnī</w:t>
            </w:r>
          </w:p>
        </w:tc>
      </w:tr>
      <w:tr w14:paraId="4A0AE7EA" w14:textId="77777777" w:rsidTr="00537A80">
        <w:tblPrEx>
          <w:tblW w:w="0" w:type="auto"/>
          <w:tblLayout w:type="fixed"/>
          <w:tblLook w:val="04A0"/>
        </w:tblPrEx>
        <w:tc>
          <w:tcPr>
            <w:tcW w:w="704" w:type="dxa"/>
          </w:tcPr>
          <w:p w:rsidR="00A30829" w:rsidRPr="00314809" w:rsidP="00537A80" w14:paraId="4A0AE7E6" w14:textId="77777777">
            <w:pPr>
              <w:jc w:val="both"/>
            </w:pPr>
            <w:r>
              <w:t>17.</w:t>
            </w:r>
          </w:p>
        </w:tc>
        <w:tc>
          <w:tcPr>
            <w:tcW w:w="1814" w:type="dxa"/>
          </w:tcPr>
          <w:p w:rsidR="00A30829" w:rsidRPr="00314809" w:rsidP="00537A80" w14:paraId="4A0AE7E7" w14:textId="77777777">
            <w:pPr>
              <w:jc w:val="both"/>
            </w:pPr>
            <w:r w:rsidRPr="00314809">
              <w:t>ATD</w:t>
            </w:r>
          </w:p>
        </w:tc>
        <w:tc>
          <w:tcPr>
            <w:tcW w:w="3941" w:type="dxa"/>
          </w:tcPr>
          <w:p w:rsidR="00A30829" w:rsidRPr="00314809" w:rsidP="00537A80" w14:paraId="4A0AE7E8" w14:textId="77777777">
            <w:pPr>
              <w:jc w:val="both"/>
            </w:pPr>
            <w:r w:rsidRPr="00314809">
              <w:t>Autobusu pieturvietu koordinātas</w:t>
            </w:r>
          </w:p>
        </w:tc>
        <w:tc>
          <w:tcPr>
            <w:tcW w:w="2602" w:type="dxa"/>
          </w:tcPr>
          <w:p w:rsidR="00A30829" w:rsidRPr="00314809" w:rsidP="00537A80" w14:paraId="4A0AE7E9" w14:textId="77777777">
            <w:pPr>
              <w:jc w:val="both"/>
            </w:pPr>
            <w:r>
              <w:rPr>
                <w:color w:val="000000"/>
              </w:rPr>
              <w:t>L</w:t>
            </w:r>
            <w:r w:rsidRPr="00314809">
              <w:rPr>
                <w:color w:val="000000"/>
              </w:rPr>
              <w:t>īdz 2018. gada beigām</w:t>
            </w:r>
          </w:p>
        </w:tc>
      </w:tr>
      <w:tr w14:paraId="4A0AE7EF" w14:textId="77777777" w:rsidTr="00537A80">
        <w:tblPrEx>
          <w:tblW w:w="0" w:type="auto"/>
          <w:tblLayout w:type="fixed"/>
          <w:tblLook w:val="04A0"/>
        </w:tblPrEx>
        <w:tc>
          <w:tcPr>
            <w:tcW w:w="704" w:type="dxa"/>
          </w:tcPr>
          <w:p w:rsidR="00A30829" w:rsidRPr="00314809" w:rsidP="00537A80" w14:paraId="4A0AE7EB" w14:textId="77777777">
            <w:pPr>
              <w:jc w:val="both"/>
            </w:pPr>
            <w:r>
              <w:t>18.</w:t>
            </w:r>
          </w:p>
        </w:tc>
        <w:tc>
          <w:tcPr>
            <w:tcW w:w="1814" w:type="dxa"/>
          </w:tcPr>
          <w:p w:rsidR="00A30829" w:rsidRPr="00314809" w:rsidP="00537A80" w14:paraId="4A0AE7EC" w14:textId="77777777">
            <w:pPr>
              <w:jc w:val="both"/>
            </w:pPr>
            <w:r w:rsidRPr="00314809">
              <w:t>ATD</w:t>
            </w:r>
          </w:p>
        </w:tc>
        <w:tc>
          <w:tcPr>
            <w:tcW w:w="3941" w:type="dxa"/>
          </w:tcPr>
          <w:p w:rsidR="00A30829" w:rsidRPr="00314809" w:rsidP="00537A80" w14:paraId="4A0AE7ED" w14:textId="77777777">
            <w:pPr>
              <w:jc w:val="both"/>
            </w:pPr>
            <w:r w:rsidRPr="00314809">
              <w:t>Autobusu kustību saraksti (atjauninās regulāri)</w:t>
            </w:r>
          </w:p>
        </w:tc>
        <w:tc>
          <w:tcPr>
            <w:tcW w:w="2602" w:type="dxa"/>
          </w:tcPr>
          <w:p w:rsidR="00A30829" w:rsidRPr="00314809" w:rsidP="00537A80" w14:paraId="4A0AE7EE" w14:textId="77777777">
            <w:pPr>
              <w:jc w:val="both"/>
            </w:pPr>
            <w:r>
              <w:rPr>
                <w:color w:val="000000"/>
              </w:rPr>
              <w:t>L</w:t>
            </w:r>
            <w:r w:rsidRPr="00314809">
              <w:rPr>
                <w:color w:val="000000"/>
              </w:rPr>
              <w:t>īdz 2018. gada beigām</w:t>
            </w:r>
          </w:p>
        </w:tc>
      </w:tr>
      <w:tr w14:paraId="4A0AE7F4" w14:textId="77777777" w:rsidTr="00537A80">
        <w:tblPrEx>
          <w:tblW w:w="0" w:type="auto"/>
          <w:tblLayout w:type="fixed"/>
          <w:tblLook w:val="04A0"/>
        </w:tblPrEx>
        <w:tc>
          <w:tcPr>
            <w:tcW w:w="704" w:type="dxa"/>
          </w:tcPr>
          <w:p w:rsidR="00A30829" w:rsidRPr="00314809" w:rsidP="00537A80" w14:paraId="4A0AE7F0" w14:textId="77777777">
            <w:pPr>
              <w:jc w:val="both"/>
            </w:pPr>
            <w:r>
              <w:t>19.</w:t>
            </w:r>
          </w:p>
        </w:tc>
        <w:tc>
          <w:tcPr>
            <w:tcW w:w="1814" w:type="dxa"/>
          </w:tcPr>
          <w:p w:rsidR="00A30829" w:rsidRPr="00314809" w:rsidP="00537A80" w14:paraId="4A0AE7F1" w14:textId="77777777">
            <w:pPr>
              <w:jc w:val="both"/>
            </w:pPr>
            <w:r w:rsidRPr="00314809">
              <w:t>LVĢMC</w:t>
            </w:r>
          </w:p>
        </w:tc>
        <w:tc>
          <w:tcPr>
            <w:tcW w:w="3941" w:type="dxa"/>
          </w:tcPr>
          <w:p w:rsidR="00A30829" w:rsidRPr="00314809" w:rsidP="00537A80" w14:paraId="4A0AE7F2" w14:textId="77777777">
            <w:pPr>
              <w:jc w:val="both"/>
            </w:pPr>
            <w:r w:rsidRPr="00314809">
              <w:t>Dati par gaisa kvalitāti</w:t>
            </w:r>
          </w:p>
        </w:tc>
        <w:tc>
          <w:tcPr>
            <w:tcW w:w="2602" w:type="dxa"/>
          </w:tcPr>
          <w:p w:rsidR="00A30829" w:rsidRPr="00314809" w:rsidP="00537A80" w14:paraId="4A0AE7F3" w14:textId="77777777">
            <w:pPr>
              <w:jc w:val="both"/>
            </w:pPr>
            <w:r>
              <w:rPr>
                <w:color w:val="000000"/>
              </w:rPr>
              <w:t>Lī</w:t>
            </w:r>
            <w:r w:rsidRPr="00314809">
              <w:rPr>
                <w:color w:val="000000"/>
              </w:rPr>
              <w:t xml:space="preserve">dz 2018.gada beigām </w:t>
            </w:r>
          </w:p>
        </w:tc>
      </w:tr>
      <w:tr w14:paraId="4A0AE7F9" w14:textId="77777777" w:rsidTr="00537A80">
        <w:tblPrEx>
          <w:tblW w:w="0" w:type="auto"/>
          <w:tblLayout w:type="fixed"/>
          <w:tblLook w:val="04A0"/>
        </w:tblPrEx>
        <w:tc>
          <w:tcPr>
            <w:tcW w:w="704" w:type="dxa"/>
          </w:tcPr>
          <w:p w:rsidR="00A30829" w:rsidRPr="00314809" w:rsidP="00537A80" w14:paraId="4A0AE7F5" w14:textId="77777777">
            <w:pPr>
              <w:jc w:val="both"/>
            </w:pPr>
            <w:r>
              <w:t>20.</w:t>
            </w:r>
          </w:p>
        </w:tc>
        <w:tc>
          <w:tcPr>
            <w:tcW w:w="1814" w:type="dxa"/>
          </w:tcPr>
          <w:p w:rsidR="00A30829" w:rsidRPr="00314809" w:rsidP="00537A80" w14:paraId="4A0AE7F6" w14:textId="77777777">
            <w:pPr>
              <w:jc w:val="both"/>
            </w:pPr>
            <w:r w:rsidRPr="00314809">
              <w:t>LVĢMC</w:t>
            </w:r>
          </w:p>
        </w:tc>
        <w:tc>
          <w:tcPr>
            <w:tcW w:w="3941" w:type="dxa"/>
          </w:tcPr>
          <w:p w:rsidR="00A30829" w:rsidRPr="00314809" w:rsidP="00537A80" w14:paraId="4A0AE7F7" w14:textId="77777777">
            <w:pPr>
              <w:jc w:val="both"/>
            </w:pPr>
            <w:r w:rsidRPr="00314809">
              <w:t>Dati par ūdens kvalitāti</w:t>
            </w:r>
          </w:p>
        </w:tc>
        <w:tc>
          <w:tcPr>
            <w:tcW w:w="2602" w:type="dxa"/>
          </w:tcPr>
          <w:p w:rsidR="00A30829" w:rsidRPr="00314809" w:rsidP="00537A80" w14:paraId="4A0AE7F8" w14:textId="77777777">
            <w:pPr>
              <w:jc w:val="both"/>
            </w:pPr>
            <w:r>
              <w:rPr>
                <w:color w:val="000000"/>
              </w:rPr>
              <w:t>L</w:t>
            </w:r>
            <w:r w:rsidRPr="00314809">
              <w:rPr>
                <w:color w:val="000000"/>
              </w:rPr>
              <w:t xml:space="preserve">īdz 2018.gada beigām </w:t>
            </w:r>
          </w:p>
        </w:tc>
      </w:tr>
      <w:tr w14:paraId="4A0AE7FE" w14:textId="77777777" w:rsidTr="00537A80">
        <w:tblPrEx>
          <w:tblW w:w="0" w:type="auto"/>
          <w:tblLayout w:type="fixed"/>
          <w:tblLook w:val="04A0"/>
        </w:tblPrEx>
        <w:tc>
          <w:tcPr>
            <w:tcW w:w="704" w:type="dxa"/>
          </w:tcPr>
          <w:p w:rsidR="00A30829" w:rsidP="00537A80" w14:paraId="4A0AE7FA" w14:textId="77777777">
            <w:pPr>
              <w:jc w:val="both"/>
            </w:pPr>
            <w:r>
              <w:t>21.</w:t>
            </w:r>
          </w:p>
        </w:tc>
        <w:tc>
          <w:tcPr>
            <w:tcW w:w="1814" w:type="dxa"/>
          </w:tcPr>
          <w:p w:rsidR="00A30829" w:rsidRPr="00314809" w:rsidP="00537A80" w14:paraId="4A0AE7FB" w14:textId="77777777">
            <w:pPr>
              <w:jc w:val="both"/>
            </w:pPr>
            <w:r>
              <w:t>Dabas aizsardzības pārvalde</w:t>
            </w:r>
          </w:p>
        </w:tc>
        <w:tc>
          <w:tcPr>
            <w:tcW w:w="3941" w:type="dxa"/>
          </w:tcPr>
          <w:p w:rsidR="00A30829" w:rsidRPr="00314809" w:rsidP="00537A80" w14:paraId="4A0AE7FC" w14:textId="77777777">
            <w:pPr>
              <w:jc w:val="both"/>
            </w:pPr>
            <w:r>
              <w:rPr>
                <w:color w:val="000000"/>
              </w:rPr>
              <w:t>Dati par ī</w:t>
            </w:r>
            <w:r w:rsidRPr="00314809">
              <w:rPr>
                <w:color w:val="000000"/>
              </w:rPr>
              <w:t>paši aizsargājamā</w:t>
            </w:r>
            <w:r>
              <w:rPr>
                <w:color w:val="000000"/>
              </w:rPr>
              <w:t>m</w:t>
            </w:r>
            <w:r w:rsidRPr="00314809">
              <w:rPr>
                <w:color w:val="000000"/>
              </w:rPr>
              <w:t xml:space="preserve"> dabas teritorij</w:t>
            </w:r>
            <w:r>
              <w:rPr>
                <w:color w:val="000000"/>
              </w:rPr>
              <w:t>ām</w:t>
            </w:r>
          </w:p>
        </w:tc>
        <w:tc>
          <w:tcPr>
            <w:tcW w:w="2602" w:type="dxa"/>
          </w:tcPr>
          <w:p w:rsidR="00A30829" w:rsidRPr="00314809" w:rsidP="00537A80" w14:paraId="4A0AE7FD" w14:textId="77777777">
            <w:pPr>
              <w:jc w:val="both"/>
            </w:pPr>
            <w:r w:rsidRPr="00314809">
              <w:rPr>
                <w:color w:val="000000"/>
              </w:rPr>
              <w:t>Jau publicēt</w:t>
            </w:r>
            <w:r>
              <w:rPr>
                <w:color w:val="000000"/>
              </w:rPr>
              <w:t>i</w:t>
            </w:r>
          </w:p>
        </w:tc>
      </w:tr>
      <w:tr w14:paraId="4A0AE803" w14:textId="77777777" w:rsidTr="00537A80">
        <w:tblPrEx>
          <w:tblW w:w="0" w:type="auto"/>
          <w:tblLayout w:type="fixed"/>
          <w:tblLook w:val="04A0"/>
        </w:tblPrEx>
        <w:tc>
          <w:tcPr>
            <w:tcW w:w="704" w:type="dxa"/>
          </w:tcPr>
          <w:p w:rsidR="00A30829" w:rsidP="00537A80" w14:paraId="4A0AE7FF" w14:textId="77777777">
            <w:pPr>
              <w:jc w:val="both"/>
            </w:pPr>
            <w:r>
              <w:t>22.</w:t>
            </w:r>
          </w:p>
        </w:tc>
        <w:tc>
          <w:tcPr>
            <w:tcW w:w="1814" w:type="dxa"/>
          </w:tcPr>
          <w:p w:rsidR="00A30829" w:rsidP="00537A80" w14:paraId="4A0AE800" w14:textId="77777777">
            <w:pPr>
              <w:jc w:val="both"/>
            </w:pPr>
            <w:r>
              <w:t>Dabas aizsardzības pārvalde</w:t>
            </w:r>
          </w:p>
        </w:tc>
        <w:tc>
          <w:tcPr>
            <w:tcW w:w="3941" w:type="dxa"/>
          </w:tcPr>
          <w:p w:rsidR="00A30829" w:rsidRPr="00314809" w:rsidP="00537A80" w14:paraId="4A0AE801" w14:textId="77777777">
            <w:pPr>
              <w:jc w:val="both"/>
              <w:rPr>
                <w:color w:val="000000"/>
              </w:rPr>
            </w:pPr>
            <w:r>
              <w:rPr>
                <w:color w:val="000000"/>
              </w:rPr>
              <w:t xml:space="preserve">Dati par īpaši aizsargājamiem biotopiem un Eiropas Savienības aizsargājamiem biotopiem </w:t>
            </w:r>
          </w:p>
        </w:tc>
        <w:tc>
          <w:tcPr>
            <w:tcW w:w="2602" w:type="dxa"/>
          </w:tcPr>
          <w:p w:rsidR="00A30829" w:rsidRPr="00314809" w:rsidP="00537A80" w14:paraId="4A0AE802" w14:textId="77777777">
            <w:pPr>
              <w:jc w:val="both"/>
              <w:rPr>
                <w:color w:val="000000"/>
              </w:rPr>
            </w:pPr>
            <w:r>
              <w:rPr>
                <w:color w:val="000000"/>
              </w:rPr>
              <w:t>Līdz 2018.gada beigām</w:t>
            </w:r>
          </w:p>
        </w:tc>
      </w:tr>
      <w:tr w14:paraId="4A0AE808" w14:textId="77777777" w:rsidTr="00537A80">
        <w:tblPrEx>
          <w:tblW w:w="0" w:type="auto"/>
          <w:tblLayout w:type="fixed"/>
          <w:tblLook w:val="04A0"/>
        </w:tblPrEx>
        <w:tc>
          <w:tcPr>
            <w:tcW w:w="704" w:type="dxa"/>
          </w:tcPr>
          <w:p w:rsidR="00A30829" w:rsidP="00537A80" w14:paraId="4A0AE804" w14:textId="77777777">
            <w:pPr>
              <w:jc w:val="both"/>
            </w:pPr>
            <w:r>
              <w:t>23.</w:t>
            </w:r>
          </w:p>
        </w:tc>
        <w:tc>
          <w:tcPr>
            <w:tcW w:w="1814" w:type="dxa"/>
          </w:tcPr>
          <w:p w:rsidR="00A30829" w:rsidP="00537A80" w14:paraId="4A0AE805" w14:textId="77777777">
            <w:pPr>
              <w:jc w:val="both"/>
            </w:pPr>
            <w:r w:rsidRPr="0090496F">
              <w:t>Dabas aizsardzības pārvalde</w:t>
            </w:r>
          </w:p>
        </w:tc>
        <w:tc>
          <w:tcPr>
            <w:tcW w:w="3941" w:type="dxa"/>
          </w:tcPr>
          <w:p w:rsidR="00A30829" w:rsidP="00537A80" w14:paraId="4A0AE806" w14:textId="77777777">
            <w:pPr>
              <w:jc w:val="both"/>
              <w:rPr>
                <w:color w:val="000000"/>
              </w:rPr>
            </w:pPr>
            <w:r>
              <w:rPr>
                <w:color w:val="000000"/>
              </w:rPr>
              <w:t xml:space="preserve">Dati par </w:t>
            </w:r>
            <w:r w:rsidRPr="0090496F">
              <w:rPr>
                <w:color w:val="000000"/>
              </w:rPr>
              <w:t>īpaši aizsargājamām sugām un to dzīvotnēm</w:t>
            </w:r>
          </w:p>
        </w:tc>
        <w:tc>
          <w:tcPr>
            <w:tcW w:w="2602" w:type="dxa"/>
          </w:tcPr>
          <w:p w:rsidR="00A30829" w:rsidP="00537A80" w14:paraId="4A0AE807" w14:textId="77777777">
            <w:pPr>
              <w:jc w:val="both"/>
              <w:rPr>
                <w:color w:val="000000"/>
              </w:rPr>
            </w:pPr>
            <w:r w:rsidRPr="0090496F">
              <w:rPr>
                <w:color w:val="000000"/>
              </w:rPr>
              <w:t>Līdz 2018.gada beigām</w:t>
            </w:r>
          </w:p>
        </w:tc>
      </w:tr>
      <w:tr w14:paraId="4A0AE80D" w14:textId="77777777" w:rsidTr="00537A80">
        <w:tblPrEx>
          <w:tblW w:w="0" w:type="auto"/>
          <w:tblLayout w:type="fixed"/>
          <w:tblLook w:val="04A0"/>
        </w:tblPrEx>
        <w:tc>
          <w:tcPr>
            <w:tcW w:w="704" w:type="dxa"/>
          </w:tcPr>
          <w:p w:rsidR="00A30829" w:rsidP="00537A80" w14:paraId="4A0AE809" w14:textId="77777777">
            <w:pPr>
              <w:jc w:val="both"/>
            </w:pPr>
            <w:r>
              <w:t>24.</w:t>
            </w:r>
          </w:p>
        </w:tc>
        <w:tc>
          <w:tcPr>
            <w:tcW w:w="1814" w:type="dxa"/>
          </w:tcPr>
          <w:p w:rsidR="00A30829" w:rsidP="00537A80" w14:paraId="4A0AE80A" w14:textId="77777777">
            <w:pPr>
              <w:jc w:val="both"/>
            </w:pPr>
            <w:r w:rsidRPr="0090496F">
              <w:t>Dabas aizsardzības pārvalde</w:t>
            </w:r>
          </w:p>
        </w:tc>
        <w:tc>
          <w:tcPr>
            <w:tcW w:w="3941" w:type="dxa"/>
          </w:tcPr>
          <w:p w:rsidR="00A30829" w:rsidP="00537A80" w14:paraId="4A0AE80B" w14:textId="77777777">
            <w:pPr>
              <w:jc w:val="both"/>
              <w:rPr>
                <w:color w:val="000000"/>
              </w:rPr>
            </w:pPr>
            <w:r>
              <w:rPr>
                <w:color w:val="000000"/>
              </w:rPr>
              <w:t>Dati par mikroliegumiem</w:t>
            </w:r>
          </w:p>
        </w:tc>
        <w:tc>
          <w:tcPr>
            <w:tcW w:w="2602" w:type="dxa"/>
          </w:tcPr>
          <w:p w:rsidR="00A30829" w:rsidP="00537A80" w14:paraId="4A0AE80C" w14:textId="77777777">
            <w:pPr>
              <w:jc w:val="both"/>
              <w:rPr>
                <w:color w:val="000000"/>
              </w:rPr>
            </w:pPr>
            <w:r w:rsidRPr="0090496F">
              <w:rPr>
                <w:color w:val="000000"/>
              </w:rPr>
              <w:t>Līdz 2018.gada beigām</w:t>
            </w:r>
          </w:p>
        </w:tc>
      </w:tr>
    </w:tbl>
    <w:p w:rsidR="002E2CEA" w:rsidP="002E2CEA" w14:paraId="4A841A41" w14:textId="77777777">
      <w:pPr>
        <w:spacing w:after="0" w:line="240" w:lineRule="auto"/>
        <w:ind w:firstLine="720"/>
        <w:jc w:val="both"/>
        <w:rPr>
          <w:rFonts w:ascii="Times New Roman" w:hAnsi="Times New Roman"/>
          <w:sz w:val="24"/>
          <w:szCs w:val="24"/>
        </w:rPr>
      </w:pPr>
    </w:p>
    <w:p w:rsidR="00A30829" w:rsidRPr="00A30829" w:rsidP="002E2CEA" w14:paraId="4A0AE80F" w14:textId="77777777">
      <w:pPr>
        <w:ind w:firstLine="720"/>
        <w:jc w:val="both"/>
        <w:rPr>
          <w:rFonts w:ascii="Times New Roman" w:hAnsi="Times New Roman"/>
          <w:sz w:val="24"/>
          <w:szCs w:val="24"/>
        </w:rPr>
      </w:pPr>
      <w:r w:rsidRPr="00A30829">
        <w:rPr>
          <w:rFonts w:ascii="Times New Roman" w:hAnsi="Times New Roman"/>
          <w:sz w:val="24"/>
          <w:szCs w:val="24"/>
        </w:rPr>
        <w:t>Visas Informatīvajā ziņojumā minētās institūcijas atveramo datu kopu publicēšanu nodrošinās esošā valsts budžeta finansējuma ietvaros</w:t>
      </w:r>
    </w:p>
    <w:p w:rsidR="002E2CEA" w:rsidP="002E2CEA" w14:paraId="3FDD2525" w14:textId="77777777">
      <w:pPr>
        <w:spacing w:after="0" w:line="240" w:lineRule="auto"/>
        <w:jc w:val="both"/>
        <w:rPr>
          <w:rFonts w:ascii="Times New Roman" w:hAnsi="Times New Roman"/>
          <w:sz w:val="24"/>
          <w:szCs w:val="24"/>
          <w:highlight w:val="green"/>
        </w:rPr>
      </w:pPr>
    </w:p>
    <w:p w:rsidR="00A30829" w:rsidRPr="00A30829" w:rsidP="002E2CEA" w14:paraId="4A0AE812" w14:textId="77777777">
      <w:pPr>
        <w:spacing w:after="0" w:line="240" w:lineRule="auto"/>
        <w:jc w:val="both"/>
        <w:rPr>
          <w:rFonts w:ascii="Times New Roman" w:hAnsi="Times New Roman"/>
          <w:sz w:val="24"/>
          <w:szCs w:val="24"/>
        </w:rPr>
      </w:pPr>
      <w:r w:rsidRPr="00A30829">
        <w:rPr>
          <w:rFonts w:ascii="Times New Roman" w:hAnsi="Times New Roman"/>
          <w:sz w:val="24"/>
          <w:szCs w:val="24"/>
        </w:rPr>
        <w:t>Vides aizsardzības un reģionālās</w:t>
      </w:r>
    </w:p>
    <w:p w:rsidR="00A30829" w:rsidRPr="00A30829" w:rsidP="002E2CEA" w14:paraId="4A0AE813" w14:textId="3C98756A">
      <w:pPr>
        <w:spacing w:after="0" w:line="240" w:lineRule="auto"/>
        <w:jc w:val="both"/>
        <w:rPr>
          <w:rFonts w:ascii="Times New Roman" w:hAnsi="Times New Roman"/>
          <w:sz w:val="24"/>
          <w:szCs w:val="24"/>
        </w:rPr>
      </w:pPr>
      <w:r w:rsidRPr="00A30829">
        <w:rPr>
          <w:rFonts w:ascii="Times New Roman" w:hAnsi="Times New Roman"/>
          <w:sz w:val="24"/>
          <w:szCs w:val="24"/>
        </w:rPr>
        <w:t>attīstības ministrs</w:t>
      </w:r>
      <w:r w:rsidRPr="00A30829">
        <w:rPr>
          <w:rFonts w:ascii="Times New Roman" w:hAnsi="Times New Roman"/>
          <w:sz w:val="24"/>
          <w:szCs w:val="24"/>
        </w:rPr>
        <w:tab/>
      </w:r>
      <w:r w:rsidRPr="00A30829">
        <w:rPr>
          <w:rFonts w:ascii="Times New Roman" w:hAnsi="Times New Roman"/>
          <w:sz w:val="24"/>
          <w:szCs w:val="24"/>
        </w:rPr>
        <w:tab/>
      </w:r>
      <w:r w:rsidRPr="00A30829">
        <w:rPr>
          <w:rFonts w:ascii="Times New Roman" w:hAnsi="Times New Roman"/>
          <w:sz w:val="24"/>
          <w:szCs w:val="24"/>
        </w:rPr>
        <w:tab/>
      </w:r>
      <w:r w:rsidRPr="00A30829">
        <w:rPr>
          <w:rFonts w:ascii="Times New Roman" w:hAnsi="Times New Roman"/>
          <w:sz w:val="24"/>
          <w:szCs w:val="24"/>
        </w:rPr>
        <w:tab/>
      </w:r>
      <w:r w:rsidRPr="00A30829">
        <w:rPr>
          <w:rFonts w:ascii="Times New Roman" w:hAnsi="Times New Roman"/>
          <w:sz w:val="24"/>
          <w:szCs w:val="24"/>
        </w:rPr>
        <w:tab/>
      </w:r>
      <w:r w:rsidRPr="00A30829">
        <w:rPr>
          <w:rFonts w:ascii="Times New Roman" w:hAnsi="Times New Roman"/>
          <w:sz w:val="24"/>
          <w:szCs w:val="24"/>
        </w:rPr>
        <w:tab/>
      </w:r>
      <w:r w:rsidRPr="00A30829">
        <w:rPr>
          <w:rFonts w:ascii="Times New Roman" w:hAnsi="Times New Roman"/>
          <w:sz w:val="24"/>
          <w:szCs w:val="24"/>
        </w:rPr>
        <w:tab/>
      </w:r>
      <w:r w:rsidR="002E2CEA">
        <w:rPr>
          <w:rFonts w:ascii="Times New Roman" w:hAnsi="Times New Roman"/>
          <w:sz w:val="24"/>
          <w:szCs w:val="24"/>
        </w:rPr>
        <w:tab/>
      </w:r>
      <w:r w:rsidRPr="00A30829">
        <w:rPr>
          <w:rFonts w:ascii="Times New Roman" w:hAnsi="Times New Roman"/>
          <w:sz w:val="24"/>
          <w:szCs w:val="24"/>
        </w:rPr>
        <w:t>K. Gerhards</w:t>
      </w:r>
    </w:p>
    <w:p w:rsidR="00A30829" w:rsidRPr="00A30829" w:rsidP="00A30829" w14:paraId="4A0AE814" w14:textId="77777777">
      <w:pPr>
        <w:jc w:val="both"/>
        <w:rPr>
          <w:rFonts w:ascii="Times New Roman" w:hAnsi="Times New Roman"/>
          <w:sz w:val="24"/>
          <w:szCs w:val="24"/>
        </w:rPr>
      </w:pPr>
    </w:p>
    <w:p w:rsidR="00A30829" w:rsidRPr="00A30829" w:rsidP="00A30829" w14:paraId="4A0AE815" w14:textId="77777777">
      <w:pPr>
        <w:jc w:val="both"/>
        <w:rPr>
          <w:rFonts w:ascii="Times New Roman" w:hAnsi="Times New Roman"/>
          <w:sz w:val="24"/>
          <w:szCs w:val="24"/>
        </w:rPr>
      </w:pPr>
    </w:p>
    <w:p w:rsidR="00A30829" w:rsidRPr="00A30829" w:rsidP="00A30829" w14:paraId="4A0AE816" w14:textId="77777777">
      <w:pPr>
        <w:jc w:val="both"/>
        <w:rPr>
          <w:rFonts w:ascii="Times New Roman" w:hAnsi="Times New Roman"/>
          <w:sz w:val="24"/>
          <w:szCs w:val="24"/>
        </w:rPr>
      </w:pPr>
    </w:p>
    <w:p w:rsidR="00A30829" w:rsidRPr="00A30829" w:rsidP="00F85C6C" w14:paraId="4A0AE817" w14:textId="77777777">
      <w:pPr>
        <w:spacing w:after="0"/>
        <w:jc w:val="both"/>
        <w:rPr>
          <w:rFonts w:ascii="Times New Roman" w:hAnsi="Times New Roman"/>
          <w:sz w:val="24"/>
          <w:szCs w:val="24"/>
        </w:rPr>
      </w:pPr>
    </w:p>
    <w:p w:rsidR="00A30829" w:rsidRPr="002E2CEA" w:rsidP="00F85C6C" w14:paraId="4A0AE818" w14:textId="77777777">
      <w:pPr>
        <w:spacing w:after="0"/>
        <w:jc w:val="both"/>
        <w:rPr>
          <w:rFonts w:ascii="Times New Roman" w:hAnsi="Times New Roman"/>
          <w:sz w:val="20"/>
          <w:szCs w:val="20"/>
        </w:rPr>
      </w:pPr>
      <w:r w:rsidRPr="002E2CEA">
        <w:rPr>
          <w:rFonts w:ascii="Times New Roman" w:hAnsi="Times New Roman"/>
          <w:sz w:val="20"/>
          <w:szCs w:val="20"/>
        </w:rPr>
        <w:t>M.Jēkabsons, 66016754</w:t>
      </w:r>
    </w:p>
    <w:p w:rsidR="00A30829" w:rsidRPr="00A30829" w:rsidP="00F85C6C" w14:paraId="4A0AE819" w14:textId="77777777">
      <w:pPr>
        <w:spacing w:after="0"/>
        <w:jc w:val="both"/>
        <w:rPr>
          <w:rFonts w:ascii="Times New Roman" w:hAnsi="Times New Roman"/>
          <w:sz w:val="24"/>
          <w:szCs w:val="24"/>
        </w:rPr>
      </w:pPr>
      <w:r>
        <w:fldChar w:fldCharType="begin"/>
      </w:r>
      <w:r>
        <w:instrText xml:space="preserve"> HYPERLINK "mailto:Mikus.Jekabsons@varam.gov.lv" </w:instrText>
      </w:r>
      <w:r>
        <w:fldChar w:fldCharType="separate"/>
      </w:r>
      <w:r w:rsidRPr="002E2CEA">
        <w:rPr>
          <w:rStyle w:val="Hyperlink"/>
          <w:rFonts w:ascii="Times New Roman" w:hAnsi="Times New Roman"/>
          <w:sz w:val="20"/>
          <w:szCs w:val="20"/>
        </w:rPr>
        <w:t>Mikus.Jekabsons@varam.gov.lv</w:t>
      </w:r>
      <w:r>
        <w:fldChar w:fldCharType="end"/>
      </w:r>
      <w:r w:rsidRPr="002E2CEA">
        <w:rPr>
          <w:rFonts w:ascii="Times New Roman" w:hAnsi="Times New Roman"/>
          <w:sz w:val="20"/>
          <w:szCs w:val="20"/>
        </w:rPr>
        <w:t xml:space="preserve"> </w:t>
      </w:r>
    </w:p>
    <w:p w:rsidR="00A30829" w:rsidRPr="002E2CEA" w:rsidP="00A30829" w14:paraId="4A0AE81A" w14:textId="77777777">
      <w:pPr>
        <w:jc w:val="both"/>
        <w:rPr>
          <w:rFonts w:ascii="Times New Roman" w:hAnsi="Times New Roman"/>
          <w:sz w:val="24"/>
          <w:szCs w:val="24"/>
        </w:rPr>
      </w:pPr>
    </w:p>
    <w:p w:rsidR="00A30829" w:rsidRPr="002E2CEA" w:rsidP="00A30829" w14:paraId="4A0AE81B" w14:textId="77777777">
      <w:pPr>
        <w:jc w:val="center"/>
        <w:rPr>
          <w:rFonts w:ascii="Times New Roman" w:hAnsi="Times New Roman"/>
          <w:sz w:val="24"/>
          <w:szCs w:val="24"/>
        </w:rPr>
      </w:pPr>
      <w:r w:rsidRPr="002E2CEA">
        <w:rPr>
          <w:rFonts w:ascii="Times New Roman" w:hAnsi="Times New Roman"/>
          <w:sz w:val="24"/>
          <w:szCs w:val="24"/>
        </w:rPr>
        <w:t>ŠIS DOKUMENTS IR ELEKTRONISKI PARAKSTĪTS AR DROŠU ELEKTRONISKO PARAKSTU UN SATUR LAIKA ZĪMOGU</w:t>
      </w:r>
    </w:p>
    <w:p w:rsidR="00E80A25" w:rsidP="008E2ADA" w14:paraId="4A0AE81C" w14:textId="77777777">
      <w:pPr>
        <w:jc w:val="right"/>
        <w:rPr>
          <w:rFonts w:ascii="Times New Roman" w:hAnsi="Times New Roman"/>
          <w:sz w:val="24"/>
          <w:szCs w:val="24"/>
        </w:rPr>
      </w:pPr>
    </w:p>
    <w:p w:rsidR="00E80A25" w:rsidRPr="00E80A25" w:rsidP="00E80A25" w14:paraId="4A0AE81D" w14:textId="77777777">
      <w:pPr>
        <w:rPr>
          <w:rFonts w:ascii="Times New Roman" w:hAnsi="Times New Roman"/>
          <w:sz w:val="24"/>
          <w:szCs w:val="24"/>
        </w:rPr>
      </w:pPr>
    </w:p>
    <w:p w:rsidR="00E80A25" w:rsidRPr="00E80A25" w:rsidP="00E80A25" w14:paraId="4A0AE81E" w14:textId="77777777">
      <w:pPr>
        <w:rPr>
          <w:rFonts w:ascii="Times New Roman" w:hAnsi="Times New Roman"/>
          <w:sz w:val="24"/>
          <w:szCs w:val="24"/>
        </w:rPr>
      </w:pPr>
    </w:p>
    <w:p w:rsidR="00E80A25" w:rsidRPr="00E80A25" w:rsidP="00E80A25" w14:paraId="4A0AE81F" w14:textId="77777777">
      <w:pPr>
        <w:rPr>
          <w:rFonts w:ascii="Times New Roman" w:hAnsi="Times New Roman"/>
          <w:sz w:val="24"/>
          <w:szCs w:val="24"/>
        </w:rPr>
      </w:pPr>
    </w:p>
    <w:p w:rsidR="00E80A25" w:rsidRPr="00E80A25" w:rsidP="00E80A25" w14:paraId="4A0AE820" w14:textId="77777777">
      <w:pPr>
        <w:rPr>
          <w:rFonts w:ascii="Times New Roman" w:hAnsi="Times New Roman"/>
          <w:sz w:val="24"/>
          <w:szCs w:val="24"/>
        </w:rPr>
      </w:pPr>
    </w:p>
    <w:p w:rsidR="00E80A25" w:rsidRPr="00E80A25" w:rsidP="00E80A25" w14:paraId="4A0AE821" w14:textId="77777777">
      <w:pPr>
        <w:rPr>
          <w:rFonts w:ascii="Times New Roman" w:hAnsi="Times New Roman"/>
          <w:sz w:val="24"/>
          <w:szCs w:val="24"/>
        </w:rPr>
      </w:pPr>
    </w:p>
    <w:p w:rsidR="00E80A25" w:rsidRPr="00E80A25" w:rsidP="00E80A25" w14:paraId="4A0AE822" w14:textId="77777777">
      <w:pPr>
        <w:rPr>
          <w:rFonts w:ascii="Times New Roman" w:hAnsi="Times New Roman"/>
          <w:sz w:val="24"/>
          <w:szCs w:val="24"/>
        </w:rPr>
      </w:pPr>
    </w:p>
    <w:p w:rsidR="00E80A25" w:rsidRPr="00E80A25" w:rsidP="00E80A25" w14:paraId="4A0AE823" w14:textId="77777777">
      <w:pPr>
        <w:rPr>
          <w:rFonts w:ascii="Times New Roman" w:hAnsi="Times New Roman"/>
          <w:sz w:val="24"/>
          <w:szCs w:val="24"/>
        </w:rPr>
      </w:pPr>
    </w:p>
    <w:p w:rsidR="00E80A25" w:rsidRPr="00E80A25" w:rsidP="00E80A25" w14:paraId="4A0AE824" w14:textId="77777777">
      <w:pPr>
        <w:rPr>
          <w:rFonts w:ascii="Times New Roman" w:hAnsi="Times New Roman"/>
          <w:sz w:val="24"/>
          <w:szCs w:val="24"/>
        </w:rPr>
      </w:pPr>
    </w:p>
    <w:p w:rsidR="00E80A25" w:rsidP="00E80A25" w14:paraId="4A0AE825" w14:textId="77777777"/>
    <w:p w:rsidR="00E80A25" w:rsidP="00E80A25" w14:paraId="4A0AE826" w14:textId="77777777"/>
    <w:tbl>
      <w:tblPr>
        <w:tblW w:w="0" w:type="auto"/>
        <w:tblInd w:w="108" w:type="dxa"/>
        <w:tblLook w:val="04A0"/>
      </w:tblPr>
      <w:tblGrid>
        <w:gridCol w:w="8222"/>
      </w:tblGrid>
      <w:tr w14:paraId="4A0AE828" w14:textId="77777777" w:rsidTr="00796CFC">
        <w:tblPrEx>
          <w:tblW w:w="0" w:type="auto"/>
          <w:tblInd w:w="108" w:type="dxa"/>
          <w:tblLook w:val="04A0"/>
        </w:tblPrEx>
        <w:trPr>
          <w:cantSplit/>
          <w:trHeight w:val="579"/>
        </w:trPr>
        <w:tc>
          <w:tcPr>
            <w:tcW w:w="8222" w:type="dxa"/>
          </w:tcPr>
          <w:p w:rsidR="00E80A25" w:rsidP="00796CFC" w14:paraId="4A0AE827" w14:textId="77777777">
            <w:pPr>
              <w:pStyle w:val="BodyTextIndent"/>
              <w:ind w:left="0"/>
            </w:pPr>
            <w:bookmarkStart w:id="1" w:name="edoc_info" w:colFirst="0" w:colLast="0"/>
          </w:p>
        </w:tc>
      </w:tr>
    </w:tbl>
    <w:p w:rsidR="002E1474" w:rsidRPr="00C27521" w:rsidP="00954D5A" w14:paraId="4A0AE829" w14:textId="77777777">
      <w:pPr>
        <w:rPr>
          <w:rFonts w:ascii="Times New Roman" w:hAnsi="Times New Roman"/>
          <w:sz w:val="24"/>
          <w:szCs w:val="24"/>
        </w:rPr>
      </w:pPr>
      <w:bookmarkEnd w:id="1"/>
    </w:p>
    <w:sectPr w:rsidSect="00B82CCF">
      <w:headerReference w:type="default" r:id="rId6"/>
      <w:footerReference w:type="default" r:id="rId7"/>
      <w:footerReference w:type="first" r:id="rId8"/>
      <w:type w:val="continuous"/>
      <w:pgSz w:w="11920" w:h="16840"/>
      <w:pgMar w:top="1134" w:right="851" w:bottom="1134" w:left="1701"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5C6C" w:rsidRPr="00F85C6C" w:rsidP="00F85C6C" w14:paraId="4A0AE82E" w14:textId="77777777">
    <w:pPr>
      <w:jc w:val="both"/>
      <w:rPr>
        <w:rFonts w:ascii="Times New Roman" w:hAnsi="Times New Roman"/>
        <w:sz w:val="20"/>
        <w:szCs w:val="20"/>
      </w:rPr>
    </w:pPr>
    <w:r w:rsidRPr="00F85C6C">
      <w:rPr>
        <w:rFonts w:ascii="Times New Roman" w:hAnsi="Times New Roman"/>
        <w:sz w:val="20"/>
        <w:szCs w:val="20"/>
      </w:rPr>
      <w:fldChar w:fldCharType="begin"/>
    </w:r>
    <w:r w:rsidRPr="00F85C6C">
      <w:rPr>
        <w:rFonts w:ascii="Times New Roman" w:hAnsi="Times New Roman"/>
        <w:sz w:val="20"/>
        <w:szCs w:val="20"/>
      </w:rPr>
      <w:instrText xml:space="preserve"> FILENAME   \* MERGEFORMAT </w:instrText>
    </w:r>
    <w:r w:rsidRPr="00F85C6C">
      <w:rPr>
        <w:rFonts w:ascii="Times New Roman" w:hAnsi="Times New Roman"/>
        <w:sz w:val="20"/>
        <w:szCs w:val="20"/>
      </w:rPr>
      <w:fldChar w:fldCharType="separate"/>
    </w:r>
    <w:r w:rsidRPr="00F85C6C">
      <w:rPr>
        <w:rFonts w:ascii="Times New Roman" w:hAnsi="Times New Roman"/>
        <w:noProof/>
        <w:sz w:val="20"/>
        <w:szCs w:val="20"/>
      </w:rPr>
      <w:fldChar w:fldCharType="end"/>
    </w:r>
    <w:r w:rsidRPr="00F85C6C">
      <w:rPr>
        <w:rFonts w:ascii="Times New Roman" w:hAnsi="Times New Roman"/>
        <w:noProof/>
        <w:sz w:val="20"/>
        <w:szCs w:val="20"/>
      </w:rPr>
      <w:t>_dati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5C6C" w:rsidRPr="00F85C6C" w:rsidP="00F85C6C" w14:paraId="4A0AE83B" w14:textId="77777777">
    <w:pPr>
      <w:jc w:val="both"/>
      <w:rPr>
        <w:rFonts w:ascii="Times New Roman" w:hAnsi="Times New Roman"/>
        <w:sz w:val="20"/>
        <w:szCs w:val="20"/>
      </w:rPr>
    </w:pPr>
    <w:r w:rsidRPr="00F85C6C">
      <w:rPr>
        <w:rFonts w:ascii="Times New Roman" w:hAnsi="Times New Roman"/>
        <w:sz w:val="20"/>
        <w:szCs w:val="20"/>
      </w:rPr>
      <w:fldChar w:fldCharType="begin"/>
    </w:r>
    <w:r w:rsidRPr="00F85C6C">
      <w:rPr>
        <w:rFonts w:ascii="Times New Roman" w:hAnsi="Times New Roman"/>
        <w:sz w:val="20"/>
        <w:szCs w:val="20"/>
      </w:rPr>
      <w:instrText xml:space="preserve"> FILENAME   \* MERGEFORMAT </w:instrText>
    </w:r>
    <w:r w:rsidRPr="00F85C6C">
      <w:rPr>
        <w:rFonts w:ascii="Times New Roman" w:hAnsi="Times New Roman"/>
        <w:sz w:val="20"/>
        <w:szCs w:val="20"/>
      </w:rPr>
      <w:fldChar w:fldCharType="separate"/>
    </w:r>
    <w:r w:rsidRPr="00F85C6C">
      <w:rPr>
        <w:rFonts w:ascii="Times New Roman" w:hAnsi="Times New Roman"/>
        <w:noProof/>
        <w:sz w:val="20"/>
        <w:szCs w:val="20"/>
      </w:rPr>
      <w:fldChar w:fldCharType="end"/>
    </w:r>
    <w:r w:rsidRPr="00F85C6C">
      <w:rPr>
        <w:rFonts w:ascii="Times New Roman" w:hAnsi="Times New Roman"/>
        <w:noProof/>
        <w:sz w:val="20"/>
        <w:szCs w:val="20"/>
      </w:rPr>
      <w:t>_dati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1721F" w14:paraId="4A0AE82A" w14:textId="77777777">
      <w:pPr>
        <w:spacing w:after="0" w:line="240" w:lineRule="auto"/>
      </w:pPr>
      <w:r>
        <w:separator/>
      </w:r>
    </w:p>
  </w:footnote>
  <w:footnote w:type="continuationSeparator" w:id="1">
    <w:p w:rsidR="00C1721F" w14:paraId="4A0AE82B" w14:textId="77777777">
      <w:pPr>
        <w:spacing w:after="0" w:line="240" w:lineRule="auto"/>
      </w:pPr>
      <w:r>
        <w:continuationSeparator/>
      </w:r>
    </w:p>
  </w:footnote>
  <w:footnote w:id="2">
    <w:p w:rsidR="00A30829" w:rsidRPr="00A32893" w:rsidP="00A30829" w14:paraId="4A0AE842" w14:textId="77777777">
      <w:pPr>
        <w:pStyle w:val="FootnoteText"/>
        <w:jc w:val="both"/>
        <w:rPr>
          <w:lang w:val="en-US"/>
        </w:rPr>
      </w:pPr>
      <w:r>
        <w:rPr>
          <w:rStyle w:val="FootnoteReference"/>
        </w:rPr>
        <w:footnoteRef/>
      </w:r>
      <w:r>
        <w:t xml:space="preserve"> Starptautiskā atvērto datu harta </w:t>
      </w:r>
      <w:r>
        <w:fldChar w:fldCharType="begin"/>
      </w:r>
      <w:r>
        <w:instrText xml:space="preserve"> HYPERLINK "http://opendatacharter.net/principles/" </w:instrText>
      </w:r>
      <w:r>
        <w:fldChar w:fldCharType="separate"/>
      </w:r>
      <w:r w:rsidRPr="00605790">
        <w:rPr>
          <w:rStyle w:val="Hyperlink"/>
        </w:rPr>
        <w:t>http://opendatacharter.net/principles/</w:t>
      </w:r>
      <w:r>
        <w:fldChar w:fldCharType="end"/>
      </w:r>
      <w:r>
        <w:t xml:space="preserve"> (avots pēdējoreiz skatīts 25.07.2017.)</w:t>
      </w:r>
    </w:p>
  </w:footnote>
  <w:footnote w:id="3">
    <w:p w:rsidR="00A30829" w:rsidRPr="00A30829" w:rsidP="00A30829" w14:paraId="4A0AE843" w14:textId="77777777">
      <w:pPr>
        <w:jc w:val="both"/>
        <w:rPr>
          <w:rFonts w:ascii="Times New Roman" w:hAnsi="Times New Roman"/>
          <w:sz w:val="20"/>
          <w:szCs w:val="20"/>
        </w:rPr>
      </w:pPr>
      <w:r w:rsidRPr="00A30829">
        <w:rPr>
          <w:rStyle w:val="FootnoteReference"/>
          <w:rFonts w:ascii="Times New Roman" w:hAnsi="Times New Roman"/>
          <w:sz w:val="20"/>
          <w:szCs w:val="20"/>
        </w:rPr>
        <w:footnoteRef/>
      </w:r>
      <w:r w:rsidRPr="00A30829">
        <w:rPr>
          <w:rFonts w:ascii="Times New Roman" w:hAnsi="Times New Roman"/>
          <w:sz w:val="20"/>
          <w:szCs w:val="20"/>
        </w:rPr>
        <w:t> Ministru kabineta 2015. gada 17. novembra noteikumi Nr. 653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w:t>
      </w:r>
    </w:p>
  </w:footnote>
  <w:footnote w:id="4">
    <w:p w:rsidR="00A30829" w:rsidRPr="00A30829" w:rsidP="00A30829" w14:paraId="4A0AE844" w14:textId="77777777">
      <w:pPr>
        <w:rPr>
          <w:rFonts w:ascii="Times New Roman" w:hAnsi="Times New Roman"/>
          <w:sz w:val="20"/>
          <w:szCs w:val="20"/>
        </w:rPr>
      </w:pPr>
      <w:r w:rsidRPr="00A30829">
        <w:rPr>
          <w:rStyle w:val="FootnoteReference"/>
          <w:rFonts w:ascii="Times New Roman" w:hAnsi="Times New Roman"/>
          <w:sz w:val="20"/>
          <w:szCs w:val="20"/>
        </w:rPr>
        <w:footnoteRef/>
      </w:r>
      <w:r w:rsidRPr="00A30829">
        <w:rPr>
          <w:rFonts w:ascii="Times New Roman" w:hAnsi="Times New Roman"/>
          <w:sz w:val="20"/>
          <w:szCs w:val="20"/>
        </w:rPr>
        <w:t xml:space="preserve"> Eiropas Komisijas pētījums “Creating Value through Open Data” (Interneta resurss: https://www.europeandataportal.eu/sites/default/files/edp_creating_value_through_open_data_0.pdf)</w:t>
      </w:r>
    </w:p>
    <w:p w:rsidR="00A30829" w:rsidRPr="00A32893" w:rsidP="00A30829" w14:paraId="4A0AE845" w14:textId="77777777">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46625210"/>
      <w:docPartObj>
        <w:docPartGallery w:val="Page Numbers (Top of Page)"/>
        <w:docPartUnique/>
      </w:docPartObj>
    </w:sdtPr>
    <w:sdtEndPr>
      <w:rPr>
        <w:noProof/>
      </w:rPr>
    </w:sdtEndPr>
    <w:sdtContent>
      <w:p w:rsidR="002E2CEA" w14:paraId="5B72290E" w14:textId="54ADA28B">
        <w:pPr>
          <w:pStyle w:val="Header"/>
          <w:jc w:val="center"/>
        </w:pPr>
        <w:r>
          <w:fldChar w:fldCharType="begin"/>
        </w:r>
        <w:r>
          <w:instrText xml:space="preserve"> PAGE   \* MERGEFORMAT </w:instrText>
        </w:r>
        <w:r>
          <w:fldChar w:fldCharType="separate"/>
        </w:r>
        <w:r>
          <w:rPr>
            <w:noProof/>
          </w:rPr>
          <w:t>8</w:t>
        </w:r>
        <w:r>
          <w:rPr>
            <w:noProof/>
          </w:rPr>
          <w:fldChar w:fldCharType="end"/>
        </w:r>
      </w:p>
    </w:sdtContent>
  </w:sdt>
  <w:p w:rsidR="002E2CEA" w14:paraId="20E216C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7614D04"/>
    <w:multiLevelType w:val="hybridMultilevel"/>
    <w:tmpl w:val="1458DEA2"/>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2" w15:restartNumberingAfterBreak="1">
    <w:nsid w:val="18873115"/>
    <w:multiLevelType w:val="hybridMultilevel"/>
    <w:tmpl w:val="5DFE3F3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15:restartNumberingAfterBreak="1">
    <w:nsid w:val="23291CE8"/>
    <w:multiLevelType w:val="hybridMultilevel"/>
    <w:tmpl w:val="2B1C15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1">
    <w:nsid w:val="2F51632D"/>
    <w:multiLevelType w:val="hybridMultilevel"/>
    <w:tmpl w:val="2056E9F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15:restartNumberingAfterBreak="1">
    <w:nsid w:val="40AE0BE0"/>
    <w:multiLevelType w:val="hybridMultilevel"/>
    <w:tmpl w:val="733E7404"/>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6" w15:restartNumberingAfterBreak="1">
    <w:nsid w:val="5E0B17DC"/>
    <w:multiLevelType w:val="hybridMultilevel"/>
    <w:tmpl w:val="DE365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4"/>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0"/>
    <w:footnote w:id="1"/>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F2"/>
    <w:rsid w:val="002E1474"/>
    <w:rsid w:val="002E2CEA"/>
    <w:rsid w:val="002F4027"/>
    <w:rsid w:val="00314809"/>
    <w:rsid w:val="004C5EC4"/>
    <w:rsid w:val="00537A80"/>
    <w:rsid w:val="00605790"/>
    <w:rsid w:val="00722171"/>
    <w:rsid w:val="00796CFC"/>
    <w:rsid w:val="008E2ADA"/>
    <w:rsid w:val="0090496F"/>
    <w:rsid w:val="00954D5A"/>
    <w:rsid w:val="00A30829"/>
    <w:rsid w:val="00A32893"/>
    <w:rsid w:val="00B0461A"/>
    <w:rsid w:val="00C1721F"/>
    <w:rsid w:val="00C27521"/>
    <w:rsid w:val="00D92A72"/>
    <w:rsid w:val="00DA7526"/>
    <w:rsid w:val="00E80A25"/>
    <w:rsid w:val="00E928E8"/>
    <w:rsid w:val="00F85C6C"/>
    <w:rsid w:val="00F950F2"/>
  </w:rsids>
  <m:mathPr>
    <m:mathFont m:val="Cambria Math"/>
    <m:dispDef m:val="0"/>
    <m:wrapRight/>
    <m:naryLim m:val="subSup"/>
  </m:mathPr>
  <w:themeFontLang w:val="lv-LV"/>
  <w:clrSchemeMapping w:bg1="light1" w:t1="dark1" w:bg2="light2" w:t2="dark2" w:accent1="accent1" w:accent2="accent2" w:accent3="accent3" w:accent4="accent4" w:accent5="accent5" w:accent6="accent6" w:hyperlink="hyperlink" w:followedHyperlink="followedHyperlink"/>
  <w15:docId w15:val="{F089F268-5CCF-4C29-8B40-71C1979E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BodyTextIndent">
    <w:name w:val="Body Text Indent"/>
    <w:basedOn w:val="Normal"/>
    <w:link w:val="BodyTextIndentChar"/>
    <w:uiPriority w:val="99"/>
    <w:unhideWhenUsed/>
    <w:rsid w:val="00E80A25"/>
    <w:pPr>
      <w:widowControl/>
      <w:spacing w:before="120" w:after="120" w:line="240" w:lineRule="auto"/>
      <w:ind w:left="283"/>
    </w:pPr>
    <w:rPr>
      <w:rFonts w:ascii="Times New Roman" w:eastAsia="Times New Roman" w:hAnsi="Times New Roman"/>
      <w:sz w:val="20"/>
      <w:szCs w:val="20"/>
    </w:rPr>
  </w:style>
  <w:style w:type="character" w:customStyle="1" w:styleId="BodyTextIndentChar">
    <w:name w:val="Body Text Indent Char"/>
    <w:basedOn w:val="DefaultParagraphFont"/>
    <w:link w:val="BodyTextIndent"/>
    <w:uiPriority w:val="99"/>
    <w:rsid w:val="00E80A25"/>
    <w:rPr>
      <w:rFonts w:ascii="Times New Roman" w:eastAsia="Times New Roman" w:hAnsi="Times New Roman"/>
      <w:lang w:eastAsia="en-US"/>
    </w:rPr>
  </w:style>
  <w:style w:type="table" w:styleId="TableGrid">
    <w:name w:val="Table Grid"/>
    <w:basedOn w:val="TableNormal"/>
    <w:rsid w:val="00A308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829"/>
    <w:pPr>
      <w:widowControl/>
      <w:suppressAutoHyphens/>
      <w:spacing w:after="0" w:line="240" w:lineRule="auto"/>
      <w:ind w:left="720"/>
    </w:pPr>
    <w:rPr>
      <w:rFonts w:ascii="Times New Roman" w:eastAsia="Times New Roman" w:hAnsi="Times New Roman"/>
      <w:sz w:val="24"/>
      <w:szCs w:val="24"/>
      <w:lang w:eastAsia="zh-CN"/>
    </w:rPr>
  </w:style>
  <w:style w:type="paragraph" w:styleId="FootnoteText">
    <w:name w:val="footnote text"/>
    <w:basedOn w:val="Normal"/>
    <w:link w:val="FootnoteTextChar"/>
    <w:rsid w:val="00A30829"/>
    <w:pPr>
      <w:widowControl/>
      <w:suppressAutoHyphens/>
      <w:spacing w:after="0" w:line="240" w:lineRule="auto"/>
    </w:pPr>
    <w:rPr>
      <w:rFonts w:ascii="Times New Roman" w:eastAsia="Times New Roman" w:hAnsi="Times New Roman"/>
      <w:sz w:val="20"/>
      <w:szCs w:val="20"/>
      <w:lang w:eastAsia="zh-CN"/>
    </w:rPr>
  </w:style>
  <w:style w:type="character" w:customStyle="1" w:styleId="FootnoteTextChar">
    <w:name w:val="Footnote Text Char"/>
    <w:basedOn w:val="DefaultParagraphFont"/>
    <w:link w:val="FootnoteText"/>
    <w:rsid w:val="00A30829"/>
    <w:rPr>
      <w:rFonts w:ascii="Times New Roman" w:eastAsia="Times New Roman" w:hAnsi="Times New Roman"/>
      <w:lang w:eastAsia="zh-CN"/>
    </w:rPr>
  </w:style>
  <w:style w:type="paragraph" w:styleId="Title">
    <w:name w:val="Title"/>
    <w:basedOn w:val="Normal"/>
    <w:link w:val="TitleChar"/>
    <w:qFormat/>
    <w:rsid w:val="00A30829"/>
    <w:pPr>
      <w:widowControl/>
      <w:spacing w:after="0" w:line="240" w:lineRule="auto"/>
      <w:jc w:val="center"/>
    </w:pPr>
    <w:rPr>
      <w:rFonts w:ascii="Times New Roman" w:eastAsia="Times New Roman" w:hAnsi="Times New Roman"/>
      <w:sz w:val="28"/>
      <w:szCs w:val="28"/>
      <w:lang w:eastAsia="lv-LV"/>
    </w:rPr>
  </w:style>
  <w:style w:type="character" w:customStyle="1" w:styleId="TitleChar">
    <w:name w:val="Title Char"/>
    <w:basedOn w:val="DefaultParagraphFont"/>
    <w:link w:val="Title"/>
    <w:rsid w:val="00A30829"/>
    <w:rPr>
      <w:rFonts w:ascii="Times New Roman" w:eastAsia="Times New Roman" w:hAnsi="Times New Roman"/>
      <w:sz w:val="28"/>
      <w:szCs w:val="28"/>
    </w:rPr>
  </w:style>
  <w:style w:type="character" w:styleId="FootnoteReference">
    <w:name w:val="footnote reference"/>
    <w:basedOn w:val="DefaultParagraphFont"/>
    <w:semiHidden/>
    <w:unhideWhenUsed/>
    <w:rsid w:val="00A30829"/>
    <w:rPr>
      <w:vertAlign w:val="superscript"/>
    </w:rPr>
  </w:style>
  <w:style w:type="character" w:customStyle="1" w:styleId="Internetasaite">
    <w:name w:val="Interneta saite"/>
    <w:rsid w:val="00A30829"/>
    <w:rPr>
      <w:color w:val="0000FF"/>
      <w:u w:val="single"/>
    </w:rPr>
  </w:style>
  <w:style w:type="paragraph" w:styleId="NormalWeb">
    <w:name w:val="Normal (Web)"/>
    <w:basedOn w:val="Normal"/>
    <w:uiPriority w:val="99"/>
    <w:unhideWhenUsed/>
    <w:rsid w:val="00A30829"/>
    <w:pPr>
      <w:widowControl/>
      <w:spacing w:before="100" w:beforeAutospacing="1" w:after="100" w:afterAutospacing="1" w:line="240" w:lineRule="auto"/>
    </w:pPr>
    <w:rPr>
      <w:rFonts w:ascii="Times New Roman" w:hAnsi="Times New Roman" w:eastAsiaTheme="minorHAnsi"/>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7EA7C-4C7C-4ED4-8591-5C1EC4CAD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14445</Words>
  <Characters>8235</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Madars Laurs</cp:lastModifiedBy>
  <cp:revision>4</cp:revision>
  <dcterms:created xsi:type="dcterms:W3CDTF">2018-06-25T06:41:00Z</dcterms:created>
  <dcterms:modified xsi:type="dcterms:W3CDTF">2018-06-25T07:42:00Z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