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3002C0" w:rsidP="00894C55" w14:paraId="1C6DFDD7"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4B69D0">
        <w:rPr>
          <w:rFonts w:ascii="Times New Roman" w:eastAsia="Times New Roman" w:hAnsi="Times New Roman" w:cs="Times New Roman"/>
          <w:b/>
          <w:bCs/>
          <w:sz w:val="28"/>
          <w:szCs w:val="24"/>
          <w:lang w:eastAsia="lv-LV"/>
        </w:rPr>
        <w:t>Ministru kabineta noteikumu projekta "</w:t>
      </w:r>
      <w:r w:rsidRPr="003A6800" w:rsidR="003A6800">
        <w:rPr>
          <w:rFonts w:ascii="Times New Roman" w:eastAsia="Times New Roman" w:hAnsi="Times New Roman" w:cs="Times New Roman"/>
          <w:b/>
          <w:bCs/>
          <w:sz w:val="28"/>
          <w:szCs w:val="24"/>
          <w:lang w:eastAsia="lv-LV"/>
        </w:rPr>
        <w:t>Veselības aprūpe pakalpojumu sniegšana hronisku slimību pacientiem  stacionārā</w:t>
      </w:r>
      <w:r w:rsidR="00BF600A">
        <w:rPr>
          <w:rFonts w:ascii="Times New Roman" w:eastAsia="Times New Roman" w:hAnsi="Times New Roman" w:cs="Times New Roman"/>
          <w:b/>
          <w:bCs/>
          <w:sz w:val="28"/>
          <w:szCs w:val="24"/>
          <w:lang w:eastAsia="lv-LV"/>
        </w:rPr>
        <w:t xml:space="preserve"> ārstniecības iestādē</w:t>
      </w:r>
      <w:r w:rsidRPr="004B69D0">
        <w:rPr>
          <w:rFonts w:ascii="Times New Roman" w:eastAsia="Times New Roman" w:hAnsi="Times New Roman" w:cs="Times New Roman"/>
          <w:b/>
          <w:bCs/>
          <w:sz w:val="28"/>
          <w:szCs w:val="24"/>
          <w:lang w:eastAsia="lv-LV"/>
        </w:rPr>
        <w:t>"</w:t>
      </w:r>
      <w:r w:rsidRPr="004B69D0" w:rsidR="004B69D0">
        <w:rPr>
          <w:rFonts w:ascii="Times New Roman" w:eastAsia="Times New Roman" w:hAnsi="Times New Roman" w:cs="Times New Roman"/>
          <w:b/>
          <w:bCs/>
          <w:sz w:val="28"/>
          <w:szCs w:val="24"/>
          <w:lang w:eastAsia="lv-LV"/>
        </w:rPr>
        <w:t xml:space="preserve"> </w:t>
      </w:r>
      <w:r w:rsidRPr="004B69D0">
        <w:rPr>
          <w:rFonts w:ascii="Times New Roman" w:eastAsia="Times New Roman" w:hAnsi="Times New Roman" w:cs="Times New Roman"/>
          <w:b/>
          <w:bCs/>
          <w:sz w:val="28"/>
          <w:szCs w:val="24"/>
          <w:lang w:eastAsia="lv-LV"/>
        </w:rPr>
        <w:t>sākotnējās ietekmes novērtējuma ziņojums (anotācija)</w:t>
      </w:r>
    </w:p>
    <w:p w:rsidR="00E5323B" w:rsidRPr="003002C0" w:rsidP="00894C55" w14:paraId="42AFDDF3"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E612B32" w14:textId="77777777" w:rsidTr="003002C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6FE279A2"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Tiesību akta projekta anotācijas kopsavilkums</w:t>
            </w:r>
          </w:p>
        </w:tc>
      </w:tr>
      <w:tr w14:paraId="4302AE0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855BB" w:rsidP="00E5323B" w14:paraId="50C2F401" w14:textId="77777777">
            <w:pPr>
              <w:spacing w:after="0" w:line="240" w:lineRule="auto"/>
              <w:rPr>
                <w:rFonts w:ascii="Times New Roman" w:eastAsia="Times New Roman" w:hAnsi="Times New Roman" w:cs="Times New Roman"/>
                <w:iCs/>
                <w:sz w:val="24"/>
                <w:szCs w:val="24"/>
                <w:lang w:eastAsia="lv-LV"/>
              </w:rPr>
            </w:pPr>
            <w:r w:rsidRPr="00B855B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D41F2F" w:rsidRPr="00B855BB" w:rsidP="002E138C" w14:paraId="6217B835" w14:textId="77777777">
            <w:pPr>
              <w:spacing w:after="0" w:line="240" w:lineRule="auto"/>
              <w:ind w:firstLine="406"/>
              <w:jc w:val="both"/>
              <w:rPr>
                <w:rFonts w:ascii="Times New Roman" w:eastAsia="Times New Roman" w:hAnsi="Times New Roman" w:cs="Times New Roman"/>
                <w:iCs/>
                <w:sz w:val="24"/>
                <w:szCs w:val="24"/>
                <w:lang w:eastAsia="lv-LV"/>
              </w:rPr>
            </w:pPr>
            <w:r w:rsidRPr="00B855BB">
              <w:rPr>
                <w:rFonts w:ascii="Times New Roman" w:eastAsia="Times New Roman" w:hAnsi="Times New Roman" w:cs="Times New Roman"/>
                <w:iCs/>
                <w:sz w:val="24"/>
                <w:szCs w:val="24"/>
                <w:lang w:eastAsia="lv-LV"/>
              </w:rPr>
              <w:t>Noteikumu projekta mērķis ir nodrošināt valsts apmaksātu veselības aprūpe</w:t>
            </w:r>
            <w:r>
              <w:rPr>
                <w:rFonts w:ascii="Times New Roman" w:eastAsia="Times New Roman" w:hAnsi="Times New Roman" w:cs="Times New Roman"/>
                <w:iCs/>
                <w:sz w:val="24"/>
                <w:szCs w:val="24"/>
                <w:lang w:eastAsia="lv-LV"/>
              </w:rPr>
              <w:t>s pakalpojumu nepārtrauktību un</w:t>
            </w:r>
            <w:r w:rsidR="00906F1B">
              <w:rPr>
                <w:rFonts w:ascii="Times New Roman" w:eastAsia="Times New Roman" w:hAnsi="Times New Roman" w:cs="Times New Roman"/>
                <w:iCs/>
                <w:sz w:val="24"/>
                <w:szCs w:val="24"/>
                <w:lang w:eastAsia="lv-LV"/>
              </w:rPr>
              <w:t xml:space="preserve"> to</w:t>
            </w:r>
            <w:r>
              <w:rPr>
                <w:rFonts w:ascii="Times New Roman" w:eastAsia="Times New Roman" w:hAnsi="Times New Roman" w:cs="Times New Roman"/>
                <w:iCs/>
                <w:sz w:val="24"/>
                <w:szCs w:val="24"/>
                <w:lang w:eastAsia="lv-LV"/>
              </w:rPr>
              <w:t xml:space="preserve"> </w:t>
            </w:r>
            <w:r w:rsidRPr="00B855BB">
              <w:rPr>
                <w:rFonts w:ascii="Times New Roman" w:eastAsia="Times New Roman" w:hAnsi="Times New Roman" w:cs="Times New Roman"/>
                <w:iCs/>
                <w:sz w:val="24"/>
                <w:szCs w:val="24"/>
                <w:lang w:eastAsia="lv-LV"/>
              </w:rPr>
              <w:t xml:space="preserve">pieejamību </w:t>
            </w:r>
            <w:r w:rsidR="00035DA6">
              <w:rPr>
                <w:rFonts w:ascii="Times New Roman" w:eastAsia="Times New Roman" w:hAnsi="Times New Roman" w:cs="Times New Roman"/>
                <w:iCs/>
                <w:sz w:val="24"/>
                <w:szCs w:val="24"/>
                <w:lang w:eastAsia="lv-LV"/>
              </w:rPr>
              <w:t>hronisk</w:t>
            </w:r>
            <w:r w:rsidR="003A6800">
              <w:rPr>
                <w:rFonts w:ascii="Times New Roman" w:eastAsia="Times New Roman" w:hAnsi="Times New Roman" w:cs="Times New Roman"/>
                <w:iCs/>
                <w:sz w:val="24"/>
                <w:szCs w:val="24"/>
                <w:lang w:eastAsia="lv-LV"/>
              </w:rPr>
              <w:t xml:space="preserve">u slimību </w:t>
            </w:r>
            <w:r w:rsidR="00035DA6">
              <w:rPr>
                <w:rFonts w:ascii="Times New Roman" w:eastAsia="Times New Roman" w:hAnsi="Times New Roman" w:cs="Times New Roman"/>
                <w:iCs/>
                <w:sz w:val="24"/>
                <w:szCs w:val="24"/>
                <w:lang w:eastAsia="lv-LV"/>
              </w:rPr>
              <w:t xml:space="preserve"> pacientiem</w:t>
            </w:r>
            <w:r w:rsidR="003A6800">
              <w:rPr>
                <w:rFonts w:ascii="Times New Roman" w:eastAsia="Times New Roman" w:hAnsi="Times New Roman" w:cs="Times New Roman"/>
                <w:iCs/>
                <w:sz w:val="24"/>
                <w:szCs w:val="24"/>
                <w:lang w:eastAsia="lv-LV"/>
              </w:rPr>
              <w:t xml:space="preserve"> (turpmāk – hroniskie pacienti)</w:t>
            </w:r>
            <w:r w:rsidR="00035DA6">
              <w:rPr>
                <w:rFonts w:ascii="Times New Roman" w:eastAsia="Times New Roman" w:hAnsi="Times New Roman" w:cs="Times New Roman"/>
                <w:iCs/>
                <w:sz w:val="24"/>
                <w:szCs w:val="24"/>
                <w:lang w:eastAsia="lv-LV"/>
              </w:rPr>
              <w:t xml:space="preserve"> </w:t>
            </w:r>
            <w:r w:rsidR="00C24E7D">
              <w:rPr>
                <w:rFonts w:ascii="Times New Roman" w:eastAsia="Times New Roman" w:hAnsi="Times New Roman" w:cs="Times New Roman"/>
                <w:iCs/>
                <w:sz w:val="24"/>
                <w:szCs w:val="24"/>
                <w:lang w:eastAsia="lv-LV"/>
              </w:rPr>
              <w:t>stacionārā</w:t>
            </w:r>
            <w:r w:rsidR="009015EA">
              <w:rPr>
                <w:rFonts w:ascii="Times New Roman" w:eastAsia="Times New Roman" w:hAnsi="Times New Roman" w:cs="Times New Roman"/>
                <w:iCs/>
                <w:sz w:val="24"/>
                <w:szCs w:val="24"/>
                <w:lang w:eastAsia="lv-LV"/>
              </w:rPr>
              <w:t xml:space="preserve"> ārstniecības iestādē</w:t>
            </w:r>
            <w:r>
              <w:rPr>
                <w:rFonts w:ascii="Times New Roman" w:eastAsia="Times New Roman" w:hAnsi="Times New Roman" w:cs="Times New Roman"/>
                <w:iCs/>
                <w:sz w:val="24"/>
                <w:szCs w:val="24"/>
                <w:lang w:eastAsia="lv-LV"/>
              </w:rPr>
              <w:t xml:space="preserve">, kā arī </w:t>
            </w:r>
            <w:r w:rsidR="0028346A">
              <w:rPr>
                <w:rFonts w:ascii="Times New Roman" w:eastAsia="Times New Roman" w:hAnsi="Times New Roman" w:cs="Times New Roman"/>
                <w:iCs/>
                <w:sz w:val="24"/>
                <w:szCs w:val="24"/>
                <w:lang w:eastAsia="lv-LV"/>
              </w:rPr>
              <w:t>noteikt kārtību, kādā tiek organizēta veselības aprūpes pakalpojumu sniegšana hronisk</w:t>
            </w:r>
            <w:r w:rsidR="003A6800">
              <w:rPr>
                <w:rFonts w:ascii="Times New Roman" w:eastAsia="Times New Roman" w:hAnsi="Times New Roman" w:cs="Times New Roman"/>
                <w:iCs/>
                <w:sz w:val="24"/>
                <w:szCs w:val="24"/>
                <w:lang w:eastAsia="lv-LV"/>
              </w:rPr>
              <w:t xml:space="preserve">iem </w:t>
            </w:r>
            <w:r w:rsidR="0028346A">
              <w:rPr>
                <w:rFonts w:ascii="Times New Roman" w:eastAsia="Times New Roman" w:hAnsi="Times New Roman" w:cs="Times New Roman"/>
                <w:iCs/>
                <w:sz w:val="24"/>
                <w:szCs w:val="24"/>
                <w:lang w:eastAsia="lv-LV"/>
              </w:rPr>
              <w:t>pacientiem stacionārā</w:t>
            </w:r>
            <w:r w:rsidR="00EF4F9B">
              <w:rPr>
                <w:rFonts w:ascii="Times New Roman" w:eastAsia="Times New Roman" w:hAnsi="Times New Roman" w:cs="Times New Roman"/>
                <w:iCs/>
                <w:sz w:val="24"/>
                <w:szCs w:val="24"/>
                <w:lang w:eastAsia="lv-LV"/>
              </w:rPr>
              <w:t xml:space="preserve"> un</w:t>
            </w:r>
            <w:r w:rsidR="0028346A">
              <w:rPr>
                <w:rFonts w:ascii="Times New Roman" w:eastAsia="Times New Roman" w:hAnsi="Times New Roman" w:cs="Times New Roman"/>
                <w:iCs/>
                <w:sz w:val="24"/>
                <w:szCs w:val="24"/>
                <w:lang w:eastAsia="lv-LV"/>
              </w:rPr>
              <w:t xml:space="preserve"> kārtību, kādā tiek veikta samaksa par hroniskajiem pacientiem sniegtajiem pakalpojumiem</w:t>
            </w:r>
            <w:r w:rsidR="009015EA">
              <w:rPr>
                <w:rFonts w:ascii="Times New Roman" w:eastAsia="Times New Roman" w:hAnsi="Times New Roman" w:cs="Times New Roman"/>
                <w:iCs/>
                <w:sz w:val="24"/>
                <w:szCs w:val="24"/>
                <w:lang w:eastAsia="lv-LV"/>
              </w:rPr>
              <w:t xml:space="preserve"> stacionārā ārstniecības iestādē.</w:t>
            </w:r>
          </w:p>
        </w:tc>
      </w:tr>
    </w:tbl>
    <w:p w:rsidR="00E5323B" w:rsidRPr="003002C0" w:rsidP="00E5323B" w14:paraId="58DB4E82"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8"/>
        <w:gridCol w:w="3048"/>
        <w:gridCol w:w="5429"/>
      </w:tblGrid>
      <w:tr w14:paraId="22F2E8AD" w14:textId="77777777" w:rsidTr="00887E8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705FB6C0"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 Tiesību akta projekta izstrādes nepieciešamība</w:t>
            </w:r>
          </w:p>
        </w:tc>
      </w:tr>
      <w:tr w14:paraId="6305358D" w14:textId="77777777" w:rsidTr="00887E8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5BD4F150"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133A7A4F"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1C697B" w14:paraId="4572DFEC" w14:textId="77777777">
            <w:pPr>
              <w:spacing w:after="0" w:line="240" w:lineRule="auto"/>
              <w:ind w:firstLine="418"/>
              <w:jc w:val="both"/>
              <w:rPr>
                <w:rFonts w:ascii="Times New Roman" w:eastAsia="Times New Roman" w:hAnsi="Times New Roman" w:cs="Times New Roman"/>
                <w:iCs/>
                <w:sz w:val="24"/>
                <w:szCs w:val="24"/>
                <w:lang w:eastAsia="lv-LV"/>
              </w:rPr>
            </w:pPr>
            <w:r w:rsidRPr="00D42DAA">
              <w:rPr>
                <w:rFonts w:ascii="Times New Roman" w:eastAsia="Times New Roman" w:hAnsi="Times New Roman" w:cs="Times New Roman"/>
                <w:sz w:val="24"/>
                <w:szCs w:val="24"/>
                <w:lang w:eastAsia="lv-LV"/>
              </w:rPr>
              <w:t>Ministru kabineta noteikumu projekts "</w:t>
            </w:r>
            <w:r w:rsidRPr="003A6800" w:rsidR="003A6800">
              <w:rPr>
                <w:rFonts w:ascii="Times New Roman" w:eastAsia="Times New Roman" w:hAnsi="Times New Roman" w:cs="Times New Roman"/>
                <w:sz w:val="24"/>
                <w:szCs w:val="24"/>
                <w:lang w:eastAsia="lv-LV"/>
              </w:rPr>
              <w:t>Veselības aprūpe pakalpojumu sniegšana hronisku slimību pacientiem  stacionārā</w:t>
            </w:r>
            <w:r w:rsidR="009015EA">
              <w:rPr>
                <w:rFonts w:ascii="Times New Roman" w:eastAsia="Times New Roman" w:hAnsi="Times New Roman" w:cs="Times New Roman"/>
                <w:sz w:val="24"/>
                <w:szCs w:val="24"/>
                <w:lang w:eastAsia="lv-LV"/>
              </w:rPr>
              <w:t xml:space="preserve"> ārstniecības iestādē</w:t>
            </w:r>
            <w:r w:rsidRPr="007736CC" w:rsidR="007736CC">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(turpmāk –</w:t>
            </w:r>
            <w:r w:rsidR="00DA5EA2">
              <w:rPr>
                <w:rFonts w:ascii="Times New Roman" w:eastAsia="Times New Roman" w:hAnsi="Times New Roman" w:cs="Times New Roman"/>
                <w:sz w:val="24"/>
                <w:szCs w:val="24"/>
                <w:lang w:eastAsia="lv-LV"/>
              </w:rPr>
              <w:t xml:space="preserve"> noteikumu projekts) izstrādāts</w:t>
            </w:r>
            <w:r w:rsidR="00314CD6">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pamatojoties uz </w:t>
            </w:r>
            <w:r w:rsidR="004B69D0">
              <w:rPr>
                <w:rFonts w:ascii="Times New Roman" w:eastAsia="Times New Roman" w:hAnsi="Times New Roman" w:cs="Times New Roman"/>
                <w:sz w:val="24"/>
                <w:szCs w:val="24"/>
                <w:lang w:eastAsia="lv-LV"/>
              </w:rPr>
              <w:t xml:space="preserve">Veselības aprūpes finansēšanas </w:t>
            </w:r>
            <w:r w:rsidRPr="00687EE5">
              <w:rPr>
                <w:rFonts w:ascii="Times New Roman" w:eastAsia="Times New Roman" w:hAnsi="Times New Roman" w:cs="Times New Roman"/>
                <w:sz w:val="24"/>
                <w:szCs w:val="24"/>
                <w:lang w:eastAsia="lv-LV"/>
              </w:rPr>
              <w:t xml:space="preserve">likuma </w:t>
            </w:r>
            <w:r w:rsidR="009015EA">
              <w:rPr>
                <w:rFonts w:ascii="Times New Roman" w:eastAsia="Times New Roman" w:hAnsi="Times New Roman" w:cs="Times New Roman"/>
                <w:sz w:val="24"/>
                <w:szCs w:val="24"/>
                <w:lang w:eastAsia="lv-LV"/>
              </w:rPr>
              <w:t xml:space="preserve">6.panta ceturto daļu un </w:t>
            </w:r>
            <w:r w:rsidRPr="00687EE5" w:rsidR="004B69D0">
              <w:rPr>
                <w:rFonts w:ascii="Times New Roman" w:eastAsia="Times New Roman" w:hAnsi="Times New Roman" w:cs="Times New Roman"/>
                <w:sz w:val="24"/>
                <w:szCs w:val="24"/>
                <w:lang w:eastAsia="lv-LV"/>
              </w:rPr>
              <w:t>10.panta trešo daļu</w:t>
            </w:r>
            <w:r w:rsidRPr="00687EE5">
              <w:rPr>
                <w:rFonts w:ascii="Times New Roman" w:eastAsia="Times New Roman" w:hAnsi="Times New Roman" w:cs="Times New Roman"/>
                <w:sz w:val="24"/>
                <w:szCs w:val="24"/>
                <w:lang w:eastAsia="lv-LV"/>
              </w:rPr>
              <w:t>.</w:t>
            </w:r>
          </w:p>
        </w:tc>
      </w:tr>
      <w:tr w14:paraId="17828199" w14:textId="77777777" w:rsidTr="00887E8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59E453BD"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91B1A" w:rsidP="00E5323B" w14:paraId="276D5A9F"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E91B1A" w:rsidRPr="00E91B1A" w:rsidP="00E91B1A" w14:paraId="293A3AE3" w14:textId="77777777">
            <w:pPr>
              <w:rPr>
                <w:rFonts w:ascii="Times New Roman" w:eastAsia="Times New Roman" w:hAnsi="Times New Roman" w:cs="Times New Roman"/>
                <w:sz w:val="24"/>
                <w:szCs w:val="24"/>
                <w:lang w:eastAsia="lv-LV"/>
              </w:rPr>
            </w:pPr>
          </w:p>
          <w:p w:rsidR="00E91B1A" w:rsidRPr="00E91B1A" w:rsidP="00E91B1A" w14:paraId="39F1E7FD" w14:textId="77777777">
            <w:pPr>
              <w:rPr>
                <w:rFonts w:ascii="Times New Roman" w:eastAsia="Times New Roman" w:hAnsi="Times New Roman" w:cs="Times New Roman"/>
                <w:sz w:val="24"/>
                <w:szCs w:val="24"/>
                <w:lang w:eastAsia="lv-LV"/>
              </w:rPr>
            </w:pPr>
          </w:p>
          <w:p w:rsidR="00E91B1A" w:rsidRPr="00E91B1A" w:rsidP="00E91B1A" w14:paraId="105DA05E" w14:textId="77777777">
            <w:pPr>
              <w:rPr>
                <w:rFonts w:ascii="Times New Roman" w:eastAsia="Times New Roman" w:hAnsi="Times New Roman" w:cs="Times New Roman"/>
                <w:sz w:val="24"/>
                <w:szCs w:val="24"/>
                <w:lang w:eastAsia="lv-LV"/>
              </w:rPr>
            </w:pPr>
          </w:p>
          <w:p w:rsidR="00E91B1A" w:rsidRPr="00E91B1A" w:rsidP="00E91B1A" w14:paraId="72DDE640" w14:textId="77777777">
            <w:pPr>
              <w:rPr>
                <w:rFonts w:ascii="Times New Roman" w:eastAsia="Times New Roman" w:hAnsi="Times New Roman" w:cs="Times New Roman"/>
                <w:sz w:val="24"/>
                <w:szCs w:val="24"/>
                <w:lang w:eastAsia="lv-LV"/>
              </w:rPr>
            </w:pPr>
          </w:p>
          <w:p w:rsidR="00E91B1A" w:rsidRPr="00E91B1A" w:rsidP="00E91B1A" w14:paraId="45D7169E" w14:textId="77777777">
            <w:pPr>
              <w:rPr>
                <w:rFonts w:ascii="Times New Roman" w:eastAsia="Times New Roman" w:hAnsi="Times New Roman" w:cs="Times New Roman"/>
                <w:sz w:val="24"/>
                <w:szCs w:val="24"/>
                <w:lang w:eastAsia="lv-LV"/>
              </w:rPr>
            </w:pPr>
          </w:p>
          <w:p w:rsidR="00E91B1A" w:rsidRPr="00E91B1A" w:rsidP="00E91B1A" w14:paraId="678B7E7E" w14:textId="77777777">
            <w:pPr>
              <w:rPr>
                <w:rFonts w:ascii="Times New Roman" w:eastAsia="Times New Roman" w:hAnsi="Times New Roman" w:cs="Times New Roman"/>
                <w:sz w:val="24"/>
                <w:szCs w:val="24"/>
                <w:lang w:eastAsia="lv-LV"/>
              </w:rPr>
            </w:pPr>
          </w:p>
          <w:p w:rsidR="00E91B1A" w:rsidRPr="00E91B1A" w:rsidP="00E91B1A" w14:paraId="6D809278" w14:textId="77777777">
            <w:pPr>
              <w:rPr>
                <w:rFonts w:ascii="Times New Roman" w:eastAsia="Times New Roman" w:hAnsi="Times New Roman" w:cs="Times New Roman"/>
                <w:sz w:val="24"/>
                <w:szCs w:val="24"/>
                <w:lang w:eastAsia="lv-LV"/>
              </w:rPr>
            </w:pPr>
          </w:p>
          <w:p w:rsidR="00E91B1A" w:rsidRPr="00E91B1A" w:rsidP="00E91B1A" w14:paraId="787FF89B" w14:textId="77777777">
            <w:pPr>
              <w:rPr>
                <w:rFonts w:ascii="Times New Roman" w:eastAsia="Times New Roman" w:hAnsi="Times New Roman" w:cs="Times New Roman"/>
                <w:sz w:val="24"/>
                <w:szCs w:val="24"/>
                <w:lang w:eastAsia="lv-LV"/>
              </w:rPr>
            </w:pPr>
          </w:p>
          <w:p w:rsidR="00E91B1A" w:rsidRPr="00E91B1A" w:rsidP="00E91B1A" w14:paraId="60714B9E" w14:textId="77777777">
            <w:pPr>
              <w:rPr>
                <w:rFonts w:ascii="Times New Roman" w:eastAsia="Times New Roman" w:hAnsi="Times New Roman" w:cs="Times New Roman"/>
                <w:sz w:val="24"/>
                <w:szCs w:val="24"/>
                <w:lang w:eastAsia="lv-LV"/>
              </w:rPr>
            </w:pPr>
          </w:p>
          <w:p w:rsidR="00E91B1A" w:rsidRPr="00E91B1A" w:rsidP="00E91B1A" w14:paraId="756EC93B" w14:textId="77777777">
            <w:pPr>
              <w:rPr>
                <w:rFonts w:ascii="Times New Roman" w:eastAsia="Times New Roman" w:hAnsi="Times New Roman" w:cs="Times New Roman"/>
                <w:sz w:val="24"/>
                <w:szCs w:val="24"/>
                <w:lang w:eastAsia="lv-LV"/>
              </w:rPr>
            </w:pPr>
          </w:p>
          <w:p w:rsidR="00E91B1A" w:rsidRPr="00E91B1A" w:rsidP="00786949" w14:paraId="362ADEA9" w14:textId="77777777">
            <w:pPr>
              <w:ind w:firstLine="720"/>
              <w:rPr>
                <w:rFonts w:ascii="Times New Roman" w:eastAsia="Times New Roman" w:hAnsi="Times New Roman" w:cs="Times New Roman"/>
                <w:sz w:val="24"/>
                <w:szCs w:val="24"/>
                <w:lang w:eastAsia="lv-LV"/>
              </w:rPr>
            </w:pPr>
          </w:p>
          <w:p w:rsidR="00E5323B" w:rsidRPr="00E91B1A" w:rsidP="00E91B1A" w14:paraId="25ACC78C" w14:textId="77777777">
            <w:pPr>
              <w:ind w:firstLine="720"/>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561863" w:rsidP="001C697B" w14:paraId="70700AA4" w14:textId="77777777">
            <w:pPr>
              <w:spacing w:after="0" w:line="240" w:lineRule="auto"/>
              <w:ind w:firstLine="418"/>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2018.gada 1.janvārī stājās spēkā Veselības aprūpes finansēšanas likums, kur</w:t>
            </w:r>
            <w:r w:rsidR="007736CC">
              <w:rPr>
                <w:rFonts w:ascii="Times New Roman" w:hAnsi="Times New Roman" w:cs="Times New Roman"/>
                <w:sz w:val="24"/>
                <w:szCs w:val="24"/>
                <w:lang w:eastAsia="lv-LV"/>
              </w:rPr>
              <w:t xml:space="preserve">ā dots </w:t>
            </w:r>
            <w:r w:rsidR="00C42E14">
              <w:rPr>
                <w:rFonts w:ascii="Times New Roman" w:hAnsi="Times New Roman" w:cs="Times New Roman"/>
                <w:sz w:val="24"/>
                <w:szCs w:val="24"/>
                <w:lang w:eastAsia="lv-LV"/>
              </w:rPr>
              <w:t xml:space="preserve">deleģējums </w:t>
            </w:r>
            <w:r>
              <w:rPr>
                <w:rFonts w:ascii="Times New Roman" w:hAnsi="Times New Roman" w:cs="Times New Roman"/>
                <w:sz w:val="24"/>
                <w:szCs w:val="24"/>
                <w:lang w:eastAsia="lv-LV"/>
              </w:rPr>
              <w:t>Ministru kabinetam noteikt no valsts budžeta finansējamos veselības aprūpes pakalpojumus, to sniegšanas un apmaksas kārtību. Tāpat minētais likums  paredz, ka līdz attiecīgo Ministru kabineta noteikumu spēkā stāšanās dienai, bet ne ilgāk kā līdz 2018.gada 1.septembrim</w:t>
            </w:r>
            <w:r w:rsidR="00C42E1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ir piemērojami Ministru kabineta 2013.gada 17.decembra noteikumi Nr.1529 </w:t>
            </w:r>
            <w:r w:rsidR="000C2824">
              <w:rPr>
                <w:rFonts w:ascii="Times New Roman" w:hAnsi="Times New Roman" w:cs="Times New Roman"/>
                <w:sz w:val="24"/>
                <w:szCs w:val="24"/>
                <w:lang w:eastAsia="lv-LV"/>
              </w:rPr>
              <w:t>"</w:t>
            </w:r>
            <w:r>
              <w:rPr>
                <w:rFonts w:ascii="Times New Roman" w:hAnsi="Times New Roman" w:cs="Times New Roman"/>
                <w:sz w:val="24"/>
                <w:szCs w:val="24"/>
                <w:lang w:eastAsia="lv-LV"/>
              </w:rPr>
              <w:t>Veselības aprūpes finansēšanas un organizēšanas kārtība</w:t>
            </w:r>
            <w:r w:rsidR="000C2824">
              <w:rPr>
                <w:rFonts w:ascii="Times New Roman" w:hAnsi="Times New Roman" w:cs="Times New Roman"/>
                <w:sz w:val="24"/>
                <w:szCs w:val="24"/>
                <w:lang w:eastAsia="lv-LV"/>
              </w:rPr>
              <w:t>"</w:t>
            </w:r>
            <w:r w:rsidR="009277B6">
              <w:rPr>
                <w:rFonts w:ascii="Times New Roman" w:hAnsi="Times New Roman" w:cs="Times New Roman"/>
                <w:sz w:val="24"/>
                <w:szCs w:val="24"/>
                <w:lang w:eastAsia="lv-LV"/>
              </w:rPr>
              <w:t xml:space="preserve"> (turpmāk - Noteikumi Nr.1529)</w:t>
            </w:r>
            <w:r>
              <w:rPr>
                <w:rFonts w:ascii="Times New Roman" w:hAnsi="Times New Roman" w:cs="Times New Roman"/>
                <w:sz w:val="24"/>
                <w:szCs w:val="24"/>
                <w:lang w:eastAsia="lv-LV"/>
              </w:rPr>
              <w:t xml:space="preserve">. Vienlaicīgi ar Veselības aprūpes finansēšanas likuma spēkā stāšanos </w:t>
            </w:r>
            <w:r w:rsidR="00DF025B">
              <w:rPr>
                <w:rFonts w:ascii="Times New Roman" w:hAnsi="Times New Roman" w:cs="Times New Roman"/>
                <w:sz w:val="24"/>
                <w:szCs w:val="24"/>
                <w:lang w:eastAsia="lv-LV"/>
              </w:rPr>
              <w:t xml:space="preserve">stājās </w:t>
            </w:r>
            <w:r w:rsidR="00EF4F9B">
              <w:rPr>
                <w:rFonts w:ascii="Times New Roman" w:hAnsi="Times New Roman" w:cs="Times New Roman"/>
                <w:sz w:val="24"/>
                <w:szCs w:val="24"/>
                <w:lang w:eastAsia="lv-LV"/>
              </w:rPr>
              <w:t xml:space="preserve">spēkā </w:t>
            </w:r>
            <w:r w:rsidR="00DF025B">
              <w:rPr>
                <w:rFonts w:ascii="Times New Roman" w:hAnsi="Times New Roman" w:cs="Times New Roman"/>
                <w:sz w:val="24"/>
                <w:szCs w:val="24"/>
                <w:lang w:eastAsia="lv-LV"/>
              </w:rPr>
              <w:t>arī grozījumi Ārstniecības likumā</w:t>
            </w:r>
            <w:r w:rsidR="00BB4556">
              <w:rPr>
                <w:rFonts w:ascii="Times New Roman" w:hAnsi="Times New Roman" w:cs="Times New Roman"/>
                <w:sz w:val="24"/>
                <w:szCs w:val="24"/>
                <w:lang w:eastAsia="lv-LV"/>
              </w:rPr>
              <w:t xml:space="preserve">, ar kuriem izslēgts deleģējums Ministru kabinetam noteikt veselības aprūpes organizēšanas un finansēšanas kārtību. Līdz ar to šobrīd </w:t>
            </w:r>
            <w:r w:rsidR="009277B6">
              <w:rPr>
                <w:rFonts w:ascii="Times New Roman" w:hAnsi="Times New Roman" w:cs="Times New Roman"/>
                <w:sz w:val="24"/>
                <w:szCs w:val="24"/>
                <w:lang w:eastAsia="lv-LV"/>
              </w:rPr>
              <w:t>N</w:t>
            </w:r>
            <w:r w:rsidR="00BB4556">
              <w:rPr>
                <w:rFonts w:ascii="Times New Roman" w:hAnsi="Times New Roman" w:cs="Times New Roman"/>
                <w:sz w:val="24"/>
                <w:szCs w:val="24"/>
                <w:lang w:eastAsia="lv-LV"/>
              </w:rPr>
              <w:t>oteikumi Nr.1529 ir piemērojami, taču tajos nav iespējams veikt grozījumus, jo deleģējošā norma ir izslēgta</w:t>
            </w:r>
            <w:r>
              <w:rPr>
                <w:rFonts w:ascii="Times New Roman" w:hAnsi="Times New Roman" w:cs="Times New Roman"/>
                <w:sz w:val="24"/>
                <w:szCs w:val="24"/>
                <w:lang w:eastAsia="lv-LV"/>
              </w:rPr>
              <w:t>. Šobrīd minētajos noteikumos ietvertās normas attiecināmas uz pacientu aprūpi noteiktās slimnīcās, taču tās nenosaka ar hroniskām slimībām slimojošo pacientu aprūpes un apmaksas kārtību.</w:t>
            </w:r>
          </w:p>
          <w:p w:rsidR="00E47DC7" w:rsidP="001C697B" w14:paraId="15552C0B" w14:textId="77777777">
            <w:pPr>
              <w:spacing w:after="0" w:line="240" w:lineRule="auto"/>
              <w:ind w:firstLine="418"/>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L</w:t>
            </w:r>
            <w:r w:rsidR="005F788E">
              <w:rPr>
                <w:rFonts w:ascii="Times New Roman" w:hAnsi="Times New Roman" w:cs="Times New Roman"/>
                <w:sz w:val="24"/>
                <w:szCs w:val="24"/>
                <w:lang w:eastAsia="lv-LV"/>
              </w:rPr>
              <w:t>ai nodrošinātu valsts apmaksāto veselības aprūpes pakalpojumu nepārtrauktību un pieejamību</w:t>
            </w:r>
            <w:r w:rsidR="00C42E14">
              <w:rPr>
                <w:rFonts w:ascii="Times New Roman" w:hAnsi="Times New Roman" w:cs="Times New Roman"/>
                <w:sz w:val="24"/>
                <w:szCs w:val="24"/>
                <w:lang w:eastAsia="lv-LV"/>
              </w:rPr>
              <w:t xml:space="preserve"> hronisko</w:t>
            </w:r>
            <w:r w:rsidR="0012374A">
              <w:rPr>
                <w:rFonts w:ascii="Times New Roman" w:hAnsi="Times New Roman" w:cs="Times New Roman"/>
                <w:sz w:val="24"/>
                <w:szCs w:val="24"/>
                <w:lang w:eastAsia="lv-LV"/>
              </w:rPr>
              <w:t xml:space="preserve"> slimību </w:t>
            </w:r>
            <w:r w:rsidR="00C42E14">
              <w:rPr>
                <w:rFonts w:ascii="Times New Roman" w:hAnsi="Times New Roman" w:cs="Times New Roman"/>
                <w:sz w:val="24"/>
                <w:szCs w:val="24"/>
                <w:lang w:eastAsia="lv-LV"/>
              </w:rPr>
              <w:t>pacientu veselības aprūpei stacionārā</w:t>
            </w:r>
            <w:r w:rsidR="005F788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nepieciešams </w:t>
            </w:r>
            <w:r w:rsidR="006D3067">
              <w:rPr>
                <w:rFonts w:ascii="Times New Roman" w:hAnsi="Times New Roman" w:cs="Times New Roman"/>
                <w:sz w:val="24"/>
                <w:szCs w:val="24"/>
                <w:lang w:eastAsia="lv-LV"/>
              </w:rPr>
              <w:t xml:space="preserve">papildus </w:t>
            </w:r>
            <w:r w:rsidR="005F788E">
              <w:rPr>
                <w:rFonts w:ascii="Times New Roman" w:hAnsi="Times New Roman" w:cs="Times New Roman"/>
                <w:sz w:val="24"/>
                <w:szCs w:val="24"/>
                <w:lang w:eastAsia="lv-LV"/>
              </w:rPr>
              <w:t>šī brīža regulējum</w:t>
            </w:r>
            <w:r w:rsidR="006D3067">
              <w:rPr>
                <w:rFonts w:ascii="Times New Roman" w:hAnsi="Times New Roman" w:cs="Times New Roman"/>
                <w:sz w:val="24"/>
                <w:szCs w:val="24"/>
                <w:lang w:eastAsia="lv-LV"/>
              </w:rPr>
              <w:t>am</w:t>
            </w:r>
            <w:r w:rsidR="005F788E">
              <w:rPr>
                <w:rFonts w:ascii="Times New Roman" w:hAnsi="Times New Roman" w:cs="Times New Roman"/>
                <w:sz w:val="24"/>
                <w:szCs w:val="24"/>
                <w:lang w:eastAsia="lv-LV"/>
              </w:rPr>
              <w:t xml:space="preserve"> </w:t>
            </w:r>
            <w:r w:rsidR="006D3067">
              <w:rPr>
                <w:rFonts w:ascii="Times New Roman" w:hAnsi="Times New Roman" w:cs="Times New Roman"/>
                <w:sz w:val="24"/>
                <w:szCs w:val="24"/>
                <w:lang w:eastAsia="lv-LV"/>
              </w:rPr>
              <w:t xml:space="preserve">noteikt papildus nosacījumus </w:t>
            </w:r>
            <w:r w:rsidR="005F788E">
              <w:rPr>
                <w:rFonts w:ascii="Times New Roman" w:hAnsi="Times New Roman" w:cs="Times New Roman"/>
                <w:sz w:val="24"/>
                <w:szCs w:val="24"/>
                <w:lang w:eastAsia="lv-LV"/>
              </w:rPr>
              <w:t xml:space="preserve">attiecībā uz </w:t>
            </w:r>
            <w:r w:rsidR="007736CC">
              <w:rPr>
                <w:rFonts w:ascii="Times New Roman" w:hAnsi="Times New Roman" w:cs="Times New Roman"/>
                <w:sz w:val="24"/>
                <w:szCs w:val="24"/>
                <w:lang w:eastAsia="lv-LV"/>
              </w:rPr>
              <w:t>hronisko pacientu aprūpi stacionārā</w:t>
            </w:r>
            <w:r>
              <w:rPr>
                <w:rFonts w:ascii="Times New Roman" w:hAnsi="Times New Roman" w:cs="Times New Roman"/>
                <w:sz w:val="24"/>
                <w:szCs w:val="24"/>
                <w:lang w:eastAsia="lv-LV"/>
              </w:rPr>
              <w:t>.</w:t>
            </w:r>
          </w:p>
          <w:p w:rsidR="003A6800" w:rsidP="001C697B" w14:paraId="7F875C36" w14:textId="77777777">
            <w:pPr>
              <w:spacing w:after="0" w:line="240" w:lineRule="auto"/>
              <w:ind w:firstLine="418"/>
              <w:contextualSpacing/>
              <w:jc w:val="both"/>
              <w:rPr>
                <w:rFonts w:ascii="Times New Roman" w:hAnsi="Times New Roman" w:cs="Times New Roman"/>
                <w:sz w:val="24"/>
                <w:szCs w:val="24"/>
                <w:lang w:eastAsia="lv-LV"/>
              </w:rPr>
            </w:pPr>
            <w:r w:rsidRPr="00D414CC">
              <w:rPr>
                <w:rFonts w:ascii="Times New Roman" w:hAnsi="Times New Roman" w:cs="Times New Roman"/>
                <w:sz w:val="24"/>
                <w:szCs w:val="24"/>
                <w:lang w:eastAsia="lv-LV"/>
              </w:rPr>
              <w:t>Latvijā</w:t>
            </w:r>
            <w:r w:rsidR="00724145">
              <w:rPr>
                <w:rFonts w:ascii="Times New Roman" w:hAnsi="Times New Roman" w:cs="Times New Roman"/>
                <w:sz w:val="24"/>
                <w:szCs w:val="24"/>
                <w:lang w:eastAsia="lv-LV"/>
              </w:rPr>
              <w:t>, tāpat kā da</w:t>
            </w:r>
            <w:r w:rsidRPr="00D414CC" w:rsidR="00724145">
              <w:rPr>
                <w:rFonts w:ascii="Times New Roman" w:hAnsi="Times New Roman" w:cs="Times New Roman"/>
                <w:sz w:val="24"/>
                <w:szCs w:val="24"/>
                <w:lang w:eastAsia="lv-LV"/>
              </w:rPr>
              <w:t xml:space="preserve">udzās Eiropas valstīs, </w:t>
            </w:r>
            <w:r w:rsidRPr="00D414CC">
              <w:rPr>
                <w:rFonts w:ascii="Times New Roman" w:hAnsi="Times New Roman" w:cs="Times New Roman"/>
                <w:sz w:val="24"/>
                <w:szCs w:val="24"/>
                <w:lang w:eastAsia="lv-LV"/>
              </w:rPr>
              <w:t xml:space="preserve"> aizvien lielāks slogs veselības sistēmām ir hroniskās slimības (piemēram, sirds asinsvadu slimības, onkoloģija, cukura diabēts u.c.) un sabiedrības novecošanās. Ņemot vērā sabiedrības novecošanās procesus un dzīvildzes palielināšanos, ir svarīgi, lai hronisko slimību pacienti, neatkarīgi no slimības veida, saņemtu atbilstošu un kvalitatīvu veselības aprūpes pakalpojumu. Līdz ar to nepieciešams sistēmiski risināt problēmas, kas saistītas ar hronisko pacientu aprūpes nodrošināšanu, kuriem ir kompleksas aprūpes vajadzības un, kuriem slimība radījusi pārejošus vai pastāvīgus funkcionālus traucējumus, tāpēc tiem nepieciešama gan medicīniskā aprūpe, gan diennakts uzraudzība (piemēram, pastāvīga </w:t>
            </w:r>
            <w:r w:rsidRPr="00D414CC">
              <w:rPr>
                <w:rFonts w:ascii="Times New Roman" w:hAnsi="Times New Roman" w:cs="Times New Roman"/>
                <w:sz w:val="24"/>
                <w:szCs w:val="24"/>
                <w:lang w:eastAsia="lv-LV"/>
              </w:rPr>
              <w:t>traheostomas</w:t>
            </w:r>
            <w:r w:rsidRPr="00D414CC">
              <w:rPr>
                <w:rFonts w:ascii="Times New Roman" w:hAnsi="Times New Roman" w:cs="Times New Roman"/>
                <w:sz w:val="24"/>
                <w:szCs w:val="24"/>
                <w:lang w:eastAsia="lv-LV"/>
              </w:rPr>
              <w:t xml:space="preserve"> kopšana, regulāra skābekļa terapija, </w:t>
            </w:r>
            <w:r w:rsidRPr="00D414CC">
              <w:rPr>
                <w:rFonts w:ascii="Times New Roman" w:hAnsi="Times New Roman" w:cs="Times New Roman"/>
                <w:sz w:val="24"/>
                <w:szCs w:val="24"/>
                <w:lang w:eastAsia="lv-LV"/>
              </w:rPr>
              <w:t>enterāla</w:t>
            </w:r>
            <w:r w:rsidRPr="00D414CC">
              <w:rPr>
                <w:rFonts w:ascii="Times New Roman" w:hAnsi="Times New Roman" w:cs="Times New Roman"/>
                <w:sz w:val="24"/>
                <w:szCs w:val="24"/>
                <w:lang w:eastAsia="lv-LV"/>
              </w:rPr>
              <w:t xml:space="preserve"> barošana utt.).  </w:t>
            </w:r>
          </w:p>
          <w:p w:rsidR="00724145" w:rsidP="001C697B" w14:paraId="06E988FE" w14:textId="77777777">
            <w:pPr>
              <w:spacing w:after="0" w:line="240" w:lineRule="auto"/>
              <w:ind w:firstLine="276"/>
              <w:contextualSpacing/>
              <w:jc w:val="both"/>
              <w:rPr>
                <w:rFonts w:ascii="Times New Roman" w:hAnsi="Times New Roman" w:cs="Times New Roman"/>
                <w:sz w:val="24"/>
                <w:szCs w:val="24"/>
                <w:lang w:eastAsia="lv-LV"/>
              </w:rPr>
            </w:pPr>
            <w:r w:rsidRPr="00724145">
              <w:rPr>
                <w:rFonts w:ascii="Times New Roman" w:hAnsi="Times New Roman" w:cs="Times New Roman"/>
                <w:sz w:val="24"/>
                <w:szCs w:val="24"/>
                <w:lang w:eastAsia="lv-LV"/>
              </w:rPr>
              <w:t xml:space="preserve">Ņemot vērā to, ka pašreizējā situācijā nav iespējams nodrošināt aprūpi pacientiem ar hroniskām saslimšanām atbilstošās hronisko pacientu aprūpes slimnīcās un hronisko pacientu aprūpes nodaļās daudzprofilu slimnīcās tādā apjomā, kādā būtu nepieciešams, šādi pacienti ilgāk tiek medicīniski aprūpēti augstāka līmeņa slimnīcās un </w:t>
            </w:r>
            <w:r w:rsidRPr="00724145">
              <w:rPr>
                <w:rFonts w:ascii="Times New Roman" w:hAnsi="Times New Roman" w:cs="Times New Roman"/>
                <w:sz w:val="24"/>
                <w:szCs w:val="24"/>
                <w:lang w:eastAsia="lv-LV"/>
              </w:rPr>
              <w:t>daudzprofila</w:t>
            </w:r>
            <w:r w:rsidRPr="00724145">
              <w:rPr>
                <w:rFonts w:ascii="Times New Roman" w:hAnsi="Times New Roman" w:cs="Times New Roman"/>
                <w:sz w:val="24"/>
                <w:szCs w:val="24"/>
                <w:lang w:eastAsia="lv-LV"/>
              </w:rPr>
              <w:t xml:space="preserve"> slimnīcu cita profila nodaļās, kā arī izrakstīti mājās, atkārtoti sauc Neatliekamās medicīniskās palīdzības dienestu vai tiek nogādāti atpakaļ augstāka līmeņa slimnīcās.</w:t>
            </w:r>
          </w:p>
          <w:p w:rsidR="00724145" w:rsidP="001C697B" w14:paraId="4839380A" w14:textId="77777777">
            <w:pPr>
              <w:spacing w:after="0" w:line="240" w:lineRule="auto"/>
              <w:ind w:firstLine="418"/>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Pamatojoties uz iepriekš minēto, Veselības ministrija ir izstrādājusi</w:t>
            </w:r>
            <w:r w:rsidRPr="00E47DC7">
              <w:rPr>
                <w:rFonts w:ascii="Times New Roman" w:hAnsi="Times New Roman" w:cs="Times New Roman"/>
                <w:sz w:val="24"/>
                <w:szCs w:val="24"/>
                <w:lang w:eastAsia="lv-LV"/>
              </w:rPr>
              <w:t xml:space="preserve"> jaun</w:t>
            </w:r>
            <w:r>
              <w:rPr>
                <w:rFonts w:ascii="Times New Roman" w:hAnsi="Times New Roman" w:cs="Times New Roman"/>
                <w:sz w:val="24"/>
                <w:szCs w:val="24"/>
                <w:lang w:eastAsia="lv-LV"/>
              </w:rPr>
              <w:t>u</w:t>
            </w:r>
            <w:r w:rsidRPr="00E47DC7">
              <w:rPr>
                <w:rFonts w:ascii="Times New Roman" w:hAnsi="Times New Roman" w:cs="Times New Roman"/>
                <w:sz w:val="24"/>
                <w:szCs w:val="24"/>
                <w:lang w:eastAsia="lv-LV"/>
              </w:rPr>
              <w:t xml:space="preserve"> noteikumu projekt</w:t>
            </w:r>
            <w:r>
              <w:rPr>
                <w:rFonts w:ascii="Times New Roman" w:hAnsi="Times New Roman" w:cs="Times New Roman"/>
                <w:sz w:val="24"/>
                <w:szCs w:val="24"/>
                <w:lang w:eastAsia="lv-LV"/>
              </w:rPr>
              <w:t>u</w:t>
            </w:r>
            <w:r w:rsidRPr="00E47DC7">
              <w:rPr>
                <w:rFonts w:ascii="Times New Roman" w:hAnsi="Times New Roman" w:cs="Times New Roman"/>
                <w:sz w:val="24"/>
                <w:szCs w:val="24"/>
                <w:lang w:eastAsia="lv-LV"/>
              </w:rPr>
              <w:t xml:space="preserve"> saskaņā ar Veselības aprūpes finansēšanas likumā doto deleģējumu attiecībā uz veselības aprūpes pakalpojumu </w:t>
            </w:r>
            <w:r>
              <w:rPr>
                <w:rFonts w:ascii="Times New Roman" w:hAnsi="Times New Roman" w:cs="Times New Roman"/>
                <w:sz w:val="24"/>
                <w:szCs w:val="24"/>
                <w:lang w:eastAsia="lv-LV"/>
              </w:rPr>
              <w:t>sniegšanas organizēšanu hroniskiem pacientiem stacionārā, kas ietver arī apmaksas kārtīb</w:t>
            </w:r>
            <w:r w:rsidR="003A6800">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un apmēru, paredzot, ka tiktāl cik noteikumu projekts nenosaka savādāk, ir piemērojami Ministru kabineta 2013.gada 17.decembra noteikumi Nr.1529 "Veselības aprūpes finansēšanas un organizēšanas kārtība". Tāpat Veselības ministrija turpinās darbu pie vienota normatīvā akta izstrādes, lai noteiktu Veselības aprūpes finansēšanas likumā iekļautajam deleģējumam atbilstošu veselības aprūpes organizēšanas un finansēšanas kārtību un noteikumu projekts zaudēs spēku līdz ar vienotā regulējuma izstrādi un pieņemšanu.</w:t>
            </w:r>
          </w:p>
          <w:p w:rsidR="00A25506" w:rsidP="001C697B" w14:paraId="5627A136" w14:textId="77777777">
            <w:pPr>
              <w:spacing w:after="0" w:line="240" w:lineRule="auto"/>
              <w:ind w:firstLine="418"/>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projekts nosaka</w:t>
            </w:r>
            <w:r w:rsidR="00D8654C">
              <w:rPr>
                <w:rFonts w:ascii="Times New Roman" w:hAnsi="Times New Roman" w:cs="Times New Roman"/>
                <w:sz w:val="24"/>
                <w:szCs w:val="24"/>
                <w:lang w:eastAsia="lv-LV"/>
              </w:rPr>
              <w:t xml:space="preserve">, ka </w:t>
            </w:r>
            <w:r w:rsidR="004424CA">
              <w:rPr>
                <w:rFonts w:ascii="Times New Roman" w:hAnsi="Times New Roman" w:cs="Times New Roman"/>
                <w:sz w:val="24"/>
                <w:szCs w:val="24"/>
                <w:lang w:eastAsia="lv-LV"/>
              </w:rPr>
              <w:t>h</w:t>
            </w:r>
            <w:r w:rsidRPr="00D8654C" w:rsidR="00D8654C">
              <w:rPr>
                <w:rFonts w:ascii="Times New Roman" w:hAnsi="Times New Roman" w:cs="Times New Roman"/>
                <w:sz w:val="24"/>
                <w:szCs w:val="24"/>
                <w:lang w:eastAsia="lv-LV"/>
              </w:rPr>
              <w:t>ronisko pacientu aprūpi nodrošina personām ar hroniskām progresējošām slimībām, hronisku slimību paasinājumu vai komplikācijām</w:t>
            </w:r>
            <w:r w:rsidR="00D8654C">
              <w:rPr>
                <w:rFonts w:ascii="Times New Roman" w:hAnsi="Times New Roman" w:cs="Times New Roman"/>
                <w:sz w:val="24"/>
                <w:szCs w:val="24"/>
                <w:lang w:eastAsia="lv-LV"/>
              </w:rPr>
              <w:t xml:space="preserve"> un </w:t>
            </w:r>
            <w:r w:rsidRPr="00D8654C" w:rsidR="00D8654C">
              <w:rPr>
                <w:rFonts w:ascii="Times New Roman" w:hAnsi="Times New Roman" w:cs="Times New Roman"/>
                <w:sz w:val="24"/>
                <w:szCs w:val="24"/>
                <w:lang w:eastAsia="lv-LV"/>
              </w:rPr>
              <w:t>stacionēšanās</w:t>
            </w:r>
            <w:r w:rsidRPr="00D8654C" w:rsidR="00D8654C">
              <w:rPr>
                <w:rFonts w:ascii="Times New Roman" w:hAnsi="Times New Roman" w:cs="Times New Roman"/>
                <w:sz w:val="24"/>
                <w:szCs w:val="24"/>
                <w:lang w:eastAsia="lv-LV"/>
              </w:rPr>
              <w:t xml:space="preserve"> laikā </w:t>
            </w:r>
            <w:r w:rsidR="00CC4FB5">
              <w:rPr>
                <w:rFonts w:ascii="Times New Roman" w:hAnsi="Times New Roman" w:cs="Times New Roman"/>
                <w:sz w:val="24"/>
                <w:szCs w:val="24"/>
                <w:lang w:eastAsia="lv-LV"/>
              </w:rPr>
              <w:t xml:space="preserve">šīm personām </w:t>
            </w:r>
            <w:r w:rsidRPr="00D8654C" w:rsidR="00D8654C">
              <w:rPr>
                <w:rFonts w:ascii="Times New Roman" w:hAnsi="Times New Roman" w:cs="Times New Roman"/>
                <w:sz w:val="24"/>
                <w:szCs w:val="24"/>
                <w:lang w:eastAsia="lv-LV"/>
              </w:rPr>
              <w:t>nav nepieciešama sarežģīta diagnostika, ķirurģiska iejaukšanās vai cita sarežģīta ārstniecība</w:t>
            </w:r>
            <w:r w:rsidR="00D8654C">
              <w:rPr>
                <w:rFonts w:ascii="Times New Roman" w:hAnsi="Times New Roman" w:cs="Times New Roman"/>
                <w:sz w:val="24"/>
                <w:szCs w:val="24"/>
                <w:lang w:eastAsia="lv-LV"/>
              </w:rPr>
              <w:t>, kā arī:</w:t>
            </w:r>
          </w:p>
          <w:p w:rsidR="00A90EBA" w:rsidRPr="0067143B" w:rsidP="001C697B" w14:paraId="49607CB1" w14:textId="77777777">
            <w:pPr>
              <w:spacing w:after="0" w:line="240" w:lineRule="auto"/>
              <w:ind w:firstLine="418"/>
              <w:contextualSpacing/>
              <w:jc w:val="both"/>
              <w:rPr>
                <w:rFonts w:ascii="Times New Roman" w:hAnsi="Times New Roman" w:cs="Times New Roman"/>
                <w:sz w:val="24"/>
                <w:szCs w:val="24"/>
                <w:lang w:eastAsia="lv-LV"/>
              </w:rPr>
            </w:pPr>
            <w:r w:rsidRPr="0067143B">
              <w:rPr>
                <w:rFonts w:ascii="Times New Roman" w:hAnsi="Times New Roman" w:cs="Times New Roman"/>
                <w:sz w:val="24"/>
                <w:szCs w:val="24"/>
                <w:lang w:eastAsia="lv-LV"/>
              </w:rPr>
              <w:t>1.</w:t>
            </w:r>
            <w:r w:rsidRPr="0067143B" w:rsidR="001C697B">
              <w:rPr>
                <w:rFonts w:ascii="Times New Roman" w:hAnsi="Times New Roman" w:cs="Times New Roman"/>
                <w:sz w:val="24"/>
                <w:szCs w:val="24"/>
                <w:lang w:eastAsia="lv-LV"/>
              </w:rPr>
              <w:t xml:space="preserve"> </w:t>
            </w:r>
            <w:r w:rsidRPr="0067143B">
              <w:rPr>
                <w:rFonts w:ascii="Times New Roman" w:hAnsi="Times New Roman" w:cs="Times New Roman"/>
                <w:sz w:val="24"/>
                <w:szCs w:val="24"/>
                <w:lang w:eastAsia="lv-LV"/>
              </w:rPr>
              <w:t>ārstniecības iestādes</w:t>
            </w:r>
            <w:r w:rsidRPr="0067143B" w:rsidR="003A6800">
              <w:rPr>
                <w:rFonts w:ascii="Times New Roman" w:hAnsi="Times New Roman" w:cs="Times New Roman"/>
                <w:sz w:val="24"/>
                <w:szCs w:val="24"/>
                <w:lang w:eastAsia="lv-LV"/>
              </w:rPr>
              <w:t xml:space="preserve"> (1.pielikums)</w:t>
            </w:r>
            <w:r w:rsidRPr="0067143B" w:rsidR="00D2203A">
              <w:rPr>
                <w:rFonts w:ascii="Times New Roman" w:hAnsi="Times New Roman" w:cs="Times New Roman"/>
                <w:sz w:val="24"/>
                <w:szCs w:val="24"/>
                <w:lang w:eastAsia="lv-LV"/>
              </w:rPr>
              <w:t>, kuras nodrošina hronisko pacientu aprūpi un</w:t>
            </w:r>
            <w:r w:rsidRPr="0067143B">
              <w:rPr>
                <w:rFonts w:ascii="Times New Roman" w:hAnsi="Times New Roman" w:cs="Times New Roman"/>
                <w:sz w:val="24"/>
                <w:szCs w:val="24"/>
                <w:lang w:eastAsia="lv-LV"/>
              </w:rPr>
              <w:t xml:space="preserve"> ar kurām Nacionālais veselības dienests (turpmāk - Dienests) slēdz līgumus par valsts apmaksāto stacionāro pakalpojumu sniegšanu hronisko slimību pacientiem;</w:t>
            </w:r>
          </w:p>
          <w:p w:rsidR="00A00311" w:rsidRPr="0067143B" w:rsidP="001C697B" w14:paraId="159C779B" w14:textId="77777777">
            <w:pPr>
              <w:spacing w:after="0" w:line="240" w:lineRule="auto"/>
              <w:ind w:firstLine="418"/>
              <w:contextualSpacing/>
              <w:jc w:val="both"/>
              <w:rPr>
                <w:rFonts w:ascii="Times New Roman" w:hAnsi="Times New Roman" w:cs="Times New Roman"/>
                <w:sz w:val="24"/>
                <w:szCs w:val="24"/>
                <w:lang w:eastAsia="lv-LV"/>
              </w:rPr>
            </w:pPr>
            <w:r w:rsidRPr="0067143B">
              <w:rPr>
                <w:rFonts w:ascii="Times New Roman" w:hAnsi="Times New Roman" w:cs="Times New Roman"/>
                <w:sz w:val="24"/>
                <w:szCs w:val="24"/>
                <w:lang w:eastAsia="lv-LV"/>
              </w:rPr>
              <w:t>2.</w:t>
            </w:r>
            <w:r w:rsidRPr="0067143B" w:rsidR="006B0205">
              <w:rPr>
                <w:rFonts w:ascii="Times New Roman" w:hAnsi="Times New Roman" w:cs="Times New Roman"/>
                <w:sz w:val="24"/>
                <w:szCs w:val="24"/>
                <w:lang w:eastAsia="lv-LV"/>
              </w:rPr>
              <w:t xml:space="preserve"> </w:t>
            </w:r>
            <w:r w:rsidRPr="0067143B">
              <w:rPr>
                <w:rFonts w:ascii="Times New Roman" w:hAnsi="Times New Roman" w:cs="Times New Roman"/>
                <w:sz w:val="24"/>
                <w:szCs w:val="24"/>
                <w:lang w:eastAsia="lv-LV"/>
              </w:rPr>
              <w:t>diagnozes</w:t>
            </w:r>
            <w:r w:rsidRPr="0067143B" w:rsidR="006626AB">
              <w:rPr>
                <w:rFonts w:ascii="Times New Roman" w:hAnsi="Times New Roman" w:cs="Times New Roman"/>
                <w:sz w:val="24"/>
                <w:szCs w:val="24"/>
                <w:lang w:eastAsia="lv-LV"/>
              </w:rPr>
              <w:t xml:space="preserve"> hronisko pacientu aprūpei stacionārā ārstniecības iestādē</w:t>
            </w:r>
            <w:r w:rsidRPr="0067143B">
              <w:rPr>
                <w:rFonts w:ascii="Times New Roman" w:hAnsi="Times New Roman" w:cs="Times New Roman"/>
                <w:sz w:val="24"/>
                <w:szCs w:val="24"/>
                <w:lang w:eastAsia="lv-LV"/>
              </w:rPr>
              <w:t>, piemēram, hroniskas sirds asinsvadu saslimšanas</w:t>
            </w:r>
            <w:r w:rsidRPr="0067143B">
              <w:rPr>
                <w:rFonts w:ascii="Times New Roman" w:hAnsi="Times New Roman" w:cs="Times New Roman"/>
                <w:sz w:val="24"/>
                <w:szCs w:val="24"/>
                <w:lang w:eastAsia="lv-LV"/>
              </w:rPr>
              <w:t>, a</w:t>
            </w:r>
            <w:r w:rsidRPr="0067143B">
              <w:rPr>
                <w:rFonts w:ascii="Times New Roman" w:hAnsi="Times New Roman" w:cs="Times New Roman"/>
                <w:sz w:val="24"/>
                <w:szCs w:val="24"/>
                <w:lang w:eastAsia="lv-LV"/>
              </w:rPr>
              <w:t>teroskleroze</w:t>
            </w:r>
            <w:r w:rsidRPr="0067143B">
              <w:rPr>
                <w:rFonts w:ascii="Times New Roman" w:hAnsi="Times New Roman" w:cs="Times New Roman"/>
                <w:sz w:val="24"/>
                <w:szCs w:val="24"/>
                <w:lang w:eastAsia="lv-LV"/>
              </w:rPr>
              <w:t>,</w:t>
            </w:r>
            <w:r w:rsidRPr="0067143B" w:rsidR="006B0205">
              <w:rPr>
                <w:rFonts w:ascii="Times New Roman" w:hAnsi="Times New Roman" w:cs="Times New Roman"/>
                <w:sz w:val="24"/>
                <w:szCs w:val="24"/>
                <w:lang w:eastAsia="lv-LV"/>
              </w:rPr>
              <w:t xml:space="preserve"> </w:t>
            </w:r>
            <w:r w:rsidRPr="0067143B">
              <w:rPr>
                <w:rFonts w:ascii="Times New Roman" w:hAnsi="Times New Roman" w:cs="Times New Roman"/>
                <w:sz w:val="24"/>
                <w:szCs w:val="24"/>
                <w:lang w:eastAsia="lv-LV"/>
              </w:rPr>
              <w:t>c</w:t>
            </w:r>
            <w:r w:rsidRPr="0067143B">
              <w:rPr>
                <w:rFonts w:ascii="Times New Roman" w:hAnsi="Times New Roman" w:cs="Times New Roman"/>
                <w:sz w:val="24"/>
                <w:szCs w:val="24"/>
                <w:lang w:eastAsia="lv-LV"/>
              </w:rPr>
              <w:t>erebrovaskulāru</w:t>
            </w:r>
            <w:r w:rsidRPr="0067143B">
              <w:rPr>
                <w:rFonts w:ascii="Times New Roman" w:hAnsi="Times New Roman" w:cs="Times New Roman"/>
                <w:sz w:val="24"/>
                <w:szCs w:val="24"/>
                <w:lang w:eastAsia="lv-LV"/>
              </w:rPr>
              <w:t xml:space="preserve"> slimību sekas</w:t>
            </w:r>
            <w:r w:rsidRPr="0067143B">
              <w:rPr>
                <w:rFonts w:ascii="Times New Roman" w:hAnsi="Times New Roman" w:cs="Times New Roman"/>
                <w:sz w:val="24"/>
                <w:szCs w:val="24"/>
                <w:lang w:eastAsia="lv-LV"/>
              </w:rPr>
              <w:t>, h</w:t>
            </w:r>
            <w:r w:rsidRPr="0067143B">
              <w:rPr>
                <w:rFonts w:ascii="Times New Roman" w:hAnsi="Times New Roman" w:cs="Times New Roman"/>
                <w:sz w:val="24"/>
                <w:szCs w:val="24"/>
                <w:lang w:eastAsia="lv-LV"/>
              </w:rPr>
              <w:t xml:space="preserve">roniska </w:t>
            </w:r>
            <w:r w:rsidRPr="0067143B">
              <w:rPr>
                <w:rFonts w:ascii="Times New Roman" w:hAnsi="Times New Roman" w:cs="Times New Roman"/>
                <w:sz w:val="24"/>
                <w:szCs w:val="24"/>
                <w:lang w:eastAsia="lv-LV"/>
              </w:rPr>
              <w:t>obstruktīva</w:t>
            </w:r>
            <w:r w:rsidRPr="0067143B">
              <w:rPr>
                <w:rFonts w:ascii="Times New Roman" w:hAnsi="Times New Roman" w:cs="Times New Roman"/>
                <w:sz w:val="24"/>
                <w:szCs w:val="24"/>
                <w:lang w:eastAsia="lv-LV"/>
              </w:rPr>
              <w:t xml:space="preserve"> plaušu slimība</w:t>
            </w:r>
            <w:r w:rsidRPr="0067143B">
              <w:rPr>
                <w:rFonts w:ascii="Times New Roman" w:hAnsi="Times New Roman" w:cs="Times New Roman"/>
                <w:sz w:val="24"/>
                <w:szCs w:val="24"/>
                <w:lang w:eastAsia="lv-LV"/>
              </w:rPr>
              <w:t>, h</w:t>
            </w:r>
            <w:r w:rsidRPr="0067143B">
              <w:rPr>
                <w:rFonts w:ascii="Times New Roman" w:hAnsi="Times New Roman" w:cs="Times New Roman"/>
                <w:sz w:val="24"/>
                <w:szCs w:val="24"/>
                <w:lang w:eastAsia="lv-LV"/>
              </w:rPr>
              <w:t>roniska elpošanas mazspēja</w:t>
            </w:r>
            <w:r w:rsidRPr="0067143B">
              <w:rPr>
                <w:rFonts w:ascii="Times New Roman" w:hAnsi="Times New Roman" w:cs="Times New Roman"/>
                <w:sz w:val="24"/>
                <w:szCs w:val="24"/>
                <w:lang w:eastAsia="lv-LV"/>
              </w:rPr>
              <w:t>, s</w:t>
            </w:r>
            <w:r w:rsidRPr="0067143B">
              <w:rPr>
                <w:rFonts w:ascii="Times New Roman" w:hAnsi="Times New Roman" w:cs="Times New Roman"/>
                <w:sz w:val="24"/>
                <w:szCs w:val="24"/>
                <w:lang w:eastAsia="lv-LV"/>
              </w:rPr>
              <w:t xml:space="preserve">keleta, muskuļu un saistaudu hroniskas saslimšanas/ </w:t>
            </w:r>
            <w:r w:rsidRPr="0067143B" w:rsidR="006B0205">
              <w:rPr>
                <w:rFonts w:ascii="Times New Roman" w:hAnsi="Times New Roman" w:cs="Times New Roman"/>
                <w:sz w:val="24"/>
                <w:szCs w:val="24"/>
                <w:lang w:eastAsia="lv-LV"/>
              </w:rPr>
              <w:t>s</w:t>
            </w:r>
            <w:r w:rsidRPr="0067143B">
              <w:rPr>
                <w:rFonts w:ascii="Times New Roman" w:hAnsi="Times New Roman" w:cs="Times New Roman"/>
                <w:sz w:val="24"/>
                <w:szCs w:val="24"/>
                <w:lang w:eastAsia="lv-LV"/>
              </w:rPr>
              <w:t>pondiloze</w:t>
            </w:r>
            <w:r w:rsidRPr="0067143B">
              <w:rPr>
                <w:rFonts w:ascii="Times New Roman" w:hAnsi="Times New Roman" w:cs="Times New Roman"/>
                <w:sz w:val="24"/>
                <w:szCs w:val="24"/>
                <w:lang w:eastAsia="lv-LV"/>
              </w:rPr>
              <w:t>, o</w:t>
            </w:r>
            <w:r w:rsidRPr="0067143B">
              <w:rPr>
                <w:rFonts w:ascii="Times New Roman" w:hAnsi="Times New Roman" w:cs="Times New Roman"/>
                <w:sz w:val="24"/>
                <w:szCs w:val="24"/>
                <w:lang w:eastAsia="lv-LV"/>
              </w:rPr>
              <w:t>nkoloģisko pacientu aprūpe ar precizētu morfoloģiju u.c. hronisko pacientu aprūpes diagnozes</w:t>
            </w:r>
            <w:r w:rsidRPr="0067143B" w:rsidR="006B0205">
              <w:rPr>
                <w:rFonts w:ascii="Times New Roman" w:hAnsi="Times New Roman" w:cs="Times New Roman"/>
                <w:sz w:val="24"/>
                <w:szCs w:val="24"/>
                <w:lang w:eastAsia="lv-LV"/>
              </w:rPr>
              <w:t xml:space="preserve"> (2.pielikums)</w:t>
            </w:r>
            <w:r w:rsidRPr="0067143B">
              <w:rPr>
                <w:rFonts w:ascii="Times New Roman" w:hAnsi="Times New Roman" w:cs="Times New Roman"/>
                <w:sz w:val="24"/>
                <w:szCs w:val="24"/>
                <w:lang w:eastAsia="lv-LV"/>
              </w:rPr>
              <w:t>;</w:t>
            </w:r>
          </w:p>
          <w:p w:rsidR="006626AB" w:rsidRPr="0067143B" w:rsidP="001C697B" w14:paraId="2EA53EF7" w14:textId="77777777">
            <w:pPr>
              <w:spacing w:after="0" w:line="240" w:lineRule="auto"/>
              <w:ind w:firstLine="418"/>
              <w:contextualSpacing/>
              <w:jc w:val="both"/>
              <w:rPr>
                <w:rFonts w:ascii="Times New Roman" w:hAnsi="Times New Roman" w:cs="Times New Roman"/>
                <w:sz w:val="24"/>
                <w:szCs w:val="24"/>
                <w:lang w:eastAsia="lv-LV"/>
              </w:rPr>
            </w:pPr>
            <w:r w:rsidRPr="0067143B">
              <w:rPr>
                <w:rFonts w:ascii="Times New Roman" w:hAnsi="Times New Roman" w:cs="Times New Roman"/>
                <w:sz w:val="24"/>
                <w:szCs w:val="24"/>
                <w:lang w:eastAsia="lv-LV"/>
              </w:rPr>
              <w:t>3.</w:t>
            </w:r>
            <w:r w:rsidRPr="0067143B" w:rsidR="006B0205">
              <w:rPr>
                <w:rFonts w:ascii="Times New Roman" w:hAnsi="Times New Roman" w:cs="Times New Roman"/>
                <w:sz w:val="24"/>
                <w:szCs w:val="24"/>
                <w:lang w:eastAsia="lv-LV"/>
              </w:rPr>
              <w:t xml:space="preserve"> </w:t>
            </w:r>
            <w:r w:rsidRPr="0067143B">
              <w:rPr>
                <w:rFonts w:ascii="Times New Roman" w:hAnsi="Times New Roman" w:cs="Times New Roman"/>
                <w:sz w:val="24"/>
                <w:szCs w:val="24"/>
                <w:lang w:eastAsia="lv-LV"/>
              </w:rPr>
              <w:t>nosūtīšanas kārtību hronisko pacientu aprūpei stacionārā, jo</w:t>
            </w:r>
            <w:r w:rsidRPr="0067143B">
              <w:rPr>
                <w:rFonts w:ascii="Times New Roman" w:hAnsi="Times New Roman" w:cs="Times New Roman"/>
              </w:rPr>
              <w:t xml:space="preserve"> </w:t>
            </w:r>
            <w:r w:rsidRPr="0067143B" w:rsidR="00CC4FB5">
              <w:rPr>
                <w:rFonts w:ascii="Times New Roman" w:hAnsi="Times New Roman" w:cs="Times New Roman"/>
              </w:rPr>
              <w:t>hronisk</w:t>
            </w:r>
            <w:r w:rsidR="0067143B">
              <w:rPr>
                <w:rFonts w:ascii="Times New Roman" w:hAnsi="Times New Roman" w:cs="Times New Roman"/>
              </w:rPr>
              <w:t>ie</w:t>
            </w:r>
            <w:r w:rsidRPr="0067143B" w:rsidR="00CC4FB5">
              <w:rPr>
                <w:rFonts w:ascii="Times New Roman" w:hAnsi="Times New Roman" w:cs="Times New Roman"/>
              </w:rPr>
              <w:t xml:space="preserve"> pacient</w:t>
            </w:r>
            <w:r w:rsidR="0067143B">
              <w:rPr>
                <w:rFonts w:ascii="Times New Roman" w:hAnsi="Times New Roman" w:cs="Times New Roman"/>
              </w:rPr>
              <w:t xml:space="preserve">i </w:t>
            </w:r>
            <w:r w:rsidRPr="0067143B">
              <w:rPr>
                <w:rFonts w:ascii="Times New Roman" w:hAnsi="Times New Roman" w:cs="Times New Roman"/>
              </w:rPr>
              <w:t>a</w:t>
            </w:r>
            <w:r w:rsidRPr="0067143B">
              <w:rPr>
                <w:rFonts w:ascii="Times New Roman" w:hAnsi="Times New Roman" w:cs="Times New Roman"/>
                <w:sz w:val="24"/>
                <w:szCs w:val="24"/>
                <w:lang w:eastAsia="lv-LV"/>
              </w:rPr>
              <w:t>prūpe</w:t>
            </w:r>
            <w:r w:rsidR="0067143B">
              <w:rPr>
                <w:rFonts w:ascii="Times New Roman" w:hAnsi="Times New Roman" w:cs="Times New Roman"/>
                <w:sz w:val="24"/>
                <w:szCs w:val="24"/>
                <w:lang w:eastAsia="lv-LV"/>
              </w:rPr>
              <w:t>i stacionārā</w:t>
            </w:r>
            <w:r w:rsidRPr="0067143B">
              <w:rPr>
                <w:rFonts w:ascii="Times New Roman" w:hAnsi="Times New Roman" w:cs="Times New Roman"/>
                <w:sz w:val="24"/>
                <w:szCs w:val="24"/>
                <w:lang w:eastAsia="lv-LV"/>
              </w:rPr>
              <w:t xml:space="preserve"> </w:t>
            </w:r>
            <w:r w:rsidR="0067143B">
              <w:rPr>
                <w:rFonts w:ascii="Times New Roman" w:hAnsi="Times New Roman" w:cs="Times New Roman"/>
                <w:sz w:val="24"/>
                <w:szCs w:val="24"/>
                <w:lang w:eastAsia="lv-LV"/>
              </w:rPr>
              <w:t xml:space="preserve">ārstniecības iestādē </w:t>
            </w:r>
            <w:r w:rsidRPr="0067143B">
              <w:rPr>
                <w:rFonts w:ascii="Times New Roman" w:hAnsi="Times New Roman" w:cs="Times New Roman"/>
                <w:sz w:val="24"/>
                <w:szCs w:val="24"/>
                <w:lang w:eastAsia="lv-LV"/>
              </w:rPr>
              <w:t>tiks uzņemti pārsvarā ar ģimenes ārsta vai ārsta speciālista norīkojumu</w:t>
            </w:r>
            <w:r w:rsidRPr="0067143B" w:rsidR="006B0205">
              <w:rPr>
                <w:rFonts w:ascii="Times New Roman" w:hAnsi="Times New Roman" w:cs="Times New Roman"/>
                <w:sz w:val="24"/>
                <w:szCs w:val="24"/>
                <w:lang w:eastAsia="lv-LV"/>
              </w:rPr>
              <w:t>, kā arī gadījumos, kad personas patstāvīgi vērsušās hronisko slimību paasinājuma vai komplikāciju gadījumā.</w:t>
            </w:r>
            <w:r w:rsidRPr="0067143B">
              <w:rPr>
                <w:rFonts w:ascii="Times New Roman" w:hAnsi="Times New Roman" w:cs="Times New Roman"/>
                <w:sz w:val="24"/>
                <w:szCs w:val="24"/>
                <w:lang w:eastAsia="lv-LV"/>
              </w:rPr>
              <w:t xml:space="preserve"> Pacienta stāvoklis šajos gadījumos neprasa tūlītēju intensīvu neatliekamās medicīniskās palīdzības sniegšanu un komplicētu ārstēšanu ar augstu intensitāti un tās būtu, piemēram, hronisko saslimšanu grupas - hroniskas asinsrites slimības, onkoloģiskas saslimšanas ar precizētu diagnozi, hroniskas elpošanas sistēmas slimības u.c.</w:t>
            </w:r>
            <w:r w:rsidRPr="0067143B" w:rsidR="004424CA">
              <w:rPr>
                <w:rFonts w:ascii="Times New Roman" w:hAnsi="Times New Roman" w:cs="Times New Roman"/>
                <w:sz w:val="24"/>
                <w:szCs w:val="24"/>
                <w:lang w:eastAsia="lv-LV"/>
              </w:rPr>
              <w:t xml:space="preserve"> Tāpat </w:t>
            </w:r>
            <w:r w:rsidRPr="0067143B" w:rsidR="00154387">
              <w:rPr>
                <w:rFonts w:ascii="Times New Roman" w:hAnsi="Times New Roman" w:cs="Times New Roman"/>
                <w:sz w:val="24"/>
                <w:szCs w:val="24"/>
                <w:lang w:eastAsia="lv-LV"/>
              </w:rPr>
              <w:t xml:space="preserve">hronisko pacientu aprūpi stacionārā </w:t>
            </w:r>
            <w:r w:rsidRPr="0067143B" w:rsidR="004424CA">
              <w:rPr>
                <w:rFonts w:ascii="Times New Roman" w:hAnsi="Times New Roman" w:cs="Times New Roman"/>
                <w:sz w:val="24"/>
                <w:szCs w:val="24"/>
                <w:lang w:eastAsia="lv-LV"/>
              </w:rPr>
              <w:t xml:space="preserve">varēs saņemt </w:t>
            </w:r>
            <w:r w:rsidRPr="0067143B" w:rsidR="00154387">
              <w:rPr>
                <w:rFonts w:ascii="Times New Roman" w:hAnsi="Times New Roman" w:cs="Times New Roman"/>
                <w:sz w:val="24"/>
                <w:szCs w:val="24"/>
                <w:lang w:eastAsia="lv-LV"/>
              </w:rPr>
              <w:t>tie pacienti, kuri pārvesti pēc akūta ārstēšanās perioda stacionārā, ja viņiem ir nepieciešama turpmākā ārstēšana ar kādu no šo noteikumu 2.pielikumā noteiktajām diagnozēm;</w:t>
            </w:r>
          </w:p>
          <w:p w:rsidR="009277B6" w:rsidRPr="00FB63EF" w:rsidP="009277B6" w14:paraId="146D526A" w14:textId="77777777">
            <w:pPr>
              <w:spacing w:after="0" w:line="240" w:lineRule="auto"/>
              <w:ind w:firstLine="418"/>
              <w:contextualSpacing/>
              <w:jc w:val="both"/>
              <w:rPr>
                <w:rFonts w:ascii="Times New Roman" w:hAnsi="Times New Roman" w:cs="Times New Roman"/>
                <w:sz w:val="24"/>
                <w:szCs w:val="24"/>
              </w:rPr>
            </w:pPr>
            <w:r w:rsidRPr="0067143B">
              <w:rPr>
                <w:rFonts w:ascii="Times New Roman" w:hAnsi="Times New Roman" w:cs="Times New Roman"/>
                <w:sz w:val="24"/>
                <w:szCs w:val="24"/>
                <w:lang w:eastAsia="lv-LV"/>
              </w:rPr>
              <w:t>4.</w:t>
            </w:r>
            <w:r w:rsidRPr="0067143B">
              <w:rPr>
                <w:rFonts w:ascii="Times New Roman" w:hAnsi="Times New Roman" w:cs="Times New Roman"/>
                <w:sz w:val="24"/>
                <w:szCs w:val="24"/>
              </w:rPr>
              <w:t xml:space="preserve"> samaks</w:t>
            </w:r>
            <w:r w:rsidRPr="0067143B" w:rsidR="000F792B">
              <w:rPr>
                <w:rFonts w:ascii="Times New Roman" w:hAnsi="Times New Roman" w:cs="Times New Roman"/>
                <w:sz w:val="24"/>
                <w:szCs w:val="24"/>
              </w:rPr>
              <w:t>as nosacījumi</w:t>
            </w:r>
            <w:r w:rsidRPr="0067143B" w:rsidR="00D2203A">
              <w:rPr>
                <w:rFonts w:ascii="Times New Roman" w:hAnsi="Times New Roman" w:cs="Times New Roman"/>
                <w:sz w:val="24"/>
                <w:szCs w:val="24"/>
              </w:rPr>
              <w:t xml:space="preserve"> šo noteikumu</w:t>
            </w:r>
            <w:r w:rsidRPr="0067143B">
              <w:rPr>
                <w:rFonts w:ascii="Times New Roman" w:hAnsi="Times New Roman" w:cs="Times New Roman"/>
                <w:sz w:val="24"/>
                <w:szCs w:val="24"/>
              </w:rPr>
              <w:t xml:space="preserve"> </w:t>
            </w:r>
            <w:r w:rsidRPr="0067143B" w:rsidR="00D2203A">
              <w:rPr>
                <w:rFonts w:ascii="Times New Roman" w:hAnsi="Times New Roman" w:cs="Times New Roman"/>
                <w:sz w:val="24"/>
                <w:szCs w:val="24"/>
              </w:rPr>
              <w:t>1.pielikumā minētajā</w:t>
            </w:r>
            <w:r w:rsidRPr="0067143B" w:rsidR="001E4C71">
              <w:rPr>
                <w:rFonts w:ascii="Times New Roman" w:hAnsi="Times New Roman" w:cs="Times New Roman"/>
                <w:sz w:val="24"/>
                <w:szCs w:val="24"/>
              </w:rPr>
              <w:t>m</w:t>
            </w:r>
            <w:r w:rsidRPr="0067143B" w:rsidR="00D2203A">
              <w:rPr>
                <w:rFonts w:ascii="Times New Roman" w:hAnsi="Times New Roman" w:cs="Times New Roman"/>
                <w:sz w:val="24"/>
                <w:szCs w:val="24"/>
              </w:rPr>
              <w:t xml:space="preserve"> stacionārajā</w:t>
            </w:r>
            <w:r w:rsidRPr="0067143B" w:rsidR="001E4C71">
              <w:rPr>
                <w:rFonts w:ascii="Times New Roman" w:hAnsi="Times New Roman" w:cs="Times New Roman"/>
                <w:sz w:val="24"/>
                <w:szCs w:val="24"/>
              </w:rPr>
              <w:t>m</w:t>
            </w:r>
            <w:r w:rsidRPr="0067143B" w:rsidR="00D2203A">
              <w:rPr>
                <w:rFonts w:ascii="Times New Roman" w:hAnsi="Times New Roman" w:cs="Times New Roman"/>
                <w:sz w:val="24"/>
                <w:szCs w:val="24"/>
              </w:rPr>
              <w:t xml:space="preserve"> ārstniecības iestādē</w:t>
            </w:r>
            <w:r w:rsidRPr="0067143B" w:rsidR="001E4C71">
              <w:rPr>
                <w:rFonts w:ascii="Times New Roman" w:hAnsi="Times New Roman" w:cs="Times New Roman"/>
                <w:sz w:val="24"/>
                <w:szCs w:val="24"/>
              </w:rPr>
              <w:t>m</w:t>
            </w:r>
            <w:r w:rsidRPr="0067143B" w:rsidR="00D2203A">
              <w:rPr>
                <w:rFonts w:ascii="Times New Roman" w:hAnsi="Times New Roman" w:cs="Times New Roman"/>
                <w:sz w:val="24"/>
                <w:szCs w:val="24"/>
                <w:lang w:eastAsia="lv-LV"/>
              </w:rPr>
              <w:t xml:space="preserve"> </w:t>
            </w:r>
            <w:r w:rsidRPr="0067143B">
              <w:rPr>
                <w:rFonts w:ascii="Times New Roman" w:hAnsi="Times New Roman" w:cs="Times New Roman"/>
                <w:sz w:val="24"/>
                <w:szCs w:val="24"/>
              </w:rPr>
              <w:t xml:space="preserve">par </w:t>
            </w:r>
            <w:r w:rsidRPr="0067143B" w:rsidR="001E4C71">
              <w:rPr>
                <w:rFonts w:ascii="Times New Roman" w:hAnsi="Times New Roman" w:cs="Times New Roman"/>
                <w:sz w:val="24"/>
                <w:szCs w:val="24"/>
              </w:rPr>
              <w:t>hronisko pacientu aprūpi - viena pacienta ārstēšanas tarifs - 3</w:t>
            </w:r>
            <w:r w:rsidRPr="0067143B" w:rsidR="000E6596">
              <w:rPr>
                <w:rFonts w:ascii="Times New Roman" w:hAnsi="Times New Roman" w:cs="Times New Roman"/>
                <w:sz w:val="24"/>
                <w:szCs w:val="24"/>
              </w:rPr>
              <w:t>80</w:t>
            </w:r>
            <w:r w:rsidRPr="0067143B" w:rsidR="001E4C71">
              <w:rPr>
                <w:rFonts w:ascii="Times New Roman" w:hAnsi="Times New Roman" w:cs="Times New Roman"/>
                <w:sz w:val="24"/>
                <w:szCs w:val="24"/>
              </w:rPr>
              <w:t>,</w:t>
            </w:r>
            <w:r w:rsidRPr="0067143B" w:rsidR="000E6596">
              <w:rPr>
                <w:rFonts w:ascii="Times New Roman" w:hAnsi="Times New Roman" w:cs="Times New Roman"/>
                <w:sz w:val="24"/>
                <w:szCs w:val="24"/>
              </w:rPr>
              <w:t>0</w:t>
            </w:r>
            <w:r w:rsidRPr="0067143B" w:rsidR="00C612C8">
              <w:rPr>
                <w:rFonts w:ascii="Times New Roman" w:hAnsi="Times New Roman" w:cs="Times New Roman"/>
                <w:sz w:val="24"/>
                <w:szCs w:val="24"/>
              </w:rPr>
              <w:t>4</w:t>
            </w:r>
            <w:r w:rsidRPr="0067143B" w:rsidR="001E4C71">
              <w:rPr>
                <w:rFonts w:ascii="Times New Roman" w:hAnsi="Times New Roman" w:cs="Times New Roman"/>
                <w:sz w:val="24"/>
                <w:szCs w:val="24"/>
              </w:rPr>
              <w:t xml:space="preserve"> </w:t>
            </w:r>
            <w:r w:rsidRPr="0067143B" w:rsidR="001E4C71">
              <w:rPr>
                <w:rFonts w:ascii="Times New Roman" w:hAnsi="Times New Roman" w:cs="Times New Roman"/>
                <w:i/>
                <w:sz w:val="24"/>
                <w:szCs w:val="24"/>
              </w:rPr>
              <w:t>euro</w:t>
            </w:r>
            <w:r w:rsidRPr="0067143B" w:rsidR="001E4C71">
              <w:rPr>
                <w:rFonts w:ascii="Times New Roman" w:hAnsi="Times New Roman" w:cs="Times New Roman"/>
                <w:sz w:val="24"/>
                <w:szCs w:val="24"/>
              </w:rPr>
              <w:t xml:space="preserve"> apmērā par stacionēšanas reizi</w:t>
            </w:r>
            <w:r w:rsidR="009336C6">
              <w:rPr>
                <w:rFonts w:ascii="Times New Roman" w:hAnsi="Times New Roman" w:cs="Times New Roman"/>
                <w:sz w:val="24"/>
                <w:szCs w:val="24"/>
              </w:rPr>
              <w:t>.</w:t>
            </w:r>
            <w:r w:rsidRPr="0067143B" w:rsidR="001E4C71">
              <w:rPr>
                <w:rFonts w:ascii="Times New Roman" w:hAnsi="Times New Roman" w:cs="Times New Roman"/>
                <w:sz w:val="24"/>
                <w:szCs w:val="24"/>
              </w:rPr>
              <w:t xml:space="preserve">  </w:t>
            </w:r>
            <w:r w:rsidRPr="009336C6" w:rsidR="00E55BB7">
              <w:rPr>
                <w:rFonts w:ascii="Times New Roman" w:hAnsi="Times New Roman" w:cs="Times New Roman"/>
                <w:u w:val="single"/>
              </w:rPr>
              <w:t xml:space="preserve">Savukārt, ja pacientam ir blakus diagnozes, </w:t>
            </w:r>
            <w:r w:rsidR="009336C6">
              <w:rPr>
                <w:rFonts w:ascii="Times New Roman" w:hAnsi="Times New Roman" w:cs="Times New Roman"/>
                <w:u w:val="single"/>
              </w:rPr>
              <w:t>kurām</w:t>
            </w:r>
            <w:r w:rsidRPr="009336C6" w:rsidR="00E55BB7">
              <w:rPr>
                <w:rFonts w:ascii="Times New Roman" w:hAnsi="Times New Roman" w:cs="Times New Roman"/>
                <w:u w:val="single"/>
              </w:rPr>
              <w:t xml:space="preserve"> ārstēšana</w:t>
            </w:r>
            <w:r w:rsidRPr="009336C6" w:rsidR="009336C6">
              <w:rPr>
                <w:rFonts w:ascii="Times New Roman" w:hAnsi="Times New Roman" w:cs="Times New Roman"/>
                <w:u w:val="single"/>
              </w:rPr>
              <w:t>s laiks nepieciešams vairāk kā 10 dienas -</w:t>
            </w:r>
            <w:r w:rsidRPr="009336C6" w:rsidR="009336C6">
              <w:rPr>
                <w:rFonts w:ascii="Times New Roman" w:hAnsi="Times New Roman" w:cs="Times New Roman"/>
                <w:sz w:val="24"/>
                <w:szCs w:val="24"/>
                <w:u w:val="single"/>
              </w:rPr>
              <w:t xml:space="preserve"> viena pacienta ārstēšanas tarifs - 505,45 </w:t>
            </w:r>
            <w:r w:rsidRPr="009336C6" w:rsidR="009336C6">
              <w:rPr>
                <w:rFonts w:ascii="Times New Roman" w:hAnsi="Times New Roman" w:cs="Times New Roman"/>
                <w:i/>
                <w:sz w:val="24"/>
                <w:szCs w:val="24"/>
                <w:u w:val="single"/>
              </w:rPr>
              <w:t>euro</w:t>
            </w:r>
            <w:r w:rsidRPr="009336C6" w:rsidR="009336C6">
              <w:rPr>
                <w:rFonts w:ascii="Times New Roman" w:hAnsi="Times New Roman" w:cs="Times New Roman"/>
                <w:sz w:val="24"/>
                <w:szCs w:val="24"/>
                <w:u w:val="single"/>
              </w:rPr>
              <w:t xml:space="preserve"> apmērā par stacionēšanas reizi. Vienlaikus arī noteikts pacienta līdzmaksājuma apmērs 7,11</w:t>
            </w:r>
            <w:r w:rsidRPr="009336C6" w:rsidR="009336C6">
              <w:rPr>
                <w:rFonts w:ascii="Times New Roman" w:hAnsi="Times New Roman" w:cs="Times New Roman"/>
                <w:i/>
                <w:sz w:val="24"/>
                <w:szCs w:val="24"/>
                <w:u w:val="single"/>
              </w:rPr>
              <w:t>euro</w:t>
            </w:r>
            <w:r w:rsidRPr="009336C6" w:rsidR="009336C6">
              <w:rPr>
                <w:rFonts w:ascii="Times New Roman" w:hAnsi="Times New Roman" w:cs="Times New Roman"/>
                <w:sz w:val="24"/>
                <w:szCs w:val="24"/>
                <w:u w:val="single"/>
              </w:rPr>
              <w:t xml:space="preserve"> par ārstēšanos stacionārajā ārstniecības iestādē, sākot ar otro dienu.</w:t>
            </w:r>
            <w:r w:rsidR="009336C6">
              <w:rPr>
                <w:rFonts w:ascii="Times New Roman" w:hAnsi="Times New Roman" w:cs="Times New Roman"/>
                <w:sz w:val="24"/>
                <w:szCs w:val="24"/>
              </w:rPr>
              <w:t xml:space="preserve"> </w:t>
            </w:r>
            <w:r w:rsidRPr="00E55BB7">
              <w:rPr>
                <w:rFonts w:ascii="Times New Roman" w:hAnsi="Times New Roman" w:cs="Times New Roman"/>
                <w:sz w:val="24"/>
                <w:szCs w:val="24"/>
              </w:rPr>
              <w:t>Viena</w:t>
            </w:r>
            <w:r w:rsidRPr="00FB63EF">
              <w:rPr>
                <w:rFonts w:ascii="Times New Roman" w:hAnsi="Times New Roman" w:cs="Times New Roman"/>
                <w:sz w:val="24"/>
                <w:szCs w:val="24"/>
              </w:rPr>
              <w:t xml:space="preserve"> pacienta ārstēšanas tarifs par stacionēšanas reizi tiek aprēķināts saskaņā ar Noteikumu Nr.1529 normām. Noteikumu Nr.1529 286.punktā noteikts, ka viena pacienta veselības aprūpes pakalpojumu tarifus stacionāro ārstniecības iestāžu grupā saskaņā ar šo noteikumu 3.pielikuma 3.punktā noteikto dalījumu aprēķina atbilstoši Dienesta Vadības informācijas sistēmā ievadītajiem datiem par iepriekšējā periodā sniegtajiem </w:t>
            </w:r>
            <w:r w:rsidRPr="00FB63EF">
              <w:rPr>
                <w:rFonts w:ascii="Times New Roman" w:hAnsi="Times New Roman" w:cs="Times New Roman"/>
                <w:sz w:val="24"/>
                <w:szCs w:val="24"/>
              </w:rPr>
              <w:t>no valsts budžeta līdzekļiem apmaksātajiem stacionārās veselības aprūpes pakalpojumiem (atlasot noteiktu diagnožu diapazonu), ievērojot šādus nosacījumus:</w:t>
            </w:r>
          </w:p>
          <w:p w:rsidR="009277B6" w:rsidRPr="00FB63EF" w:rsidP="009277B6" w14:paraId="40FF6754" w14:textId="77777777">
            <w:pPr>
              <w:spacing w:after="0" w:line="240" w:lineRule="auto"/>
              <w:ind w:firstLine="418"/>
              <w:contextualSpacing/>
              <w:jc w:val="both"/>
              <w:rPr>
                <w:rFonts w:ascii="Times New Roman" w:hAnsi="Times New Roman" w:cs="Times New Roman"/>
                <w:sz w:val="24"/>
                <w:szCs w:val="24"/>
              </w:rPr>
            </w:pPr>
            <w:r w:rsidRPr="00FB63EF">
              <w:rPr>
                <w:rFonts w:ascii="Times New Roman" w:hAnsi="Times New Roman" w:cs="Times New Roman"/>
                <w:sz w:val="24"/>
                <w:szCs w:val="24"/>
              </w:rPr>
              <w:t xml:space="preserve">1. pie summas, kas iegūta, reizinot </w:t>
            </w:r>
            <w:r w:rsidRPr="00FB63EF">
              <w:rPr>
                <w:rFonts w:ascii="Times New Roman" w:hAnsi="Times New Roman" w:cs="Times New Roman"/>
                <w:sz w:val="24"/>
                <w:szCs w:val="24"/>
              </w:rPr>
              <w:t>gultasdienu</w:t>
            </w:r>
            <w:r w:rsidRPr="00FB63EF">
              <w:rPr>
                <w:rFonts w:ascii="Times New Roman" w:hAnsi="Times New Roman" w:cs="Times New Roman"/>
                <w:sz w:val="24"/>
                <w:szCs w:val="24"/>
              </w:rPr>
              <w:t xml:space="preserve"> skaitu ar Noteikumu Nr. 1529 3.pielikuma 3.1.apakšpunktā noteikto </w:t>
            </w:r>
            <w:r w:rsidRPr="00FB63EF">
              <w:rPr>
                <w:rFonts w:ascii="Times New Roman" w:hAnsi="Times New Roman" w:cs="Times New Roman"/>
                <w:sz w:val="24"/>
                <w:szCs w:val="24"/>
              </w:rPr>
              <w:t>gultasdienas</w:t>
            </w:r>
            <w:r w:rsidRPr="00FB63EF">
              <w:rPr>
                <w:rFonts w:ascii="Times New Roman" w:hAnsi="Times New Roman" w:cs="Times New Roman"/>
                <w:sz w:val="24"/>
                <w:szCs w:val="24"/>
              </w:rPr>
              <w:t xml:space="preserve"> tarifu, pieskaitot Noteikumu Nr. 1529 16.pielikumā ar zvaigznīti (*) atzīmēto veikto manipulāciju tarifu summu;</w:t>
            </w:r>
          </w:p>
          <w:p w:rsidR="00E55CD3" w:rsidP="009277B6" w14:paraId="212BCB8C" w14:textId="77777777">
            <w:pPr>
              <w:spacing w:after="0" w:line="240" w:lineRule="auto"/>
              <w:ind w:firstLine="418"/>
              <w:contextualSpacing/>
              <w:jc w:val="both"/>
              <w:rPr>
                <w:rFonts w:ascii="Times New Roman" w:hAnsi="Times New Roman" w:cs="Times New Roman"/>
                <w:sz w:val="24"/>
                <w:szCs w:val="24"/>
              </w:rPr>
            </w:pPr>
            <w:r w:rsidRPr="00FB63EF">
              <w:rPr>
                <w:rFonts w:ascii="Times New Roman" w:hAnsi="Times New Roman" w:cs="Times New Roman"/>
                <w:sz w:val="24"/>
                <w:szCs w:val="24"/>
              </w:rPr>
              <w:t>2. iegūto summu dala ar stacionēšanas gadījumu skaitu, tādējādi veidojas vidējais viena pacienta veselības aprūpes pakalpojuma tarifs.</w:t>
            </w:r>
          </w:p>
          <w:p w:rsidR="009336C6" w:rsidRPr="009336C6" w:rsidP="009277B6" w14:paraId="282C7F05" w14:textId="77777777">
            <w:pPr>
              <w:spacing w:after="0" w:line="240" w:lineRule="auto"/>
              <w:ind w:firstLine="418"/>
              <w:contextualSpacing/>
              <w:jc w:val="both"/>
              <w:rPr>
                <w:rFonts w:ascii="Times New Roman" w:hAnsi="Times New Roman" w:cs="Times New Roman"/>
                <w:sz w:val="24"/>
                <w:szCs w:val="24"/>
                <w:u w:val="single"/>
              </w:rPr>
            </w:pPr>
            <w:r w:rsidRPr="009336C6">
              <w:rPr>
                <w:rFonts w:ascii="Times New Roman" w:hAnsi="Times New Roman" w:cs="Times New Roman"/>
                <w:sz w:val="24"/>
                <w:szCs w:val="24"/>
                <w:u w:val="single"/>
              </w:rPr>
              <w:t>Pēc 2018.gada hronisko pacientu aprūpes stacionāru datu analīzes tiks izvērtēta papildus kritēriju nepieciešamība hronisko slimību pacientu apmaksas nosacījumu precizēšanai.</w:t>
            </w:r>
          </w:p>
          <w:p w:rsidR="00EC555E" w:rsidRPr="00041A4C" w:rsidP="00EC555E" w14:paraId="4E11AF65" w14:textId="77777777">
            <w:pPr>
              <w:spacing w:after="0" w:line="240" w:lineRule="auto"/>
              <w:ind w:firstLine="418"/>
              <w:contextualSpacing/>
              <w:jc w:val="both"/>
              <w:rPr>
                <w:rFonts w:ascii="Times New Roman" w:hAnsi="Times New Roman" w:cs="Times New Roman"/>
                <w:sz w:val="24"/>
                <w:szCs w:val="24"/>
                <w:lang w:eastAsia="lv-LV"/>
              </w:rPr>
            </w:pPr>
            <w:r w:rsidRPr="0067143B">
              <w:rPr>
                <w:rFonts w:ascii="Times New Roman" w:hAnsi="Times New Roman" w:cs="Times New Roman"/>
                <w:sz w:val="24"/>
                <w:szCs w:val="24"/>
                <w:lang w:eastAsia="lv-LV"/>
              </w:rPr>
              <w:t xml:space="preserve">Noteikumu projektā iekļautās normas nav attiecināmas uz </w:t>
            </w:r>
            <w:r w:rsidRPr="0067143B" w:rsidR="000D27D1">
              <w:rPr>
                <w:rFonts w:ascii="Times New Roman" w:hAnsi="Times New Roman" w:cs="Times New Roman"/>
                <w:sz w:val="24"/>
                <w:szCs w:val="24"/>
                <w:lang w:eastAsia="lv-LV"/>
              </w:rPr>
              <w:t xml:space="preserve">veselības aprūpes pakalpojumu sniegšanu stacionārā ārstniecības iestādē tiem </w:t>
            </w:r>
            <w:r w:rsidRPr="0067143B">
              <w:rPr>
                <w:rFonts w:ascii="Times New Roman" w:hAnsi="Times New Roman" w:cs="Times New Roman"/>
                <w:sz w:val="24"/>
                <w:szCs w:val="24"/>
                <w:lang w:eastAsia="lv-LV"/>
              </w:rPr>
              <w:t>hronisko slimību pacient</w:t>
            </w:r>
            <w:r w:rsidRPr="0067143B" w:rsidR="000D27D1">
              <w:rPr>
                <w:rFonts w:ascii="Times New Roman" w:hAnsi="Times New Roman" w:cs="Times New Roman"/>
                <w:sz w:val="24"/>
                <w:szCs w:val="24"/>
                <w:lang w:eastAsia="lv-LV"/>
              </w:rPr>
              <w:t>iem</w:t>
            </w:r>
            <w:r w:rsidRPr="0067143B">
              <w:rPr>
                <w:rFonts w:ascii="Times New Roman" w:hAnsi="Times New Roman" w:cs="Times New Roman"/>
                <w:sz w:val="24"/>
                <w:szCs w:val="24"/>
                <w:lang w:eastAsia="lv-LV"/>
              </w:rPr>
              <w:t>, kuri atrodas</w:t>
            </w:r>
            <w:r w:rsidRPr="0067143B" w:rsidR="000D27D1">
              <w:rPr>
                <w:rFonts w:ascii="Times New Roman" w:hAnsi="Times New Roman" w:cs="Times New Roman"/>
                <w:sz w:val="24"/>
                <w:szCs w:val="24"/>
                <w:lang w:eastAsia="lv-LV"/>
              </w:rPr>
              <w:t xml:space="preserve"> apcietinājumā vai ir notiesāti, jo viņu veselības aprūpe tiek nodrošināta saskaņā ar Ministru kabineta 2015.gada 2.jūnija noteikumos Nr. 276 “Apcietināto un notiesāto</w:t>
            </w:r>
            <w:r w:rsidRPr="00881BA1" w:rsidR="000D27D1">
              <w:rPr>
                <w:rFonts w:ascii="Times New Roman" w:hAnsi="Times New Roman" w:cs="Times New Roman"/>
                <w:sz w:val="24"/>
                <w:szCs w:val="24"/>
                <w:lang w:eastAsia="lv-LV"/>
              </w:rPr>
              <w:t xml:space="preserve"> personu veselības aprūpes īstenošanas kārtība” noteikto kārtību</w:t>
            </w:r>
            <w:r w:rsidRPr="00881BA1" w:rsidR="00863D92">
              <w:rPr>
                <w:rFonts w:ascii="Times New Roman" w:hAnsi="Times New Roman" w:cs="Times New Roman"/>
                <w:sz w:val="24"/>
                <w:szCs w:val="24"/>
                <w:lang w:eastAsia="lv-LV"/>
              </w:rPr>
              <w:t>.</w:t>
            </w:r>
            <w:r w:rsidRPr="00881BA1" w:rsidR="005717DC">
              <w:rPr>
                <w:rFonts w:ascii="Times New Roman" w:hAnsi="Times New Roman" w:cs="Times New Roman"/>
                <w:sz w:val="24"/>
                <w:szCs w:val="24"/>
                <w:lang w:eastAsia="lv-LV"/>
              </w:rPr>
              <w:t xml:space="preserve"> </w:t>
            </w:r>
            <w:r w:rsidRPr="00881BA1" w:rsidR="00CD7488">
              <w:rPr>
                <w:rFonts w:ascii="Times New Roman" w:hAnsi="Times New Roman" w:cs="Times New Roman"/>
                <w:sz w:val="24"/>
                <w:szCs w:val="24"/>
                <w:lang w:eastAsia="lv-LV"/>
              </w:rPr>
              <w:t xml:space="preserve">Ieslodzītajiem </w:t>
            </w:r>
            <w:r w:rsidRPr="00881BA1" w:rsidR="0027474F">
              <w:rPr>
                <w:rFonts w:ascii="Times New Roman" w:hAnsi="Times New Roman" w:cs="Times New Roman"/>
                <w:sz w:val="24"/>
                <w:szCs w:val="24"/>
                <w:lang w:eastAsia="lv-LV"/>
              </w:rPr>
              <w:t>n</w:t>
            </w:r>
            <w:r w:rsidRPr="00881BA1" w:rsidR="005717DC">
              <w:rPr>
                <w:rFonts w:ascii="Times New Roman" w:hAnsi="Times New Roman" w:cs="Times New Roman"/>
                <w:sz w:val="24"/>
                <w:szCs w:val="24"/>
                <w:lang w:eastAsia="lv-LV"/>
              </w:rPr>
              <w:t>epieciešam</w:t>
            </w:r>
            <w:r w:rsidRPr="00881BA1" w:rsidR="0027474F">
              <w:rPr>
                <w:rFonts w:ascii="Times New Roman" w:hAnsi="Times New Roman" w:cs="Times New Roman"/>
                <w:sz w:val="24"/>
                <w:szCs w:val="24"/>
                <w:lang w:eastAsia="lv-LV"/>
              </w:rPr>
              <w:t>o</w:t>
            </w:r>
            <w:r w:rsidRPr="00881BA1" w:rsidR="005717DC">
              <w:rPr>
                <w:rFonts w:ascii="Times New Roman" w:hAnsi="Times New Roman" w:cs="Times New Roman"/>
                <w:sz w:val="24"/>
                <w:szCs w:val="24"/>
                <w:lang w:eastAsia="lv-LV"/>
              </w:rPr>
              <w:t xml:space="preserve"> stacionār</w:t>
            </w:r>
            <w:r w:rsidRPr="00881BA1" w:rsidR="0027474F">
              <w:rPr>
                <w:rFonts w:ascii="Times New Roman" w:hAnsi="Times New Roman" w:cs="Times New Roman"/>
                <w:sz w:val="24"/>
                <w:szCs w:val="24"/>
                <w:lang w:eastAsia="lv-LV"/>
              </w:rPr>
              <w:t>o</w:t>
            </w:r>
            <w:r w:rsidRPr="00881BA1" w:rsidR="005717DC">
              <w:rPr>
                <w:rFonts w:ascii="Times New Roman" w:hAnsi="Times New Roman" w:cs="Times New Roman"/>
                <w:sz w:val="24"/>
                <w:szCs w:val="24"/>
                <w:lang w:eastAsia="lv-LV"/>
              </w:rPr>
              <w:t xml:space="preserve"> veselības aprūp</w:t>
            </w:r>
            <w:r w:rsidRPr="00881BA1" w:rsidR="0027474F">
              <w:rPr>
                <w:rFonts w:ascii="Times New Roman" w:hAnsi="Times New Roman" w:cs="Times New Roman"/>
                <w:sz w:val="24"/>
                <w:szCs w:val="24"/>
                <w:lang w:eastAsia="lv-LV"/>
              </w:rPr>
              <w:t>i</w:t>
            </w:r>
            <w:r w:rsidRPr="00881BA1" w:rsidR="00552359">
              <w:rPr>
                <w:rFonts w:ascii="Times New Roman" w:hAnsi="Times New Roman" w:cs="Times New Roman"/>
                <w:sz w:val="24"/>
                <w:szCs w:val="24"/>
                <w:lang w:eastAsia="lv-LV"/>
              </w:rPr>
              <w:t xml:space="preserve"> </w:t>
            </w:r>
            <w:r w:rsidRPr="00881BA1" w:rsidR="005717DC">
              <w:rPr>
                <w:rFonts w:ascii="Times New Roman" w:hAnsi="Times New Roman" w:cs="Times New Roman"/>
                <w:sz w:val="24"/>
                <w:szCs w:val="24"/>
                <w:lang w:eastAsia="lv-LV"/>
              </w:rPr>
              <w:t>nodrošina Latvijas Cietumu slimnīcā</w:t>
            </w:r>
            <w:r w:rsidRPr="00881BA1" w:rsidR="00552359">
              <w:rPr>
                <w:rFonts w:ascii="Times New Roman" w:hAnsi="Times New Roman" w:cs="Times New Roman"/>
                <w:sz w:val="24"/>
                <w:szCs w:val="24"/>
                <w:lang w:eastAsia="lv-LV"/>
              </w:rPr>
              <w:t xml:space="preserve">, kuras finansēšanu nodrošina </w:t>
            </w:r>
            <w:r w:rsidRPr="00881BA1" w:rsidR="00E51984">
              <w:rPr>
                <w:rFonts w:ascii="Times New Roman" w:hAnsi="Times New Roman" w:cs="Times New Roman"/>
                <w:sz w:val="24"/>
                <w:szCs w:val="24"/>
                <w:lang w:eastAsia="lv-LV"/>
              </w:rPr>
              <w:t>Ieslodzījuma vietu pārvalde</w:t>
            </w:r>
            <w:r w:rsidRPr="00881BA1" w:rsidR="00FA436A">
              <w:rPr>
                <w:rFonts w:ascii="Times New Roman" w:hAnsi="Times New Roman" w:cs="Times New Roman"/>
                <w:sz w:val="24"/>
                <w:szCs w:val="24"/>
                <w:lang w:eastAsia="lv-LV"/>
              </w:rPr>
              <w:t xml:space="preserve"> Tieslietu ministrijai piešķirtā budžeta ietvaros.</w:t>
            </w:r>
            <w:r w:rsidRPr="00881BA1" w:rsidR="00E51984">
              <w:rPr>
                <w:rFonts w:ascii="Times New Roman" w:hAnsi="Times New Roman" w:cs="Times New Roman"/>
                <w:sz w:val="24"/>
                <w:szCs w:val="24"/>
                <w:lang w:eastAsia="lv-LV"/>
              </w:rPr>
              <w:t xml:space="preserve"> </w:t>
            </w:r>
            <w:r w:rsidRPr="00881BA1" w:rsidR="009A7DEC">
              <w:rPr>
                <w:rFonts w:ascii="Times New Roman" w:hAnsi="Times New Roman" w:cs="Times New Roman"/>
                <w:sz w:val="24"/>
                <w:szCs w:val="24"/>
                <w:lang w:eastAsia="lv-LV"/>
              </w:rPr>
              <w:t>Tomēr ja ieslodzītie, kuru veselības aprūpe nepieciešama tādā apjomā, kādu Latvijas Cietumu slimnīca nevar nodrošināt, tiks nogādāti attiecīgā ārstniecības iestādē ārpus ieslodzījuma vietas, uz viņiem attieksies noteikumu projektā minētais.</w:t>
            </w:r>
          </w:p>
        </w:tc>
      </w:tr>
      <w:tr w14:paraId="7DCEBA18" w14:textId="77777777" w:rsidTr="00887E8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04B27E23"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4E9DB6FE"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5E3E23" w14:paraId="1382038B"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00E871B0">
              <w:rPr>
                <w:rFonts w:ascii="Times New Roman" w:eastAsia="Times New Roman" w:hAnsi="Times New Roman" w:cs="Times New Roman"/>
                <w:iCs/>
                <w:sz w:val="24"/>
                <w:szCs w:val="24"/>
                <w:lang w:eastAsia="lv-LV"/>
              </w:rPr>
              <w:t>Dienests.</w:t>
            </w:r>
          </w:p>
        </w:tc>
      </w:tr>
      <w:tr w14:paraId="2783038C" w14:textId="77777777" w:rsidTr="00887E8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7EC6194F"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10C5EFCD"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P="005E3E23" w14:paraId="148D47F1"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rsidR="00EC555E" w:rsidRPr="003002C0" w:rsidP="005E3E23" w14:paraId="0B0DB26F" w14:textId="77777777">
            <w:pPr>
              <w:spacing w:after="0" w:line="240" w:lineRule="auto"/>
              <w:jc w:val="both"/>
              <w:rPr>
                <w:rFonts w:ascii="Times New Roman" w:eastAsia="Times New Roman" w:hAnsi="Times New Roman" w:cs="Times New Roman"/>
                <w:iCs/>
                <w:sz w:val="24"/>
                <w:szCs w:val="24"/>
                <w:lang w:eastAsia="lv-LV"/>
              </w:rPr>
            </w:pPr>
          </w:p>
        </w:tc>
      </w:tr>
    </w:tbl>
    <w:p w:rsidR="00E5323B" w:rsidRPr="003002C0" w:rsidP="00E5323B" w14:paraId="682BE6AD"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4"/>
        <w:gridCol w:w="3027"/>
        <w:gridCol w:w="5454"/>
      </w:tblGrid>
      <w:tr w14:paraId="0A730CBF" w14:textId="77777777" w:rsidTr="00BE674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773D6C5C"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6FCD9286" w14:textId="77777777" w:rsidTr="006E4A0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A01" w:rsidRPr="003002C0" w:rsidP="006E4A01" w14:paraId="7ABCB0A8"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rsidR="006E4A01" w:rsidRPr="003002C0" w:rsidP="006E4A01" w14:paraId="33D222DB"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Sabiedrības </w:t>
            </w:r>
            <w:r w:rsidRPr="003002C0">
              <w:rPr>
                <w:rFonts w:ascii="Times New Roman" w:eastAsia="Times New Roman" w:hAnsi="Times New Roman" w:cs="Times New Roman"/>
                <w:iCs/>
                <w:sz w:val="24"/>
                <w:szCs w:val="24"/>
                <w:lang w:eastAsia="lv-LV"/>
              </w:rPr>
              <w:t>mērķgrupas</w:t>
            </w:r>
            <w:r w:rsidRPr="003002C0">
              <w:rPr>
                <w:rFonts w:ascii="Times New Roman" w:eastAsia="Times New Roman" w:hAnsi="Times New Roman" w:cs="Times New Roman"/>
                <w:iCs/>
                <w:sz w:val="24"/>
                <w:szCs w:val="24"/>
                <w:lang w:eastAsia="lv-LV"/>
              </w:rPr>
              <w:t>, kuras tiesiskais regulējums ietekmē vai varētu ietekmēt</w:t>
            </w:r>
          </w:p>
        </w:tc>
        <w:tc>
          <w:tcPr>
            <w:tcW w:w="2973" w:type="pct"/>
            <w:tcBorders>
              <w:top w:val="outset" w:sz="6" w:space="0" w:color="auto"/>
              <w:left w:val="outset" w:sz="6" w:space="0" w:color="auto"/>
              <w:bottom w:val="outset" w:sz="6" w:space="0" w:color="auto"/>
              <w:right w:val="outset" w:sz="6" w:space="0" w:color="auto"/>
            </w:tcBorders>
            <w:hideMark/>
          </w:tcPr>
          <w:p w:rsidR="006E4A01" w:rsidRPr="003002C0" w:rsidP="006E4A01" w14:paraId="1F8FEEEC" w14:textId="77777777">
            <w:pPr>
              <w:spacing w:after="0" w:line="240" w:lineRule="auto"/>
              <w:ind w:firstLine="418"/>
              <w:jc w:val="both"/>
              <w:rPr>
                <w:rFonts w:ascii="Times New Roman" w:eastAsia="Times New Roman" w:hAnsi="Times New Roman" w:cs="Times New Roman"/>
                <w:iCs/>
                <w:sz w:val="24"/>
                <w:szCs w:val="24"/>
                <w:lang w:eastAsia="lv-LV"/>
              </w:rPr>
            </w:pPr>
            <w:r w:rsidRPr="001C697B">
              <w:rPr>
                <w:rFonts w:ascii="Times New Roman" w:eastAsia="Times New Roman" w:hAnsi="Times New Roman" w:cs="Times New Roman"/>
                <w:iCs/>
                <w:sz w:val="24"/>
                <w:szCs w:val="24"/>
                <w:lang w:eastAsia="lv-LV"/>
              </w:rPr>
              <w:t>Noteikumu projektā ietvertais tiesiskais regulējums tiešā veidā attiecināms uz Dienestu</w:t>
            </w:r>
            <w:r>
              <w:rPr>
                <w:rFonts w:ascii="Times New Roman" w:eastAsia="Times New Roman" w:hAnsi="Times New Roman" w:cs="Times New Roman"/>
                <w:iCs/>
                <w:sz w:val="24"/>
                <w:szCs w:val="24"/>
                <w:lang w:eastAsia="lv-LV"/>
              </w:rPr>
              <w:t>,</w:t>
            </w:r>
            <w:r w:rsidRPr="001C697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ā</w:t>
            </w:r>
            <w:r w:rsidRPr="00E871B0">
              <w:rPr>
                <w:rFonts w:ascii="Times New Roman" w:eastAsia="Times New Roman" w:hAnsi="Times New Roman" w:cs="Times New Roman"/>
                <w:iCs/>
                <w:sz w:val="24"/>
                <w:szCs w:val="24"/>
                <w:lang w:eastAsia="lv-LV"/>
              </w:rPr>
              <w:t>rstniecības iestād</w:t>
            </w:r>
            <w:r>
              <w:rPr>
                <w:rFonts w:ascii="Times New Roman" w:eastAsia="Times New Roman" w:hAnsi="Times New Roman" w:cs="Times New Roman"/>
                <w:iCs/>
                <w:sz w:val="24"/>
                <w:szCs w:val="24"/>
                <w:lang w:eastAsia="lv-LV"/>
              </w:rPr>
              <w:t>ēm</w:t>
            </w:r>
            <w:r w:rsidRPr="00E871B0">
              <w:rPr>
                <w:rFonts w:ascii="Times New Roman" w:eastAsia="Times New Roman" w:hAnsi="Times New Roman" w:cs="Times New Roman"/>
                <w:iCs/>
                <w:sz w:val="24"/>
                <w:szCs w:val="24"/>
                <w:lang w:eastAsia="lv-LV"/>
              </w:rPr>
              <w:t>, kuras sniegs hronisk</w:t>
            </w:r>
            <w:r>
              <w:rPr>
                <w:rFonts w:ascii="Times New Roman" w:eastAsia="Times New Roman" w:hAnsi="Times New Roman" w:cs="Times New Roman"/>
                <w:iCs/>
                <w:sz w:val="24"/>
                <w:szCs w:val="24"/>
                <w:lang w:eastAsia="lv-LV"/>
              </w:rPr>
              <w:t>o</w:t>
            </w:r>
            <w:r w:rsidRPr="00E871B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pacientu aprūpi </w:t>
            </w:r>
            <w:r w:rsidRPr="00E871B0">
              <w:rPr>
                <w:rFonts w:ascii="Times New Roman" w:eastAsia="Times New Roman" w:hAnsi="Times New Roman" w:cs="Times New Roman"/>
                <w:iCs/>
                <w:sz w:val="24"/>
                <w:szCs w:val="24"/>
                <w:lang w:eastAsia="lv-LV"/>
              </w:rPr>
              <w:t>stacionāros, kā arī</w:t>
            </w:r>
            <w:r>
              <w:rPr>
                <w:rFonts w:ascii="Times New Roman" w:eastAsia="Times New Roman" w:hAnsi="Times New Roman" w:cs="Times New Roman"/>
                <w:iCs/>
                <w:sz w:val="24"/>
                <w:szCs w:val="24"/>
                <w:lang w:eastAsia="lv-LV"/>
              </w:rPr>
              <w:t xml:space="preserve"> uz</w:t>
            </w:r>
            <w:r w:rsidRPr="00E871B0">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ām</w:t>
            </w:r>
            <w:r w:rsidRPr="00E871B0">
              <w:rPr>
                <w:rFonts w:ascii="Times New Roman" w:eastAsia="Times New Roman" w:hAnsi="Times New Roman" w:cs="Times New Roman"/>
                <w:iCs/>
                <w:sz w:val="24"/>
                <w:szCs w:val="24"/>
                <w:lang w:eastAsia="lv-LV"/>
              </w:rPr>
              <w:t>, kurām nepieciešam</w:t>
            </w:r>
            <w:r>
              <w:rPr>
                <w:rFonts w:ascii="Times New Roman" w:eastAsia="Times New Roman" w:hAnsi="Times New Roman" w:cs="Times New Roman"/>
                <w:iCs/>
                <w:sz w:val="24"/>
                <w:szCs w:val="24"/>
                <w:lang w:eastAsia="lv-LV"/>
              </w:rPr>
              <w:t>a</w:t>
            </w:r>
            <w:r w:rsidRPr="00E871B0">
              <w:rPr>
                <w:rFonts w:ascii="Times New Roman" w:eastAsia="Times New Roman" w:hAnsi="Times New Roman" w:cs="Times New Roman"/>
                <w:iCs/>
                <w:sz w:val="24"/>
                <w:szCs w:val="24"/>
                <w:lang w:eastAsia="lv-LV"/>
              </w:rPr>
              <w:t xml:space="preserve"> valsts apmaksāt</w:t>
            </w:r>
            <w:r>
              <w:rPr>
                <w:rFonts w:ascii="Times New Roman" w:eastAsia="Times New Roman" w:hAnsi="Times New Roman" w:cs="Times New Roman"/>
                <w:iCs/>
                <w:sz w:val="24"/>
                <w:szCs w:val="24"/>
                <w:lang w:eastAsia="lv-LV"/>
              </w:rPr>
              <w:t>ā</w:t>
            </w:r>
            <w:r w:rsidRPr="00E871B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hronisko slimību  aprūpe </w:t>
            </w:r>
            <w:r w:rsidRPr="00E871B0">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E871B0">
              <w:rPr>
                <w:rFonts w:ascii="Times New Roman" w:eastAsia="Times New Roman" w:hAnsi="Times New Roman" w:cs="Times New Roman"/>
                <w:iCs/>
                <w:sz w:val="24"/>
                <w:szCs w:val="24"/>
                <w:lang w:eastAsia="lv-LV"/>
              </w:rPr>
              <w:t>acionārā</w:t>
            </w:r>
            <w:r>
              <w:rPr>
                <w:rFonts w:ascii="Times New Roman" w:eastAsia="Times New Roman" w:hAnsi="Times New Roman" w:cs="Times New Roman"/>
                <w:iCs/>
                <w:sz w:val="24"/>
                <w:szCs w:val="24"/>
                <w:lang w:eastAsia="lv-LV"/>
              </w:rPr>
              <w:t>.</w:t>
            </w:r>
            <w:r w:rsidRPr="00E871B0">
              <w:rPr>
                <w:rFonts w:ascii="Times New Roman" w:eastAsia="Times New Roman" w:hAnsi="Times New Roman" w:cs="Times New Roman"/>
                <w:iCs/>
                <w:sz w:val="24"/>
                <w:szCs w:val="24"/>
                <w:lang w:eastAsia="lv-LV"/>
              </w:rPr>
              <w:t xml:space="preserve"> </w:t>
            </w:r>
          </w:p>
        </w:tc>
      </w:tr>
      <w:tr w14:paraId="016BDE66" w14:textId="77777777" w:rsidTr="006E4A0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A01" w:rsidRPr="003002C0" w:rsidP="006E4A01" w14:paraId="3C7B00C3"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rsidR="006E4A01" w:rsidRPr="003002C0" w:rsidP="006E4A01" w14:paraId="55D909D6"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Tiesiskā regulējuma ietekme uz tautsaimniecību un administratīvo slogu</w:t>
            </w:r>
          </w:p>
        </w:tc>
        <w:tc>
          <w:tcPr>
            <w:tcW w:w="2973" w:type="pct"/>
            <w:tcBorders>
              <w:top w:val="outset" w:sz="6" w:space="0" w:color="auto"/>
              <w:left w:val="outset" w:sz="6" w:space="0" w:color="auto"/>
              <w:bottom w:val="outset" w:sz="6" w:space="0" w:color="auto"/>
              <w:right w:val="outset" w:sz="6" w:space="0" w:color="auto"/>
            </w:tcBorders>
            <w:hideMark/>
          </w:tcPr>
          <w:p w:rsidR="006E4A01" w:rsidRPr="003002C0" w:rsidP="006E4A01" w14:paraId="025B3E2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43DB78BE" w14:textId="77777777" w:rsidTr="006E4A0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A01" w:rsidRPr="003002C0" w:rsidP="006E4A01" w14:paraId="223F9114"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rsidR="006E4A01" w:rsidRPr="003002C0" w:rsidP="006E4A01" w14:paraId="7BAD6234"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Administratīvo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rsidR="006E4A01" w:rsidRPr="003002C0" w:rsidP="006E4A01" w14:paraId="459D6FEC" w14:textId="77777777">
            <w:pPr>
              <w:spacing w:after="0" w:line="240" w:lineRule="auto"/>
              <w:rPr>
                <w:rFonts w:ascii="Times New Roman" w:eastAsia="Times New Roman" w:hAnsi="Times New Roman" w:cs="Times New Roman"/>
                <w:iCs/>
                <w:sz w:val="24"/>
                <w:szCs w:val="24"/>
                <w:lang w:eastAsia="lv-LV"/>
              </w:rPr>
            </w:pPr>
            <w:r w:rsidRPr="00EE7A59">
              <w:rPr>
                <w:rFonts w:ascii="Times New Roman" w:eastAsia="Times New Roman" w:hAnsi="Times New Roman" w:cs="Times New Roman"/>
                <w:iCs/>
                <w:sz w:val="24"/>
                <w:szCs w:val="24"/>
                <w:lang w:eastAsia="lv-LV"/>
              </w:rPr>
              <w:t>Administratīvais slogs fiziskai personai nepārsniedz 200 euro.</w:t>
            </w:r>
          </w:p>
        </w:tc>
      </w:tr>
      <w:tr w14:paraId="15A95C0B" w14:textId="77777777" w:rsidTr="006E4A0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A01" w:rsidRPr="003002C0" w:rsidP="006E4A01" w14:paraId="55B3D9DA"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rsidR="006E4A01" w:rsidRPr="003002C0" w:rsidP="006E4A01" w14:paraId="6FB96F50"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Atbilstības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rsidR="006E4A01" w:rsidRPr="003002C0" w:rsidP="006E4A01" w14:paraId="37F0383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3907FDBB" w14:textId="77777777" w:rsidTr="006E4A0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A01" w:rsidRPr="003002C0" w:rsidP="006E4A01" w14:paraId="1D3CBF1B"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5.</w:t>
            </w:r>
          </w:p>
        </w:tc>
        <w:tc>
          <w:tcPr>
            <w:tcW w:w="1666" w:type="pct"/>
            <w:tcBorders>
              <w:top w:val="outset" w:sz="6" w:space="0" w:color="auto"/>
              <w:left w:val="outset" w:sz="6" w:space="0" w:color="auto"/>
              <w:bottom w:val="outset" w:sz="6" w:space="0" w:color="auto"/>
              <w:right w:val="outset" w:sz="6" w:space="0" w:color="auto"/>
            </w:tcBorders>
            <w:hideMark/>
          </w:tcPr>
          <w:p w:rsidR="006E4A01" w:rsidRPr="003002C0" w:rsidP="006E4A01" w14:paraId="3E7C2F9F"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rsidR="006E4A01" w:rsidRPr="003002C0" w:rsidP="006E4A01" w14:paraId="3D3BC52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P="00E5323B" w14:paraId="029DB31F"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Style w:val="GridTableLight"/>
        <w:tblW w:w="5714" w:type="pct"/>
        <w:tblCellSpacing w:w="20"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244"/>
        <w:gridCol w:w="1032"/>
        <w:gridCol w:w="1276"/>
        <w:gridCol w:w="997"/>
        <w:gridCol w:w="1237"/>
        <w:gridCol w:w="1021"/>
        <w:gridCol w:w="1358"/>
        <w:gridCol w:w="2183"/>
      </w:tblGrid>
      <w:tr w14:paraId="0D2DD3F0" w14:textId="77777777" w:rsidTr="00AF7C22">
        <w:tblPrEx>
          <w:tblW w:w="5714" w:type="pct"/>
          <w:tblCellSpacing w:w="20"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Ex>
        <w:trPr>
          <w:tblCellSpacing w:w="20" w:type="dxa"/>
        </w:trPr>
        <w:tc>
          <w:tcPr>
            <w:tcW w:w="4961" w:type="pct"/>
            <w:gridSpan w:val="8"/>
          </w:tcPr>
          <w:p w:rsidR="006D6911" w:rsidRPr="00B21B25" w:rsidP="00AF7C22" w14:paraId="76ED6AF9" w14:textId="77777777">
            <w:pPr>
              <w:spacing w:before="100" w:beforeAutospacing="1" w:after="100" w:afterAutospacing="1" w:line="293" w:lineRule="atLeast"/>
              <w:rPr>
                <w:rFonts w:ascii="Times New Roman" w:eastAsia="Times New Roman" w:hAnsi="Times New Roman" w:cs="Times New Roman"/>
                <w:sz w:val="20"/>
                <w:szCs w:val="20"/>
                <w:lang w:eastAsia="lv-LV"/>
              </w:rPr>
            </w:pPr>
            <w:r w:rsidRPr="0085376B">
              <w:rPr>
                <w:rFonts w:ascii="Times New Roman" w:eastAsia="Times New Roman" w:hAnsi="Times New Roman" w:cs="Times New Roman"/>
                <w:b/>
                <w:bCs/>
                <w:sz w:val="24"/>
                <w:szCs w:val="24"/>
                <w:lang w:eastAsia="lv-LV"/>
              </w:rPr>
              <w:t>III. Tiesību akta projekta ietekme uz valsts budžetu un pašvaldību budžetiem</w:t>
            </w:r>
          </w:p>
        </w:tc>
      </w:tr>
      <w:tr w14:paraId="3C9E1565" w14:textId="77777777" w:rsidTr="008F0A7B">
        <w:tblPrEx>
          <w:tblW w:w="5714" w:type="pct"/>
          <w:tblCellSpacing w:w="20" w:type="dxa"/>
          <w:tblInd w:w="-717" w:type="dxa"/>
          <w:tblLayout w:type="fixed"/>
          <w:tblLook w:val="04A0"/>
        </w:tblPrEx>
        <w:trPr>
          <w:tblCellSpacing w:w="20" w:type="dxa"/>
        </w:trPr>
        <w:tc>
          <w:tcPr>
            <w:tcW w:w="588" w:type="pct"/>
            <w:vMerge w:val="restart"/>
            <w:hideMark/>
          </w:tcPr>
          <w:p w:rsidR="006D6911" w:rsidRPr="00B21B25" w:rsidP="00AF7C22" w14:paraId="322863F2" w14:textId="77777777">
            <w:pPr>
              <w:spacing w:before="100" w:beforeAutospacing="1" w:after="100" w:afterAutospacing="1" w:line="293" w:lineRule="atLeast"/>
              <w:jc w:val="center"/>
              <w:rPr>
                <w:rFonts w:ascii="Times New Roman" w:eastAsia="Times New Roman" w:hAnsi="Times New Roman" w:cs="Times New Roman"/>
                <w:b/>
                <w:bCs/>
                <w:sz w:val="20"/>
                <w:szCs w:val="20"/>
                <w:lang w:eastAsia="lv-LV"/>
              </w:rPr>
            </w:pPr>
            <w:r w:rsidRPr="00B21B25">
              <w:rPr>
                <w:rFonts w:ascii="Times New Roman" w:eastAsia="Times New Roman" w:hAnsi="Times New Roman" w:cs="Times New Roman"/>
                <w:b/>
                <w:bCs/>
                <w:sz w:val="20"/>
                <w:szCs w:val="20"/>
                <w:lang w:eastAsia="lv-LV"/>
              </w:rPr>
              <w:t>Rādītāji</w:t>
            </w:r>
          </w:p>
        </w:tc>
        <w:tc>
          <w:tcPr>
            <w:tcW w:w="1107" w:type="pct"/>
            <w:gridSpan w:val="2"/>
            <w:vMerge w:val="restart"/>
            <w:hideMark/>
          </w:tcPr>
          <w:p w:rsidR="006D6911" w:rsidRPr="00B21B25" w:rsidP="00AF7C22" w14:paraId="528F18E0" w14:textId="77777777">
            <w:pPr>
              <w:spacing w:before="100" w:beforeAutospacing="1" w:after="100" w:afterAutospacing="1" w:line="293" w:lineRule="atLeast"/>
              <w:jc w:val="center"/>
              <w:rPr>
                <w:rFonts w:ascii="Times New Roman" w:eastAsia="Times New Roman" w:hAnsi="Times New Roman" w:cs="Times New Roman"/>
                <w:b/>
                <w:bCs/>
                <w:sz w:val="20"/>
                <w:szCs w:val="20"/>
                <w:lang w:eastAsia="lv-LV"/>
              </w:rPr>
            </w:pPr>
            <w:r w:rsidRPr="00B21B25">
              <w:rPr>
                <w:rFonts w:ascii="Times New Roman" w:eastAsia="Times New Roman" w:hAnsi="Times New Roman" w:cs="Times New Roman"/>
                <w:b/>
                <w:bCs/>
                <w:sz w:val="20"/>
                <w:szCs w:val="20"/>
                <w:lang w:eastAsia="lv-LV"/>
              </w:rPr>
              <w:t>2018. gads</w:t>
            </w:r>
          </w:p>
        </w:tc>
        <w:tc>
          <w:tcPr>
            <w:tcW w:w="3228" w:type="pct"/>
            <w:gridSpan w:val="5"/>
          </w:tcPr>
          <w:p w:rsidR="006D6911" w:rsidRPr="00B21B25" w:rsidP="00AF7C22" w14:paraId="56BA1AAC"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Turpmākie trīs gadi (</w:t>
            </w:r>
            <w:r w:rsidRPr="00B21B25">
              <w:rPr>
                <w:rFonts w:ascii="Times New Roman" w:eastAsia="Times New Roman" w:hAnsi="Times New Roman" w:cs="Times New Roman"/>
                <w:i/>
                <w:iCs/>
                <w:sz w:val="20"/>
                <w:szCs w:val="20"/>
                <w:lang w:eastAsia="lv-LV"/>
              </w:rPr>
              <w:t>euro</w:t>
            </w:r>
            <w:r w:rsidRPr="00B21B25">
              <w:rPr>
                <w:rFonts w:ascii="Times New Roman" w:eastAsia="Times New Roman" w:hAnsi="Times New Roman" w:cs="Times New Roman"/>
                <w:sz w:val="20"/>
                <w:szCs w:val="20"/>
                <w:lang w:eastAsia="lv-LV"/>
              </w:rPr>
              <w:t>)</w:t>
            </w:r>
          </w:p>
        </w:tc>
      </w:tr>
      <w:tr w14:paraId="659808AF" w14:textId="77777777" w:rsidTr="008F0A7B">
        <w:tblPrEx>
          <w:tblW w:w="5714" w:type="pct"/>
          <w:tblCellSpacing w:w="20" w:type="dxa"/>
          <w:tblInd w:w="-717" w:type="dxa"/>
          <w:tblLayout w:type="fixed"/>
          <w:tblLook w:val="04A0"/>
        </w:tblPrEx>
        <w:trPr>
          <w:tblCellSpacing w:w="20" w:type="dxa"/>
        </w:trPr>
        <w:tc>
          <w:tcPr>
            <w:tcW w:w="588" w:type="pct"/>
            <w:vMerge/>
            <w:hideMark/>
          </w:tcPr>
          <w:p w:rsidR="006D6911" w:rsidRPr="00B21B25" w:rsidP="00AF7C22" w14:paraId="17A7A686" w14:textId="77777777">
            <w:pPr>
              <w:rPr>
                <w:rFonts w:ascii="Times New Roman" w:eastAsia="Times New Roman" w:hAnsi="Times New Roman" w:cs="Times New Roman"/>
                <w:b/>
                <w:bCs/>
                <w:sz w:val="20"/>
                <w:szCs w:val="20"/>
                <w:lang w:eastAsia="lv-LV"/>
              </w:rPr>
            </w:pPr>
          </w:p>
        </w:tc>
        <w:tc>
          <w:tcPr>
            <w:tcW w:w="1107" w:type="pct"/>
            <w:gridSpan w:val="2"/>
            <w:vMerge/>
            <w:hideMark/>
          </w:tcPr>
          <w:p w:rsidR="006D6911" w:rsidRPr="00B21B25" w:rsidP="00AF7C22" w14:paraId="15AC2C90" w14:textId="77777777">
            <w:pPr>
              <w:rPr>
                <w:rFonts w:ascii="Times New Roman" w:eastAsia="Times New Roman" w:hAnsi="Times New Roman" w:cs="Times New Roman"/>
                <w:b/>
                <w:bCs/>
                <w:sz w:val="20"/>
                <w:szCs w:val="20"/>
                <w:lang w:eastAsia="lv-LV"/>
              </w:rPr>
            </w:pPr>
          </w:p>
        </w:tc>
        <w:tc>
          <w:tcPr>
            <w:tcW w:w="1069" w:type="pct"/>
            <w:gridSpan w:val="2"/>
            <w:hideMark/>
          </w:tcPr>
          <w:p w:rsidR="006D6911" w:rsidRPr="00B21B25" w:rsidP="00AF7C22" w14:paraId="0936478A" w14:textId="77777777">
            <w:pPr>
              <w:spacing w:before="100" w:beforeAutospacing="1" w:after="100" w:afterAutospacing="1" w:line="293" w:lineRule="atLeast"/>
              <w:jc w:val="center"/>
              <w:rPr>
                <w:rFonts w:ascii="Times New Roman" w:eastAsia="Times New Roman" w:hAnsi="Times New Roman" w:cs="Times New Roman"/>
                <w:b/>
                <w:bCs/>
                <w:sz w:val="20"/>
                <w:szCs w:val="20"/>
                <w:lang w:eastAsia="lv-LV"/>
              </w:rPr>
            </w:pPr>
            <w:r w:rsidRPr="00B21B25">
              <w:rPr>
                <w:rFonts w:ascii="Times New Roman" w:eastAsia="Times New Roman" w:hAnsi="Times New Roman" w:cs="Times New Roman"/>
                <w:b/>
                <w:bCs/>
                <w:sz w:val="20"/>
                <w:szCs w:val="20"/>
                <w:lang w:eastAsia="lv-LV"/>
              </w:rPr>
              <w:t>2019</w:t>
            </w:r>
          </w:p>
        </w:tc>
        <w:tc>
          <w:tcPr>
            <w:tcW w:w="1142" w:type="pct"/>
            <w:gridSpan w:val="2"/>
            <w:hideMark/>
          </w:tcPr>
          <w:p w:rsidR="006D6911" w:rsidRPr="00B21B25" w:rsidP="00AF7C22" w14:paraId="02632798" w14:textId="77777777">
            <w:pPr>
              <w:spacing w:before="100" w:beforeAutospacing="1" w:after="100" w:afterAutospacing="1" w:line="293" w:lineRule="atLeast"/>
              <w:jc w:val="center"/>
              <w:rPr>
                <w:rFonts w:ascii="Times New Roman" w:eastAsia="Times New Roman" w:hAnsi="Times New Roman" w:cs="Times New Roman"/>
                <w:b/>
                <w:bCs/>
                <w:sz w:val="20"/>
                <w:szCs w:val="20"/>
                <w:lang w:eastAsia="lv-LV"/>
              </w:rPr>
            </w:pPr>
            <w:r w:rsidRPr="00B21B25">
              <w:rPr>
                <w:rFonts w:ascii="Times New Roman" w:eastAsia="Times New Roman" w:hAnsi="Times New Roman" w:cs="Times New Roman"/>
                <w:b/>
                <w:bCs/>
                <w:sz w:val="20"/>
                <w:szCs w:val="20"/>
                <w:lang w:eastAsia="lv-LV"/>
              </w:rPr>
              <w:t>2020</w:t>
            </w:r>
          </w:p>
        </w:tc>
        <w:tc>
          <w:tcPr>
            <w:tcW w:w="979" w:type="pct"/>
            <w:hideMark/>
          </w:tcPr>
          <w:p w:rsidR="006D6911" w:rsidRPr="00B21B25" w:rsidP="00AF7C22" w14:paraId="30F29703" w14:textId="77777777">
            <w:pPr>
              <w:spacing w:before="100" w:beforeAutospacing="1" w:after="100" w:afterAutospacing="1" w:line="293" w:lineRule="atLeast"/>
              <w:jc w:val="center"/>
              <w:rPr>
                <w:rFonts w:ascii="Times New Roman" w:eastAsia="Times New Roman" w:hAnsi="Times New Roman" w:cs="Times New Roman"/>
                <w:b/>
                <w:bCs/>
                <w:sz w:val="20"/>
                <w:szCs w:val="20"/>
                <w:lang w:eastAsia="lv-LV"/>
              </w:rPr>
            </w:pPr>
            <w:r w:rsidRPr="00B21B25">
              <w:rPr>
                <w:rFonts w:ascii="Times New Roman" w:eastAsia="Times New Roman" w:hAnsi="Times New Roman" w:cs="Times New Roman"/>
                <w:b/>
                <w:bCs/>
                <w:sz w:val="20"/>
                <w:szCs w:val="20"/>
                <w:lang w:eastAsia="lv-LV"/>
              </w:rPr>
              <w:t>2021</w:t>
            </w:r>
          </w:p>
        </w:tc>
      </w:tr>
      <w:tr w14:paraId="173E6551" w14:textId="77777777" w:rsidTr="008F0A7B">
        <w:tblPrEx>
          <w:tblW w:w="5714" w:type="pct"/>
          <w:tblCellSpacing w:w="20" w:type="dxa"/>
          <w:tblInd w:w="-717" w:type="dxa"/>
          <w:tblLayout w:type="fixed"/>
          <w:tblLook w:val="04A0"/>
        </w:tblPrEx>
        <w:trPr>
          <w:tblCellSpacing w:w="20" w:type="dxa"/>
        </w:trPr>
        <w:tc>
          <w:tcPr>
            <w:tcW w:w="588" w:type="pct"/>
            <w:vMerge/>
            <w:hideMark/>
          </w:tcPr>
          <w:p w:rsidR="006D6911" w:rsidRPr="00B21B25" w:rsidP="00AF7C22" w14:paraId="14921411" w14:textId="77777777">
            <w:pPr>
              <w:rPr>
                <w:rFonts w:ascii="Times New Roman" w:eastAsia="Times New Roman" w:hAnsi="Times New Roman" w:cs="Times New Roman"/>
                <w:b/>
                <w:bCs/>
                <w:sz w:val="20"/>
                <w:szCs w:val="20"/>
                <w:lang w:eastAsia="lv-LV"/>
              </w:rPr>
            </w:pPr>
          </w:p>
        </w:tc>
        <w:tc>
          <w:tcPr>
            <w:tcW w:w="493" w:type="pct"/>
            <w:hideMark/>
          </w:tcPr>
          <w:p w:rsidR="006D6911" w:rsidRPr="00B21B25" w:rsidP="00AF7C22" w14:paraId="431898A2"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saskaņā ar valsts budžetu kārtējam gadam</w:t>
            </w:r>
          </w:p>
        </w:tc>
        <w:tc>
          <w:tcPr>
            <w:tcW w:w="595" w:type="pct"/>
            <w:hideMark/>
          </w:tcPr>
          <w:p w:rsidR="006D6911" w:rsidRPr="00B21B25" w:rsidP="00AF7C22" w14:paraId="21A44B21"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izmaiņas kārtējā gadā, salīdzinot ar valsts budžetu kārtējam gadam</w:t>
            </w:r>
          </w:p>
        </w:tc>
        <w:tc>
          <w:tcPr>
            <w:tcW w:w="475" w:type="pct"/>
            <w:hideMark/>
          </w:tcPr>
          <w:p w:rsidR="006D6911" w:rsidRPr="00B21B25" w:rsidP="00AF7C22" w14:paraId="36E30762"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saskaņā ar vidēja termiņa budžeta ietvaru</w:t>
            </w:r>
          </w:p>
        </w:tc>
        <w:tc>
          <w:tcPr>
            <w:tcW w:w="575" w:type="pct"/>
          </w:tcPr>
          <w:p w:rsidR="006D6911" w:rsidRPr="00B21B25" w:rsidP="00AF7C22" w14:paraId="3E9EFEA3"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izmaiņas, salīdzinot ar vi</w:t>
            </w:r>
            <w:r w:rsidR="008F0A7B">
              <w:rPr>
                <w:rFonts w:ascii="Times New Roman" w:eastAsia="Times New Roman" w:hAnsi="Times New Roman" w:cs="Times New Roman"/>
                <w:sz w:val="20"/>
                <w:szCs w:val="20"/>
                <w:lang w:eastAsia="lv-LV"/>
              </w:rPr>
              <w:t>dēja termiņa budžeta ietvaru 2019.</w:t>
            </w:r>
            <w:r w:rsidRPr="00B21B25">
              <w:rPr>
                <w:rFonts w:ascii="Times New Roman" w:eastAsia="Times New Roman" w:hAnsi="Times New Roman" w:cs="Times New Roman"/>
                <w:sz w:val="20"/>
                <w:szCs w:val="20"/>
                <w:lang w:eastAsia="lv-LV"/>
              </w:rPr>
              <w:t xml:space="preserve"> gadam</w:t>
            </w:r>
          </w:p>
        </w:tc>
        <w:tc>
          <w:tcPr>
            <w:tcW w:w="487" w:type="pct"/>
            <w:hideMark/>
          </w:tcPr>
          <w:p w:rsidR="006D6911" w:rsidRPr="00B21B25" w:rsidP="00AF7C22" w14:paraId="749B8A5B"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 xml:space="preserve"> saskaņā ar vidēja termiņa budžeta ietvaru</w:t>
            </w:r>
          </w:p>
        </w:tc>
        <w:tc>
          <w:tcPr>
            <w:tcW w:w="636" w:type="pct"/>
          </w:tcPr>
          <w:p w:rsidR="006D6911" w:rsidRPr="00B21B25" w:rsidP="008F0A7B" w14:paraId="0E17A86B"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 xml:space="preserve">izmaiņas, salīdzinot ar vidēja termiņa </w:t>
            </w:r>
            <w:r w:rsidR="008F0A7B">
              <w:rPr>
                <w:rFonts w:ascii="Times New Roman" w:eastAsia="Times New Roman" w:hAnsi="Times New Roman" w:cs="Times New Roman"/>
                <w:sz w:val="20"/>
                <w:szCs w:val="20"/>
                <w:lang w:eastAsia="lv-LV"/>
              </w:rPr>
              <w:t>budžeta ietvaru 2020.</w:t>
            </w:r>
            <w:r w:rsidRPr="00B21B25">
              <w:rPr>
                <w:rFonts w:ascii="Times New Roman" w:eastAsia="Times New Roman" w:hAnsi="Times New Roman" w:cs="Times New Roman"/>
                <w:sz w:val="20"/>
                <w:szCs w:val="20"/>
                <w:lang w:eastAsia="lv-LV"/>
              </w:rPr>
              <w:t>gadam</w:t>
            </w:r>
          </w:p>
        </w:tc>
        <w:tc>
          <w:tcPr>
            <w:tcW w:w="979" w:type="pct"/>
            <w:hideMark/>
          </w:tcPr>
          <w:p w:rsidR="006D6911" w:rsidRPr="00B21B25" w:rsidP="00AF7C22" w14:paraId="3CA4BEF4"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izmaiņas, salīdzinot ar vi</w:t>
            </w:r>
            <w:r w:rsidR="008F0A7B">
              <w:rPr>
                <w:rFonts w:ascii="Times New Roman" w:eastAsia="Times New Roman" w:hAnsi="Times New Roman" w:cs="Times New Roman"/>
                <w:sz w:val="20"/>
                <w:szCs w:val="20"/>
                <w:lang w:eastAsia="lv-LV"/>
              </w:rPr>
              <w:t>dēja termiņa budžeta ietvaru 2020.</w:t>
            </w:r>
            <w:r w:rsidRPr="00B21B25">
              <w:rPr>
                <w:rFonts w:ascii="Times New Roman" w:eastAsia="Times New Roman" w:hAnsi="Times New Roman" w:cs="Times New Roman"/>
                <w:sz w:val="20"/>
                <w:szCs w:val="20"/>
                <w:lang w:eastAsia="lv-LV"/>
              </w:rPr>
              <w:t>gadam</w:t>
            </w:r>
          </w:p>
        </w:tc>
      </w:tr>
      <w:tr w14:paraId="500225C5"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4FC1A3A0"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1</w:t>
            </w:r>
          </w:p>
        </w:tc>
        <w:tc>
          <w:tcPr>
            <w:tcW w:w="493" w:type="pct"/>
            <w:hideMark/>
          </w:tcPr>
          <w:p w:rsidR="006D6911" w:rsidRPr="00B21B25" w:rsidP="00AF7C22" w14:paraId="52AF0ABD"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2</w:t>
            </w:r>
          </w:p>
        </w:tc>
        <w:tc>
          <w:tcPr>
            <w:tcW w:w="595" w:type="pct"/>
            <w:hideMark/>
          </w:tcPr>
          <w:p w:rsidR="006D6911" w:rsidRPr="00B21B25" w:rsidP="00AF7C22" w14:paraId="203BD7CB"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3</w:t>
            </w:r>
          </w:p>
        </w:tc>
        <w:tc>
          <w:tcPr>
            <w:tcW w:w="475" w:type="pct"/>
            <w:hideMark/>
          </w:tcPr>
          <w:p w:rsidR="006D6911" w:rsidRPr="00B21B25" w:rsidP="00AF7C22" w14:paraId="32D24623"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4</w:t>
            </w:r>
          </w:p>
        </w:tc>
        <w:tc>
          <w:tcPr>
            <w:tcW w:w="575" w:type="pct"/>
          </w:tcPr>
          <w:p w:rsidR="006D6911" w:rsidRPr="00B21B25" w:rsidP="00AF7C22" w14:paraId="47D979D1"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5</w:t>
            </w:r>
          </w:p>
        </w:tc>
        <w:tc>
          <w:tcPr>
            <w:tcW w:w="487" w:type="pct"/>
            <w:hideMark/>
          </w:tcPr>
          <w:p w:rsidR="006D6911" w:rsidRPr="00B21B25" w:rsidP="00AF7C22" w14:paraId="7D231D3D"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6</w:t>
            </w:r>
          </w:p>
        </w:tc>
        <w:tc>
          <w:tcPr>
            <w:tcW w:w="636" w:type="pct"/>
          </w:tcPr>
          <w:p w:rsidR="006D6911" w:rsidRPr="00B21B25" w:rsidP="00AF7C22" w14:paraId="4725B6F4"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7</w:t>
            </w:r>
          </w:p>
        </w:tc>
        <w:tc>
          <w:tcPr>
            <w:tcW w:w="979" w:type="pct"/>
            <w:hideMark/>
          </w:tcPr>
          <w:p w:rsidR="006D6911" w:rsidRPr="00B21B25" w:rsidP="00AF7C22" w14:paraId="0CE889FB"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8</w:t>
            </w:r>
          </w:p>
        </w:tc>
      </w:tr>
      <w:tr w14:paraId="679DDA5A" w14:textId="77777777" w:rsidTr="008F0A7B">
        <w:tblPrEx>
          <w:tblW w:w="5714" w:type="pct"/>
          <w:tblCellSpacing w:w="20" w:type="dxa"/>
          <w:tblInd w:w="-717" w:type="dxa"/>
          <w:tblLayout w:type="fixed"/>
          <w:tblLook w:val="04A0"/>
        </w:tblPrEx>
        <w:trPr>
          <w:tblCellSpacing w:w="20" w:type="dxa"/>
        </w:trPr>
        <w:tc>
          <w:tcPr>
            <w:tcW w:w="588" w:type="pct"/>
            <w:hideMark/>
          </w:tcPr>
          <w:p w:rsidR="006E4A01" w:rsidRPr="00B21B25" w:rsidP="006E4A01" w14:paraId="7D6FCA42" w14:textId="77777777">
            <w:pPr>
              <w:rPr>
                <w:rFonts w:ascii="Times New Roman" w:eastAsia="Times New Roman" w:hAnsi="Times New Roman" w:cs="Times New Roman"/>
                <w:b/>
                <w:sz w:val="20"/>
                <w:szCs w:val="20"/>
                <w:lang w:eastAsia="lv-LV"/>
              </w:rPr>
            </w:pPr>
            <w:r w:rsidRPr="00B21B25">
              <w:rPr>
                <w:rFonts w:ascii="Times New Roman" w:eastAsia="Times New Roman" w:hAnsi="Times New Roman" w:cs="Times New Roman"/>
                <w:b/>
                <w:sz w:val="20"/>
                <w:szCs w:val="20"/>
                <w:lang w:eastAsia="lv-LV"/>
              </w:rPr>
              <w:t>1. Budžeta ieņēmumi:</w:t>
            </w:r>
          </w:p>
        </w:tc>
        <w:tc>
          <w:tcPr>
            <w:tcW w:w="493" w:type="pct"/>
          </w:tcPr>
          <w:p w:rsidR="006E4A01" w:rsidRPr="00483C23" w:rsidP="006E4A01" w14:paraId="44AF420F"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10 995 930</w:t>
            </w:r>
          </w:p>
        </w:tc>
        <w:tc>
          <w:tcPr>
            <w:tcW w:w="595" w:type="pct"/>
          </w:tcPr>
          <w:p w:rsidR="006E4A01" w:rsidRPr="00483C23" w:rsidP="006E4A01" w14:paraId="12860B80"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475" w:type="pct"/>
          </w:tcPr>
          <w:p w:rsidR="006E4A01" w:rsidRPr="00483C23" w:rsidP="006E4A01" w14:paraId="3B73DD01"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575" w:type="pct"/>
          </w:tcPr>
          <w:p w:rsidR="006E4A01" w:rsidRPr="00483C23" w:rsidP="006E4A01" w14:paraId="66F24F58" w14:textId="77777777">
            <w:pPr>
              <w:jc w:val="center"/>
              <w:rPr>
                <w:rFonts w:ascii="Times New Roman" w:hAnsi="Times New Roman" w:cs="Times New Roman"/>
                <w:b/>
                <w:sz w:val="18"/>
                <w:szCs w:val="18"/>
              </w:rPr>
            </w:pPr>
            <w:r>
              <w:rPr>
                <w:rFonts w:ascii="Times New Roman" w:hAnsi="Times New Roman" w:cs="Times New Roman"/>
                <w:b/>
                <w:sz w:val="18"/>
                <w:szCs w:val="18"/>
              </w:rPr>
              <w:t>0</w:t>
            </w:r>
          </w:p>
        </w:tc>
        <w:tc>
          <w:tcPr>
            <w:tcW w:w="487" w:type="pct"/>
          </w:tcPr>
          <w:p w:rsidR="006E4A01" w:rsidRPr="00483C23" w:rsidP="006E4A01" w14:paraId="78DAD6F4"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636" w:type="pct"/>
          </w:tcPr>
          <w:p w:rsidR="006E4A01" w:rsidRPr="00483C23" w:rsidP="006E4A01" w14:paraId="7E7555BC" w14:textId="77777777">
            <w:pPr>
              <w:jc w:val="center"/>
              <w:rPr>
                <w:rFonts w:ascii="Times New Roman" w:hAnsi="Times New Roman" w:cs="Times New Roman"/>
                <w:b/>
                <w:sz w:val="18"/>
                <w:szCs w:val="18"/>
              </w:rPr>
            </w:pPr>
            <w:r>
              <w:rPr>
                <w:rFonts w:ascii="Times New Roman" w:hAnsi="Times New Roman" w:cs="Times New Roman"/>
                <w:b/>
                <w:sz w:val="18"/>
                <w:szCs w:val="18"/>
              </w:rPr>
              <w:t>0</w:t>
            </w:r>
          </w:p>
        </w:tc>
        <w:tc>
          <w:tcPr>
            <w:tcW w:w="979" w:type="pct"/>
          </w:tcPr>
          <w:p w:rsidR="006E4A01" w:rsidRPr="00483C23" w:rsidP="006E4A01" w14:paraId="7666FA51"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r>
      <w:tr w14:paraId="0FE68740"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2DCEA250"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1.1. valsts pamatbudžets, tai skaitā ieņēmumi no maksas pakalpojumiem un citi pašu ieņēmumi</w:t>
            </w:r>
          </w:p>
        </w:tc>
        <w:tc>
          <w:tcPr>
            <w:tcW w:w="493" w:type="pct"/>
          </w:tcPr>
          <w:p w:rsidR="006D6911" w:rsidRPr="00483C23" w:rsidP="00AF7C22" w14:paraId="6B3594F3" w14:textId="77777777">
            <w:pPr>
              <w:jc w:val="center"/>
              <w:rPr>
                <w:rFonts w:ascii="Times New Roman" w:eastAsia="Times New Roman" w:hAnsi="Times New Roman" w:cs="Times New Roman"/>
                <w:sz w:val="18"/>
                <w:szCs w:val="18"/>
                <w:lang w:eastAsia="lv-LV"/>
              </w:rPr>
            </w:pPr>
          </w:p>
        </w:tc>
        <w:tc>
          <w:tcPr>
            <w:tcW w:w="595" w:type="pct"/>
          </w:tcPr>
          <w:p w:rsidR="006D6911" w:rsidRPr="00483C23" w:rsidP="00AF7C22" w14:paraId="01A02FD5" w14:textId="77777777">
            <w:pPr>
              <w:jc w:val="center"/>
              <w:rPr>
                <w:rFonts w:ascii="Times New Roman" w:eastAsia="Times New Roman" w:hAnsi="Times New Roman" w:cs="Times New Roman"/>
                <w:sz w:val="18"/>
                <w:szCs w:val="18"/>
                <w:lang w:eastAsia="lv-LV"/>
              </w:rPr>
            </w:pPr>
          </w:p>
        </w:tc>
        <w:tc>
          <w:tcPr>
            <w:tcW w:w="475" w:type="pct"/>
          </w:tcPr>
          <w:p w:rsidR="006D6911" w:rsidRPr="00483C23" w:rsidP="00AF7C22" w14:paraId="7957B419" w14:textId="77777777">
            <w:pPr>
              <w:jc w:val="center"/>
              <w:rPr>
                <w:rFonts w:ascii="Times New Roman" w:eastAsia="Times New Roman" w:hAnsi="Times New Roman" w:cs="Times New Roman"/>
                <w:sz w:val="18"/>
                <w:szCs w:val="18"/>
                <w:lang w:eastAsia="lv-LV"/>
              </w:rPr>
            </w:pPr>
          </w:p>
        </w:tc>
        <w:tc>
          <w:tcPr>
            <w:tcW w:w="575" w:type="pct"/>
          </w:tcPr>
          <w:p w:rsidR="006D6911" w:rsidRPr="00483C23" w:rsidP="00AF7C22" w14:paraId="34A52C5A" w14:textId="77777777">
            <w:pPr>
              <w:jc w:val="center"/>
              <w:rPr>
                <w:rFonts w:ascii="Times New Roman" w:hAnsi="Times New Roman" w:cs="Times New Roman"/>
                <w:sz w:val="18"/>
                <w:szCs w:val="18"/>
              </w:rPr>
            </w:pPr>
          </w:p>
        </w:tc>
        <w:tc>
          <w:tcPr>
            <w:tcW w:w="487" w:type="pct"/>
          </w:tcPr>
          <w:p w:rsidR="006D6911" w:rsidRPr="00483C23" w:rsidP="00AF7C22" w14:paraId="3FA35515" w14:textId="77777777">
            <w:pPr>
              <w:jc w:val="center"/>
              <w:rPr>
                <w:rFonts w:ascii="Times New Roman" w:eastAsia="Times New Roman" w:hAnsi="Times New Roman" w:cs="Times New Roman"/>
                <w:sz w:val="18"/>
                <w:szCs w:val="18"/>
                <w:lang w:eastAsia="lv-LV"/>
              </w:rPr>
            </w:pPr>
          </w:p>
        </w:tc>
        <w:tc>
          <w:tcPr>
            <w:tcW w:w="636" w:type="pct"/>
          </w:tcPr>
          <w:p w:rsidR="006D6911" w:rsidRPr="00483C23" w:rsidP="00AF7C22" w14:paraId="7803DF0B" w14:textId="77777777">
            <w:pPr>
              <w:jc w:val="center"/>
              <w:rPr>
                <w:rFonts w:ascii="Times New Roman" w:hAnsi="Times New Roman" w:cs="Times New Roman"/>
                <w:sz w:val="18"/>
                <w:szCs w:val="18"/>
              </w:rPr>
            </w:pPr>
          </w:p>
        </w:tc>
        <w:tc>
          <w:tcPr>
            <w:tcW w:w="979" w:type="pct"/>
          </w:tcPr>
          <w:p w:rsidR="006D6911" w:rsidRPr="00483C23" w:rsidP="00AF7C22" w14:paraId="47908FB9" w14:textId="77777777">
            <w:pPr>
              <w:jc w:val="center"/>
              <w:rPr>
                <w:rFonts w:ascii="Times New Roman" w:eastAsia="Times New Roman" w:hAnsi="Times New Roman" w:cs="Times New Roman"/>
                <w:sz w:val="18"/>
                <w:szCs w:val="18"/>
                <w:lang w:eastAsia="lv-LV"/>
              </w:rPr>
            </w:pPr>
          </w:p>
        </w:tc>
      </w:tr>
      <w:tr w14:paraId="0D296763" w14:textId="77777777" w:rsidTr="008F0A7B">
        <w:tblPrEx>
          <w:tblW w:w="5714" w:type="pct"/>
          <w:tblCellSpacing w:w="20" w:type="dxa"/>
          <w:tblInd w:w="-717" w:type="dxa"/>
          <w:tblLayout w:type="fixed"/>
          <w:tblLook w:val="04A0"/>
        </w:tblPrEx>
        <w:trPr>
          <w:tblCellSpacing w:w="20" w:type="dxa"/>
        </w:trPr>
        <w:tc>
          <w:tcPr>
            <w:tcW w:w="588" w:type="pct"/>
          </w:tcPr>
          <w:p w:rsidR="006E4A01" w:rsidRPr="00B21B25" w:rsidP="006E4A01" w14:paraId="19DF49F7" w14:textId="77777777">
            <w:pPr>
              <w:rPr>
                <w:rFonts w:ascii="Times New Roman" w:eastAsia="Times New Roman" w:hAnsi="Times New Roman" w:cs="Times New Roman"/>
                <w:i/>
                <w:sz w:val="20"/>
                <w:szCs w:val="20"/>
                <w:lang w:eastAsia="lv-LV"/>
              </w:rPr>
            </w:pPr>
            <w:r w:rsidRPr="00B21B25">
              <w:rPr>
                <w:rFonts w:ascii="Times New Roman" w:eastAsia="Times New Roman" w:hAnsi="Times New Roman" w:cs="Times New Roman"/>
                <w:i/>
                <w:sz w:val="20"/>
                <w:szCs w:val="20"/>
                <w:lang w:eastAsia="lv-LV"/>
              </w:rPr>
              <w:t xml:space="preserve">33.18.00 </w:t>
            </w:r>
          </w:p>
        </w:tc>
        <w:tc>
          <w:tcPr>
            <w:tcW w:w="493" w:type="pct"/>
          </w:tcPr>
          <w:p w:rsidR="006E4A01" w:rsidRPr="00483C23" w:rsidP="006E4A01" w14:paraId="2625468C"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10 995 930</w:t>
            </w:r>
          </w:p>
        </w:tc>
        <w:tc>
          <w:tcPr>
            <w:tcW w:w="595" w:type="pct"/>
          </w:tcPr>
          <w:p w:rsidR="006E4A01" w:rsidRPr="00483C23" w:rsidP="006E4A01" w14:paraId="7F103D13"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475" w:type="pct"/>
          </w:tcPr>
          <w:p w:rsidR="006E4A01" w:rsidRPr="00483C23" w:rsidP="006E4A01" w14:paraId="2D040866"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575" w:type="pct"/>
          </w:tcPr>
          <w:p w:rsidR="006E4A01" w:rsidRPr="00483C23" w:rsidP="006E4A01" w14:paraId="0EC30CB2"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487" w:type="pct"/>
          </w:tcPr>
          <w:p w:rsidR="006E4A01" w:rsidRPr="00483C23" w:rsidP="006E4A01" w14:paraId="6BCAC1C2"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636" w:type="pct"/>
          </w:tcPr>
          <w:p w:rsidR="006E4A01" w:rsidRPr="00483C23" w:rsidP="006E4A01" w14:paraId="5C78190D"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979" w:type="pct"/>
          </w:tcPr>
          <w:p w:rsidR="006E4A01" w:rsidRPr="00483C23" w:rsidP="006E4A01" w14:paraId="0665DF05"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14:paraId="5A36ACB0"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086FE6A8"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1.2. valsts speciālais budžets</w:t>
            </w:r>
          </w:p>
        </w:tc>
        <w:tc>
          <w:tcPr>
            <w:tcW w:w="493" w:type="pct"/>
            <w:hideMark/>
          </w:tcPr>
          <w:p w:rsidR="006D6911" w:rsidRPr="00483C23" w:rsidP="00AF7C22" w14:paraId="47F07C85" w14:textId="77777777">
            <w:pPr>
              <w:jc w:val="center"/>
              <w:rPr>
                <w:rFonts w:ascii="Times New Roman" w:eastAsia="Times New Roman" w:hAnsi="Times New Roman" w:cs="Times New Roman"/>
                <w:sz w:val="18"/>
                <w:szCs w:val="18"/>
                <w:lang w:eastAsia="lv-LV"/>
              </w:rPr>
            </w:pPr>
          </w:p>
        </w:tc>
        <w:tc>
          <w:tcPr>
            <w:tcW w:w="595" w:type="pct"/>
            <w:hideMark/>
          </w:tcPr>
          <w:p w:rsidR="006D6911" w:rsidRPr="00483C23" w:rsidP="00AF7C22" w14:paraId="6FE5CAB6" w14:textId="77777777">
            <w:pPr>
              <w:jc w:val="center"/>
              <w:rPr>
                <w:rFonts w:ascii="Times New Roman" w:eastAsia="Times New Roman" w:hAnsi="Times New Roman" w:cs="Times New Roman"/>
                <w:sz w:val="18"/>
                <w:szCs w:val="18"/>
                <w:lang w:eastAsia="lv-LV"/>
              </w:rPr>
            </w:pPr>
          </w:p>
        </w:tc>
        <w:tc>
          <w:tcPr>
            <w:tcW w:w="475" w:type="pct"/>
            <w:hideMark/>
          </w:tcPr>
          <w:p w:rsidR="006D6911" w:rsidRPr="00483C23" w:rsidP="00AF7C22" w14:paraId="5D9EA47F" w14:textId="77777777">
            <w:pPr>
              <w:jc w:val="center"/>
              <w:rPr>
                <w:rFonts w:ascii="Times New Roman" w:eastAsia="Times New Roman" w:hAnsi="Times New Roman" w:cs="Times New Roman"/>
                <w:sz w:val="18"/>
                <w:szCs w:val="18"/>
                <w:lang w:eastAsia="lv-LV"/>
              </w:rPr>
            </w:pPr>
          </w:p>
        </w:tc>
        <w:tc>
          <w:tcPr>
            <w:tcW w:w="575" w:type="pct"/>
          </w:tcPr>
          <w:p w:rsidR="006D6911" w:rsidRPr="00483C23" w:rsidP="00AF7C22" w14:paraId="2A198A0F" w14:textId="77777777">
            <w:pPr>
              <w:jc w:val="center"/>
              <w:rPr>
                <w:rFonts w:ascii="Times New Roman" w:eastAsia="Times New Roman" w:hAnsi="Times New Roman" w:cs="Times New Roman"/>
                <w:sz w:val="18"/>
                <w:szCs w:val="18"/>
                <w:lang w:eastAsia="lv-LV"/>
              </w:rPr>
            </w:pPr>
          </w:p>
        </w:tc>
        <w:tc>
          <w:tcPr>
            <w:tcW w:w="487" w:type="pct"/>
            <w:hideMark/>
          </w:tcPr>
          <w:p w:rsidR="006D6911" w:rsidRPr="00483C23" w:rsidP="00AF7C22" w14:paraId="30D226D6" w14:textId="77777777">
            <w:pPr>
              <w:jc w:val="center"/>
              <w:rPr>
                <w:rFonts w:ascii="Times New Roman" w:eastAsia="Times New Roman" w:hAnsi="Times New Roman" w:cs="Times New Roman"/>
                <w:sz w:val="18"/>
                <w:szCs w:val="18"/>
                <w:lang w:eastAsia="lv-LV"/>
              </w:rPr>
            </w:pPr>
          </w:p>
        </w:tc>
        <w:tc>
          <w:tcPr>
            <w:tcW w:w="636" w:type="pct"/>
          </w:tcPr>
          <w:p w:rsidR="006D6911" w:rsidRPr="00483C23" w:rsidP="00AF7C22" w14:paraId="09289ADD" w14:textId="77777777">
            <w:pPr>
              <w:jc w:val="center"/>
              <w:rPr>
                <w:rFonts w:ascii="Times New Roman" w:eastAsia="Times New Roman" w:hAnsi="Times New Roman" w:cs="Times New Roman"/>
                <w:sz w:val="18"/>
                <w:szCs w:val="18"/>
                <w:lang w:eastAsia="lv-LV"/>
              </w:rPr>
            </w:pPr>
          </w:p>
        </w:tc>
        <w:tc>
          <w:tcPr>
            <w:tcW w:w="979" w:type="pct"/>
            <w:hideMark/>
          </w:tcPr>
          <w:p w:rsidR="006D6911" w:rsidRPr="00483C23" w:rsidP="00AF7C22" w14:paraId="75C9CFD2" w14:textId="77777777">
            <w:pPr>
              <w:jc w:val="center"/>
              <w:rPr>
                <w:rFonts w:ascii="Times New Roman" w:eastAsia="Times New Roman" w:hAnsi="Times New Roman" w:cs="Times New Roman"/>
                <w:sz w:val="18"/>
                <w:szCs w:val="18"/>
                <w:lang w:eastAsia="lv-LV"/>
              </w:rPr>
            </w:pPr>
          </w:p>
        </w:tc>
      </w:tr>
      <w:tr w14:paraId="07D00EEB"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7E8BD073"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1.3. pašvaldību budžets</w:t>
            </w:r>
          </w:p>
        </w:tc>
        <w:tc>
          <w:tcPr>
            <w:tcW w:w="493" w:type="pct"/>
            <w:hideMark/>
          </w:tcPr>
          <w:p w:rsidR="006D6911" w:rsidRPr="00483C23" w:rsidP="00AF7C22" w14:paraId="54C8B6ED" w14:textId="77777777">
            <w:pPr>
              <w:jc w:val="center"/>
              <w:rPr>
                <w:rFonts w:ascii="Times New Roman" w:eastAsia="Times New Roman" w:hAnsi="Times New Roman" w:cs="Times New Roman"/>
                <w:sz w:val="18"/>
                <w:szCs w:val="18"/>
                <w:lang w:eastAsia="lv-LV"/>
              </w:rPr>
            </w:pPr>
          </w:p>
        </w:tc>
        <w:tc>
          <w:tcPr>
            <w:tcW w:w="595" w:type="pct"/>
            <w:hideMark/>
          </w:tcPr>
          <w:p w:rsidR="006D6911" w:rsidRPr="00483C23" w:rsidP="00AF7C22" w14:paraId="331E7259" w14:textId="77777777">
            <w:pPr>
              <w:jc w:val="center"/>
              <w:rPr>
                <w:rFonts w:ascii="Times New Roman" w:eastAsia="Times New Roman" w:hAnsi="Times New Roman" w:cs="Times New Roman"/>
                <w:sz w:val="18"/>
                <w:szCs w:val="18"/>
                <w:lang w:eastAsia="lv-LV"/>
              </w:rPr>
            </w:pPr>
          </w:p>
        </w:tc>
        <w:tc>
          <w:tcPr>
            <w:tcW w:w="475" w:type="pct"/>
            <w:hideMark/>
          </w:tcPr>
          <w:p w:rsidR="006D6911" w:rsidRPr="00483C23" w:rsidP="00AF7C22" w14:paraId="3215886A" w14:textId="77777777">
            <w:pPr>
              <w:jc w:val="center"/>
              <w:rPr>
                <w:rFonts w:ascii="Times New Roman" w:eastAsia="Times New Roman" w:hAnsi="Times New Roman" w:cs="Times New Roman"/>
                <w:sz w:val="18"/>
                <w:szCs w:val="18"/>
                <w:lang w:eastAsia="lv-LV"/>
              </w:rPr>
            </w:pPr>
          </w:p>
        </w:tc>
        <w:tc>
          <w:tcPr>
            <w:tcW w:w="575" w:type="pct"/>
          </w:tcPr>
          <w:p w:rsidR="006D6911" w:rsidRPr="00483C23" w:rsidP="00AF7C22" w14:paraId="7F1F1A4E" w14:textId="77777777">
            <w:pPr>
              <w:jc w:val="center"/>
              <w:rPr>
                <w:rFonts w:ascii="Times New Roman" w:eastAsia="Times New Roman" w:hAnsi="Times New Roman" w:cs="Times New Roman"/>
                <w:sz w:val="18"/>
                <w:szCs w:val="18"/>
                <w:lang w:eastAsia="lv-LV"/>
              </w:rPr>
            </w:pPr>
          </w:p>
        </w:tc>
        <w:tc>
          <w:tcPr>
            <w:tcW w:w="487" w:type="pct"/>
            <w:hideMark/>
          </w:tcPr>
          <w:p w:rsidR="006D6911" w:rsidRPr="00483C23" w:rsidP="00AF7C22" w14:paraId="67410D55" w14:textId="77777777">
            <w:pPr>
              <w:jc w:val="center"/>
              <w:rPr>
                <w:rFonts w:ascii="Times New Roman" w:eastAsia="Times New Roman" w:hAnsi="Times New Roman" w:cs="Times New Roman"/>
                <w:sz w:val="18"/>
                <w:szCs w:val="18"/>
                <w:lang w:eastAsia="lv-LV"/>
              </w:rPr>
            </w:pPr>
          </w:p>
        </w:tc>
        <w:tc>
          <w:tcPr>
            <w:tcW w:w="636" w:type="pct"/>
          </w:tcPr>
          <w:p w:rsidR="006D6911" w:rsidRPr="00483C23" w:rsidP="00AF7C22" w14:paraId="45A95E67" w14:textId="77777777">
            <w:pPr>
              <w:jc w:val="center"/>
              <w:rPr>
                <w:rFonts w:ascii="Times New Roman" w:eastAsia="Times New Roman" w:hAnsi="Times New Roman" w:cs="Times New Roman"/>
                <w:sz w:val="18"/>
                <w:szCs w:val="18"/>
                <w:lang w:eastAsia="lv-LV"/>
              </w:rPr>
            </w:pPr>
          </w:p>
        </w:tc>
        <w:tc>
          <w:tcPr>
            <w:tcW w:w="979" w:type="pct"/>
            <w:hideMark/>
          </w:tcPr>
          <w:p w:rsidR="006D6911" w:rsidRPr="00483C23" w:rsidP="00AF7C22" w14:paraId="0D977E2C" w14:textId="77777777">
            <w:pPr>
              <w:jc w:val="center"/>
              <w:rPr>
                <w:rFonts w:ascii="Times New Roman" w:eastAsia="Times New Roman" w:hAnsi="Times New Roman" w:cs="Times New Roman"/>
                <w:sz w:val="18"/>
                <w:szCs w:val="18"/>
                <w:lang w:eastAsia="lv-LV"/>
              </w:rPr>
            </w:pPr>
          </w:p>
        </w:tc>
      </w:tr>
      <w:tr w14:paraId="6475C321" w14:textId="77777777" w:rsidTr="008F0A7B">
        <w:tblPrEx>
          <w:tblW w:w="5714" w:type="pct"/>
          <w:tblCellSpacing w:w="20" w:type="dxa"/>
          <w:tblInd w:w="-717" w:type="dxa"/>
          <w:tblLayout w:type="fixed"/>
          <w:tblLook w:val="04A0"/>
        </w:tblPrEx>
        <w:trPr>
          <w:tblCellSpacing w:w="20" w:type="dxa"/>
        </w:trPr>
        <w:tc>
          <w:tcPr>
            <w:tcW w:w="588" w:type="pct"/>
            <w:hideMark/>
          </w:tcPr>
          <w:p w:rsidR="006E4A01" w:rsidRPr="00B21B25" w:rsidP="006E4A01" w14:paraId="53D8F1EF" w14:textId="77777777">
            <w:pPr>
              <w:rPr>
                <w:rFonts w:ascii="Times New Roman" w:eastAsia="Times New Roman" w:hAnsi="Times New Roman" w:cs="Times New Roman"/>
                <w:b/>
                <w:sz w:val="20"/>
                <w:szCs w:val="20"/>
                <w:lang w:eastAsia="lv-LV"/>
              </w:rPr>
            </w:pPr>
            <w:r w:rsidRPr="00B21B25">
              <w:rPr>
                <w:rFonts w:ascii="Times New Roman" w:eastAsia="Times New Roman" w:hAnsi="Times New Roman" w:cs="Times New Roman"/>
                <w:b/>
                <w:sz w:val="20"/>
                <w:szCs w:val="20"/>
                <w:lang w:eastAsia="lv-LV"/>
              </w:rPr>
              <w:t>2. Budžeta izdevumi:</w:t>
            </w:r>
          </w:p>
        </w:tc>
        <w:tc>
          <w:tcPr>
            <w:tcW w:w="493" w:type="pct"/>
          </w:tcPr>
          <w:p w:rsidR="006E4A01" w:rsidRPr="00483C23" w:rsidP="006E4A01" w14:paraId="44C6503D"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10 995 930</w:t>
            </w:r>
          </w:p>
        </w:tc>
        <w:tc>
          <w:tcPr>
            <w:tcW w:w="595" w:type="pct"/>
          </w:tcPr>
          <w:p w:rsidR="006E4A01" w:rsidRPr="00483C23" w:rsidP="006E4A01" w14:paraId="07011C04"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475" w:type="pct"/>
          </w:tcPr>
          <w:p w:rsidR="006E4A01" w:rsidRPr="00483C23" w:rsidP="006E4A01" w14:paraId="509C6F7D"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575" w:type="pct"/>
          </w:tcPr>
          <w:p w:rsidR="006E4A01" w:rsidRPr="006E2E8B" w:rsidP="006E4A01" w14:paraId="1C6DE46E" w14:textId="77777777">
            <w:pPr>
              <w:jc w:val="center"/>
              <w:rPr>
                <w:rFonts w:ascii="Times New Roman" w:hAnsi="Times New Roman" w:cs="Times New Roman"/>
                <w:b/>
                <w:bCs/>
                <w:sz w:val="18"/>
                <w:szCs w:val="18"/>
                <w:u w:val="single"/>
              </w:rPr>
            </w:pPr>
            <w:r>
              <w:rPr>
                <w:rFonts w:ascii="Times New Roman" w:hAnsi="Times New Roman" w:cs="Times New Roman"/>
                <w:b/>
                <w:bCs/>
                <w:sz w:val="18"/>
                <w:szCs w:val="18"/>
                <w:u w:val="single"/>
              </w:rPr>
              <w:t>5 437 810</w:t>
            </w:r>
          </w:p>
        </w:tc>
        <w:tc>
          <w:tcPr>
            <w:tcW w:w="487" w:type="pct"/>
          </w:tcPr>
          <w:p w:rsidR="006E4A01" w:rsidRPr="00DD5F0F" w:rsidP="006E4A01" w14:paraId="3EE11785" w14:textId="77777777">
            <w:pPr>
              <w:jc w:val="center"/>
              <w:rPr>
                <w:rFonts w:ascii="Times New Roman" w:eastAsia="Times New Roman" w:hAnsi="Times New Roman" w:cs="Times New Roman"/>
                <w:b/>
                <w:sz w:val="18"/>
                <w:szCs w:val="18"/>
                <w:lang w:eastAsia="lv-LV"/>
              </w:rPr>
            </w:pPr>
            <w:r w:rsidRPr="00DD5F0F">
              <w:rPr>
                <w:rFonts w:ascii="Times New Roman" w:eastAsia="Times New Roman" w:hAnsi="Times New Roman" w:cs="Times New Roman"/>
                <w:b/>
                <w:sz w:val="18"/>
                <w:szCs w:val="18"/>
                <w:lang w:eastAsia="lv-LV"/>
              </w:rPr>
              <w:t>0</w:t>
            </w:r>
          </w:p>
        </w:tc>
        <w:tc>
          <w:tcPr>
            <w:tcW w:w="636" w:type="pct"/>
          </w:tcPr>
          <w:p w:rsidR="006E4A01" w:rsidRPr="006E2E8B" w:rsidP="006E4A01" w14:paraId="5C500EB3" w14:textId="77777777">
            <w:pPr>
              <w:jc w:val="center"/>
              <w:rPr>
                <w:rFonts w:ascii="Times New Roman" w:hAnsi="Times New Roman" w:cs="Times New Roman"/>
                <w:b/>
                <w:bCs/>
                <w:sz w:val="18"/>
                <w:szCs w:val="18"/>
                <w:u w:val="single"/>
              </w:rPr>
            </w:pPr>
            <w:r>
              <w:rPr>
                <w:rFonts w:ascii="Times New Roman" w:hAnsi="Times New Roman" w:cs="Times New Roman"/>
                <w:b/>
                <w:bCs/>
                <w:sz w:val="18"/>
                <w:szCs w:val="18"/>
                <w:u w:val="single"/>
              </w:rPr>
              <w:t>5 437 810</w:t>
            </w:r>
          </w:p>
        </w:tc>
        <w:tc>
          <w:tcPr>
            <w:tcW w:w="979" w:type="pct"/>
          </w:tcPr>
          <w:p w:rsidR="006E4A01" w:rsidRPr="006E2E8B" w:rsidP="006E4A01" w14:paraId="0650CA83" w14:textId="77777777">
            <w:pPr>
              <w:jc w:val="center"/>
              <w:rPr>
                <w:rFonts w:ascii="Times New Roman" w:eastAsia="Times New Roman" w:hAnsi="Times New Roman" w:cs="Times New Roman"/>
                <w:b/>
                <w:sz w:val="18"/>
                <w:szCs w:val="18"/>
                <w:u w:val="single"/>
                <w:lang w:eastAsia="lv-LV"/>
              </w:rPr>
            </w:pPr>
            <w:r>
              <w:rPr>
                <w:rFonts w:ascii="Times New Roman" w:hAnsi="Times New Roman" w:cs="Times New Roman"/>
                <w:b/>
                <w:bCs/>
                <w:sz w:val="18"/>
                <w:szCs w:val="18"/>
                <w:u w:val="single"/>
              </w:rPr>
              <w:t>5 437 810</w:t>
            </w:r>
          </w:p>
        </w:tc>
      </w:tr>
      <w:tr w14:paraId="21016885" w14:textId="77777777" w:rsidTr="008F0A7B">
        <w:tblPrEx>
          <w:tblW w:w="5714" w:type="pct"/>
          <w:tblCellSpacing w:w="20" w:type="dxa"/>
          <w:tblInd w:w="-717" w:type="dxa"/>
          <w:tblLayout w:type="fixed"/>
          <w:tblLook w:val="04A0"/>
        </w:tblPrEx>
        <w:trPr>
          <w:trHeight w:val="524"/>
          <w:tblCellSpacing w:w="20" w:type="dxa"/>
        </w:trPr>
        <w:tc>
          <w:tcPr>
            <w:tcW w:w="588" w:type="pct"/>
            <w:hideMark/>
          </w:tcPr>
          <w:p w:rsidR="006D6911" w:rsidRPr="00B21B25" w:rsidP="00AF7C22" w14:paraId="14CBA407"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2.1. valsts pamatbudžets</w:t>
            </w:r>
          </w:p>
        </w:tc>
        <w:tc>
          <w:tcPr>
            <w:tcW w:w="493" w:type="pct"/>
          </w:tcPr>
          <w:p w:rsidR="006D6911" w:rsidRPr="00483C23" w:rsidP="00AF7C22" w14:paraId="63606E9E" w14:textId="77777777">
            <w:pPr>
              <w:jc w:val="center"/>
              <w:rPr>
                <w:rFonts w:ascii="Times New Roman" w:eastAsia="Times New Roman" w:hAnsi="Times New Roman" w:cs="Times New Roman"/>
                <w:sz w:val="18"/>
                <w:szCs w:val="18"/>
                <w:lang w:eastAsia="lv-LV"/>
              </w:rPr>
            </w:pPr>
          </w:p>
        </w:tc>
        <w:tc>
          <w:tcPr>
            <w:tcW w:w="595" w:type="pct"/>
          </w:tcPr>
          <w:p w:rsidR="006D6911" w:rsidRPr="00483C23" w:rsidP="00AF7C22" w14:paraId="05808795" w14:textId="77777777">
            <w:pPr>
              <w:jc w:val="center"/>
              <w:rPr>
                <w:rFonts w:ascii="Times New Roman" w:eastAsia="Times New Roman" w:hAnsi="Times New Roman" w:cs="Times New Roman"/>
                <w:sz w:val="18"/>
                <w:szCs w:val="18"/>
                <w:lang w:eastAsia="lv-LV"/>
              </w:rPr>
            </w:pPr>
          </w:p>
        </w:tc>
        <w:tc>
          <w:tcPr>
            <w:tcW w:w="475" w:type="pct"/>
          </w:tcPr>
          <w:p w:rsidR="006D6911" w:rsidRPr="00483C23" w:rsidP="00AF7C22" w14:paraId="2EDE0CFD" w14:textId="77777777">
            <w:pPr>
              <w:jc w:val="center"/>
              <w:rPr>
                <w:rFonts w:ascii="Times New Roman" w:eastAsia="Times New Roman" w:hAnsi="Times New Roman" w:cs="Times New Roman"/>
                <w:sz w:val="18"/>
                <w:szCs w:val="18"/>
                <w:lang w:eastAsia="lv-LV"/>
              </w:rPr>
            </w:pPr>
          </w:p>
        </w:tc>
        <w:tc>
          <w:tcPr>
            <w:tcW w:w="575" w:type="pct"/>
          </w:tcPr>
          <w:p w:rsidR="006D6911" w:rsidRPr="006E2E8B" w:rsidP="00AF7C22" w14:paraId="17A4FFAF" w14:textId="77777777">
            <w:pPr>
              <w:jc w:val="center"/>
              <w:rPr>
                <w:rFonts w:ascii="Times New Roman" w:hAnsi="Times New Roman" w:cs="Times New Roman"/>
                <w:bCs/>
                <w:sz w:val="18"/>
                <w:szCs w:val="18"/>
                <w:u w:val="single"/>
              </w:rPr>
            </w:pPr>
          </w:p>
        </w:tc>
        <w:tc>
          <w:tcPr>
            <w:tcW w:w="487" w:type="pct"/>
          </w:tcPr>
          <w:p w:rsidR="006D6911" w:rsidRPr="00DD5F0F" w:rsidP="00AF7C22" w14:paraId="2FF191C6" w14:textId="77777777">
            <w:pPr>
              <w:jc w:val="center"/>
              <w:rPr>
                <w:rFonts w:ascii="Times New Roman" w:eastAsia="Times New Roman" w:hAnsi="Times New Roman" w:cs="Times New Roman"/>
                <w:sz w:val="18"/>
                <w:szCs w:val="18"/>
                <w:lang w:eastAsia="lv-LV"/>
              </w:rPr>
            </w:pPr>
          </w:p>
        </w:tc>
        <w:tc>
          <w:tcPr>
            <w:tcW w:w="636" w:type="pct"/>
          </w:tcPr>
          <w:p w:rsidR="006D6911" w:rsidRPr="006E2E8B" w:rsidP="00AF7C22" w14:paraId="6172316B" w14:textId="77777777">
            <w:pPr>
              <w:jc w:val="center"/>
              <w:rPr>
                <w:rFonts w:ascii="Times New Roman" w:hAnsi="Times New Roman" w:cs="Times New Roman"/>
                <w:bCs/>
                <w:sz w:val="18"/>
                <w:szCs w:val="18"/>
                <w:u w:val="single"/>
              </w:rPr>
            </w:pPr>
          </w:p>
        </w:tc>
        <w:tc>
          <w:tcPr>
            <w:tcW w:w="979" w:type="pct"/>
          </w:tcPr>
          <w:p w:rsidR="006D6911" w:rsidRPr="006E2E8B" w:rsidP="00AF7C22" w14:paraId="74DEC390" w14:textId="77777777">
            <w:pPr>
              <w:jc w:val="center"/>
              <w:rPr>
                <w:rFonts w:ascii="Times New Roman" w:eastAsia="Times New Roman" w:hAnsi="Times New Roman" w:cs="Times New Roman"/>
                <w:sz w:val="18"/>
                <w:szCs w:val="18"/>
                <w:u w:val="single"/>
                <w:lang w:eastAsia="lv-LV"/>
              </w:rPr>
            </w:pPr>
          </w:p>
        </w:tc>
      </w:tr>
      <w:tr w14:paraId="475726E9" w14:textId="77777777" w:rsidTr="008F0A7B">
        <w:tblPrEx>
          <w:tblW w:w="5714" w:type="pct"/>
          <w:tblCellSpacing w:w="20" w:type="dxa"/>
          <w:tblInd w:w="-717" w:type="dxa"/>
          <w:tblLayout w:type="fixed"/>
          <w:tblLook w:val="04A0"/>
        </w:tblPrEx>
        <w:trPr>
          <w:tblCellSpacing w:w="20" w:type="dxa"/>
        </w:trPr>
        <w:tc>
          <w:tcPr>
            <w:tcW w:w="588" w:type="pct"/>
          </w:tcPr>
          <w:p w:rsidR="006E4A01" w:rsidRPr="00B21B25" w:rsidP="006E4A01" w14:paraId="4E137DDF" w14:textId="77777777">
            <w:pPr>
              <w:rPr>
                <w:rFonts w:ascii="Times New Roman" w:eastAsia="Times New Roman" w:hAnsi="Times New Roman" w:cs="Times New Roman"/>
                <w:i/>
                <w:sz w:val="20"/>
                <w:szCs w:val="20"/>
                <w:lang w:eastAsia="lv-LV"/>
              </w:rPr>
            </w:pPr>
            <w:r w:rsidRPr="00B21B25">
              <w:rPr>
                <w:rFonts w:ascii="Times New Roman" w:eastAsia="Times New Roman" w:hAnsi="Times New Roman" w:cs="Times New Roman"/>
                <w:i/>
                <w:sz w:val="20"/>
                <w:szCs w:val="20"/>
                <w:lang w:eastAsia="lv-LV"/>
              </w:rPr>
              <w:t xml:space="preserve">33.18.00 </w:t>
            </w:r>
          </w:p>
        </w:tc>
        <w:tc>
          <w:tcPr>
            <w:tcW w:w="493" w:type="pct"/>
          </w:tcPr>
          <w:p w:rsidR="006E4A01" w:rsidRPr="00483C23" w:rsidP="006E4A01" w14:paraId="5CD0BFC2"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10 995 930</w:t>
            </w:r>
          </w:p>
        </w:tc>
        <w:tc>
          <w:tcPr>
            <w:tcW w:w="595" w:type="pct"/>
          </w:tcPr>
          <w:p w:rsidR="006E4A01" w:rsidRPr="00483C23" w:rsidP="006E4A01" w14:paraId="4F5956F5"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475" w:type="pct"/>
          </w:tcPr>
          <w:p w:rsidR="006E4A01" w:rsidRPr="00483C23" w:rsidP="006E4A01" w14:paraId="3169DAE8"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575" w:type="pct"/>
          </w:tcPr>
          <w:p w:rsidR="006E4A01" w:rsidRPr="006E2E8B" w:rsidP="006E4A01" w14:paraId="44FFD152" w14:textId="77777777">
            <w:pPr>
              <w:jc w:val="center"/>
              <w:rPr>
                <w:rFonts w:ascii="Times New Roman" w:hAnsi="Times New Roman" w:cs="Times New Roman"/>
                <w:sz w:val="18"/>
                <w:szCs w:val="18"/>
                <w:u w:val="single"/>
              </w:rPr>
            </w:pPr>
            <w:r>
              <w:rPr>
                <w:rFonts w:ascii="Times New Roman" w:eastAsia="Times New Roman" w:hAnsi="Times New Roman" w:cs="Times New Roman"/>
                <w:sz w:val="18"/>
                <w:szCs w:val="18"/>
                <w:u w:val="single"/>
                <w:lang w:eastAsia="lv-LV"/>
              </w:rPr>
              <w:t>5 437 810</w:t>
            </w:r>
          </w:p>
        </w:tc>
        <w:tc>
          <w:tcPr>
            <w:tcW w:w="487" w:type="pct"/>
          </w:tcPr>
          <w:p w:rsidR="006E4A01" w:rsidRPr="00DD5F0F" w:rsidP="006E4A01" w14:paraId="250E04DE" w14:textId="77777777">
            <w:pPr>
              <w:jc w:val="center"/>
              <w:rPr>
                <w:rFonts w:ascii="Times New Roman" w:eastAsia="Times New Roman" w:hAnsi="Times New Roman" w:cs="Times New Roman"/>
                <w:sz w:val="18"/>
                <w:szCs w:val="18"/>
                <w:lang w:eastAsia="lv-LV"/>
              </w:rPr>
            </w:pPr>
            <w:r w:rsidRPr="00DD5F0F">
              <w:rPr>
                <w:rFonts w:ascii="Times New Roman" w:eastAsia="Times New Roman" w:hAnsi="Times New Roman" w:cs="Times New Roman"/>
                <w:sz w:val="18"/>
                <w:szCs w:val="18"/>
                <w:lang w:eastAsia="lv-LV"/>
              </w:rPr>
              <w:t>0</w:t>
            </w:r>
          </w:p>
        </w:tc>
        <w:tc>
          <w:tcPr>
            <w:tcW w:w="636" w:type="pct"/>
          </w:tcPr>
          <w:p w:rsidR="006E4A01" w:rsidRPr="006E2E8B" w:rsidP="006E4A01" w14:paraId="25DD7677" w14:textId="77777777">
            <w:pPr>
              <w:jc w:val="center"/>
              <w:rPr>
                <w:rFonts w:ascii="Times New Roman" w:hAnsi="Times New Roman" w:cs="Times New Roman"/>
                <w:sz w:val="18"/>
                <w:szCs w:val="18"/>
                <w:u w:val="single"/>
              </w:rPr>
            </w:pPr>
            <w:r>
              <w:rPr>
                <w:rFonts w:ascii="Times New Roman" w:eastAsia="Times New Roman" w:hAnsi="Times New Roman" w:cs="Times New Roman"/>
                <w:sz w:val="18"/>
                <w:szCs w:val="18"/>
                <w:u w:val="single"/>
                <w:lang w:eastAsia="lv-LV"/>
              </w:rPr>
              <w:t>5 437 810</w:t>
            </w:r>
          </w:p>
        </w:tc>
        <w:tc>
          <w:tcPr>
            <w:tcW w:w="979" w:type="pct"/>
          </w:tcPr>
          <w:p w:rsidR="006E4A01" w:rsidRPr="006E2E8B" w:rsidP="006E4A01" w14:paraId="3C168773" w14:textId="77777777">
            <w:pPr>
              <w:jc w:val="center"/>
              <w:rPr>
                <w:rFonts w:ascii="Times New Roman" w:eastAsia="Times New Roman" w:hAnsi="Times New Roman" w:cs="Times New Roman"/>
                <w:sz w:val="18"/>
                <w:szCs w:val="18"/>
                <w:u w:val="single"/>
                <w:lang w:eastAsia="lv-LV"/>
              </w:rPr>
            </w:pPr>
            <w:r>
              <w:rPr>
                <w:rFonts w:ascii="Times New Roman" w:eastAsia="Times New Roman" w:hAnsi="Times New Roman" w:cs="Times New Roman"/>
                <w:sz w:val="18"/>
                <w:szCs w:val="18"/>
                <w:u w:val="single"/>
                <w:lang w:eastAsia="lv-LV"/>
              </w:rPr>
              <w:t>5 437 810</w:t>
            </w:r>
          </w:p>
        </w:tc>
      </w:tr>
      <w:tr w14:paraId="0984E9EB"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757C9434"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2.2. valsts speciālais budžets</w:t>
            </w:r>
          </w:p>
        </w:tc>
        <w:tc>
          <w:tcPr>
            <w:tcW w:w="493" w:type="pct"/>
            <w:hideMark/>
          </w:tcPr>
          <w:p w:rsidR="006D6911" w:rsidRPr="00483C23" w:rsidP="00AF7C22" w14:paraId="474E8DBE" w14:textId="77777777">
            <w:pPr>
              <w:jc w:val="center"/>
              <w:rPr>
                <w:rFonts w:ascii="Times New Roman" w:eastAsia="Times New Roman" w:hAnsi="Times New Roman" w:cs="Times New Roman"/>
                <w:sz w:val="18"/>
                <w:szCs w:val="18"/>
                <w:lang w:eastAsia="lv-LV"/>
              </w:rPr>
            </w:pPr>
          </w:p>
        </w:tc>
        <w:tc>
          <w:tcPr>
            <w:tcW w:w="595" w:type="pct"/>
            <w:hideMark/>
          </w:tcPr>
          <w:p w:rsidR="006D6911" w:rsidRPr="00483C23" w:rsidP="00AF7C22" w14:paraId="2BA09FCC" w14:textId="77777777">
            <w:pPr>
              <w:jc w:val="center"/>
              <w:rPr>
                <w:rFonts w:ascii="Times New Roman" w:eastAsia="Times New Roman" w:hAnsi="Times New Roman" w:cs="Times New Roman"/>
                <w:sz w:val="18"/>
                <w:szCs w:val="18"/>
                <w:lang w:eastAsia="lv-LV"/>
              </w:rPr>
            </w:pPr>
          </w:p>
        </w:tc>
        <w:tc>
          <w:tcPr>
            <w:tcW w:w="475" w:type="pct"/>
            <w:hideMark/>
          </w:tcPr>
          <w:p w:rsidR="006D6911" w:rsidRPr="00483C23" w:rsidP="00AF7C22" w14:paraId="4C1F0C8E" w14:textId="77777777">
            <w:pPr>
              <w:jc w:val="center"/>
              <w:rPr>
                <w:rFonts w:ascii="Times New Roman" w:eastAsia="Times New Roman" w:hAnsi="Times New Roman" w:cs="Times New Roman"/>
                <w:sz w:val="18"/>
                <w:szCs w:val="18"/>
                <w:lang w:eastAsia="lv-LV"/>
              </w:rPr>
            </w:pPr>
          </w:p>
        </w:tc>
        <w:tc>
          <w:tcPr>
            <w:tcW w:w="575" w:type="pct"/>
          </w:tcPr>
          <w:p w:rsidR="006D6911" w:rsidRPr="006E2E8B" w:rsidP="00AF7C22" w14:paraId="5E318D4F" w14:textId="77777777">
            <w:pPr>
              <w:jc w:val="center"/>
              <w:rPr>
                <w:rFonts w:ascii="Times New Roman" w:eastAsia="Times New Roman" w:hAnsi="Times New Roman" w:cs="Times New Roman"/>
                <w:sz w:val="18"/>
                <w:szCs w:val="18"/>
                <w:u w:val="single"/>
                <w:lang w:eastAsia="lv-LV"/>
              </w:rPr>
            </w:pPr>
          </w:p>
        </w:tc>
        <w:tc>
          <w:tcPr>
            <w:tcW w:w="487" w:type="pct"/>
            <w:hideMark/>
          </w:tcPr>
          <w:p w:rsidR="006D6911" w:rsidRPr="006E2E8B" w:rsidP="00AF7C22" w14:paraId="2E06F4DB" w14:textId="77777777">
            <w:pPr>
              <w:jc w:val="center"/>
              <w:rPr>
                <w:rFonts w:ascii="Times New Roman" w:eastAsia="Times New Roman" w:hAnsi="Times New Roman" w:cs="Times New Roman"/>
                <w:sz w:val="18"/>
                <w:szCs w:val="18"/>
                <w:u w:val="single"/>
                <w:lang w:eastAsia="lv-LV"/>
              </w:rPr>
            </w:pPr>
          </w:p>
        </w:tc>
        <w:tc>
          <w:tcPr>
            <w:tcW w:w="636" w:type="pct"/>
          </w:tcPr>
          <w:p w:rsidR="006D6911" w:rsidRPr="006E2E8B" w:rsidP="00AF7C22" w14:paraId="5BEC3146" w14:textId="77777777">
            <w:pPr>
              <w:jc w:val="center"/>
              <w:rPr>
                <w:rFonts w:ascii="Times New Roman" w:eastAsia="Times New Roman" w:hAnsi="Times New Roman" w:cs="Times New Roman"/>
                <w:sz w:val="18"/>
                <w:szCs w:val="18"/>
                <w:u w:val="single"/>
                <w:lang w:eastAsia="lv-LV"/>
              </w:rPr>
            </w:pPr>
          </w:p>
        </w:tc>
        <w:tc>
          <w:tcPr>
            <w:tcW w:w="979" w:type="pct"/>
          </w:tcPr>
          <w:p w:rsidR="006D6911" w:rsidRPr="006E2E8B" w:rsidP="00AF7C22" w14:paraId="0F2B41B8" w14:textId="77777777">
            <w:pPr>
              <w:jc w:val="center"/>
              <w:rPr>
                <w:rFonts w:ascii="Times New Roman" w:eastAsia="Times New Roman" w:hAnsi="Times New Roman" w:cs="Times New Roman"/>
                <w:sz w:val="18"/>
                <w:szCs w:val="18"/>
                <w:u w:val="single"/>
                <w:lang w:eastAsia="lv-LV"/>
              </w:rPr>
            </w:pPr>
          </w:p>
        </w:tc>
      </w:tr>
      <w:tr w14:paraId="00D4B772"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4B0E8714"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2.3. pašvaldību budžets</w:t>
            </w:r>
          </w:p>
        </w:tc>
        <w:tc>
          <w:tcPr>
            <w:tcW w:w="493" w:type="pct"/>
            <w:hideMark/>
          </w:tcPr>
          <w:p w:rsidR="006D6911" w:rsidRPr="00483C23" w:rsidP="00AF7C22" w14:paraId="0760F8A4" w14:textId="77777777">
            <w:pPr>
              <w:jc w:val="center"/>
              <w:rPr>
                <w:rFonts w:ascii="Times New Roman" w:eastAsia="Times New Roman" w:hAnsi="Times New Roman" w:cs="Times New Roman"/>
                <w:sz w:val="18"/>
                <w:szCs w:val="18"/>
                <w:lang w:eastAsia="lv-LV"/>
              </w:rPr>
            </w:pPr>
          </w:p>
        </w:tc>
        <w:tc>
          <w:tcPr>
            <w:tcW w:w="595" w:type="pct"/>
            <w:hideMark/>
          </w:tcPr>
          <w:p w:rsidR="006D6911" w:rsidRPr="00483C23" w:rsidP="00AF7C22" w14:paraId="2E2F4E0C" w14:textId="77777777">
            <w:pPr>
              <w:jc w:val="center"/>
              <w:rPr>
                <w:rFonts w:ascii="Times New Roman" w:eastAsia="Times New Roman" w:hAnsi="Times New Roman" w:cs="Times New Roman"/>
                <w:sz w:val="18"/>
                <w:szCs w:val="18"/>
                <w:lang w:eastAsia="lv-LV"/>
              </w:rPr>
            </w:pPr>
          </w:p>
        </w:tc>
        <w:tc>
          <w:tcPr>
            <w:tcW w:w="475" w:type="pct"/>
            <w:hideMark/>
          </w:tcPr>
          <w:p w:rsidR="006D6911" w:rsidRPr="00483C23" w:rsidP="00AF7C22" w14:paraId="67D1EB1D" w14:textId="77777777">
            <w:pPr>
              <w:jc w:val="center"/>
              <w:rPr>
                <w:rFonts w:ascii="Times New Roman" w:eastAsia="Times New Roman" w:hAnsi="Times New Roman" w:cs="Times New Roman"/>
                <w:sz w:val="18"/>
                <w:szCs w:val="18"/>
                <w:lang w:eastAsia="lv-LV"/>
              </w:rPr>
            </w:pPr>
          </w:p>
        </w:tc>
        <w:tc>
          <w:tcPr>
            <w:tcW w:w="575" w:type="pct"/>
          </w:tcPr>
          <w:p w:rsidR="006D6911" w:rsidRPr="006E2E8B" w:rsidP="00AF7C22" w14:paraId="7B359FAF" w14:textId="77777777">
            <w:pPr>
              <w:jc w:val="center"/>
              <w:rPr>
                <w:rFonts w:ascii="Times New Roman" w:eastAsia="Times New Roman" w:hAnsi="Times New Roman" w:cs="Times New Roman"/>
                <w:sz w:val="18"/>
                <w:szCs w:val="18"/>
                <w:u w:val="single"/>
                <w:lang w:eastAsia="lv-LV"/>
              </w:rPr>
            </w:pPr>
          </w:p>
        </w:tc>
        <w:tc>
          <w:tcPr>
            <w:tcW w:w="487" w:type="pct"/>
            <w:hideMark/>
          </w:tcPr>
          <w:p w:rsidR="006D6911" w:rsidRPr="006E2E8B" w:rsidP="00AF7C22" w14:paraId="533BE8D8" w14:textId="77777777">
            <w:pPr>
              <w:jc w:val="center"/>
              <w:rPr>
                <w:rFonts w:ascii="Times New Roman" w:eastAsia="Times New Roman" w:hAnsi="Times New Roman" w:cs="Times New Roman"/>
                <w:sz w:val="18"/>
                <w:szCs w:val="18"/>
                <w:u w:val="single"/>
                <w:lang w:eastAsia="lv-LV"/>
              </w:rPr>
            </w:pPr>
          </w:p>
        </w:tc>
        <w:tc>
          <w:tcPr>
            <w:tcW w:w="636" w:type="pct"/>
          </w:tcPr>
          <w:p w:rsidR="006D6911" w:rsidRPr="006E2E8B" w:rsidP="00AF7C22" w14:paraId="3C609271" w14:textId="77777777">
            <w:pPr>
              <w:jc w:val="center"/>
              <w:rPr>
                <w:rFonts w:ascii="Times New Roman" w:eastAsia="Times New Roman" w:hAnsi="Times New Roman" w:cs="Times New Roman"/>
                <w:sz w:val="18"/>
                <w:szCs w:val="18"/>
                <w:u w:val="single"/>
                <w:lang w:eastAsia="lv-LV"/>
              </w:rPr>
            </w:pPr>
          </w:p>
        </w:tc>
        <w:tc>
          <w:tcPr>
            <w:tcW w:w="979" w:type="pct"/>
            <w:hideMark/>
          </w:tcPr>
          <w:p w:rsidR="006D6911" w:rsidRPr="006E2E8B" w:rsidP="00AF7C22" w14:paraId="5FDEC913" w14:textId="77777777">
            <w:pPr>
              <w:jc w:val="center"/>
              <w:rPr>
                <w:rFonts w:ascii="Times New Roman" w:eastAsia="Times New Roman" w:hAnsi="Times New Roman" w:cs="Times New Roman"/>
                <w:sz w:val="18"/>
                <w:szCs w:val="18"/>
                <w:u w:val="single"/>
                <w:lang w:eastAsia="lv-LV"/>
              </w:rPr>
            </w:pPr>
          </w:p>
        </w:tc>
      </w:tr>
      <w:tr w14:paraId="5E2C52B1" w14:textId="77777777" w:rsidTr="008F0A7B">
        <w:tblPrEx>
          <w:tblW w:w="5714" w:type="pct"/>
          <w:tblCellSpacing w:w="20" w:type="dxa"/>
          <w:tblInd w:w="-717" w:type="dxa"/>
          <w:tblLayout w:type="fixed"/>
          <w:tblLook w:val="04A0"/>
        </w:tblPrEx>
        <w:trPr>
          <w:tblCellSpacing w:w="20" w:type="dxa"/>
        </w:trPr>
        <w:tc>
          <w:tcPr>
            <w:tcW w:w="588" w:type="pct"/>
            <w:hideMark/>
          </w:tcPr>
          <w:p w:rsidR="006E4A01" w:rsidRPr="00B21B25" w:rsidP="006E4A01" w14:paraId="7B8E4636" w14:textId="77777777">
            <w:pPr>
              <w:rPr>
                <w:rFonts w:ascii="Times New Roman" w:eastAsia="Times New Roman" w:hAnsi="Times New Roman" w:cs="Times New Roman"/>
                <w:b/>
                <w:sz w:val="20"/>
                <w:szCs w:val="20"/>
                <w:lang w:eastAsia="lv-LV"/>
              </w:rPr>
            </w:pPr>
            <w:r w:rsidRPr="00B21B25">
              <w:rPr>
                <w:rFonts w:ascii="Times New Roman" w:eastAsia="Times New Roman" w:hAnsi="Times New Roman" w:cs="Times New Roman"/>
                <w:b/>
                <w:sz w:val="20"/>
                <w:szCs w:val="20"/>
                <w:lang w:eastAsia="lv-LV"/>
              </w:rPr>
              <w:t>3. Finansiālā ietekme:</w:t>
            </w:r>
          </w:p>
        </w:tc>
        <w:tc>
          <w:tcPr>
            <w:tcW w:w="493" w:type="pct"/>
          </w:tcPr>
          <w:p w:rsidR="006E4A01" w:rsidRPr="00483C23" w:rsidP="006E4A01" w14:paraId="1C286F7F"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595" w:type="pct"/>
          </w:tcPr>
          <w:p w:rsidR="006E4A01" w:rsidRPr="00483C23" w:rsidP="006E4A01" w14:paraId="564A0D1D"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475" w:type="pct"/>
          </w:tcPr>
          <w:p w:rsidR="006E4A01" w:rsidRPr="00483C23" w:rsidP="006E4A01" w14:paraId="71E5F14A"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575" w:type="pct"/>
          </w:tcPr>
          <w:p w:rsidR="006E4A01" w:rsidRPr="006E2E8B" w:rsidP="006E4A01" w14:paraId="1D66A955" w14:textId="77777777">
            <w:pPr>
              <w:jc w:val="center"/>
              <w:rPr>
                <w:rFonts w:ascii="Times New Roman" w:hAnsi="Times New Roman" w:cs="Times New Roman"/>
                <w:b/>
                <w:bCs/>
                <w:sz w:val="18"/>
                <w:szCs w:val="18"/>
                <w:u w:val="single"/>
              </w:rPr>
            </w:pPr>
            <w:r w:rsidRPr="006E2E8B">
              <w:rPr>
                <w:rFonts w:ascii="Times New Roman" w:hAnsi="Times New Roman" w:cs="Times New Roman"/>
                <w:b/>
                <w:bCs/>
                <w:sz w:val="18"/>
                <w:szCs w:val="18"/>
                <w:u w:val="single"/>
              </w:rPr>
              <w:t>-</w:t>
            </w:r>
            <w:r w:rsidR="00EA0041">
              <w:rPr>
                <w:rFonts w:ascii="Times New Roman" w:hAnsi="Times New Roman" w:cs="Times New Roman"/>
                <w:b/>
                <w:bCs/>
                <w:sz w:val="18"/>
                <w:szCs w:val="18"/>
                <w:u w:val="single"/>
              </w:rPr>
              <w:t>5 437 810</w:t>
            </w:r>
          </w:p>
        </w:tc>
        <w:tc>
          <w:tcPr>
            <w:tcW w:w="487" w:type="pct"/>
          </w:tcPr>
          <w:p w:rsidR="006E4A01" w:rsidRPr="00DD5F0F" w:rsidP="006E4A01" w14:paraId="067AE8B1" w14:textId="77777777">
            <w:pPr>
              <w:jc w:val="center"/>
              <w:rPr>
                <w:rFonts w:ascii="Times New Roman" w:eastAsia="Times New Roman" w:hAnsi="Times New Roman" w:cs="Times New Roman"/>
                <w:b/>
                <w:sz w:val="18"/>
                <w:szCs w:val="18"/>
                <w:lang w:eastAsia="lv-LV"/>
              </w:rPr>
            </w:pPr>
            <w:r w:rsidRPr="00DD5F0F">
              <w:rPr>
                <w:rFonts w:ascii="Times New Roman" w:eastAsia="Times New Roman" w:hAnsi="Times New Roman" w:cs="Times New Roman"/>
                <w:b/>
                <w:sz w:val="18"/>
                <w:szCs w:val="18"/>
                <w:lang w:eastAsia="lv-LV"/>
              </w:rPr>
              <w:t>0</w:t>
            </w:r>
          </w:p>
        </w:tc>
        <w:tc>
          <w:tcPr>
            <w:tcW w:w="636" w:type="pct"/>
          </w:tcPr>
          <w:p w:rsidR="006E4A01" w:rsidRPr="006E2E8B" w:rsidP="006E4A01" w14:paraId="343D745E" w14:textId="77777777">
            <w:pPr>
              <w:jc w:val="center"/>
              <w:rPr>
                <w:rFonts w:ascii="Times New Roman" w:hAnsi="Times New Roman" w:cs="Times New Roman"/>
                <w:b/>
                <w:bCs/>
                <w:sz w:val="18"/>
                <w:szCs w:val="18"/>
                <w:u w:val="single"/>
              </w:rPr>
            </w:pPr>
            <w:r>
              <w:rPr>
                <w:rFonts w:ascii="Times New Roman" w:hAnsi="Times New Roman" w:cs="Times New Roman"/>
                <w:b/>
                <w:bCs/>
                <w:sz w:val="18"/>
                <w:szCs w:val="18"/>
                <w:u w:val="single"/>
              </w:rPr>
              <w:t>-5 437 810</w:t>
            </w:r>
          </w:p>
        </w:tc>
        <w:tc>
          <w:tcPr>
            <w:tcW w:w="979" w:type="pct"/>
          </w:tcPr>
          <w:p w:rsidR="006E4A01" w:rsidRPr="006E2E8B" w:rsidP="006E4A01" w14:paraId="34A5F81D" w14:textId="77777777">
            <w:pPr>
              <w:jc w:val="center"/>
              <w:rPr>
                <w:rFonts w:ascii="Times New Roman" w:eastAsia="Times New Roman" w:hAnsi="Times New Roman" w:cs="Times New Roman"/>
                <w:b/>
                <w:sz w:val="18"/>
                <w:szCs w:val="18"/>
                <w:u w:val="single"/>
                <w:lang w:eastAsia="lv-LV"/>
              </w:rPr>
            </w:pPr>
            <w:r>
              <w:rPr>
                <w:rFonts w:ascii="Times New Roman" w:hAnsi="Times New Roman" w:cs="Times New Roman"/>
                <w:b/>
                <w:bCs/>
                <w:sz w:val="18"/>
                <w:szCs w:val="18"/>
                <w:u w:val="single"/>
              </w:rPr>
              <w:t>-5 437 810</w:t>
            </w:r>
          </w:p>
        </w:tc>
      </w:tr>
      <w:tr w14:paraId="50D97C92" w14:textId="77777777" w:rsidTr="008F0A7B">
        <w:tblPrEx>
          <w:tblW w:w="5714" w:type="pct"/>
          <w:tblCellSpacing w:w="20" w:type="dxa"/>
          <w:tblInd w:w="-717" w:type="dxa"/>
          <w:tblLayout w:type="fixed"/>
          <w:tblLook w:val="04A0"/>
        </w:tblPrEx>
        <w:trPr>
          <w:tblCellSpacing w:w="20" w:type="dxa"/>
        </w:trPr>
        <w:tc>
          <w:tcPr>
            <w:tcW w:w="588" w:type="pct"/>
            <w:hideMark/>
          </w:tcPr>
          <w:p w:rsidR="006E4A01" w:rsidRPr="00B21B25" w:rsidP="006E4A01" w14:paraId="656D2831"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3.1. valsts pamatbudžets</w:t>
            </w:r>
          </w:p>
        </w:tc>
        <w:tc>
          <w:tcPr>
            <w:tcW w:w="493" w:type="pct"/>
          </w:tcPr>
          <w:p w:rsidR="006E4A01" w:rsidRPr="00483C23" w:rsidP="006E4A01" w14:paraId="27ABBC1D"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595" w:type="pct"/>
          </w:tcPr>
          <w:p w:rsidR="006E4A01" w:rsidRPr="00483C23" w:rsidP="006E4A01" w14:paraId="025C75FC"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475" w:type="pct"/>
          </w:tcPr>
          <w:p w:rsidR="006E4A01" w:rsidRPr="00383DF2" w:rsidP="006E4A01" w14:paraId="30270908" w14:textId="77777777">
            <w:pPr>
              <w:jc w:val="center"/>
              <w:rPr>
                <w:rFonts w:ascii="Times New Roman" w:eastAsia="Times New Roman" w:hAnsi="Times New Roman" w:cs="Times New Roman"/>
                <w:sz w:val="18"/>
                <w:szCs w:val="18"/>
                <w:lang w:eastAsia="lv-LV"/>
              </w:rPr>
            </w:pPr>
            <w:r w:rsidRPr="00383DF2">
              <w:rPr>
                <w:rFonts w:ascii="Times New Roman" w:eastAsia="Times New Roman" w:hAnsi="Times New Roman" w:cs="Times New Roman"/>
                <w:sz w:val="18"/>
                <w:szCs w:val="18"/>
                <w:lang w:eastAsia="lv-LV"/>
              </w:rPr>
              <w:t>0</w:t>
            </w:r>
          </w:p>
        </w:tc>
        <w:tc>
          <w:tcPr>
            <w:tcW w:w="575" w:type="pct"/>
          </w:tcPr>
          <w:p w:rsidR="006E4A01" w:rsidRPr="006E2E8B" w:rsidP="006E4A01" w14:paraId="6492527F" w14:textId="77777777">
            <w:pPr>
              <w:jc w:val="center"/>
              <w:rPr>
                <w:rFonts w:ascii="Times New Roman" w:hAnsi="Times New Roman" w:cs="Times New Roman"/>
                <w:bCs/>
                <w:sz w:val="18"/>
                <w:szCs w:val="18"/>
                <w:u w:val="single"/>
              </w:rPr>
            </w:pPr>
            <w:r>
              <w:rPr>
                <w:rFonts w:ascii="Times New Roman" w:hAnsi="Times New Roman" w:cs="Times New Roman"/>
                <w:bCs/>
                <w:sz w:val="18"/>
                <w:szCs w:val="18"/>
                <w:u w:val="single"/>
              </w:rPr>
              <w:t>-5 437 810</w:t>
            </w:r>
          </w:p>
        </w:tc>
        <w:tc>
          <w:tcPr>
            <w:tcW w:w="487" w:type="pct"/>
          </w:tcPr>
          <w:p w:rsidR="006E4A01" w:rsidRPr="00DD5F0F" w:rsidP="006E4A01" w14:paraId="5C73B3C4" w14:textId="77777777">
            <w:pPr>
              <w:jc w:val="center"/>
              <w:rPr>
                <w:rFonts w:ascii="Times New Roman" w:eastAsia="Times New Roman" w:hAnsi="Times New Roman" w:cs="Times New Roman"/>
                <w:sz w:val="18"/>
                <w:szCs w:val="18"/>
                <w:lang w:eastAsia="lv-LV"/>
              </w:rPr>
            </w:pPr>
            <w:r w:rsidRPr="00DD5F0F">
              <w:rPr>
                <w:rFonts w:ascii="Times New Roman" w:eastAsia="Times New Roman" w:hAnsi="Times New Roman" w:cs="Times New Roman"/>
                <w:sz w:val="18"/>
                <w:szCs w:val="18"/>
                <w:lang w:eastAsia="lv-LV"/>
              </w:rPr>
              <w:t>0</w:t>
            </w:r>
          </w:p>
        </w:tc>
        <w:tc>
          <w:tcPr>
            <w:tcW w:w="636" w:type="pct"/>
          </w:tcPr>
          <w:p w:rsidR="006E4A01" w:rsidRPr="006E2E8B" w:rsidP="006E4A01" w14:paraId="5DC45A0A" w14:textId="77777777">
            <w:pPr>
              <w:jc w:val="center"/>
              <w:rPr>
                <w:rFonts w:ascii="Times New Roman" w:hAnsi="Times New Roman" w:cs="Times New Roman"/>
                <w:bCs/>
                <w:sz w:val="18"/>
                <w:szCs w:val="18"/>
                <w:u w:val="single"/>
              </w:rPr>
            </w:pPr>
            <w:r>
              <w:rPr>
                <w:rFonts w:ascii="Times New Roman" w:hAnsi="Times New Roman" w:cs="Times New Roman"/>
                <w:bCs/>
                <w:sz w:val="18"/>
                <w:szCs w:val="18"/>
                <w:u w:val="single"/>
              </w:rPr>
              <w:t>-5 437 810</w:t>
            </w:r>
          </w:p>
        </w:tc>
        <w:tc>
          <w:tcPr>
            <w:tcW w:w="979" w:type="pct"/>
          </w:tcPr>
          <w:p w:rsidR="006E4A01" w:rsidRPr="006E2E8B" w:rsidP="006E4A01" w14:paraId="50BF2ACB" w14:textId="77777777">
            <w:pPr>
              <w:jc w:val="center"/>
              <w:rPr>
                <w:rFonts w:ascii="Times New Roman" w:eastAsia="Times New Roman" w:hAnsi="Times New Roman" w:cs="Times New Roman"/>
                <w:sz w:val="18"/>
                <w:szCs w:val="18"/>
                <w:u w:val="single"/>
                <w:lang w:eastAsia="lv-LV"/>
              </w:rPr>
            </w:pPr>
            <w:r>
              <w:rPr>
                <w:rFonts w:ascii="Times New Roman" w:hAnsi="Times New Roman" w:cs="Times New Roman"/>
                <w:bCs/>
                <w:sz w:val="18"/>
                <w:szCs w:val="18"/>
                <w:u w:val="single"/>
              </w:rPr>
              <w:t>-5 437 810</w:t>
            </w:r>
          </w:p>
        </w:tc>
      </w:tr>
      <w:tr w14:paraId="23922F09" w14:textId="77777777" w:rsidTr="008F0A7B">
        <w:tblPrEx>
          <w:tblW w:w="5714" w:type="pct"/>
          <w:tblCellSpacing w:w="20" w:type="dxa"/>
          <w:tblInd w:w="-717" w:type="dxa"/>
          <w:tblLayout w:type="fixed"/>
          <w:tblLook w:val="04A0"/>
        </w:tblPrEx>
        <w:trPr>
          <w:tblCellSpacing w:w="20" w:type="dxa"/>
        </w:trPr>
        <w:tc>
          <w:tcPr>
            <w:tcW w:w="588" w:type="pct"/>
            <w:hideMark/>
          </w:tcPr>
          <w:p w:rsidR="006E4A01" w:rsidRPr="00B21B25" w:rsidP="006E4A01" w14:paraId="428CCA2D"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3.2. speciālais budžets</w:t>
            </w:r>
          </w:p>
        </w:tc>
        <w:tc>
          <w:tcPr>
            <w:tcW w:w="493" w:type="pct"/>
            <w:hideMark/>
          </w:tcPr>
          <w:p w:rsidR="006E4A01" w:rsidRPr="00483C23" w:rsidP="006E4A01" w14:paraId="2E34F1B9" w14:textId="77777777">
            <w:pPr>
              <w:jc w:val="center"/>
              <w:rPr>
                <w:rFonts w:ascii="Times New Roman" w:eastAsia="Times New Roman" w:hAnsi="Times New Roman" w:cs="Times New Roman"/>
                <w:sz w:val="18"/>
                <w:szCs w:val="18"/>
                <w:lang w:eastAsia="lv-LV"/>
              </w:rPr>
            </w:pPr>
          </w:p>
        </w:tc>
        <w:tc>
          <w:tcPr>
            <w:tcW w:w="595" w:type="pct"/>
            <w:hideMark/>
          </w:tcPr>
          <w:p w:rsidR="006E4A01" w:rsidRPr="00483C23" w:rsidP="006E4A01" w14:paraId="402A03B9" w14:textId="77777777">
            <w:pPr>
              <w:jc w:val="center"/>
              <w:rPr>
                <w:rFonts w:ascii="Times New Roman" w:eastAsia="Times New Roman" w:hAnsi="Times New Roman" w:cs="Times New Roman"/>
                <w:sz w:val="18"/>
                <w:szCs w:val="18"/>
                <w:lang w:eastAsia="lv-LV"/>
              </w:rPr>
            </w:pPr>
          </w:p>
        </w:tc>
        <w:tc>
          <w:tcPr>
            <w:tcW w:w="475" w:type="pct"/>
            <w:hideMark/>
          </w:tcPr>
          <w:p w:rsidR="006E4A01" w:rsidRPr="00483C23" w:rsidP="006E4A01" w14:paraId="26DDAEEB" w14:textId="77777777">
            <w:pPr>
              <w:jc w:val="center"/>
              <w:rPr>
                <w:rFonts w:ascii="Times New Roman" w:eastAsia="Times New Roman" w:hAnsi="Times New Roman" w:cs="Times New Roman"/>
                <w:sz w:val="18"/>
                <w:szCs w:val="18"/>
                <w:lang w:eastAsia="lv-LV"/>
              </w:rPr>
            </w:pPr>
          </w:p>
        </w:tc>
        <w:tc>
          <w:tcPr>
            <w:tcW w:w="575" w:type="pct"/>
          </w:tcPr>
          <w:p w:rsidR="006E4A01" w:rsidRPr="006E2E8B" w:rsidP="006E4A01" w14:paraId="218C37A1" w14:textId="77777777">
            <w:pPr>
              <w:jc w:val="center"/>
              <w:rPr>
                <w:rFonts w:ascii="Times New Roman" w:eastAsia="Times New Roman" w:hAnsi="Times New Roman" w:cs="Times New Roman"/>
                <w:sz w:val="18"/>
                <w:szCs w:val="18"/>
                <w:u w:val="single"/>
                <w:lang w:eastAsia="lv-LV"/>
              </w:rPr>
            </w:pPr>
          </w:p>
        </w:tc>
        <w:tc>
          <w:tcPr>
            <w:tcW w:w="487" w:type="pct"/>
            <w:hideMark/>
          </w:tcPr>
          <w:p w:rsidR="006E4A01" w:rsidRPr="00DD5F0F" w:rsidP="006E4A01" w14:paraId="1B3ECF31" w14:textId="77777777">
            <w:pPr>
              <w:jc w:val="center"/>
              <w:rPr>
                <w:rFonts w:ascii="Times New Roman" w:eastAsia="Times New Roman" w:hAnsi="Times New Roman" w:cs="Times New Roman"/>
                <w:sz w:val="18"/>
                <w:szCs w:val="18"/>
                <w:lang w:eastAsia="lv-LV"/>
              </w:rPr>
            </w:pPr>
          </w:p>
        </w:tc>
        <w:tc>
          <w:tcPr>
            <w:tcW w:w="636" w:type="pct"/>
          </w:tcPr>
          <w:p w:rsidR="006E4A01" w:rsidRPr="006E2E8B" w:rsidP="006E4A01" w14:paraId="539F4B03" w14:textId="77777777">
            <w:pPr>
              <w:jc w:val="center"/>
              <w:rPr>
                <w:rFonts w:ascii="Times New Roman" w:eastAsia="Times New Roman" w:hAnsi="Times New Roman" w:cs="Times New Roman"/>
                <w:sz w:val="18"/>
                <w:szCs w:val="18"/>
                <w:u w:val="single"/>
                <w:lang w:eastAsia="lv-LV"/>
              </w:rPr>
            </w:pPr>
          </w:p>
        </w:tc>
        <w:tc>
          <w:tcPr>
            <w:tcW w:w="979" w:type="pct"/>
            <w:hideMark/>
          </w:tcPr>
          <w:p w:rsidR="006E4A01" w:rsidRPr="006E2E8B" w:rsidP="006E4A01" w14:paraId="210DA57B" w14:textId="77777777">
            <w:pPr>
              <w:jc w:val="center"/>
              <w:rPr>
                <w:rFonts w:ascii="Times New Roman" w:eastAsia="Times New Roman" w:hAnsi="Times New Roman" w:cs="Times New Roman"/>
                <w:sz w:val="18"/>
                <w:szCs w:val="18"/>
                <w:u w:val="single"/>
                <w:lang w:eastAsia="lv-LV"/>
              </w:rPr>
            </w:pPr>
          </w:p>
        </w:tc>
      </w:tr>
      <w:tr w14:paraId="35BA288D" w14:textId="77777777" w:rsidTr="008F0A7B">
        <w:tblPrEx>
          <w:tblW w:w="5714" w:type="pct"/>
          <w:tblCellSpacing w:w="20" w:type="dxa"/>
          <w:tblInd w:w="-717" w:type="dxa"/>
          <w:tblLayout w:type="fixed"/>
          <w:tblLook w:val="04A0"/>
        </w:tblPrEx>
        <w:trPr>
          <w:tblCellSpacing w:w="20" w:type="dxa"/>
        </w:trPr>
        <w:tc>
          <w:tcPr>
            <w:tcW w:w="588" w:type="pct"/>
            <w:hideMark/>
          </w:tcPr>
          <w:p w:rsidR="006E4A01" w:rsidRPr="00B21B25" w:rsidP="006E4A01" w14:paraId="3A232D75"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3.3. pašvaldību budžets</w:t>
            </w:r>
          </w:p>
        </w:tc>
        <w:tc>
          <w:tcPr>
            <w:tcW w:w="493" w:type="pct"/>
            <w:hideMark/>
          </w:tcPr>
          <w:p w:rsidR="006E4A01" w:rsidRPr="00483C23" w:rsidP="006E4A01" w14:paraId="7293BC64" w14:textId="77777777">
            <w:pPr>
              <w:rPr>
                <w:rFonts w:ascii="Times New Roman" w:eastAsia="Times New Roman" w:hAnsi="Times New Roman" w:cs="Times New Roman"/>
                <w:sz w:val="18"/>
                <w:szCs w:val="18"/>
                <w:lang w:eastAsia="lv-LV"/>
              </w:rPr>
            </w:pPr>
          </w:p>
        </w:tc>
        <w:tc>
          <w:tcPr>
            <w:tcW w:w="595" w:type="pct"/>
            <w:hideMark/>
          </w:tcPr>
          <w:p w:rsidR="006E4A01" w:rsidRPr="00483C23" w:rsidP="006E4A01" w14:paraId="28AF2ED5" w14:textId="77777777">
            <w:pPr>
              <w:rPr>
                <w:rFonts w:ascii="Times New Roman" w:eastAsia="Times New Roman" w:hAnsi="Times New Roman" w:cs="Times New Roman"/>
                <w:sz w:val="18"/>
                <w:szCs w:val="18"/>
                <w:lang w:eastAsia="lv-LV"/>
              </w:rPr>
            </w:pPr>
          </w:p>
        </w:tc>
        <w:tc>
          <w:tcPr>
            <w:tcW w:w="475" w:type="pct"/>
            <w:hideMark/>
          </w:tcPr>
          <w:p w:rsidR="006E4A01" w:rsidRPr="00483C23" w:rsidP="006E4A01" w14:paraId="63A4676F" w14:textId="77777777">
            <w:pPr>
              <w:rPr>
                <w:rFonts w:ascii="Times New Roman" w:eastAsia="Times New Roman" w:hAnsi="Times New Roman" w:cs="Times New Roman"/>
                <w:sz w:val="18"/>
                <w:szCs w:val="18"/>
                <w:lang w:eastAsia="lv-LV"/>
              </w:rPr>
            </w:pPr>
          </w:p>
        </w:tc>
        <w:tc>
          <w:tcPr>
            <w:tcW w:w="575" w:type="pct"/>
          </w:tcPr>
          <w:p w:rsidR="006E4A01" w:rsidRPr="006E2E8B" w:rsidP="006E4A01" w14:paraId="35210729" w14:textId="77777777">
            <w:pPr>
              <w:rPr>
                <w:rFonts w:ascii="Times New Roman" w:eastAsia="Times New Roman" w:hAnsi="Times New Roman" w:cs="Times New Roman"/>
                <w:sz w:val="18"/>
                <w:szCs w:val="18"/>
                <w:u w:val="single"/>
                <w:lang w:eastAsia="lv-LV"/>
              </w:rPr>
            </w:pPr>
          </w:p>
        </w:tc>
        <w:tc>
          <w:tcPr>
            <w:tcW w:w="487" w:type="pct"/>
            <w:hideMark/>
          </w:tcPr>
          <w:p w:rsidR="006E4A01" w:rsidRPr="00DD5F0F" w:rsidP="006E4A01" w14:paraId="4F1C70B5" w14:textId="77777777">
            <w:pPr>
              <w:rPr>
                <w:rFonts w:ascii="Times New Roman" w:eastAsia="Times New Roman" w:hAnsi="Times New Roman" w:cs="Times New Roman"/>
                <w:sz w:val="18"/>
                <w:szCs w:val="18"/>
                <w:lang w:eastAsia="lv-LV"/>
              </w:rPr>
            </w:pPr>
          </w:p>
        </w:tc>
        <w:tc>
          <w:tcPr>
            <w:tcW w:w="636" w:type="pct"/>
          </w:tcPr>
          <w:p w:rsidR="006E4A01" w:rsidRPr="006E2E8B" w:rsidP="006E4A01" w14:paraId="111CAE2B" w14:textId="77777777">
            <w:pPr>
              <w:rPr>
                <w:rFonts w:ascii="Times New Roman" w:eastAsia="Times New Roman" w:hAnsi="Times New Roman" w:cs="Times New Roman"/>
                <w:sz w:val="18"/>
                <w:szCs w:val="18"/>
                <w:u w:val="single"/>
                <w:lang w:eastAsia="lv-LV"/>
              </w:rPr>
            </w:pPr>
          </w:p>
        </w:tc>
        <w:tc>
          <w:tcPr>
            <w:tcW w:w="979" w:type="pct"/>
            <w:hideMark/>
          </w:tcPr>
          <w:p w:rsidR="006E4A01" w:rsidRPr="006E2E8B" w:rsidP="006E4A01" w14:paraId="14525601" w14:textId="77777777">
            <w:pPr>
              <w:rPr>
                <w:rFonts w:ascii="Times New Roman" w:eastAsia="Times New Roman" w:hAnsi="Times New Roman" w:cs="Times New Roman"/>
                <w:sz w:val="18"/>
                <w:szCs w:val="18"/>
                <w:u w:val="single"/>
                <w:lang w:eastAsia="lv-LV"/>
              </w:rPr>
            </w:pPr>
          </w:p>
        </w:tc>
      </w:tr>
      <w:tr w14:paraId="337E01A8" w14:textId="77777777" w:rsidTr="008F0A7B">
        <w:tblPrEx>
          <w:tblW w:w="5714" w:type="pct"/>
          <w:tblCellSpacing w:w="20" w:type="dxa"/>
          <w:tblInd w:w="-717" w:type="dxa"/>
          <w:tblLayout w:type="fixed"/>
          <w:tblLook w:val="04A0"/>
        </w:tblPrEx>
        <w:trPr>
          <w:trHeight w:val="1700"/>
          <w:tblCellSpacing w:w="20" w:type="dxa"/>
        </w:trPr>
        <w:tc>
          <w:tcPr>
            <w:tcW w:w="588" w:type="pct"/>
            <w:hideMark/>
          </w:tcPr>
          <w:p w:rsidR="006E4A01" w:rsidRPr="00B21B25" w:rsidP="006E4A01" w14:paraId="41B267F0"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493" w:type="pct"/>
            <w:hideMark/>
          </w:tcPr>
          <w:p w:rsidR="006E4A01" w:rsidRPr="00483C23" w:rsidP="006E4A01" w14:paraId="744A3D4C" w14:textId="77777777">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595" w:type="pct"/>
            <w:hideMark/>
          </w:tcPr>
          <w:p w:rsidR="006E4A01" w:rsidRPr="00483C23" w:rsidP="006E4A01" w14:paraId="5F1E8804" w14:textId="77777777">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475" w:type="pct"/>
          </w:tcPr>
          <w:p w:rsidR="006E4A01" w:rsidRPr="00483C23" w:rsidP="006E4A01" w14:paraId="3154E196" w14:textId="77777777">
            <w:pPr>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0</w:t>
            </w:r>
          </w:p>
        </w:tc>
        <w:tc>
          <w:tcPr>
            <w:tcW w:w="575" w:type="pct"/>
          </w:tcPr>
          <w:p w:rsidR="006E4A01" w:rsidRPr="006E2E8B" w:rsidP="006E4A01" w14:paraId="205F130F" w14:textId="77777777">
            <w:pPr>
              <w:jc w:val="center"/>
              <w:rPr>
                <w:rFonts w:ascii="Times New Roman" w:hAnsi="Times New Roman" w:cs="Times New Roman"/>
                <w:b/>
                <w:bCs/>
                <w:sz w:val="18"/>
                <w:szCs w:val="18"/>
                <w:u w:val="single"/>
              </w:rPr>
            </w:pPr>
            <w:r>
              <w:rPr>
                <w:rFonts w:ascii="Times New Roman" w:hAnsi="Times New Roman" w:cs="Times New Roman"/>
                <w:b/>
                <w:bCs/>
                <w:sz w:val="18"/>
                <w:szCs w:val="18"/>
                <w:u w:val="single"/>
              </w:rPr>
              <w:t>5 437 810</w:t>
            </w:r>
          </w:p>
        </w:tc>
        <w:tc>
          <w:tcPr>
            <w:tcW w:w="487" w:type="pct"/>
          </w:tcPr>
          <w:p w:rsidR="006E4A01" w:rsidRPr="00DD5F0F" w:rsidP="006E4A01" w14:paraId="7A6AD893" w14:textId="77777777">
            <w:pPr>
              <w:jc w:val="center"/>
              <w:rPr>
                <w:rFonts w:ascii="Times New Roman" w:eastAsia="Times New Roman" w:hAnsi="Times New Roman" w:cs="Times New Roman"/>
                <w:b/>
                <w:sz w:val="18"/>
                <w:szCs w:val="18"/>
                <w:lang w:eastAsia="lv-LV"/>
              </w:rPr>
            </w:pPr>
            <w:r w:rsidRPr="00DD5F0F">
              <w:rPr>
                <w:rFonts w:ascii="Times New Roman" w:eastAsia="Times New Roman" w:hAnsi="Times New Roman" w:cs="Times New Roman"/>
                <w:b/>
                <w:sz w:val="18"/>
                <w:szCs w:val="18"/>
                <w:lang w:eastAsia="lv-LV"/>
              </w:rPr>
              <w:t>0</w:t>
            </w:r>
          </w:p>
        </w:tc>
        <w:tc>
          <w:tcPr>
            <w:tcW w:w="636" w:type="pct"/>
          </w:tcPr>
          <w:p w:rsidR="006E4A01" w:rsidRPr="006E2E8B" w:rsidP="006E4A01" w14:paraId="70036D18" w14:textId="77777777">
            <w:pPr>
              <w:jc w:val="center"/>
              <w:rPr>
                <w:rFonts w:ascii="Times New Roman" w:hAnsi="Times New Roman" w:cs="Times New Roman"/>
                <w:b/>
                <w:bCs/>
                <w:sz w:val="18"/>
                <w:szCs w:val="18"/>
                <w:u w:val="single"/>
              </w:rPr>
            </w:pPr>
            <w:r>
              <w:rPr>
                <w:rFonts w:ascii="Times New Roman" w:hAnsi="Times New Roman" w:cs="Times New Roman"/>
                <w:b/>
                <w:bCs/>
                <w:sz w:val="18"/>
                <w:szCs w:val="18"/>
                <w:u w:val="single"/>
              </w:rPr>
              <w:t>5 437 810</w:t>
            </w:r>
          </w:p>
        </w:tc>
        <w:tc>
          <w:tcPr>
            <w:tcW w:w="979" w:type="pct"/>
          </w:tcPr>
          <w:p w:rsidR="006E4A01" w:rsidRPr="006E2E8B" w:rsidP="006E4A01" w14:paraId="4E7D2EEC" w14:textId="77777777">
            <w:pPr>
              <w:jc w:val="center"/>
              <w:rPr>
                <w:rFonts w:ascii="Times New Roman" w:eastAsia="Times New Roman" w:hAnsi="Times New Roman" w:cs="Times New Roman"/>
                <w:sz w:val="18"/>
                <w:szCs w:val="18"/>
                <w:u w:val="single"/>
                <w:lang w:eastAsia="lv-LV"/>
              </w:rPr>
            </w:pPr>
            <w:r>
              <w:rPr>
                <w:rFonts w:ascii="Times New Roman" w:hAnsi="Times New Roman" w:cs="Times New Roman"/>
                <w:b/>
                <w:bCs/>
                <w:sz w:val="18"/>
                <w:szCs w:val="18"/>
                <w:u w:val="single"/>
              </w:rPr>
              <w:t>5 437 810</w:t>
            </w:r>
          </w:p>
        </w:tc>
      </w:tr>
      <w:tr w14:paraId="4055ACDD"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04124F6B"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5. Precizēta finansiālā ietekme</w:t>
            </w:r>
          </w:p>
        </w:tc>
        <w:tc>
          <w:tcPr>
            <w:tcW w:w="493" w:type="pct"/>
            <w:vMerge w:val="restart"/>
            <w:hideMark/>
          </w:tcPr>
          <w:p w:rsidR="006D6911" w:rsidRPr="00483C23" w:rsidP="00AF7C22" w14:paraId="4D7D76FD" w14:textId="77777777">
            <w:pPr>
              <w:spacing w:before="100" w:beforeAutospacing="1" w:after="100" w:afterAutospacing="1" w:line="293" w:lineRule="atLeast"/>
              <w:jc w:val="center"/>
              <w:rPr>
                <w:rFonts w:ascii="Times New Roman" w:eastAsia="Times New Roman" w:hAnsi="Times New Roman" w:cs="Times New Roman"/>
                <w:sz w:val="18"/>
                <w:szCs w:val="18"/>
                <w:lang w:eastAsia="lv-LV"/>
              </w:rPr>
            </w:pPr>
          </w:p>
        </w:tc>
        <w:tc>
          <w:tcPr>
            <w:tcW w:w="595" w:type="pct"/>
            <w:hideMark/>
          </w:tcPr>
          <w:p w:rsidR="006D6911" w:rsidRPr="00483C23" w:rsidP="00AF7C22" w14:paraId="614AADD0" w14:textId="77777777">
            <w:pPr>
              <w:rPr>
                <w:rFonts w:ascii="Times New Roman" w:eastAsia="Times New Roman" w:hAnsi="Times New Roman" w:cs="Times New Roman"/>
                <w:sz w:val="18"/>
                <w:szCs w:val="18"/>
                <w:lang w:eastAsia="lv-LV"/>
              </w:rPr>
            </w:pPr>
          </w:p>
        </w:tc>
        <w:tc>
          <w:tcPr>
            <w:tcW w:w="475" w:type="pct"/>
            <w:hideMark/>
          </w:tcPr>
          <w:p w:rsidR="006D6911" w:rsidRPr="00483C23" w:rsidP="00AF7C22" w14:paraId="08FADF9B" w14:textId="77777777">
            <w:pPr>
              <w:rPr>
                <w:rFonts w:ascii="Times New Roman" w:eastAsia="Times New Roman" w:hAnsi="Times New Roman" w:cs="Times New Roman"/>
                <w:sz w:val="18"/>
                <w:szCs w:val="18"/>
                <w:lang w:eastAsia="lv-LV"/>
              </w:rPr>
            </w:pPr>
          </w:p>
        </w:tc>
        <w:tc>
          <w:tcPr>
            <w:tcW w:w="575" w:type="pct"/>
          </w:tcPr>
          <w:p w:rsidR="006D6911" w:rsidRPr="00483C23" w:rsidP="00AF7C22" w14:paraId="1B60E506" w14:textId="77777777">
            <w:pPr>
              <w:rPr>
                <w:rFonts w:ascii="Times New Roman" w:eastAsia="Times New Roman" w:hAnsi="Times New Roman" w:cs="Times New Roman"/>
                <w:sz w:val="18"/>
                <w:szCs w:val="18"/>
                <w:lang w:eastAsia="lv-LV"/>
              </w:rPr>
            </w:pPr>
          </w:p>
        </w:tc>
        <w:tc>
          <w:tcPr>
            <w:tcW w:w="487" w:type="pct"/>
            <w:hideMark/>
          </w:tcPr>
          <w:p w:rsidR="006D6911" w:rsidRPr="00483C23" w:rsidP="00AF7C22" w14:paraId="6F3ED4FE" w14:textId="77777777">
            <w:pPr>
              <w:rPr>
                <w:rFonts w:ascii="Times New Roman" w:eastAsia="Times New Roman" w:hAnsi="Times New Roman" w:cs="Times New Roman"/>
                <w:sz w:val="18"/>
                <w:szCs w:val="18"/>
                <w:lang w:eastAsia="lv-LV"/>
              </w:rPr>
            </w:pPr>
          </w:p>
        </w:tc>
        <w:tc>
          <w:tcPr>
            <w:tcW w:w="636" w:type="pct"/>
          </w:tcPr>
          <w:p w:rsidR="006D6911" w:rsidRPr="00483C23" w:rsidP="00AF7C22" w14:paraId="587E0EDB" w14:textId="77777777">
            <w:pPr>
              <w:rPr>
                <w:rFonts w:ascii="Times New Roman" w:eastAsia="Times New Roman" w:hAnsi="Times New Roman" w:cs="Times New Roman"/>
                <w:sz w:val="18"/>
                <w:szCs w:val="18"/>
                <w:lang w:eastAsia="lv-LV"/>
              </w:rPr>
            </w:pPr>
          </w:p>
        </w:tc>
        <w:tc>
          <w:tcPr>
            <w:tcW w:w="979" w:type="pct"/>
            <w:hideMark/>
          </w:tcPr>
          <w:p w:rsidR="006D6911" w:rsidRPr="00483C23" w:rsidP="00AF7C22" w14:paraId="770CC7B0" w14:textId="77777777">
            <w:pPr>
              <w:rPr>
                <w:rFonts w:ascii="Times New Roman" w:eastAsia="Times New Roman" w:hAnsi="Times New Roman" w:cs="Times New Roman"/>
                <w:sz w:val="18"/>
                <w:szCs w:val="18"/>
                <w:lang w:eastAsia="lv-LV"/>
              </w:rPr>
            </w:pPr>
            <w:r w:rsidRPr="00483C23">
              <w:rPr>
                <w:rFonts w:ascii="Times New Roman" w:eastAsia="Times New Roman" w:hAnsi="Times New Roman" w:cs="Times New Roman"/>
                <w:sz w:val="18"/>
                <w:szCs w:val="18"/>
                <w:lang w:eastAsia="lv-LV"/>
              </w:rPr>
              <w:t> </w:t>
            </w:r>
          </w:p>
        </w:tc>
      </w:tr>
      <w:tr w14:paraId="18956FC9"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31D572ED"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5.1. valsts pamatbudžets</w:t>
            </w:r>
          </w:p>
        </w:tc>
        <w:tc>
          <w:tcPr>
            <w:tcW w:w="493" w:type="pct"/>
            <w:vMerge/>
            <w:hideMark/>
          </w:tcPr>
          <w:p w:rsidR="006D6911" w:rsidRPr="00483C23" w:rsidP="00AF7C22" w14:paraId="64A6C35D" w14:textId="77777777">
            <w:pPr>
              <w:rPr>
                <w:rFonts w:ascii="Times New Roman" w:eastAsia="Times New Roman" w:hAnsi="Times New Roman" w:cs="Times New Roman"/>
                <w:sz w:val="18"/>
                <w:szCs w:val="18"/>
                <w:lang w:eastAsia="lv-LV"/>
              </w:rPr>
            </w:pPr>
          </w:p>
        </w:tc>
        <w:tc>
          <w:tcPr>
            <w:tcW w:w="595" w:type="pct"/>
            <w:hideMark/>
          </w:tcPr>
          <w:p w:rsidR="006D6911" w:rsidRPr="00483C23" w:rsidP="00AF7C22" w14:paraId="6CA1BBBF" w14:textId="77777777">
            <w:pPr>
              <w:rPr>
                <w:rFonts w:ascii="Times New Roman" w:eastAsia="Times New Roman" w:hAnsi="Times New Roman" w:cs="Times New Roman"/>
                <w:sz w:val="18"/>
                <w:szCs w:val="18"/>
                <w:lang w:eastAsia="lv-LV"/>
              </w:rPr>
            </w:pPr>
          </w:p>
        </w:tc>
        <w:tc>
          <w:tcPr>
            <w:tcW w:w="475" w:type="pct"/>
            <w:hideMark/>
          </w:tcPr>
          <w:p w:rsidR="006D6911" w:rsidRPr="00483C23" w:rsidP="00AF7C22" w14:paraId="13AC7CFC" w14:textId="77777777">
            <w:pPr>
              <w:rPr>
                <w:rFonts w:ascii="Times New Roman" w:eastAsia="Times New Roman" w:hAnsi="Times New Roman" w:cs="Times New Roman"/>
                <w:sz w:val="18"/>
                <w:szCs w:val="18"/>
                <w:lang w:eastAsia="lv-LV"/>
              </w:rPr>
            </w:pPr>
          </w:p>
        </w:tc>
        <w:tc>
          <w:tcPr>
            <w:tcW w:w="575" w:type="pct"/>
          </w:tcPr>
          <w:p w:rsidR="006D6911" w:rsidRPr="00483C23" w:rsidP="00AF7C22" w14:paraId="5B4386EB" w14:textId="77777777">
            <w:pPr>
              <w:rPr>
                <w:rFonts w:ascii="Times New Roman" w:eastAsia="Times New Roman" w:hAnsi="Times New Roman" w:cs="Times New Roman"/>
                <w:sz w:val="18"/>
                <w:szCs w:val="18"/>
                <w:lang w:eastAsia="lv-LV"/>
              </w:rPr>
            </w:pPr>
          </w:p>
        </w:tc>
        <w:tc>
          <w:tcPr>
            <w:tcW w:w="487" w:type="pct"/>
            <w:hideMark/>
          </w:tcPr>
          <w:p w:rsidR="006D6911" w:rsidRPr="00483C23" w:rsidP="00AF7C22" w14:paraId="489BC820" w14:textId="77777777">
            <w:pPr>
              <w:rPr>
                <w:rFonts w:ascii="Times New Roman" w:eastAsia="Times New Roman" w:hAnsi="Times New Roman" w:cs="Times New Roman"/>
                <w:sz w:val="18"/>
                <w:szCs w:val="18"/>
                <w:lang w:eastAsia="lv-LV"/>
              </w:rPr>
            </w:pPr>
          </w:p>
        </w:tc>
        <w:tc>
          <w:tcPr>
            <w:tcW w:w="636" w:type="pct"/>
          </w:tcPr>
          <w:p w:rsidR="006D6911" w:rsidRPr="00483C23" w:rsidP="00AF7C22" w14:paraId="1B595CE7" w14:textId="77777777">
            <w:pPr>
              <w:rPr>
                <w:rFonts w:ascii="Times New Roman" w:eastAsia="Times New Roman" w:hAnsi="Times New Roman" w:cs="Times New Roman"/>
                <w:sz w:val="18"/>
                <w:szCs w:val="18"/>
                <w:lang w:eastAsia="lv-LV"/>
              </w:rPr>
            </w:pPr>
          </w:p>
        </w:tc>
        <w:tc>
          <w:tcPr>
            <w:tcW w:w="979" w:type="pct"/>
            <w:hideMark/>
          </w:tcPr>
          <w:p w:rsidR="006D6911" w:rsidRPr="00483C23" w:rsidP="00AF7C22" w14:paraId="4E4DC543" w14:textId="77777777">
            <w:pPr>
              <w:rPr>
                <w:rFonts w:ascii="Times New Roman" w:eastAsia="Times New Roman" w:hAnsi="Times New Roman" w:cs="Times New Roman"/>
                <w:sz w:val="18"/>
                <w:szCs w:val="18"/>
                <w:lang w:eastAsia="lv-LV"/>
              </w:rPr>
            </w:pPr>
            <w:r w:rsidRPr="00483C23">
              <w:rPr>
                <w:rFonts w:ascii="Times New Roman" w:eastAsia="Times New Roman" w:hAnsi="Times New Roman" w:cs="Times New Roman"/>
                <w:sz w:val="18"/>
                <w:szCs w:val="18"/>
                <w:lang w:eastAsia="lv-LV"/>
              </w:rPr>
              <w:t> </w:t>
            </w:r>
          </w:p>
        </w:tc>
      </w:tr>
      <w:tr w14:paraId="005459E9"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37EE40B2"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5.2. speciālais budžets</w:t>
            </w:r>
          </w:p>
        </w:tc>
        <w:tc>
          <w:tcPr>
            <w:tcW w:w="493" w:type="pct"/>
            <w:vMerge/>
            <w:hideMark/>
          </w:tcPr>
          <w:p w:rsidR="006D6911" w:rsidRPr="00B21B25" w:rsidP="00AF7C22" w14:paraId="4A34BBDD" w14:textId="77777777">
            <w:pPr>
              <w:rPr>
                <w:rFonts w:ascii="Times New Roman" w:eastAsia="Times New Roman" w:hAnsi="Times New Roman" w:cs="Times New Roman"/>
                <w:sz w:val="20"/>
                <w:szCs w:val="20"/>
                <w:lang w:eastAsia="lv-LV"/>
              </w:rPr>
            </w:pPr>
          </w:p>
        </w:tc>
        <w:tc>
          <w:tcPr>
            <w:tcW w:w="595" w:type="pct"/>
            <w:hideMark/>
          </w:tcPr>
          <w:p w:rsidR="006D6911" w:rsidRPr="00B21B25" w:rsidP="00AF7C22" w14:paraId="6417E6E6" w14:textId="77777777">
            <w:pPr>
              <w:rPr>
                <w:rFonts w:ascii="Times New Roman" w:eastAsia="Times New Roman" w:hAnsi="Times New Roman" w:cs="Times New Roman"/>
                <w:sz w:val="20"/>
                <w:szCs w:val="20"/>
                <w:lang w:eastAsia="lv-LV"/>
              </w:rPr>
            </w:pPr>
          </w:p>
        </w:tc>
        <w:tc>
          <w:tcPr>
            <w:tcW w:w="475" w:type="pct"/>
            <w:hideMark/>
          </w:tcPr>
          <w:p w:rsidR="006D6911" w:rsidRPr="00B21B25" w:rsidP="00AF7C22" w14:paraId="0401E8B0" w14:textId="77777777">
            <w:pPr>
              <w:rPr>
                <w:rFonts w:ascii="Times New Roman" w:eastAsia="Times New Roman" w:hAnsi="Times New Roman" w:cs="Times New Roman"/>
                <w:sz w:val="20"/>
                <w:szCs w:val="20"/>
                <w:lang w:eastAsia="lv-LV"/>
              </w:rPr>
            </w:pPr>
          </w:p>
        </w:tc>
        <w:tc>
          <w:tcPr>
            <w:tcW w:w="575" w:type="pct"/>
          </w:tcPr>
          <w:p w:rsidR="006D6911" w:rsidRPr="00B21B25" w:rsidP="00AF7C22" w14:paraId="58486753" w14:textId="77777777">
            <w:pPr>
              <w:rPr>
                <w:rFonts w:ascii="Times New Roman" w:eastAsia="Times New Roman" w:hAnsi="Times New Roman" w:cs="Times New Roman"/>
                <w:sz w:val="20"/>
                <w:szCs w:val="20"/>
                <w:lang w:eastAsia="lv-LV"/>
              </w:rPr>
            </w:pPr>
          </w:p>
        </w:tc>
        <w:tc>
          <w:tcPr>
            <w:tcW w:w="487" w:type="pct"/>
            <w:hideMark/>
          </w:tcPr>
          <w:p w:rsidR="006D6911" w:rsidRPr="00B21B25" w:rsidP="00AF7C22" w14:paraId="6CB0CE9D" w14:textId="77777777">
            <w:pPr>
              <w:rPr>
                <w:rFonts w:ascii="Times New Roman" w:eastAsia="Times New Roman" w:hAnsi="Times New Roman" w:cs="Times New Roman"/>
                <w:sz w:val="20"/>
                <w:szCs w:val="20"/>
                <w:lang w:eastAsia="lv-LV"/>
              </w:rPr>
            </w:pPr>
          </w:p>
        </w:tc>
        <w:tc>
          <w:tcPr>
            <w:tcW w:w="636" w:type="pct"/>
          </w:tcPr>
          <w:p w:rsidR="006D6911" w:rsidRPr="00B21B25" w:rsidP="00AF7C22" w14:paraId="55F359B7" w14:textId="77777777">
            <w:pPr>
              <w:rPr>
                <w:rFonts w:ascii="Times New Roman" w:eastAsia="Times New Roman" w:hAnsi="Times New Roman" w:cs="Times New Roman"/>
                <w:sz w:val="20"/>
                <w:szCs w:val="20"/>
                <w:lang w:eastAsia="lv-LV"/>
              </w:rPr>
            </w:pPr>
          </w:p>
        </w:tc>
        <w:tc>
          <w:tcPr>
            <w:tcW w:w="979" w:type="pct"/>
            <w:hideMark/>
          </w:tcPr>
          <w:p w:rsidR="006D6911" w:rsidRPr="00B21B25" w:rsidP="00AF7C22" w14:paraId="73C5A4E8"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 </w:t>
            </w:r>
          </w:p>
        </w:tc>
      </w:tr>
      <w:tr w14:paraId="242B826A"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3F09FC69"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5.3. pašvaldību budžets</w:t>
            </w:r>
          </w:p>
        </w:tc>
        <w:tc>
          <w:tcPr>
            <w:tcW w:w="493" w:type="pct"/>
            <w:vMerge/>
            <w:hideMark/>
          </w:tcPr>
          <w:p w:rsidR="006D6911" w:rsidRPr="00B21B25" w:rsidP="00AF7C22" w14:paraId="7D252DE5" w14:textId="77777777">
            <w:pPr>
              <w:rPr>
                <w:rFonts w:ascii="Times New Roman" w:eastAsia="Times New Roman" w:hAnsi="Times New Roman" w:cs="Times New Roman"/>
                <w:sz w:val="20"/>
                <w:szCs w:val="20"/>
                <w:lang w:eastAsia="lv-LV"/>
              </w:rPr>
            </w:pPr>
          </w:p>
        </w:tc>
        <w:tc>
          <w:tcPr>
            <w:tcW w:w="595" w:type="pct"/>
            <w:hideMark/>
          </w:tcPr>
          <w:p w:rsidR="006D6911" w:rsidRPr="00B21B25" w:rsidP="00AF7C22" w14:paraId="165EAC0C" w14:textId="77777777">
            <w:pPr>
              <w:rPr>
                <w:rFonts w:ascii="Times New Roman" w:eastAsia="Times New Roman" w:hAnsi="Times New Roman" w:cs="Times New Roman"/>
                <w:sz w:val="20"/>
                <w:szCs w:val="20"/>
                <w:lang w:eastAsia="lv-LV"/>
              </w:rPr>
            </w:pPr>
          </w:p>
        </w:tc>
        <w:tc>
          <w:tcPr>
            <w:tcW w:w="475" w:type="pct"/>
            <w:hideMark/>
          </w:tcPr>
          <w:p w:rsidR="006D6911" w:rsidRPr="00B21B25" w:rsidP="00AF7C22" w14:paraId="48FAF398" w14:textId="77777777">
            <w:pPr>
              <w:rPr>
                <w:rFonts w:ascii="Times New Roman" w:eastAsia="Times New Roman" w:hAnsi="Times New Roman" w:cs="Times New Roman"/>
                <w:sz w:val="20"/>
                <w:szCs w:val="20"/>
                <w:lang w:eastAsia="lv-LV"/>
              </w:rPr>
            </w:pPr>
          </w:p>
        </w:tc>
        <w:tc>
          <w:tcPr>
            <w:tcW w:w="575" w:type="pct"/>
          </w:tcPr>
          <w:p w:rsidR="006D6911" w:rsidRPr="00B21B25" w:rsidP="00AF7C22" w14:paraId="5E5FE0A3" w14:textId="77777777">
            <w:pPr>
              <w:rPr>
                <w:rFonts w:ascii="Times New Roman" w:eastAsia="Times New Roman" w:hAnsi="Times New Roman" w:cs="Times New Roman"/>
                <w:sz w:val="20"/>
                <w:szCs w:val="20"/>
                <w:lang w:eastAsia="lv-LV"/>
              </w:rPr>
            </w:pPr>
          </w:p>
        </w:tc>
        <w:tc>
          <w:tcPr>
            <w:tcW w:w="487" w:type="pct"/>
            <w:hideMark/>
          </w:tcPr>
          <w:p w:rsidR="006D6911" w:rsidRPr="00B21B25" w:rsidP="00AF7C22" w14:paraId="1F39C5ED" w14:textId="77777777">
            <w:pPr>
              <w:rPr>
                <w:rFonts w:ascii="Times New Roman" w:eastAsia="Times New Roman" w:hAnsi="Times New Roman" w:cs="Times New Roman"/>
                <w:sz w:val="20"/>
                <w:szCs w:val="20"/>
                <w:lang w:eastAsia="lv-LV"/>
              </w:rPr>
            </w:pPr>
          </w:p>
        </w:tc>
        <w:tc>
          <w:tcPr>
            <w:tcW w:w="636" w:type="pct"/>
          </w:tcPr>
          <w:p w:rsidR="006D6911" w:rsidRPr="00B21B25" w:rsidP="00AF7C22" w14:paraId="066AE07B" w14:textId="77777777">
            <w:pPr>
              <w:rPr>
                <w:rFonts w:ascii="Times New Roman" w:eastAsia="Times New Roman" w:hAnsi="Times New Roman" w:cs="Times New Roman"/>
                <w:sz w:val="20"/>
                <w:szCs w:val="20"/>
                <w:lang w:eastAsia="lv-LV"/>
              </w:rPr>
            </w:pPr>
          </w:p>
        </w:tc>
        <w:tc>
          <w:tcPr>
            <w:tcW w:w="979" w:type="pct"/>
            <w:hideMark/>
          </w:tcPr>
          <w:p w:rsidR="006D6911" w:rsidRPr="00B21B25" w:rsidP="00AF7C22" w14:paraId="4D3277D2"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 </w:t>
            </w:r>
          </w:p>
        </w:tc>
      </w:tr>
      <w:tr w14:paraId="578E13A3"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3436EF28"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4354" w:type="pct"/>
            <w:gridSpan w:val="7"/>
            <w:vMerge w:val="restart"/>
          </w:tcPr>
          <w:p w:rsidR="006E4A01" w:rsidP="004C0C49" w14:paraId="3A81926B" w14:textId="77777777">
            <w:pPr>
              <w:widowControl w:val="0"/>
              <w:ind w:right="267" w:firstLine="298"/>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2018.gadā finansējums tiks piešķirts</w:t>
            </w:r>
            <w:r w:rsidRPr="00483C23">
              <w:rPr>
                <w:rFonts w:ascii="Times New Roman" w:eastAsia="Times New Roman" w:hAnsi="Times New Roman" w:cs="Times New Roman"/>
                <w:noProof/>
                <w:lang w:eastAsia="lv-LV"/>
              </w:rPr>
              <w:t xml:space="preserve"> atbilstoši</w:t>
            </w:r>
            <w:r>
              <w:rPr>
                <w:rFonts w:ascii="Times New Roman" w:eastAsia="Times New Roman" w:hAnsi="Times New Roman" w:cs="Times New Roman"/>
                <w:noProof/>
                <w:lang w:eastAsia="lv-LV"/>
              </w:rPr>
              <w:t xml:space="preserve"> Finanšu ministrijas 05.01.2018. rīkojuma</w:t>
            </w:r>
            <w:r w:rsidRPr="00483C23">
              <w:rPr>
                <w:rFonts w:ascii="Times New Roman" w:eastAsia="Times New Roman" w:hAnsi="Times New Roman" w:cs="Times New Roman"/>
                <w:noProof/>
                <w:lang w:eastAsia="lv-LV"/>
              </w:rPr>
              <w:t xml:space="preserve"> Nr.7</w:t>
            </w:r>
            <w:r>
              <w:rPr>
                <w:rFonts w:ascii="Times New Roman" w:eastAsia="Times New Roman" w:hAnsi="Times New Roman" w:cs="Times New Roman"/>
                <w:noProof/>
                <w:lang w:eastAsia="lv-LV"/>
              </w:rPr>
              <w:t xml:space="preserve"> “Par apropriācijas pārdali” 1.1.3. apakšpunktam 33.18.00 “Plānveida stacionāro veselības aprūpes pakalpojumu nodrošināšana” 16 449 110 euro apmērā, tai skaitā 10 995 930, lai nodrošinātu hronisko pacientu veselības aprūpes pakalpojumu pieejamību.</w:t>
            </w:r>
          </w:p>
          <w:p w:rsidR="006E4A01" w:rsidP="006E4A01" w14:paraId="17DAF840" w14:textId="77777777">
            <w:pPr>
              <w:shd w:val="clear" w:color="auto" w:fill="FFFFFF"/>
              <w:jc w:val="both"/>
              <w:rPr>
                <w:rFonts w:ascii="Times New Roman" w:eastAsia="Times New Roman" w:hAnsi="Times New Roman" w:cs="Times New Roman"/>
                <w:noProof/>
                <w:sz w:val="20"/>
                <w:szCs w:val="20"/>
                <w:lang w:bidi="gu-IN"/>
              </w:rPr>
            </w:pPr>
          </w:p>
          <w:p w:rsidR="006D6911" w:rsidP="006E4A01" w14:paraId="46727FDF" w14:textId="77777777">
            <w:pPr>
              <w:spacing w:after="80"/>
              <w:ind w:firstLine="213"/>
              <w:jc w:val="both"/>
              <w:rPr>
                <w:rFonts w:ascii="Times New Roman" w:hAnsi="Times New Roman" w:cs="Times New Roman"/>
              </w:rPr>
            </w:pPr>
            <w:r w:rsidRPr="00FD5C39">
              <w:rPr>
                <w:rFonts w:ascii="Times New Roman" w:eastAsia="Times New Roman" w:hAnsi="Times New Roman" w:cs="Times New Roman"/>
                <w:shd w:val="clear" w:color="auto" w:fill="FFFFFF"/>
                <w:lang w:eastAsia="lv-LV" w:bidi="lv-LV"/>
              </w:rPr>
              <w:t>Ministru</w:t>
            </w:r>
            <w:r w:rsidRPr="00113E48">
              <w:rPr>
                <w:rFonts w:ascii="Times New Roman" w:eastAsia="Times New Roman" w:hAnsi="Times New Roman" w:cs="Times New Roman"/>
                <w:shd w:val="clear" w:color="auto" w:fill="FFFFFF"/>
                <w:lang w:eastAsia="lv-LV" w:bidi="lv-LV"/>
              </w:rPr>
              <w:t xml:space="preserve"> kabineta </w:t>
            </w:r>
            <w:r w:rsidRPr="00FD5C39" w:rsidR="006E4A01">
              <w:rPr>
                <w:rFonts w:ascii="Times New Roman" w:eastAsia="Times New Roman" w:hAnsi="Times New Roman" w:cs="Times New Roman"/>
                <w:shd w:val="clear" w:color="auto" w:fill="FFFFFF"/>
                <w:lang w:eastAsia="lv-LV" w:bidi="lv-LV"/>
              </w:rPr>
              <w:t>2017.gada</w:t>
            </w:r>
            <w:r w:rsidR="006E4A01">
              <w:rPr>
                <w:rFonts w:ascii="Times New Roman" w:eastAsia="Times New Roman" w:hAnsi="Times New Roman" w:cs="Times New Roman"/>
                <w:shd w:val="clear" w:color="auto" w:fill="FFFFFF"/>
                <w:lang w:eastAsia="lv-LV" w:bidi="lv-LV"/>
              </w:rPr>
              <w:t xml:space="preserve"> 19.decembra</w:t>
            </w:r>
            <w:r w:rsidRPr="00FD5C39" w:rsidR="006E4A01">
              <w:rPr>
                <w:rFonts w:ascii="Times New Roman" w:eastAsia="Times New Roman" w:hAnsi="Times New Roman" w:cs="Times New Roman"/>
                <w:shd w:val="clear" w:color="auto" w:fill="FFFFFF"/>
                <w:lang w:eastAsia="lv-LV" w:bidi="lv-LV"/>
              </w:rPr>
              <w:t xml:space="preserve"> </w:t>
            </w:r>
            <w:r w:rsidRPr="00113E48" w:rsidR="006E4A01">
              <w:rPr>
                <w:rFonts w:ascii="Times New Roman" w:eastAsia="Times New Roman" w:hAnsi="Times New Roman" w:cs="Times New Roman"/>
                <w:shd w:val="clear" w:color="auto" w:fill="FFFFFF"/>
                <w:lang w:eastAsia="lv-LV" w:bidi="lv-LV"/>
              </w:rPr>
              <w:t>sēdē</w:t>
            </w:r>
            <w:r w:rsidR="006E4A01">
              <w:rPr>
                <w:rFonts w:ascii="Times New Roman" w:eastAsia="Times New Roman" w:hAnsi="Times New Roman" w:cs="Times New Roman"/>
                <w:shd w:val="clear" w:color="auto" w:fill="FFFFFF"/>
                <w:lang w:eastAsia="lv-LV" w:bidi="lv-LV"/>
              </w:rPr>
              <w:t xml:space="preserve"> (protokols Nr.66, 66</w:t>
            </w:r>
            <w:r w:rsidRPr="00D44F20" w:rsidR="006E4A01">
              <w:rPr>
                <w:rFonts w:ascii="Times New Roman" w:eastAsia="Times New Roman" w:hAnsi="Times New Roman" w:cs="Times New Roman"/>
                <w:shd w:val="clear" w:color="auto" w:fill="FFFFFF"/>
                <w:lang w:eastAsia="lv-LV" w:bidi="lv-LV"/>
              </w:rPr>
              <w:t>.§</w:t>
            </w:r>
            <w:r w:rsidR="006E4A01">
              <w:rPr>
                <w:rFonts w:ascii="Times New Roman" w:eastAsia="Times New Roman" w:hAnsi="Times New Roman" w:cs="Times New Roman"/>
                <w:shd w:val="clear" w:color="auto" w:fill="FFFFFF"/>
                <w:lang w:eastAsia="lv-LV" w:bidi="lv-LV"/>
              </w:rPr>
              <w:t>) tika pieņemts zināšanai</w:t>
            </w:r>
            <w:r w:rsidRPr="00113E48" w:rsidR="006E4A01">
              <w:rPr>
                <w:rFonts w:ascii="Times New Roman" w:eastAsia="Times New Roman" w:hAnsi="Times New Roman" w:cs="Times New Roman"/>
                <w:shd w:val="clear" w:color="auto" w:fill="FFFFFF"/>
                <w:lang w:eastAsia="lv-LV" w:bidi="lv-LV"/>
              </w:rPr>
              <w:t xml:space="preserve"> informatīvais ziņojums “Par veselības reformu pasākumu īstenošanu 2018.gadā”</w:t>
            </w:r>
            <w:r w:rsidR="006E4A01">
              <w:rPr>
                <w:rFonts w:ascii="Times New Roman" w:eastAsia="Times New Roman" w:hAnsi="Times New Roman" w:cs="Times New Roman"/>
                <w:shd w:val="clear" w:color="auto" w:fill="FFFFFF"/>
                <w:lang w:eastAsia="lv-LV" w:bidi="lv-LV"/>
              </w:rPr>
              <w:t xml:space="preserve"> (turpmāk – informatīvais ziņojums)</w:t>
            </w:r>
            <w:r w:rsidRPr="00113E48" w:rsidR="006E4A01">
              <w:rPr>
                <w:rFonts w:ascii="Times New Roman" w:eastAsia="Times New Roman" w:hAnsi="Times New Roman" w:cs="Times New Roman"/>
                <w:shd w:val="clear" w:color="auto" w:fill="FFFFFF"/>
                <w:lang w:eastAsia="lv-LV" w:bidi="lv-LV"/>
              </w:rPr>
              <w:t xml:space="preserve">. </w:t>
            </w:r>
            <w:r w:rsidRPr="00113E48" w:rsidR="006E4A01">
              <w:rPr>
                <w:rFonts w:ascii="Times New Roman" w:hAnsi="Times New Roman" w:cs="Times New Roman"/>
              </w:rPr>
              <w:t xml:space="preserve">Informatīvais </w:t>
            </w:r>
            <w:r w:rsidR="006E4A01">
              <w:rPr>
                <w:rFonts w:ascii="Times New Roman" w:hAnsi="Times New Roman" w:cs="Times New Roman"/>
              </w:rPr>
              <w:t>ziņojums tika</w:t>
            </w:r>
            <w:r w:rsidRPr="00113E48" w:rsidR="006E4A01">
              <w:rPr>
                <w:rFonts w:ascii="Times New Roman" w:hAnsi="Times New Roman" w:cs="Times New Roman"/>
              </w:rPr>
              <w:t xml:space="preserve"> sagatavots atbilstoši likuma “Par valsts budžetu 2018. gadam” 54.pantā noteiktajam, ka veselības aprūpes finansēšanai budžeta resora “74. Gadskārtējā valsts budžeta izpildes pro</w:t>
            </w:r>
            <w:r w:rsidR="006E4A01">
              <w:rPr>
                <w:rFonts w:ascii="Times New Roman" w:hAnsi="Times New Roman" w:cs="Times New Roman"/>
              </w:rPr>
              <w:t>cesā pārdalāmais finansējums” 08</w:t>
            </w:r>
            <w:r w:rsidRPr="00113E48" w:rsidR="006E4A01">
              <w:rPr>
                <w:rFonts w:ascii="Times New Roman" w:hAnsi="Times New Roman" w:cs="Times New Roman"/>
              </w:rPr>
              <w:t xml:space="preserve">.00.00 programmā “Veselības aprūpes sistēmas reformas ieviešanas finansējums” rezervēto finansējumu 113 400 000 </w:t>
            </w:r>
            <w:r w:rsidRPr="00113E48" w:rsidR="006E4A01">
              <w:rPr>
                <w:rFonts w:ascii="Times New Roman" w:hAnsi="Times New Roman" w:cs="Times New Roman"/>
                <w:i/>
              </w:rPr>
              <w:t>euro</w:t>
            </w:r>
            <w:r w:rsidRPr="00113E48" w:rsidR="006E4A01">
              <w:rPr>
                <w:rFonts w:ascii="Times New Roman" w:hAnsi="Times New Roman" w:cs="Times New Roman"/>
              </w:rPr>
              <w:t xml:space="preserve"> apmērā finanšu ministrs pārdala Veselības ministrijai pēc tam, kad Ministru kabinets ir apstiprinājis finansējumu veselības aprūpes sistēmas reformas pasākumu īstenošanai 2018. gadā. </w:t>
            </w:r>
            <w:r w:rsidR="006E4A01">
              <w:rPr>
                <w:rFonts w:ascii="Times New Roman" w:hAnsi="Times New Roman" w:cs="Times New Roman"/>
              </w:rPr>
              <w:t xml:space="preserve">No iepriekšminētā finansējuma 10 995 930 </w:t>
            </w:r>
            <w:r w:rsidRPr="00EF738E" w:rsidR="006E4A01">
              <w:rPr>
                <w:rFonts w:ascii="Times New Roman" w:hAnsi="Times New Roman" w:cs="Times New Roman"/>
                <w:i/>
              </w:rPr>
              <w:t>euro</w:t>
            </w:r>
            <w:r w:rsidR="006E4A01">
              <w:rPr>
                <w:rFonts w:ascii="Times New Roman" w:hAnsi="Times New Roman" w:cs="Times New Roman"/>
              </w:rPr>
              <w:t xml:space="preserve"> apmērā tika atļauts izmantot </w:t>
            </w:r>
            <w:r w:rsidRPr="00113E48" w:rsidR="006E4A01">
              <w:rPr>
                <w:rFonts w:ascii="Times New Roman" w:hAnsi="Times New Roman" w:cs="Times New Roman"/>
              </w:rPr>
              <w:t>hronisko pacientu aprūpes reformai</w:t>
            </w:r>
            <w:r w:rsidR="006E4A01">
              <w:rPr>
                <w:rFonts w:ascii="Times New Roman" w:hAnsi="Times New Roman" w:cs="Times New Roman"/>
              </w:rPr>
              <w:t>.</w:t>
            </w:r>
          </w:p>
          <w:p w:rsidR="006E4A01" w:rsidP="006E4A01" w14:paraId="31A078F0" w14:textId="77777777">
            <w:pPr>
              <w:spacing w:after="80"/>
              <w:ind w:firstLine="213"/>
              <w:jc w:val="both"/>
              <w:rPr>
                <w:rFonts w:ascii="Times New Roman" w:hAnsi="Times New Roman" w:cs="Times New Roman"/>
              </w:rPr>
            </w:pPr>
          </w:p>
          <w:p w:rsidR="006D6911" w:rsidRPr="00A114CF" w:rsidP="00AF7C22" w14:paraId="744C4A61" w14:textId="77777777">
            <w:pPr>
              <w:spacing w:after="80"/>
              <w:jc w:val="both"/>
              <w:rPr>
                <w:rFonts w:ascii="Times New Roman" w:hAnsi="Times New Roman" w:cs="Times New Roman"/>
              </w:rPr>
            </w:pPr>
            <w:r w:rsidRPr="00A114CF">
              <w:rPr>
                <w:rFonts w:ascii="Times New Roman" w:eastAsia="Times New Roman" w:hAnsi="Times New Roman" w:cs="Times New Roman"/>
                <w:b/>
                <w:i/>
                <w:u w:val="single"/>
                <w:shd w:val="clear" w:color="auto" w:fill="FFFFFF"/>
                <w:lang w:eastAsia="lv-LV" w:bidi="lv-LV"/>
              </w:rPr>
              <w:t>Ietekme 2018.gadam</w:t>
            </w:r>
          </w:p>
          <w:p w:rsidR="006D6911" w:rsidP="00AF7C22" w14:paraId="2DCE581C" w14:textId="77777777">
            <w:pPr>
              <w:spacing w:after="120"/>
              <w:ind w:firstLine="213"/>
              <w:jc w:val="both"/>
              <w:rPr>
                <w:rFonts w:ascii="Times New Roman" w:hAnsi="Times New Roman" w:cs="Times New Roman"/>
                <w:u w:val="single"/>
              </w:rPr>
            </w:pPr>
            <w:r w:rsidRPr="006E2E8B">
              <w:rPr>
                <w:rFonts w:ascii="Times New Roman" w:hAnsi="Times New Roman" w:cs="Times New Roman"/>
                <w:u w:val="single"/>
              </w:rPr>
              <w:t>Kopumā hronisko pacientu aprūpes nodrošināšanai nepieciešams finansējums 2</w:t>
            </w:r>
            <w:r w:rsidRPr="006E2E8B" w:rsidR="0055169C">
              <w:rPr>
                <w:rFonts w:ascii="Times New Roman" w:hAnsi="Times New Roman" w:cs="Times New Roman"/>
                <w:u w:val="single"/>
              </w:rPr>
              <w:t> 718 968</w:t>
            </w:r>
            <w:r w:rsidRPr="006E2E8B">
              <w:rPr>
                <w:rFonts w:ascii="Times New Roman" w:hAnsi="Times New Roman" w:cs="Times New Roman"/>
                <w:u w:val="single"/>
              </w:rPr>
              <w:t xml:space="preserve"> </w:t>
            </w:r>
            <w:r w:rsidRPr="006E2E8B">
              <w:rPr>
                <w:rFonts w:ascii="Times New Roman" w:hAnsi="Times New Roman" w:cs="Times New Roman"/>
                <w:i/>
                <w:u w:val="single"/>
              </w:rPr>
              <w:t>euro</w:t>
            </w:r>
            <w:r w:rsidRPr="006E2E8B">
              <w:rPr>
                <w:rFonts w:ascii="Times New Roman" w:hAnsi="Times New Roman" w:cs="Times New Roman"/>
                <w:u w:val="single"/>
              </w:rPr>
              <w:t xml:space="preserve"> apmēr</w:t>
            </w:r>
            <w:r w:rsidRPr="006E2E8B" w:rsidR="00793065">
              <w:rPr>
                <w:rFonts w:ascii="Times New Roman" w:hAnsi="Times New Roman" w:cs="Times New Roman"/>
                <w:u w:val="single"/>
              </w:rPr>
              <w:t>ā, nodrošinot 6 571 stacionēšana</w:t>
            </w:r>
            <w:r w:rsidRPr="006E2E8B">
              <w:rPr>
                <w:rFonts w:ascii="Times New Roman" w:hAnsi="Times New Roman" w:cs="Times New Roman"/>
                <w:u w:val="single"/>
              </w:rPr>
              <w:t>s gadījumus gadā</w:t>
            </w:r>
            <w:r w:rsidRPr="006E2E8B" w:rsidR="0055169C">
              <w:rPr>
                <w:rFonts w:ascii="Times New Roman" w:hAnsi="Times New Roman" w:cs="Times New Roman"/>
                <w:u w:val="single"/>
              </w:rPr>
              <w:t>, no kuriem</w:t>
            </w:r>
            <w:r w:rsidRPr="006E2E8B" w:rsidR="003621F9">
              <w:rPr>
                <w:rFonts w:ascii="Times New Roman" w:hAnsi="Times New Roman" w:cs="Times New Roman"/>
                <w:u w:val="single"/>
              </w:rPr>
              <w:t>,</w:t>
            </w:r>
            <w:r w:rsidRPr="006E2E8B" w:rsidR="0055169C">
              <w:rPr>
                <w:rFonts w:ascii="Times New Roman" w:hAnsi="Times New Roman" w:cs="Times New Roman"/>
                <w:u w:val="single"/>
              </w:rPr>
              <w:t xml:space="preserve"> 1</w:t>
            </w:r>
            <w:r w:rsidR="00987A1C">
              <w:rPr>
                <w:rFonts w:ascii="Times New Roman" w:hAnsi="Times New Roman" w:cs="Times New Roman"/>
                <w:u w:val="single"/>
              </w:rPr>
              <w:t> </w:t>
            </w:r>
            <w:r w:rsidRPr="006E2E8B" w:rsidR="0055169C">
              <w:rPr>
                <w:rFonts w:ascii="Times New Roman" w:hAnsi="Times New Roman" w:cs="Times New Roman"/>
                <w:u w:val="single"/>
              </w:rPr>
              <w:t>768</w:t>
            </w:r>
            <w:r w:rsidR="00987A1C">
              <w:rPr>
                <w:rFonts w:ascii="Times New Roman" w:hAnsi="Times New Roman" w:cs="Times New Roman"/>
                <w:u w:val="single"/>
              </w:rPr>
              <w:t xml:space="preserve"> (3535/ 2 =1 768)</w:t>
            </w:r>
            <w:r w:rsidRPr="006E2E8B" w:rsidR="0055169C">
              <w:rPr>
                <w:rFonts w:ascii="Times New Roman" w:hAnsi="Times New Roman" w:cs="Times New Roman"/>
                <w:u w:val="single"/>
              </w:rPr>
              <w:t xml:space="preserve"> gadījumi </w:t>
            </w:r>
            <w:r w:rsidRPr="006E2E8B" w:rsidR="0055169C">
              <w:rPr>
                <w:rFonts w:ascii="Times New Roman" w:hAnsi="Times New Roman" w:cs="Times New Roman"/>
                <w:u w:val="single"/>
              </w:rPr>
              <w:t xml:space="preserve">ir ar blakus diagnozēm, kurām ārstēšanas laiks nepieciešams vairāk kā 10 dienas </w:t>
            </w:r>
            <w:r w:rsidRPr="006E2E8B" w:rsidR="00B307EE">
              <w:rPr>
                <w:rFonts w:ascii="Times New Roman" w:hAnsi="Times New Roman" w:cs="Times New Roman"/>
                <w:u w:val="single"/>
              </w:rPr>
              <w:t>un kuriem tie</w:t>
            </w:r>
            <w:r w:rsidRPr="006E2E8B" w:rsidR="0066357D">
              <w:rPr>
                <w:rFonts w:ascii="Times New Roman" w:hAnsi="Times New Roman" w:cs="Times New Roman"/>
                <w:u w:val="single"/>
              </w:rPr>
              <w:t>k</w:t>
            </w:r>
            <w:r w:rsidRPr="006E2E8B" w:rsidR="00B307EE">
              <w:rPr>
                <w:rFonts w:ascii="Times New Roman" w:hAnsi="Times New Roman" w:cs="Times New Roman"/>
                <w:u w:val="single"/>
              </w:rPr>
              <w:t xml:space="preserve"> piemērots</w:t>
            </w:r>
            <w:r w:rsidRPr="006E2E8B" w:rsidR="0055169C">
              <w:rPr>
                <w:rFonts w:ascii="Times New Roman" w:hAnsi="Times New Roman" w:cs="Times New Roman"/>
                <w:u w:val="single"/>
              </w:rPr>
              <w:t xml:space="preserve"> viena pacienta ārstēšanas tarifs - 505,45 </w:t>
            </w:r>
            <w:r w:rsidRPr="006E2E8B" w:rsidR="0055169C">
              <w:rPr>
                <w:rFonts w:ascii="Times New Roman" w:hAnsi="Times New Roman" w:cs="Times New Roman"/>
                <w:i/>
                <w:u w:val="single"/>
              </w:rPr>
              <w:t>euro</w:t>
            </w:r>
            <w:r w:rsidRPr="006E2E8B" w:rsidR="0055169C">
              <w:rPr>
                <w:rFonts w:ascii="Times New Roman" w:hAnsi="Times New Roman" w:cs="Times New Roman"/>
                <w:u w:val="single"/>
              </w:rPr>
              <w:t xml:space="preserve"> apmērā par stacionēšanas reizi</w:t>
            </w:r>
            <w:r w:rsidRPr="006E2E8B" w:rsidR="00B307EE">
              <w:rPr>
                <w:rFonts w:ascii="Times New Roman" w:hAnsi="Times New Roman" w:cs="Times New Roman"/>
                <w:u w:val="single"/>
              </w:rPr>
              <w:t>, un 4</w:t>
            </w:r>
            <w:r w:rsidR="00987A1C">
              <w:rPr>
                <w:rFonts w:ascii="Times New Roman" w:hAnsi="Times New Roman" w:cs="Times New Roman"/>
                <w:u w:val="single"/>
              </w:rPr>
              <w:t> </w:t>
            </w:r>
            <w:r w:rsidRPr="006E2E8B" w:rsidR="00B307EE">
              <w:rPr>
                <w:rFonts w:ascii="Times New Roman" w:hAnsi="Times New Roman" w:cs="Times New Roman"/>
                <w:u w:val="single"/>
              </w:rPr>
              <w:t>803</w:t>
            </w:r>
            <w:r w:rsidR="00987A1C">
              <w:rPr>
                <w:rFonts w:ascii="Times New Roman" w:hAnsi="Times New Roman" w:cs="Times New Roman"/>
                <w:u w:val="single"/>
              </w:rPr>
              <w:t xml:space="preserve"> (9607/ 2 = 4803)</w:t>
            </w:r>
            <w:r w:rsidRPr="006E2E8B" w:rsidR="00B307EE">
              <w:rPr>
                <w:rFonts w:ascii="Times New Roman" w:hAnsi="Times New Roman" w:cs="Times New Roman"/>
                <w:u w:val="single"/>
              </w:rPr>
              <w:t xml:space="preserve"> gadījumi</w:t>
            </w:r>
            <w:r w:rsidRPr="006E2E8B" w:rsidR="0055169C">
              <w:rPr>
                <w:rFonts w:ascii="Times New Roman" w:hAnsi="Times New Roman" w:cs="Times New Roman"/>
                <w:u w:val="single"/>
              </w:rPr>
              <w:t xml:space="preserve"> </w:t>
            </w:r>
            <w:r w:rsidRPr="006E2E8B">
              <w:rPr>
                <w:rFonts w:ascii="Times New Roman" w:hAnsi="Times New Roman" w:cs="Times New Roman"/>
                <w:u w:val="single"/>
              </w:rPr>
              <w:t xml:space="preserve">ar tarifu viena pacienta ārstēšanai  380,04 </w:t>
            </w:r>
            <w:r w:rsidRPr="006E2E8B">
              <w:rPr>
                <w:rFonts w:ascii="Times New Roman" w:hAnsi="Times New Roman" w:cs="Times New Roman"/>
                <w:i/>
                <w:u w:val="single"/>
              </w:rPr>
              <w:t>euro</w:t>
            </w:r>
            <w:r w:rsidRPr="006E2E8B">
              <w:rPr>
                <w:rFonts w:ascii="Times New Roman" w:hAnsi="Times New Roman" w:cs="Times New Roman"/>
                <w:u w:val="single"/>
              </w:rPr>
              <w:t xml:space="preserve"> apmērā.</w:t>
            </w:r>
            <w:r w:rsidR="00987A1C">
              <w:rPr>
                <w:rFonts w:ascii="Times New Roman" w:hAnsi="Times New Roman" w:cs="Times New Roman"/>
                <w:u w:val="single"/>
              </w:rPr>
              <w:t xml:space="preserve"> Ņemot vērā, ka aprēķins tika veikts gadam (divpadsmit mēnešu periodam),skat., tabulu Nr.1, tad 2018.gadam </w:t>
            </w:r>
            <w:r w:rsidR="0065775C">
              <w:rPr>
                <w:rFonts w:ascii="Times New Roman" w:hAnsi="Times New Roman" w:cs="Times New Roman"/>
                <w:u w:val="single"/>
              </w:rPr>
              <w:t xml:space="preserve">aprēķins </w:t>
            </w:r>
            <w:r w:rsidR="009229E7">
              <w:rPr>
                <w:rFonts w:ascii="Times New Roman" w:hAnsi="Times New Roman" w:cs="Times New Roman"/>
                <w:u w:val="single"/>
              </w:rPr>
              <w:t>tiek veikts sešiem mēnešiem</w:t>
            </w:r>
            <w:r w:rsidR="00B56C63">
              <w:rPr>
                <w:rFonts w:ascii="Times New Roman" w:hAnsi="Times New Roman" w:cs="Times New Roman"/>
                <w:u w:val="single"/>
              </w:rPr>
              <w:t>, skat., tabulu Nr.2.</w:t>
            </w:r>
          </w:p>
          <w:p w:rsidR="00B56C63" w:rsidRPr="00B56C63" w:rsidP="00AF7C22" w14:paraId="60170129" w14:textId="77777777">
            <w:pPr>
              <w:spacing w:after="120"/>
              <w:ind w:firstLine="213"/>
              <w:jc w:val="both"/>
              <w:rPr>
                <w:rFonts w:ascii="Times New Roman" w:hAnsi="Times New Roman" w:cs="Times New Roman"/>
                <w:i/>
              </w:rPr>
            </w:pPr>
            <w:r w:rsidRPr="00B56C63">
              <w:rPr>
                <w:rFonts w:ascii="Times New Roman" w:hAnsi="Times New Roman" w:cs="Times New Roman"/>
                <w:i/>
              </w:rPr>
              <w:t xml:space="preserve">                                                                                                                                     Tabula Nr.1</w:t>
            </w:r>
          </w:p>
          <w:tbl>
            <w:tblPr>
              <w:tblW w:w="8818" w:type="dxa"/>
              <w:tblLayout w:type="fixed"/>
              <w:tblLook w:val="04A0"/>
            </w:tblPr>
            <w:tblGrid>
              <w:gridCol w:w="1021"/>
              <w:gridCol w:w="851"/>
              <w:gridCol w:w="1134"/>
              <w:gridCol w:w="1134"/>
              <w:gridCol w:w="709"/>
              <w:gridCol w:w="708"/>
              <w:gridCol w:w="993"/>
              <w:gridCol w:w="567"/>
              <w:gridCol w:w="850"/>
              <w:gridCol w:w="851"/>
            </w:tblGrid>
            <w:tr w14:paraId="3829EB26" w14:textId="77777777" w:rsidTr="003C746E">
              <w:tblPrEx>
                <w:tblW w:w="8818" w:type="dxa"/>
                <w:tblLayout w:type="fixed"/>
                <w:tblLook w:val="04A0"/>
              </w:tblPrEx>
              <w:trPr>
                <w:trHeight w:val="525"/>
              </w:trPr>
              <w:tc>
                <w:tcPr>
                  <w:tcW w:w="1872"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rsidR="003C746E" w:rsidRPr="004C0C49" w:rsidP="003C746E" w14:paraId="6D947DAC"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1.Samaksa par manipulācijām</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F2F2F2"/>
                  <w:vAlign w:val="bottom"/>
                  <w:hideMark/>
                </w:tcPr>
                <w:p w:rsidR="003C746E" w:rsidRPr="004C0C49" w:rsidP="003C746E" w14:paraId="74A63262" w14:textId="77777777">
                  <w:pPr>
                    <w:spacing w:after="0" w:line="240" w:lineRule="auto"/>
                    <w:jc w:val="center"/>
                    <w:rPr>
                      <w:rFonts w:ascii="Times New Roman" w:eastAsia="Times New Roman" w:hAnsi="Times New Roman" w:cs="Times New Roman"/>
                      <w:color w:val="000000"/>
                      <w:sz w:val="14"/>
                      <w:szCs w:val="14"/>
                      <w:lang w:eastAsia="lv-LV"/>
                    </w:rPr>
                  </w:pPr>
                  <w:r w:rsidRPr="004C0C49">
                    <w:rPr>
                      <w:rFonts w:ascii="Times New Roman" w:eastAsia="Times New Roman" w:hAnsi="Times New Roman" w:cs="Times New Roman"/>
                      <w:color w:val="000000"/>
                      <w:sz w:val="14"/>
                      <w:szCs w:val="14"/>
                      <w:lang w:eastAsia="lv-LV"/>
                    </w:rPr>
                    <w:t>kopā, t.sk.</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C746E" w:rsidRPr="004C0C49" w:rsidP="003C746E" w14:paraId="26E7C008" w14:textId="77777777">
                  <w:pPr>
                    <w:spacing w:after="0" w:line="240" w:lineRule="auto"/>
                    <w:jc w:val="center"/>
                    <w:rPr>
                      <w:rFonts w:ascii="Times New Roman" w:eastAsia="Times New Roman" w:hAnsi="Times New Roman" w:cs="Times New Roman"/>
                      <w:color w:val="000000"/>
                      <w:sz w:val="14"/>
                      <w:szCs w:val="14"/>
                      <w:lang w:eastAsia="lv-LV"/>
                    </w:rPr>
                  </w:pPr>
                  <w:r w:rsidRPr="004C0C49">
                    <w:rPr>
                      <w:rFonts w:ascii="Times New Roman" w:eastAsia="Times New Roman" w:hAnsi="Times New Roman" w:cs="Times New Roman"/>
                      <w:color w:val="000000"/>
                      <w:sz w:val="14"/>
                      <w:szCs w:val="14"/>
                      <w:lang w:eastAsia="lv-LV"/>
                    </w:rPr>
                    <w:t>Vidējais tarifs, euro</w:t>
                  </w:r>
                </w:p>
              </w:tc>
              <w:tc>
                <w:tcPr>
                  <w:tcW w:w="1701" w:type="dxa"/>
                  <w:gridSpan w:val="2"/>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23BEB213"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ārstēšanas ilgums līdz 10 dienām</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C746E" w:rsidRPr="004C0C49" w:rsidP="003C746E" w14:paraId="65C23B19"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Vidējais tarifs, euro</w:t>
                  </w:r>
                </w:p>
              </w:tc>
              <w:tc>
                <w:tcPr>
                  <w:tcW w:w="1701" w:type="dxa"/>
                  <w:gridSpan w:val="2"/>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676210C3"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ārstēšanas ilgums virs 10 dienām</w:t>
                  </w:r>
                </w:p>
              </w:tc>
            </w:tr>
            <w:tr w14:paraId="5D3D21C9" w14:textId="77777777" w:rsidTr="003C746E">
              <w:tblPrEx>
                <w:tblW w:w="8818" w:type="dxa"/>
                <w:tblLayout w:type="fixed"/>
                <w:tblLook w:val="04A0"/>
              </w:tblPrEx>
              <w:trPr>
                <w:trHeight w:val="450"/>
              </w:trPr>
              <w:tc>
                <w:tcPr>
                  <w:tcW w:w="1872" w:type="dxa"/>
                  <w:gridSpan w:val="2"/>
                  <w:vMerge/>
                  <w:tcBorders>
                    <w:top w:val="single" w:sz="4" w:space="0" w:color="auto"/>
                    <w:left w:val="single" w:sz="4" w:space="0" w:color="auto"/>
                    <w:bottom w:val="single" w:sz="4" w:space="0" w:color="000000"/>
                    <w:right w:val="single" w:sz="4" w:space="0" w:color="000000"/>
                  </w:tcBorders>
                  <w:vAlign w:val="center"/>
                  <w:hideMark/>
                </w:tcPr>
                <w:p w:rsidR="003C746E" w:rsidRPr="004C0C49" w:rsidP="003C746E" w14:paraId="3B2ED045" w14:textId="77777777">
                  <w:pPr>
                    <w:spacing w:after="0" w:line="240" w:lineRule="auto"/>
                    <w:rPr>
                      <w:rFonts w:ascii="Times New Roman" w:eastAsia="Times New Roman" w:hAnsi="Times New Roman" w:cs="Times New Roman"/>
                      <w:sz w:val="14"/>
                      <w:szCs w:val="14"/>
                      <w:lang w:eastAsia="lv-LV"/>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C746E" w:rsidRPr="004C0C49" w:rsidP="003C746E" w14:paraId="0DF8BB24"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skaits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C746E" w:rsidRPr="004C0C49" w:rsidP="003C746E" w14:paraId="1A2FFFEA"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summa, euro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3E797173" w14:textId="77777777">
                  <w:pPr>
                    <w:spacing w:after="0" w:line="240" w:lineRule="auto"/>
                    <w:rPr>
                      <w:rFonts w:ascii="Times New Roman" w:eastAsia="Times New Roman" w:hAnsi="Times New Roman" w:cs="Times New Roman"/>
                      <w:color w:val="000000"/>
                      <w:sz w:val="14"/>
                      <w:szCs w:val="14"/>
                      <w:lang w:eastAsia="lv-LV"/>
                    </w:rPr>
                  </w:pP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C746E" w:rsidRPr="004C0C49" w:rsidP="003C746E" w14:paraId="54022084"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skaits </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C746E" w:rsidRPr="004C0C49" w:rsidP="003C746E" w14:paraId="70A65CB0"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summa, euro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393ECBFE" w14:textId="77777777">
                  <w:pPr>
                    <w:spacing w:after="0" w:line="240" w:lineRule="auto"/>
                    <w:rPr>
                      <w:rFonts w:ascii="Times New Roman" w:eastAsia="Times New Roman" w:hAnsi="Times New Roman" w:cs="Times New Roman"/>
                      <w:sz w:val="14"/>
                      <w:szCs w:val="14"/>
                      <w:lang w:eastAsia="lv-LV"/>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C746E" w:rsidRPr="004C0C49" w:rsidP="003C746E" w14:paraId="39249316"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skaits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C746E" w:rsidRPr="004C0C49" w:rsidP="003C746E" w14:paraId="4B2B753A"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summa, euro </w:t>
                  </w:r>
                </w:p>
              </w:tc>
            </w:tr>
            <w:tr w14:paraId="64E4DE32" w14:textId="77777777" w:rsidTr="003C746E">
              <w:tblPrEx>
                <w:tblW w:w="8818" w:type="dxa"/>
                <w:tblLayout w:type="fixed"/>
                <w:tblLook w:val="04A0"/>
              </w:tblPrEx>
              <w:trPr>
                <w:trHeight w:val="450"/>
              </w:trPr>
              <w:tc>
                <w:tcPr>
                  <w:tcW w:w="1872" w:type="dxa"/>
                  <w:gridSpan w:val="2"/>
                  <w:vMerge/>
                  <w:tcBorders>
                    <w:top w:val="single" w:sz="4" w:space="0" w:color="auto"/>
                    <w:left w:val="single" w:sz="4" w:space="0" w:color="auto"/>
                    <w:bottom w:val="single" w:sz="4" w:space="0" w:color="000000"/>
                    <w:right w:val="single" w:sz="4" w:space="0" w:color="000000"/>
                  </w:tcBorders>
                  <w:vAlign w:val="center"/>
                  <w:hideMark/>
                </w:tcPr>
                <w:p w:rsidR="003C746E" w:rsidRPr="004C0C49" w:rsidP="003C746E" w14:paraId="0D46158E" w14:textId="77777777">
                  <w:pPr>
                    <w:spacing w:after="0" w:line="240" w:lineRule="auto"/>
                    <w:rPr>
                      <w:rFonts w:ascii="Times New Roman" w:eastAsia="Times New Roman" w:hAnsi="Times New Roman" w:cs="Times New Roman"/>
                      <w:sz w:val="14"/>
                      <w:szCs w:val="1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746E" w:rsidRPr="004C0C49" w:rsidP="003C746E" w14:paraId="54B5B3E3" w14:textId="77777777">
                  <w:pPr>
                    <w:spacing w:after="0" w:line="240" w:lineRule="auto"/>
                    <w:rPr>
                      <w:rFonts w:ascii="Times New Roman" w:eastAsia="Times New Roman" w:hAnsi="Times New Roman" w:cs="Times New Roman"/>
                      <w:sz w:val="14"/>
                      <w:szCs w:val="1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746E" w:rsidRPr="004C0C49" w:rsidP="003C746E" w14:paraId="59C2FA5C" w14:textId="77777777">
                  <w:pPr>
                    <w:spacing w:after="0" w:line="240" w:lineRule="auto"/>
                    <w:rPr>
                      <w:rFonts w:ascii="Times New Roman" w:eastAsia="Times New Roman" w:hAnsi="Times New Roman" w:cs="Times New Roman"/>
                      <w:sz w:val="14"/>
                      <w:szCs w:val="14"/>
                      <w:lang w:eastAsia="lv-L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280B6EAB" w14:textId="77777777">
                  <w:pPr>
                    <w:spacing w:after="0" w:line="240" w:lineRule="auto"/>
                    <w:rPr>
                      <w:rFonts w:ascii="Times New Roman" w:eastAsia="Times New Roman" w:hAnsi="Times New Roman" w:cs="Times New Roman"/>
                      <w:color w:val="000000"/>
                      <w:sz w:val="14"/>
                      <w:szCs w:val="14"/>
                      <w:lang w:eastAsia="lv-LV"/>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59A16864" w14:textId="77777777">
                  <w:pPr>
                    <w:spacing w:after="0" w:line="240" w:lineRule="auto"/>
                    <w:rPr>
                      <w:rFonts w:ascii="Times New Roman" w:eastAsia="Times New Roman" w:hAnsi="Times New Roman" w:cs="Times New Roman"/>
                      <w:sz w:val="14"/>
                      <w:szCs w:val="14"/>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202EAF1A" w14:textId="77777777">
                  <w:pPr>
                    <w:spacing w:after="0" w:line="240" w:lineRule="auto"/>
                    <w:rPr>
                      <w:rFonts w:ascii="Times New Roman" w:eastAsia="Times New Roman" w:hAnsi="Times New Roman" w:cs="Times New Roman"/>
                      <w:sz w:val="14"/>
                      <w:szCs w:val="14"/>
                      <w:lang w:eastAsia="lv-LV"/>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3A004C11" w14:textId="77777777">
                  <w:pPr>
                    <w:spacing w:after="0" w:line="240" w:lineRule="auto"/>
                    <w:rPr>
                      <w:rFonts w:ascii="Times New Roman" w:eastAsia="Times New Roman" w:hAnsi="Times New Roman" w:cs="Times New Roman"/>
                      <w:sz w:val="14"/>
                      <w:szCs w:val="14"/>
                      <w:lang w:eastAsia="lv-LV"/>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3872F6ED" w14:textId="77777777">
                  <w:pPr>
                    <w:spacing w:after="0" w:line="240" w:lineRule="auto"/>
                    <w:rPr>
                      <w:rFonts w:ascii="Times New Roman" w:eastAsia="Times New Roman" w:hAnsi="Times New Roman" w:cs="Times New Roman"/>
                      <w:sz w:val="14"/>
                      <w:szCs w:val="14"/>
                      <w:lang w:eastAsia="lv-LV"/>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2D77B844" w14:textId="77777777">
                  <w:pPr>
                    <w:spacing w:after="0" w:line="240" w:lineRule="auto"/>
                    <w:rPr>
                      <w:rFonts w:ascii="Times New Roman" w:eastAsia="Times New Roman" w:hAnsi="Times New Roman" w:cs="Times New Roman"/>
                      <w:sz w:val="14"/>
                      <w:szCs w:val="14"/>
                      <w:lang w:eastAsia="lv-LV"/>
                    </w:rPr>
                  </w:pPr>
                </w:p>
              </w:tc>
            </w:tr>
            <w:tr w14:paraId="7F73FC7D" w14:textId="77777777" w:rsidTr="003C746E">
              <w:tblPrEx>
                <w:tblW w:w="8818" w:type="dxa"/>
                <w:tblLayout w:type="fixed"/>
                <w:tblLook w:val="04A0"/>
              </w:tblPrEx>
              <w:trPr>
                <w:trHeight w:val="255"/>
              </w:trPr>
              <w:tc>
                <w:tcPr>
                  <w:tcW w:w="1872" w:type="dxa"/>
                  <w:gridSpan w:val="2"/>
                  <w:vMerge/>
                  <w:tcBorders>
                    <w:top w:val="single" w:sz="4" w:space="0" w:color="auto"/>
                    <w:left w:val="single" w:sz="4" w:space="0" w:color="auto"/>
                    <w:bottom w:val="single" w:sz="4" w:space="0" w:color="000000"/>
                    <w:right w:val="single" w:sz="4" w:space="0" w:color="000000"/>
                  </w:tcBorders>
                  <w:vAlign w:val="center"/>
                  <w:hideMark/>
                </w:tcPr>
                <w:p w:rsidR="003C746E" w:rsidRPr="004C0C49" w:rsidP="003C746E" w14:paraId="3B2D07AB" w14:textId="77777777">
                  <w:pPr>
                    <w:spacing w:after="0" w:line="240" w:lineRule="auto"/>
                    <w:rPr>
                      <w:rFonts w:ascii="Times New Roman" w:eastAsia="Times New Roman" w:hAnsi="Times New Roman" w:cs="Times New Roman"/>
                      <w:sz w:val="14"/>
                      <w:szCs w:val="14"/>
                      <w:lang w:eastAsia="lv-LV"/>
                    </w:rPr>
                  </w:pP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3C746E" w:rsidRPr="004C0C49" w:rsidP="003C746E" w14:paraId="498C0D5A"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44 353.00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3C746E" w:rsidRPr="004C0C49" w:rsidP="003C746E" w14:paraId="1CE9148F"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928 739.86</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3C746E" w:rsidRPr="004C0C49" w:rsidP="003C746E" w14:paraId="34C663C7"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20.78</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3C746E" w:rsidRPr="004C0C49" w:rsidP="003C746E" w14:paraId="39EE9B1E"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32 987.00</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rsidR="003C746E" w:rsidRPr="004C0C49" w:rsidP="003C746E" w14:paraId="11C18EDD"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685 489.41</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3C746E" w:rsidRPr="004C0C49" w:rsidP="003C746E" w14:paraId="49927A45"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21.40</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3C746E" w:rsidRPr="004C0C49" w:rsidP="003C746E" w14:paraId="13697592"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11 366.00</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3C746E" w:rsidRPr="004C0C49" w:rsidP="003C746E" w14:paraId="4FD026F9"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243 250.45</w:t>
                  </w:r>
                </w:p>
              </w:tc>
            </w:tr>
            <w:tr w14:paraId="664D5938" w14:textId="77777777" w:rsidTr="003C746E">
              <w:tblPrEx>
                <w:tblW w:w="8818" w:type="dxa"/>
                <w:tblLayout w:type="fixed"/>
                <w:tblLook w:val="04A0"/>
              </w:tblPrEx>
              <w:trPr>
                <w:trHeight w:val="555"/>
              </w:trPr>
              <w:tc>
                <w:tcPr>
                  <w:tcW w:w="102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C746E" w:rsidRPr="004C0C49" w:rsidP="003C746E" w14:paraId="1FAA460B"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2.Samaksa par </w:t>
                  </w:r>
                  <w:r w:rsidRPr="004C0C49">
                    <w:rPr>
                      <w:rFonts w:ascii="Times New Roman" w:eastAsia="Times New Roman" w:hAnsi="Times New Roman" w:cs="Times New Roman"/>
                      <w:sz w:val="14"/>
                      <w:szCs w:val="14"/>
                      <w:lang w:eastAsia="lv-LV"/>
                    </w:rPr>
                    <w:t>gultasdienām</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624DC692"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gultasdienu</w:t>
                  </w:r>
                  <w:r w:rsidRPr="004C0C49">
                    <w:rPr>
                      <w:rFonts w:ascii="Times New Roman" w:eastAsia="Times New Roman" w:hAnsi="Times New Roman" w:cs="Times New Roman"/>
                      <w:sz w:val="14"/>
                      <w:szCs w:val="14"/>
                      <w:lang w:eastAsia="lv-LV"/>
                    </w:rPr>
                    <w:t xml:space="preserve"> tarifs, </w:t>
                  </w:r>
                  <w:r w:rsidRPr="004C0C49">
                    <w:rPr>
                      <w:rFonts w:ascii="Times New Roman" w:eastAsia="Times New Roman" w:hAnsi="Times New Roman" w:cs="Times New Roman"/>
                      <w:sz w:val="14"/>
                      <w:szCs w:val="14"/>
                      <w:lang w:eastAsia="lv-LV"/>
                    </w:rPr>
                    <w:t>euro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5CC7C02E"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plānotais </w:t>
                  </w:r>
                  <w:r w:rsidRPr="004C0C49">
                    <w:rPr>
                      <w:rFonts w:ascii="Times New Roman" w:eastAsia="Times New Roman" w:hAnsi="Times New Roman" w:cs="Times New Roman"/>
                      <w:sz w:val="14"/>
                      <w:szCs w:val="14"/>
                      <w:lang w:eastAsia="lv-LV"/>
                    </w:rPr>
                    <w:t>gultasdienu</w:t>
                  </w:r>
                  <w:r w:rsidRPr="004C0C49">
                    <w:rPr>
                      <w:rFonts w:ascii="Times New Roman" w:eastAsia="Times New Roman" w:hAnsi="Times New Roman" w:cs="Times New Roman"/>
                      <w:sz w:val="14"/>
                      <w:szCs w:val="14"/>
                      <w:lang w:eastAsia="lv-LV"/>
                    </w:rPr>
                    <w:t xml:space="preserve"> skaits</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76248930"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summa, euro </w:t>
                  </w:r>
                </w:p>
              </w:tc>
              <w:tc>
                <w:tcPr>
                  <w:tcW w:w="709" w:type="dxa"/>
                  <w:tcBorders>
                    <w:top w:val="nil"/>
                    <w:left w:val="single" w:sz="4" w:space="0" w:color="auto"/>
                    <w:bottom w:val="single" w:sz="4" w:space="0" w:color="auto"/>
                    <w:right w:val="nil"/>
                  </w:tcBorders>
                  <w:shd w:val="clear" w:color="000000" w:fill="F2F2F2"/>
                  <w:vAlign w:val="center"/>
                  <w:hideMark/>
                </w:tcPr>
                <w:p w:rsidR="003C746E" w:rsidRPr="004C0C49" w:rsidP="003C746E" w14:paraId="72AFE687"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396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3C746E" w:rsidRPr="004C0C49" w:rsidP="003C746E" w14:paraId="612BBF0E"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r>
            <w:tr w14:paraId="41CF6975" w14:textId="77777777" w:rsidTr="003C746E">
              <w:tblPrEx>
                <w:tblW w:w="8818" w:type="dxa"/>
                <w:tblLayout w:type="fixed"/>
                <w:tblLook w:val="04A0"/>
              </w:tblPrEx>
              <w:trPr>
                <w:trHeight w:val="315"/>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3C746E" w:rsidRPr="004C0C49" w:rsidP="003C746E" w14:paraId="4064B114" w14:textId="77777777">
                  <w:pPr>
                    <w:spacing w:after="0" w:line="240" w:lineRule="auto"/>
                    <w:rPr>
                      <w:rFonts w:ascii="Times New Roman" w:eastAsia="Times New Roman" w:hAnsi="Times New Roman" w:cs="Times New Roman"/>
                      <w:sz w:val="14"/>
                      <w:szCs w:val="14"/>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71EA3024"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39.11 </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4045DA27" w14:textId="77777777">
                  <w:pPr>
                    <w:spacing w:after="0" w:line="240" w:lineRule="auto"/>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    </w:t>
                  </w:r>
                  <w:r w:rsidRPr="004C0C49">
                    <w:rPr>
                      <w:rFonts w:ascii="Times New Roman" w:eastAsia="Times New Roman" w:hAnsi="Times New Roman" w:cs="Times New Roman"/>
                      <w:sz w:val="14"/>
                      <w:szCs w:val="14"/>
                      <w:lang w:eastAsia="lv-LV"/>
                    </w:rPr>
                    <w:t xml:space="preserve">115 292.00 </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52CED46C" w14:textId="77777777">
                  <w:pPr>
                    <w:spacing w:after="0" w:line="240" w:lineRule="auto"/>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 </w:t>
                  </w:r>
                  <w:r w:rsidRPr="004C0C49">
                    <w:rPr>
                      <w:rFonts w:ascii="Times New Roman" w:eastAsia="Times New Roman" w:hAnsi="Times New Roman" w:cs="Times New Roman"/>
                      <w:sz w:val="14"/>
                      <w:szCs w:val="14"/>
                      <w:lang w:eastAsia="lv-LV"/>
                    </w:rPr>
                    <w:t xml:space="preserve"> 4 509 070.12 </w:t>
                  </w:r>
                </w:p>
              </w:tc>
              <w:tc>
                <w:tcPr>
                  <w:tcW w:w="709"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63B80D4C"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26E30330" w14:textId="77777777">
                  <w:pPr>
                    <w:spacing w:after="0" w:line="240" w:lineRule="auto"/>
                    <w:jc w:val="right"/>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75826</w:t>
                  </w:r>
                </w:p>
              </w:tc>
              <w:tc>
                <w:tcPr>
                  <w:tcW w:w="993"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6DFE1576"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2 965 554.86 </w:t>
                  </w:r>
                </w:p>
              </w:tc>
              <w:tc>
                <w:tcPr>
                  <w:tcW w:w="567"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478A4594"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0"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1E9C2665" w14:textId="77777777">
                  <w:pPr>
                    <w:spacing w:after="0" w:line="240" w:lineRule="auto"/>
                    <w:jc w:val="right"/>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39466</w:t>
                  </w:r>
                </w:p>
              </w:tc>
              <w:tc>
                <w:tcPr>
                  <w:tcW w:w="851" w:type="dxa"/>
                  <w:tcBorders>
                    <w:top w:val="single" w:sz="4" w:space="0" w:color="auto"/>
                    <w:left w:val="nil"/>
                    <w:bottom w:val="single" w:sz="4" w:space="0" w:color="auto"/>
                    <w:right w:val="single" w:sz="4" w:space="0" w:color="auto"/>
                  </w:tcBorders>
                  <w:shd w:val="clear" w:color="000000" w:fill="F2F2F2"/>
                  <w:vAlign w:val="bottom"/>
                  <w:hideMark/>
                </w:tcPr>
                <w:p w:rsidR="003C746E" w:rsidRPr="004C0C49" w:rsidP="003C746E" w14:paraId="6779AC2F"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1 543 515.26 </w:t>
                  </w:r>
                </w:p>
              </w:tc>
            </w:tr>
            <w:tr w14:paraId="650A097E" w14:textId="77777777" w:rsidTr="003C746E">
              <w:tblPrEx>
                <w:tblW w:w="8818" w:type="dxa"/>
                <w:tblLayout w:type="fixed"/>
                <w:tblLook w:val="04A0"/>
              </w:tblPrEx>
              <w:trPr>
                <w:trHeight w:val="255"/>
              </w:trPr>
              <w:tc>
                <w:tcPr>
                  <w:tcW w:w="1021" w:type="dxa"/>
                  <w:tcBorders>
                    <w:top w:val="nil"/>
                    <w:left w:val="nil"/>
                    <w:bottom w:val="nil"/>
                    <w:right w:val="nil"/>
                  </w:tcBorders>
                  <w:shd w:val="clear" w:color="000000" w:fill="F2F2F2"/>
                  <w:noWrap/>
                  <w:vAlign w:val="bottom"/>
                  <w:hideMark/>
                </w:tcPr>
                <w:p w:rsidR="003C746E" w:rsidRPr="004C0C49" w:rsidP="003C746E" w14:paraId="4D0D73F0"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1" w:type="dxa"/>
                  <w:tcBorders>
                    <w:top w:val="nil"/>
                    <w:left w:val="nil"/>
                    <w:bottom w:val="nil"/>
                    <w:right w:val="nil"/>
                  </w:tcBorders>
                  <w:shd w:val="clear" w:color="000000" w:fill="F2F2F2"/>
                  <w:noWrap/>
                  <w:vAlign w:val="bottom"/>
                  <w:hideMark/>
                </w:tcPr>
                <w:p w:rsidR="003C746E" w:rsidRPr="004C0C49" w:rsidP="003C746E" w14:paraId="18258E24"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1134" w:type="dxa"/>
                  <w:tcBorders>
                    <w:top w:val="nil"/>
                    <w:left w:val="nil"/>
                    <w:bottom w:val="nil"/>
                    <w:right w:val="nil"/>
                  </w:tcBorders>
                  <w:shd w:val="clear" w:color="000000" w:fill="F2F2F2"/>
                  <w:noWrap/>
                  <w:vAlign w:val="bottom"/>
                  <w:hideMark/>
                </w:tcPr>
                <w:p w:rsidR="003C746E" w:rsidRPr="004C0C49" w:rsidP="003C746E" w14:paraId="73CAA748"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1134" w:type="dxa"/>
                  <w:tcBorders>
                    <w:top w:val="nil"/>
                    <w:left w:val="nil"/>
                    <w:bottom w:val="nil"/>
                    <w:right w:val="nil"/>
                  </w:tcBorders>
                  <w:shd w:val="clear" w:color="000000" w:fill="F2F2F2"/>
                  <w:noWrap/>
                  <w:vAlign w:val="bottom"/>
                  <w:hideMark/>
                </w:tcPr>
                <w:p w:rsidR="003C746E" w:rsidRPr="004C0C49" w:rsidP="003C746E" w14:paraId="40807BCD"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9" w:type="dxa"/>
                  <w:tcBorders>
                    <w:top w:val="nil"/>
                    <w:left w:val="nil"/>
                    <w:bottom w:val="nil"/>
                    <w:right w:val="nil"/>
                  </w:tcBorders>
                  <w:shd w:val="clear" w:color="000000" w:fill="F2F2F2"/>
                  <w:noWrap/>
                  <w:vAlign w:val="bottom"/>
                  <w:hideMark/>
                </w:tcPr>
                <w:p w:rsidR="003C746E" w:rsidRPr="004C0C49" w:rsidP="003C746E" w14:paraId="1C1A510D"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nil"/>
                    <w:left w:val="nil"/>
                    <w:bottom w:val="nil"/>
                    <w:right w:val="nil"/>
                  </w:tcBorders>
                  <w:shd w:val="clear" w:color="000000" w:fill="F2F2F2"/>
                  <w:noWrap/>
                  <w:vAlign w:val="bottom"/>
                  <w:hideMark/>
                </w:tcPr>
                <w:p w:rsidR="003C746E" w:rsidRPr="004C0C49" w:rsidP="003C746E" w14:paraId="38A41094"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3" w:type="dxa"/>
                  <w:tcBorders>
                    <w:top w:val="nil"/>
                    <w:left w:val="nil"/>
                    <w:bottom w:val="nil"/>
                    <w:right w:val="nil"/>
                  </w:tcBorders>
                  <w:shd w:val="clear" w:color="000000" w:fill="F2F2F2"/>
                  <w:noWrap/>
                  <w:vAlign w:val="bottom"/>
                  <w:hideMark/>
                </w:tcPr>
                <w:p w:rsidR="003C746E" w:rsidRPr="004C0C49" w:rsidP="003C746E" w14:paraId="091CC1BB"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567" w:type="dxa"/>
                  <w:tcBorders>
                    <w:top w:val="nil"/>
                    <w:left w:val="nil"/>
                    <w:bottom w:val="nil"/>
                    <w:right w:val="nil"/>
                  </w:tcBorders>
                  <w:shd w:val="clear" w:color="000000" w:fill="F2F2F2"/>
                  <w:noWrap/>
                  <w:vAlign w:val="bottom"/>
                  <w:hideMark/>
                </w:tcPr>
                <w:p w:rsidR="003C746E" w:rsidRPr="004C0C49" w:rsidP="003C746E" w14:paraId="2F40CCBF"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0" w:type="dxa"/>
                  <w:tcBorders>
                    <w:top w:val="nil"/>
                    <w:left w:val="nil"/>
                    <w:bottom w:val="nil"/>
                    <w:right w:val="nil"/>
                  </w:tcBorders>
                  <w:shd w:val="clear" w:color="000000" w:fill="F2F2F2"/>
                  <w:noWrap/>
                  <w:vAlign w:val="bottom"/>
                  <w:hideMark/>
                </w:tcPr>
                <w:p w:rsidR="003C746E" w:rsidRPr="004C0C49" w:rsidP="003C746E" w14:paraId="63FB7C7F"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1" w:type="dxa"/>
                  <w:tcBorders>
                    <w:top w:val="nil"/>
                    <w:left w:val="nil"/>
                    <w:bottom w:val="nil"/>
                    <w:right w:val="nil"/>
                  </w:tcBorders>
                  <w:shd w:val="clear" w:color="000000" w:fill="F2F2F2"/>
                  <w:noWrap/>
                  <w:vAlign w:val="bottom"/>
                  <w:hideMark/>
                </w:tcPr>
                <w:p w:rsidR="003C746E" w:rsidRPr="004C0C49" w:rsidP="003C746E" w14:paraId="41E40E6B"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r>
            <w:tr w14:paraId="061E3E7E" w14:textId="77777777" w:rsidTr="003C746E">
              <w:tblPrEx>
                <w:tblW w:w="8818" w:type="dxa"/>
                <w:tblLayout w:type="fixed"/>
                <w:tblLook w:val="04A0"/>
              </w:tblPrEx>
              <w:trPr>
                <w:trHeight w:val="420"/>
              </w:trPr>
              <w:tc>
                <w:tcPr>
                  <w:tcW w:w="3006" w:type="dxa"/>
                  <w:gridSpan w:val="3"/>
                  <w:tcBorders>
                    <w:top w:val="single" w:sz="4" w:space="0" w:color="auto"/>
                    <w:left w:val="single" w:sz="4" w:space="0" w:color="auto"/>
                    <w:bottom w:val="single" w:sz="4" w:space="0" w:color="auto"/>
                    <w:right w:val="single" w:sz="4" w:space="0" w:color="000000"/>
                  </w:tcBorders>
                  <w:shd w:val="clear" w:color="000000" w:fill="FFC000"/>
                  <w:vAlign w:val="center"/>
                  <w:hideMark/>
                </w:tcPr>
                <w:p w:rsidR="003C746E" w:rsidRPr="004C0C49" w:rsidP="003C746E" w14:paraId="4D1B12D2"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Pavisam kopā (samaksa par manipulācijām + samaksas par </w:t>
                  </w:r>
                  <w:r w:rsidRPr="004C0C49">
                    <w:rPr>
                      <w:rFonts w:ascii="Times New Roman" w:eastAsia="Times New Roman" w:hAnsi="Times New Roman" w:cs="Times New Roman"/>
                      <w:sz w:val="14"/>
                      <w:szCs w:val="14"/>
                      <w:lang w:eastAsia="lv-LV"/>
                    </w:rPr>
                    <w:t>gultasdienām</w:t>
                  </w:r>
                  <w:r w:rsidRPr="004C0C49">
                    <w:rPr>
                      <w:rFonts w:ascii="Times New Roman" w:eastAsia="Times New Roman" w:hAnsi="Times New Roman" w:cs="Times New Roman"/>
                      <w:sz w:val="14"/>
                      <w:szCs w:val="14"/>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C746E" w:rsidRPr="004C0C49" w:rsidP="003C746E" w14:paraId="22ADD948" w14:textId="77777777">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  </w:t>
                  </w:r>
                  <w:r w:rsidRPr="004C0C49">
                    <w:rPr>
                      <w:rFonts w:ascii="Times New Roman" w:eastAsia="Times New Roman" w:hAnsi="Times New Roman" w:cs="Times New Roman"/>
                      <w:sz w:val="14"/>
                      <w:szCs w:val="14"/>
                      <w:lang w:eastAsia="lv-LV"/>
                    </w:rPr>
                    <w:t xml:space="preserve"> 5 437 809.98 </w:t>
                  </w:r>
                </w:p>
              </w:tc>
              <w:tc>
                <w:tcPr>
                  <w:tcW w:w="709"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02757494"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6F0607F0"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3"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556B688A"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3 651 044.27 </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14966BB3"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0"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69AE6547"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1"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627037EC"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1 786 765.71 </w:t>
                  </w:r>
                </w:p>
              </w:tc>
            </w:tr>
            <w:tr w14:paraId="7E33DA1A" w14:textId="77777777" w:rsidTr="003C746E">
              <w:tblPrEx>
                <w:tblW w:w="8818" w:type="dxa"/>
                <w:tblLayout w:type="fixed"/>
                <w:tblLook w:val="04A0"/>
              </w:tblPrEx>
              <w:trPr>
                <w:trHeight w:val="315"/>
              </w:trPr>
              <w:tc>
                <w:tcPr>
                  <w:tcW w:w="102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C746E" w:rsidRPr="004C0C49" w:rsidP="003C746E" w14:paraId="51500E83"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Plānotais pacientu skaits:</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C746E" w:rsidRPr="004C0C49" w:rsidP="003C746E" w14:paraId="07498DE9"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C746E" w:rsidRPr="004C0C49" w:rsidP="003C746E" w14:paraId="2BD5E0B6"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13142</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471A8161"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5EE24938"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3"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2A1FC129"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9607</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1F42173D"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458254BA"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1"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33F94E0B"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3535</w:t>
                  </w:r>
                </w:p>
              </w:tc>
            </w:tr>
            <w:tr w14:paraId="0DE55912" w14:textId="77777777" w:rsidTr="003C746E">
              <w:tblPrEx>
                <w:tblW w:w="8818" w:type="dxa"/>
                <w:tblLayout w:type="fixed"/>
                <w:tblLook w:val="04A0"/>
              </w:tblPrEx>
              <w:trPr>
                <w:trHeight w:val="660"/>
              </w:trPr>
              <w:tc>
                <w:tcPr>
                  <w:tcW w:w="102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C746E" w:rsidRPr="004C0C49" w:rsidP="003C746E" w14:paraId="26431D0B"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Vienas ārstēšanas vidējās izmaksas (izmaksas/ pacientu skaits)</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C746E" w:rsidRPr="004C0C49" w:rsidP="003C746E" w14:paraId="77BE03BD"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C746E" w:rsidRPr="004C0C49" w:rsidP="003C746E" w14:paraId="4FA25435"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21855A7C"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13ED09BC"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3"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079B3E1A" w14:textId="77777777">
                  <w:pPr>
                    <w:spacing w:after="0" w:line="240" w:lineRule="auto"/>
                    <w:jc w:val="center"/>
                    <w:rPr>
                      <w:rFonts w:ascii="Times New Roman" w:eastAsia="Times New Roman" w:hAnsi="Times New Roman" w:cs="Times New Roman"/>
                      <w:b/>
                      <w:bCs/>
                      <w:sz w:val="14"/>
                      <w:szCs w:val="14"/>
                      <w:lang w:eastAsia="lv-LV"/>
                    </w:rPr>
                  </w:pPr>
                  <w:r w:rsidRPr="004C0C49">
                    <w:rPr>
                      <w:rFonts w:ascii="Times New Roman" w:eastAsia="Times New Roman" w:hAnsi="Times New Roman" w:cs="Times New Roman"/>
                      <w:b/>
                      <w:bCs/>
                      <w:sz w:val="14"/>
                      <w:szCs w:val="14"/>
                      <w:lang w:eastAsia="lv-LV"/>
                    </w:rPr>
                    <w:t xml:space="preserve">                     380.04 </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69AA25E3" w14:textId="77777777">
                  <w:pPr>
                    <w:spacing w:after="0" w:line="240" w:lineRule="auto"/>
                    <w:jc w:val="center"/>
                    <w:rPr>
                      <w:rFonts w:ascii="Times New Roman" w:eastAsia="Times New Roman" w:hAnsi="Times New Roman" w:cs="Times New Roman"/>
                      <w:b/>
                      <w:bCs/>
                      <w:sz w:val="14"/>
                      <w:szCs w:val="14"/>
                      <w:lang w:eastAsia="lv-LV"/>
                    </w:rPr>
                  </w:pPr>
                  <w:r w:rsidRPr="004C0C49">
                    <w:rPr>
                      <w:rFonts w:ascii="Times New Roman" w:eastAsia="Times New Roman" w:hAnsi="Times New Roman" w:cs="Times New Roman"/>
                      <w:b/>
                      <w:bCs/>
                      <w:sz w:val="14"/>
                      <w:szCs w:val="14"/>
                      <w:lang w:eastAsia="lv-LV"/>
                    </w:rPr>
                    <w:t> </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3C746E" w:rsidRPr="004C0C49" w:rsidP="003C746E" w14:paraId="3F7C6961" w14:textId="77777777">
                  <w:pPr>
                    <w:spacing w:after="0" w:line="240" w:lineRule="auto"/>
                    <w:jc w:val="center"/>
                    <w:rPr>
                      <w:rFonts w:ascii="Times New Roman" w:eastAsia="Times New Roman" w:hAnsi="Times New Roman" w:cs="Times New Roman"/>
                      <w:b/>
                      <w:bCs/>
                      <w:sz w:val="14"/>
                      <w:szCs w:val="14"/>
                      <w:lang w:eastAsia="lv-LV"/>
                    </w:rPr>
                  </w:pPr>
                  <w:r w:rsidRPr="004C0C49">
                    <w:rPr>
                      <w:rFonts w:ascii="Times New Roman" w:eastAsia="Times New Roman" w:hAnsi="Times New Roman" w:cs="Times New Roman"/>
                      <w:b/>
                      <w:bCs/>
                      <w:sz w:val="14"/>
                      <w:szCs w:val="14"/>
                      <w:lang w:eastAsia="lv-LV"/>
                    </w:rPr>
                    <w:t> </w:t>
                  </w:r>
                </w:p>
              </w:tc>
              <w:tc>
                <w:tcPr>
                  <w:tcW w:w="851" w:type="dxa"/>
                  <w:tcBorders>
                    <w:top w:val="single" w:sz="4" w:space="0" w:color="auto"/>
                    <w:left w:val="nil"/>
                    <w:bottom w:val="single" w:sz="4" w:space="0" w:color="auto"/>
                    <w:right w:val="single" w:sz="4" w:space="0" w:color="auto"/>
                  </w:tcBorders>
                  <w:shd w:val="clear" w:color="000000" w:fill="FFC000"/>
                  <w:vAlign w:val="center"/>
                  <w:hideMark/>
                </w:tcPr>
                <w:p w:rsidR="003C746E" w:rsidRPr="004C0C49" w:rsidP="003C746E" w14:paraId="22E38801" w14:textId="77777777">
                  <w:pPr>
                    <w:spacing w:after="0" w:line="240" w:lineRule="auto"/>
                    <w:jc w:val="center"/>
                    <w:rPr>
                      <w:rFonts w:ascii="Times New Roman" w:eastAsia="Times New Roman" w:hAnsi="Times New Roman" w:cs="Times New Roman"/>
                      <w:b/>
                      <w:bCs/>
                      <w:sz w:val="14"/>
                      <w:szCs w:val="14"/>
                      <w:lang w:eastAsia="lv-LV"/>
                    </w:rPr>
                  </w:pPr>
                  <w:r w:rsidRPr="004C0C49">
                    <w:rPr>
                      <w:rFonts w:ascii="Times New Roman" w:eastAsia="Times New Roman" w:hAnsi="Times New Roman" w:cs="Times New Roman"/>
                      <w:b/>
                      <w:bCs/>
                      <w:sz w:val="14"/>
                      <w:szCs w:val="14"/>
                      <w:lang w:eastAsia="lv-LV"/>
                    </w:rPr>
                    <w:t xml:space="preserve">                   505.45 </w:t>
                  </w:r>
                </w:p>
              </w:tc>
            </w:tr>
          </w:tbl>
          <w:p w:rsidR="00987A1C" w:rsidP="00B56C63" w14:paraId="3296BEB0" w14:textId="77777777">
            <w:pPr>
              <w:spacing w:after="120"/>
              <w:jc w:val="right"/>
              <w:rPr>
                <w:rFonts w:ascii="Times New Roman" w:hAnsi="Times New Roman" w:cs="Times New Roman"/>
                <w:u w:val="single"/>
              </w:rPr>
            </w:pPr>
          </w:p>
          <w:p w:rsidR="00B56C63" w:rsidRPr="00B56C63" w:rsidP="00B56C63" w14:paraId="5C1E33C9" w14:textId="77777777">
            <w:pPr>
              <w:spacing w:after="120"/>
              <w:jc w:val="right"/>
              <w:rPr>
                <w:rFonts w:ascii="Times New Roman" w:hAnsi="Times New Roman" w:cs="Times New Roman"/>
                <w:i/>
              </w:rPr>
            </w:pPr>
            <w:r w:rsidRPr="00B56C63">
              <w:rPr>
                <w:rFonts w:ascii="Times New Roman" w:hAnsi="Times New Roman" w:cs="Times New Roman"/>
                <w:i/>
              </w:rPr>
              <w:t>Tabula Nr.2</w:t>
            </w:r>
          </w:p>
          <w:tbl>
            <w:tblPr>
              <w:tblW w:w="8200" w:type="dxa"/>
              <w:tblInd w:w="308" w:type="dxa"/>
              <w:tblLayout w:type="fixed"/>
              <w:tblLook w:val="04A0"/>
            </w:tblPr>
            <w:tblGrid>
              <w:gridCol w:w="1460"/>
              <w:gridCol w:w="1660"/>
              <w:gridCol w:w="1900"/>
              <w:gridCol w:w="1640"/>
              <w:gridCol w:w="1540"/>
            </w:tblGrid>
            <w:tr w14:paraId="0803D9F8" w14:textId="77777777" w:rsidTr="00B56C63">
              <w:tblPrEx>
                <w:tblW w:w="8200" w:type="dxa"/>
                <w:tblInd w:w="308" w:type="dxa"/>
                <w:tblLayout w:type="fixed"/>
                <w:tblLook w:val="04A0"/>
              </w:tblPrEx>
              <w:trPr>
                <w:trHeight w:val="880"/>
              </w:trPr>
              <w:tc>
                <w:tcPr>
                  <w:tcW w:w="1460" w:type="dxa"/>
                  <w:tcBorders>
                    <w:top w:val="single" w:sz="8" w:space="0" w:color="auto"/>
                    <w:left w:val="single" w:sz="8" w:space="0" w:color="auto"/>
                    <w:bottom w:val="single" w:sz="8" w:space="0" w:color="auto"/>
                    <w:right w:val="single" w:sz="8" w:space="0" w:color="auto"/>
                  </w:tcBorders>
                  <w:shd w:val="clear" w:color="000000" w:fill="FFC000"/>
                  <w:vAlign w:val="center"/>
                  <w:hideMark/>
                </w:tcPr>
                <w:p w:rsidR="00E97A8F" w:rsidRPr="00E97A8F" w:rsidP="00E97A8F" w14:paraId="0DB59BA9" w14:textId="77777777">
                  <w:pPr>
                    <w:spacing w:after="0" w:line="240" w:lineRule="auto"/>
                    <w:jc w:val="center"/>
                    <w:rPr>
                      <w:rFonts w:ascii="Times New Roman" w:eastAsia="Times New Roman" w:hAnsi="Times New Roman" w:cs="Times New Roman"/>
                      <w:b/>
                      <w:bCs/>
                      <w:color w:val="000000"/>
                      <w:sz w:val="20"/>
                      <w:szCs w:val="20"/>
                      <w:lang w:eastAsia="lv-LV"/>
                    </w:rPr>
                  </w:pPr>
                </w:p>
              </w:tc>
              <w:tc>
                <w:tcPr>
                  <w:tcW w:w="1660" w:type="dxa"/>
                  <w:tcBorders>
                    <w:top w:val="single" w:sz="8" w:space="0" w:color="auto"/>
                    <w:left w:val="nil"/>
                    <w:bottom w:val="single" w:sz="8" w:space="0" w:color="auto"/>
                    <w:right w:val="single" w:sz="8" w:space="0" w:color="auto"/>
                  </w:tcBorders>
                  <w:shd w:val="clear" w:color="000000" w:fill="FFC000"/>
                  <w:vAlign w:val="center"/>
                  <w:hideMark/>
                </w:tcPr>
                <w:p w:rsidR="00E97A8F" w:rsidRPr="00E97A8F" w:rsidP="00E97A8F" w14:paraId="0B215C9E"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 xml:space="preserve">Vienas ārstēšanas vidējās izmaksas, </w:t>
                  </w:r>
                  <w:r w:rsidRPr="00E97A8F">
                    <w:rPr>
                      <w:rFonts w:ascii="Times New Roman" w:eastAsia="Times New Roman" w:hAnsi="Times New Roman" w:cs="Times New Roman"/>
                      <w:i/>
                      <w:iCs/>
                      <w:color w:val="000000"/>
                      <w:sz w:val="20"/>
                      <w:szCs w:val="20"/>
                      <w:lang w:eastAsia="lv-LV"/>
                    </w:rPr>
                    <w:t>euro</w:t>
                  </w:r>
                </w:p>
              </w:tc>
              <w:tc>
                <w:tcPr>
                  <w:tcW w:w="1900" w:type="dxa"/>
                  <w:tcBorders>
                    <w:top w:val="single" w:sz="8" w:space="0" w:color="auto"/>
                    <w:left w:val="nil"/>
                    <w:bottom w:val="single" w:sz="8" w:space="0" w:color="auto"/>
                    <w:right w:val="single" w:sz="8" w:space="0" w:color="auto"/>
                  </w:tcBorders>
                  <w:shd w:val="clear" w:color="000000" w:fill="FFC000"/>
                  <w:vAlign w:val="center"/>
                  <w:hideMark/>
                </w:tcPr>
                <w:p w:rsidR="00E97A8F" w:rsidRPr="00E97A8F" w:rsidP="00E97A8F" w14:paraId="19EAD20C"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Pacientu ārstēšanas ilgums</w:t>
                  </w:r>
                </w:p>
              </w:tc>
              <w:tc>
                <w:tcPr>
                  <w:tcW w:w="1640" w:type="dxa"/>
                  <w:tcBorders>
                    <w:top w:val="single" w:sz="8" w:space="0" w:color="auto"/>
                    <w:left w:val="nil"/>
                    <w:bottom w:val="single" w:sz="8" w:space="0" w:color="auto"/>
                    <w:right w:val="single" w:sz="8" w:space="0" w:color="auto"/>
                  </w:tcBorders>
                  <w:shd w:val="clear" w:color="000000" w:fill="FFC000"/>
                  <w:vAlign w:val="center"/>
                  <w:hideMark/>
                </w:tcPr>
                <w:p w:rsidR="00E97A8F" w:rsidRPr="00E97A8F" w:rsidP="00E97A8F" w14:paraId="6088D61F"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Plānotais pakalpojumu skaits pēc finansējuma piešķīruma</w:t>
                  </w:r>
                </w:p>
              </w:tc>
              <w:tc>
                <w:tcPr>
                  <w:tcW w:w="1540" w:type="dxa"/>
                  <w:tcBorders>
                    <w:top w:val="single" w:sz="8" w:space="0" w:color="auto"/>
                    <w:left w:val="nil"/>
                    <w:bottom w:val="single" w:sz="8" w:space="0" w:color="auto"/>
                    <w:right w:val="single" w:sz="8" w:space="0" w:color="auto"/>
                  </w:tcBorders>
                  <w:shd w:val="clear" w:color="000000" w:fill="FFC000"/>
                  <w:vAlign w:val="center"/>
                  <w:hideMark/>
                </w:tcPr>
                <w:p w:rsidR="00E97A8F" w:rsidRPr="00E97A8F" w:rsidP="00E97A8F" w14:paraId="7C8B5334"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 xml:space="preserve">Papildu finansējums, </w:t>
                  </w:r>
                  <w:r w:rsidRPr="00E97A8F">
                    <w:rPr>
                      <w:rFonts w:ascii="Times New Roman" w:eastAsia="Times New Roman" w:hAnsi="Times New Roman" w:cs="Times New Roman"/>
                      <w:i/>
                      <w:iCs/>
                      <w:color w:val="000000"/>
                      <w:sz w:val="20"/>
                      <w:szCs w:val="20"/>
                      <w:lang w:eastAsia="lv-LV"/>
                    </w:rPr>
                    <w:t>euro</w:t>
                  </w:r>
                </w:p>
              </w:tc>
            </w:tr>
            <w:tr w14:paraId="75F427CC" w14:textId="77777777" w:rsidTr="00E97A8F">
              <w:tblPrEx>
                <w:tblW w:w="8200" w:type="dxa"/>
                <w:tblInd w:w="308" w:type="dxa"/>
                <w:tblLayout w:type="fixed"/>
                <w:tblLook w:val="04A0"/>
              </w:tblPrEx>
              <w:trPr>
                <w:trHeight w:val="510"/>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E97A8F" w:rsidRPr="00E97A8F" w:rsidP="00E97A8F" w14:paraId="16CDBE1C"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Hronisko pacientu aprūpe</w:t>
                  </w:r>
                </w:p>
              </w:tc>
              <w:tc>
                <w:tcPr>
                  <w:tcW w:w="1660" w:type="dxa"/>
                  <w:tcBorders>
                    <w:top w:val="nil"/>
                    <w:left w:val="nil"/>
                    <w:bottom w:val="single" w:sz="8" w:space="0" w:color="auto"/>
                    <w:right w:val="single" w:sz="8" w:space="0" w:color="auto"/>
                  </w:tcBorders>
                  <w:shd w:val="clear" w:color="auto" w:fill="auto"/>
                  <w:noWrap/>
                  <w:vAlign w:val="center"/>
                  <w:hideMark/>
                </w:tcPr>
                <w:p w:rsidR="00E97A8F" w:rsidRPr="00E97A8F" w:rsidP="00E97A8F" w14:paraId="6E0308CB"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380</w:t>
                  </w:r>
                  <w:r w:rsidR="00B307EE">
                    <w:rPr>
                      <w:rFonts w:ascii="Times New Roman" w:eastAsia="Times New Roman" w:hAnsi="Times New Roman" w:cs="Times New Roman"/>
                      <w:color w:val="000000"/>
                      <w:sz w:val="20"/>
                      <w:szCs w:val="20"/>
                      <w:lang w:eastAsia="lv-LV"/>
                    </w:rPr>
                    <w:t>,</w:t>
                  </w:r>
                  <w:r w:rsidRPr="00E97A8F">
                    <w:rPr>
                      <w:rFonts w:ascii="Times New Roman" w:eastAsia="Times New Roman" w:hAnsi="Times New Roman" w:cs="Times New Roman"/>
                      <w:color w:val="000000"/>
                      <w:sz w:val="20"/>
                      <w:szCs w:val="20"/>
                      <w:lang w:eastAsia="lv-LV"/>
                    </w:rPr>
                    <w:t>04</w:t>
                  </w:r>
                </w:p>
              </w:tc>
              <w:tc>
                <w:tcPr>
                  <w:tcW w:w="1900" w:type="dxa"/>
                  <w:tcBorders>
                    <w:top w:val="nil"/>
                    <w:left w:val="nil"/>
                    <w:bottom w:val="single" w:sz="8" w:space="0" w:color="auto"/>
                    <w:right w:val="single" w:sz="8" w:space="0" w:color="auto"/>
                  </w:tcBorders>
                  <w:shd w:val="clear" w:color="auto" w:fill="auto"/>
                  <w:vAlign w:val="center"/>
                  <w:hideMark/>
                </w:tcPr>
                <w:p w:rsidR="00E97A8F" w:rsidRPr="00E97A8F" w:rsidP="00E97A8F" w14:paraId="05753EAC"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līdz 10 dienām (ieskaitot)</w:t>
                  </w:r>
                </w:p>
              </w:tc>
              <w:tc>
                <w:tcPr>
                  <w:tcW w:w="1640" w:type="dxa"/>
                  <w:tcBorders>
                    <w:top w:val="nil"/>
                    <w:left w:val="nil"/>
                    <w:bottom w:val="single" w:sz="8" w:space="0" w:color="auto"/>
                    <w:right w:val="single" w:sz="8" w:space="0" w:color="auto"/>
                  </w:tcBorders>
                  <w:shd w:val="clear" w:color="auto" w:fill="auto"/>
                  <w:vAlign w:val="center"/>
                  <w:hideMark/>
                </w:tcPr>
                <w:p w:rsidR="00E97A8F" w:rsidRPr="00E97A8F" w:rsidP="00E97A8F" w14:paraId="7DF207C0"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bCs/>
                      <w:color w:val="000000"/>
                      <w:sz w:val="20"/>
                      <w:szCs w:val="20"/>
                      <w:lang w:eastAsia="lv-LV"/>
                    </w:rPr>
                    <w:t>4</w:t>
                  </w:r>
                  <w:r w:rsidR="003954D6">
                    <w:rPr>
                      <w:rFonts w:ascii="Times New Roman" w:eastAsia="Times New Roman" w:hAnsi="Times New Roman" w:cs="Times New Roman"/>
                      <w:bCs/>
                      <w:color w:val="000000"/>
                      <w:sz w:val="20"/>
                      <w:szCs w:val="20"/>
                      <w:lang w:eastAsia="lv-LV"/>
                    </w:rPr>
                    <w:t> </w:t>
                  </w:r>
                  <w:r w:rsidRPr="00E97A8F">
                    <w:rPr>
                      <w:rFonts w:ascii="Times New Roman" w:eastAsia="Times New Roman" w:hAnsi="Times New Roman" w:cs="Times New Roman"/>
                      <w:bCs/>
                      <w:color w:val="000000"/>
                      <w:sz w:val="20"/>
                      <w:szCs w:val="20"/>
                      <w:lang w:eastAsia="lv-LV"/>
                    </w:rPr>
                    <w:t>803</w:t>
                  </w:r>
                  <w:r w:rsidR="003954D6">
                    <w:rPr>
                      <w:rFonts w:ascii="Times New Roman" w:eastAsia="Times New Roman" w:hAnsi="Times New Roman" w:cs="Times New Roman"/>
                      <w:noProof/>
                      <w:sz w:val="20"/>
                      <w:szCs w:val="20"/>
                      <w:lang w:bidi="gu-IN"/>
                    </w:rPr>
                    <w:t>*</w:t>
                  </w:r>
                </w:p>
              </w:tc>
              <w:tc>
                <w:tcPr>
                  <w:tcW w:w="1540" w:type="dxa"/>
                  <w:tcBorders>
                    <w:top w:val="nil"/>
                    <w:left w:val="nil"/>
                    <w:bottom w:val="single" w:sz="8" w:space="0" w:color="auto"/>
                    <w:right w:val="single" w:sz="8" w:space="0" w:color="auto"/>
                  </w:tcBorders>
                  <w:shd w:val="clear" w:color="auto" w:fill="auto"/>
                  <w:noWrap/>
                  <w:vAlign w:val="center"/>
                  <w:hideMark/>
                </w:tcPr>
                <w:p w:rsidR="00E97A8F" w:rsidRPr="00E97A8F" w:rsidP="00E97A8F" w14:paraId="49204497"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1 825 332</w:t>
                  </w:r>
                </w:p>
              </w:tc>
            </w:tr>
            <w:tr w14:paraId="02E2D829" w14:textId="77777777" w:rsidTr="00E97A8F">
              <w:tblPrEx>
                <w:tblW w:w="8200" w:type="dxa"/>
                <w:tblInd w:w="308" w:type="dxa"/>
                <w:tblLayout w:type="fixed"/>
                <w:tblLook w:val="04A0"/>
              </w:tblPrEx>
              <w:trPr>
                <w:trHeight w:val="570"/>
              </w:trPr>
              <w:tc>
                <w:tcPr>
                  <w:tcW w:w="1460" w:type="dxa"/>
                  <w:vMerge/>
                  <w:tcBorders>
                    <w:top w:val="nil"/>
                    <w:left w:val="single" w:sz="8" w:space="0" w:color="auto"/>
                    <w:bottom w:val="single" w:sz="8" w:space="0" w:color="000000"/>
                    <w:right w:val="single" w:sz="8" w:space="0" w:color="auto"/>
                  </w:tcBorders>
                  <w:vAlign w:val="center"/>
                  <w:hideMark/>
                </w:tcPr>
                <w:p w:rsidR="00E97A8F" w:rsidRPr="00E97A8F" w:rsidP="00E97A8F" w14:paraId="32A7C03C" w14:textId="77777777">
                  <w:pPr>
                    <w:spacing w:after="0" w:line="240" w:lineRule="auto"/>
                    <w:jc w:val="center"/>
                    <w:rPr>
                      <w:rFonts w:ascii="Times New Roman" w:eastAsia="Times New Roman" w:hAnsi="Times New Roman" w:cs="Times New Roman"/>
                      <w:color w:val="000000"/>
                      <w:sz w:val="20"/>
                      <w:szCs w:val="20"/>
                      <w:lang w:eastAsia="lv-LV"/>
                    </w:rPr>
                  </w:pPr>
                </w:p>
              </w:tc>
              <w:tc>
                <w:tcPr>
                  <w:tcW w:w="1660" w:type="dxa"/>
                  <w:tcBorders>
                    <w:top w:val="nil"/>
                    <w:left w:val="nil"/>
                    <w:bottom w:val="single" w:sz="8" w:space="0" w:color="auto"/>
                    <w:right w:val="single" w:sz="8" w:space="0" w:color="auto"/>
                  </w:tcBorders>
                  <w:shd w:val="clear" w:color="auto" w:fill="auto"/>
                  <w:noWrap/>
                  <w:vAlign w:val="center"/>
                  <w:hideMark/>
                </w:tcPr>
                <w:p w:rsidR="00E97A8F" w:rsidRPr="00E97A8F" w:rsidP="00E97A8F" w14:paraId="688692D7" w14:textId="7777777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505,</w:t>
                  </w:r>
                  <w:r w:rsidRPr="00E97A8F">
                    <w:rPr>
                      <w:rFonts w:ascii="Times New Roman" w:eastAsia="Times New Roman" w:hAnsi="Times New Roman" w:cs="Times New Roman"/>
                      <w:color w:val="000000"/>
                      <w:sz w:val="20"/>
                      <w:szCs w:val="20"/>
                      <w:lang w:eastAsia="lv-LV"/>
                    </w:rPr>
                    <w:t>45</w:t>
                  </w:r>
                </w:p>
              </w:tc>
              <w:tc>
                <w:tcPr>
                  <w:tcW w:w="1900" w:type="dxa"/>
                  <w:tcBorders>
                    <w:top w:val="nil"/>
                    <w:left w:val="nil"/>
                    <w:bottom w:val="single" w:sz="8" w:space="0" w:color="auto"/>
                    <w:right w:val="single" w:sz="8" w:space="0" w:color="auto"/>
                  </w:tcBorders>
                  <w:shd w:val="clear" w:color="auto" w:fill="auto"/>
                  <w:vAlign w:val="center"/>
                  <w:hideMark/>
                </w:tcPr>
                <w:p w:rsidR="00E97A8F" w:rsidRPr="00E97A8F" w:rsidP="00E97A8F" w14:paraId="0DBC222B"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ilgāks par 10 dienām (blakus diagnozes)</w:t>
                  </w:r>
                </w:p>
              </w:tc>
              <w:tc>
                <w:tcPr>
                  <w:tcW w:w="1640" w:type="dxa"/>
                  <w:tcBorders>
                    <w:top w:val="nil"/>
                    <w:left w:val="nil"/>
                    <w:bottom w:val="single" w:sz="8" w:space="0" w:color="auto"/>
                    <w:right w:val="single" w:sz="8" w:space="0" w:color="auto"/>
                  </w:tcBorders>
                  <w:shd w:val="clear" w:color="auto" w:fill="auto"/>
                  <w:vAlign w:val="center"/>
                  <w:hideMark/>
                </w:tcPr>
                <w:p w:rsidR="00E97A8F" w:rsidRPr="00E97A8F" w:rsidP="00E97A8F" w14:paraId="057779DB"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bCs/>
                      <w:color w:val="000000"/>
                      <w:sz w:val="20"/>
                      <w:szCs w:val="20"/>
                      <w:lang w:eastAsia="lv-LV"/>
                    </w:rPr>
                    <w:t>1</w:t>
                  </w:r>
                  <w:r w:rsidR="003954D6">
                    <w:rPr>
                      <w:rFonts w:ascii="Times New Roman" w:eastAsia="Times New Roman" w:hAnsi="Times New Roman" w:cs="Times New Roman"/>
                      <w:bCs/>
                      <w:color w:val="000000"/>
                      <w:sz w:val="20"/>
                      <w:szCs w:val="20"/>
                      <w:lang w:eastAsia="lv-LV"/>
                    </w:rPr>
                    <w:t> </w:t>
                  </w:r>
                  <w:r w:rsidRPr="00E97A8F">
                    <w:rPr>
                      <w:rFonts w:ascii="Times New Roman" w:eastAsia="Times New Roman" w:hAnsi="Times New Roman" w:cs="Times New Roman"/>
                      <w:bCs/>
                      <w:color w:val="000000"/>
                      <w:sz w:val="20"/>
                      <w:szCs w:val="20"/>
                      <w:lang w:eastAsia="lv-LV"/>
                    </w:rPr>
                    <w:t>768</w:t>
                  </w:r>
                  <w:r w:rsidR="003954D6">
                    <w:rPr>
                      <w:rFonts w:ascii="Times New Roman" w:eastAsia="Times New Roman" w:hAnsi="Times New Roman" w:cs="Times New Roman"/>
                      <w:noProof/>
                      <w:sz w:val="20"/>
                      <w:szCs w:val="20"/>
                      <w:lang w:bidi="gu-IN"/>
                    </w:rPr>
                    <w:t>*</w:t>
                  </w:r>
                </w:p>
              </w:tc>
              <w:tc>
                <w:tcPr>
                  <w:tcW w:w="1540" w:type="dxa"/>
                  <w:tcBorders>
                    <w:top w:val="nil"/>
                    <w:left w:val="nil"/>
                    <w:bottom w:val="single" w:sz="8" w:space="0" w:color="auto"/>
                    <w:right w:val="single" w:sz="8" w:space="0" w:color="auto"/>
                  </w:tcBorders>
                  <w:shd w:val="clear" w:color="auto" w:fill="auto"/>
                  <w:noWrap/>
                  <w:vAlign w:val="center"/>
                  <w:hideMark/>
                </w:tcPr>
                <w:p w:rsidR="00E97A8F" w:rsidRPr="00E97A8F" w:rsidP="00E97A8F" w14:paraId="538A7CCE"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893 636</w:t>
                  </w:r>
                </w:p>
              </w:tc>
            </w:tr>
            <w:tr w14:paraId="1B85AF2D" w14:textId="77777777" w:rsidTr="00E97A8F">
              <w:tblPrEx>
                <w:tblW w:w="8200" w:type="dxa"/>
                <w:tblInd w:w="308" w:type="dxa"/>
                <w:tblLayout w:type="fixed"/>
                <w:tblLook w:val="04A0"/>
              </w:tblPrEx>
              <w:trPr>
                <w:trHeight w:val="495"/>
              </w:trPr>
              <w:tc>
                <w:tcPr>
                  <w:tcW w:w="5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97A8F" w:rsidRPr="00E97A8F" w:rsidP="00E97A8F" w14:paraId="538B50E5"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Kopā:</w:t>
                  </w:r>
                </w:p>
              </w:tc>
              <w:tc>
                <w:tcPr>
                  <w:tcW w:w="1640" w:type="dxa"/>
                  <w:tcBorders>
                    <w:top w:val="nil"/>
                    <w:left w:val="nil"/>
                    <w:bottom w:val="single" w:sz="8" w:space="0" w:color="auto"/>
                    <w:right w:val="single" w:sz="8" w:space="0" w:color="auto"/>
                  </w:tcBorders>
                  <w:shd w:val="clear" w:color="auto" w:fill="auto"/>
                  <w:vAlign w:val="center"/>
                  <w:hideMark/>
                </w:tcPr>
                <w:p w:rsidR="00E97A8F" w:rsidRPr="00E97A8F" w:rsidP="00E97A8F" w14:paraId="22AB3D48"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6</w:t>
                  </w:r>
                  <w:r w:rsidR="003954D6">
                    <w:rPr>
                      <w:rFonts w:ascii="Times New Roman" w:eastAsia="Times New Roman" w:hAnsi="Times New Roman" w:cs="Times New Roman"/>
                      <w:color w:val="000000"/>
                      <w:sz w:val="20"/>
                      <w:szCs w:val="20"/>
                      <w:lang w:eastAsia="lv-LV"/>
                    </w:rPr>
                    <w:t> </w:t>
                  </w:r>
                  <w:r w:rsidRPr="00E97A8F">
                    <w:rPr>
                      <w:rFonts w:ascii="Times New Roman" w:eastAsia="Times New Roman" w:hAnsi="Times New Roman" w:cs="Times New Roman"/>
                      <w:color w:val="000000"/>
                      <w:sz w:val="20"/>
                      <w:szCs w:val="20"/>
                      <w:lang w:eastAsia="lv-LV"/>
                    </w:rPr>
                    <w:t>571</w:t>
                  </w:r>
                  <w:r w:rsidR="003954D6">
                    <w:rPr>
                      <w:rFonts w:ascii="Times New Roman" w:eastAsia="Times New Roman" w:hAnsi="Times New Roman" w:cs="Times New Roman"/>
                      <w:noProof/>
                      <w:sz w:val="20"/>
                      <w:szCs w:val="20"/>
                      <w:lang w:bidi="gu-IN"/>
                    </w:rPr>
                    <w:t>*</w:t>
                  </w:r>
                </w:p>
              </w:tc>
              <w:tc>
                <w:tcPr>
                  <w:tcW w:w="1540" w:type="dxa"/>
                  <w:tcBorders>
                    <w:top w:val="nil"/>
                    <w:left w:val="nil"/>
                    <w:bottom w:val="single" w:sz="8" w:space="0" w:color="auto"/>
                    <w:right w:val="single" w:sz="8" w:space="0" w:color="auto"/>
                  </w:tcBorders>
                  <w:shd w:val="clear" w:color="auto" w:fill="auto"/>
                  <w:noWrap/>
                  <w:vAlign w:val="center"/>
                  <w:hideMark/>
                </w:tcPr>
                <w:p w:rsidR="00E97A8F" w:rsidRPr="00E97A8F" w:rsidP="00E97A8F" w14:paraId="1E5AC6B4" w14:textId="77777777">
                  <w:pPr>
                    <w:spacing w:after="0" w:line="240" w:lineRule="auto"/>
                    <w:jc w:val="center"/>
                    <w:rPr>
                      <w:rFonts w:ascii="Times New Roman" w:eastAsia="Times New Roman" w:hAnsi="Times New Roman" w:cs="Times New Roman"/>
                      <w:color w:val="000000"/>
                      <w:sz w:val="20"/>
                      <w:szCs w:val="20"/>
                      <w:lang w:eastAsia="lv-LV"/>
                    </w:rPr>
                  </w:pPr>
                  <w:r w:rsidRPr="00E97A8F">
                    <w:rPr>
                      <w:rFonts w:ascii="Times New Roman" w:eastAsia="Times New Roman" w:hAnsi="Times New Roman" w:cs="Times New Roman"/>
                      <w:color w:val="000000"/>
                      <w:sz w:val="20"/>
                      <w:szCs w:val="20"/>
                      <w:lang w:eastAsia="lv-LV"/>
                    </w:rPr>
                    <w:t>2 718 968</w:t>
                  </w:r>
                </w:p>
              </w:tc>
            </w:tr>
          </w:tbl>
          <w:p w:rsidR="006D6911" w:rsidRPr="00A114CF" w:rsidP="00AF7C22" w14:paraId="729E0545" w14:textId="77777777">
            <w:pPr>
              <w:shd w:val="clear" w:color="auto" w:fill="FFFFFF"/>
              <w:jc w:val="both"/>
              <w:rPr>
                <w:rFonts w:ascii="Times New Roman" w:eastAsia="Times New Roman" w:hAnsi="Times New Roman" w:cs="Times New Roman"/>
                <w:noProof/>
                <w:color w:val="FF0000"/>
                <w:lang w:bidi="gu-IN"/>
              </w:rPr>
            </w:pPr>
            <w:r w:rsidRPr="00A114CF">
              <w:rPr>
                <w:rFonts w:ascii="Times New Roman" w:eastAsia="Times New Roman" w:hAnsi="Times New Roman" w:cs="Times New Roman"/>
                <w:noProof/>
                <w:lang w:bidi="gu-IN"/>
              </w:rPr>
              <w:t>* Informatīvajā ziņojumā pacientu skaits tika plānots ņemot par pamatu vajadzību pēc hroniskām gultām atbilstošām diagnozēm. Atbilstoši Informatīvajam ziņojumam pacienti uz hroniskām gultām tiks nosūtīti ar ģimenes ārsta nosūtījumu, pārvedot no augstāka līmeņa slimnīcas atbilstošas  medicīniskās palīdzības un aprūpes nodrošināšanai, kā arī ar Neatliekamās medicīniskās palīdzības dienesta brigādi.</w:t>
            </w:r>
            <w:r w:rsidR="00A114CF">
              <w:rPr>
                <w:rFonts w:ascii="Times New Roman" w:eastAsia="Times New Roman" w:hAnsi="Times New Roman" w:cs="Times New Roman"/>
                <w:noProof/>
                <w:lang w:bidi="gu-IN"/>
              </w:rPr>
              <w:t xml:space="preserve"> </w:t>
            </w:r>
            <w:r w:rsidRPr="00A114CF">
              <w:rPr>
                <w:rFonts w:ascii="Times New Roman" w:eastAsia="Times New Roman" w:hAnsi="Times New Roman" w:cs="Times New Roman"/>
                <w:noProof/>
                <w:lang w:bidi="gu-IN"/>
              </w:rPr>
              <w:t>Ņemot vērā, ka hronisko pacientu gultas ir jauns pakalpojuma veids, slimnīcām nepieciešams veikt attiecīgus pasākumus jaunā pakalpojuma nodrošinājumam. Apzinot slimnīcu gatavību un resursus, 2018.gada 2.pusgadā plānotais hronisko pacientu skaits varētu būt 6 571 hospitalizācijas. Papildus plānoto hospitalizāciju samazinājumu ietekmē diagnožu, ar kurām pacientu hospitalizē hronisko pacientu gultā, saraksta pārskatīšana, kā izmaiņas pacientu plūsmā</w:t>
            </w:r>
            <w:r w:rsidR="00A114CF">
              <w:rPr>
                <w:rFonts w:ascii="Times New Roman" w:eastAsia="Times New Roman" w:hAnsi="Times New Roman" w:cs="Times New Roman"/>
                <w:noProof/>
                <w:lang w:bidi="gu-IN"/>
              </w:rPr>
              <w:t>.</w:t>
            </w:r>
            <w:r w:rsidRPr="00A114CF" w:rsidR="00A114CF">
              <w:rPr>
                <w:rFonts w:ascii="Times New Roman" w:eastAsia="Times New Roman" w:hAnsi="Times New Roman" w:cs="Times New Roman"/>
                <w:noProof/>
                <w:lang w:bidi="gu-IN"/>
              </w:rPr>
              <w:t xml:space="preserve"> Šajās nodaļās netiks stacionēti akūtie pacienti kurus atvedīs Neatliekamās medicīniskās palīdzības dienesta brigādes</w:t>
            </w:r>
            <w:r w:rsidRPr="00A114CF">
              <w:rPr>
                <w:rFonts w:ascii="Times New Roman" w:eastAsia="Times New Roman" w:hAnsi="Times New Roman" w:cs="Times New Roman"/>
                <w:noProof/>
                <w:lang w:bidi="gu-IN"/>
              </w:rPr>
              <w:t>. Par plānoto pacientu skaitu varēs secināt pēc 2018.gada 2.pusgada rezultātiem.</w:t>
            </w:r>
          </w:p>
          <w:p w:rsidR="006D6911" w:rsidRPr="0033134E" w:rsidP="00AF7C22" w14:paraId="333D238D" w14:textId="77777777">
            <w:pPr>
              <w:shd w:val="clear" w:color="auto" w:fill="FFFFFF"/>
              <w:jc w:val="both"/>
              <w:rPr>
                <w:rFonts w:ascii="Times New Roman" w:eastAsia="Times New Roman" w:hAnsi="Times New Roman" w:cs="Times New Roman"/>
                <w:noProof/>
                <w:lang w:bidi="gu-IN"/>
              </w:rPr>
            </w:pPr>
            <w:r w:rsidRPr="0033134E">
              <w:rPr>
                <w:rFonts w:ascii="Times New Roman" w:eastAsia="Times New Roman" w:hAnsi="Times New Roman" w:cs="Times New Roman"/>
                <w:noProof/>
                <w:lang w:bidi="gu-IN"/>
              </w:rPr>
              <w:t>Papildu hronisko pacientu ārstēšana 2018.gada 1.pusgadā tādā apjomā, kā nosaka Ministru kabineta projekts, netika veikta, jo nebija atbilstoša normatīvā regulējuma.</w:t>
            </w:r>
          </w:p>
          <w:p w:rsidR="007D62CF" w:rsidRPr="00FB63EF" w:rsidP="00AF7C22" w14:paraId="4B8998E3" w14:textId="77777777">
            <w:pPr>
              <w:spacing w:after="80"/>
              <w:ind w:firstLine="213"/>
              <w:jc w:val="both"/>
              <w:rPr>
                <w:rFonts w:ascii="Times New Roman" w:hAnsi="Times New Roman" w:cs="Times New Roman"/>
              </w:rPr>
            </w:pPr>
          </w:p>
          <w:p w:rsidR="006E4A01" w:rsidRPr="00D82F0B" w:rsidP="006E4A01" w14:paraId="78BB0CEF" w14:textId="77777777">
            <w:pPr>
              <w:spacing w:after="80"/>
              <w:ind w:firstLine="213"/>
              <w:jc w:val="both"/>
              <w:rPr>
                <w:rFonts w:ascii="Times New Roman" w:hAnsi="Times New Roman" w:cs="Times New Roman"/>
              </w:rPr>
            </w:pPr>
            <w:r>
              <w:rPr>
                <w:rFonts w:ascii="Times New Roman" w:hAnsi="Times New Roman" w:cs="Times New Roman"/>
              </w:rPr>
              <w:t xml:space="preserve">Pēc 2018.gada 1. pusgada informatīvajā ziņojumā iekļauto pasākumu izpildes tiks vērtēta iespēja veikt finansējuma pārdali starp pasākumiem, tai skaitā indikatīvi radušos ekonomiju hronisko pacientu aprūpei </w:t>
            </w:r>
            <w:r w:rsidRPr="00D82F0B">
              <w:rPr>
                <w:rFonts w:ascii="Times New Roman" w:hAnsi="Times New Roman" w:cs="Times New Roman"/>
              </w:rPr>
              <w:t xml:space="preserve">( 10 995 930 </w:t>
            </w:r>
            <w:r w:rsidRPr="00D82F0B">
              <w:rPr>
                <w:rFonts w:ascii="Times New Roman" w:hAnsi="Times New Roman" w:cs="Times New Roman"/>
                <w:i/>
              </w:rPr>
              <w:t>euro</w:t>
            </w:r>
            <w:r w:rsidRPr="00D82F0B">
              <w:rPr>
                <w:rFonts w:ascii="Times New Roman" w:hAnsi="Times New Roman" w:cs="Times New Roman"/>
              </w:rPr>
              <w:t xml:space="preserve"> – </w:t>
            </w:r>
            <w:r w:rsidRPr="006E2E8B">
              <w:rPr>
                <w:rFonts w:ascii="Times New Roman" w:hAnsi="Times New Roman" w:cs="Times New Roman"/>
                <w:u w:val="single"/>
              </w:rPr>
              <w:t>2</w:t>
            </w:r>
            <w:r w:rsidRPr="006E2E8B" w:rsidR="00707A95">
              <w:rPr>
                <w:rFonts w:ascii="Times New Roman" w:hAnsi="Times New Roman" w:cs="Times New Roman"/>
                <w:u w:val="single"/>
              </w:rPr>
              <w:t> 718 968</w:t>
            </w:r>
            <w:r w:rsidRPr="006E2E8B">
              <w:rPr>
                <w:rFonts w:ascii="Times New Roman" w:hAnsi="Times New Roman" w:cs="Times New Roman"/>
                <w:u w:val="single"/>
              </w:rPr>
              <w:t xml:space="preserve"> </w:t>
            </w:r>
            <w:r w:rsidRPr="006E2E8B">
              <w:rPr>
                <w:rFonts w:ascii="Times New Roman" w:hAnsi="Times New Roman" w:cs="Times New Roman"/>
                <w:i/>
                <w:u w:val="single"/>
              </w:rPr>
              <w:t>euro</w:t>
            </w:r>
            <w:r w:rsidRPr="006E2E8B">
              <w:rPr>
                <w:rFonts w:ascii="Times New Roman" w:hAnsi="Times New Roman" w:cs="Times New Roman"/>
                <w:u w:val="single"/>
              </w:rPr>
              <w:t xml:space="preserve"> = 8</w:t>
            </w:r>
            <w:r w:rsidRPr="006E2E8B" w:rsidR="002E2FBF">
              <w:rPr>
                <w:rFonts w:ascii="Times New Roman" w:hAnsi="Times New Roman" w:cs="Times New Roman"/>
                <w:u w:val="single"/>
              </w:rPr>
              <w:t> </w:t>
            </w:r>
            <w:r w:rsidRPr="006E2E8B" w:rsidR="00707A95">
              <w:rPr>
                <w:rFonts w:ascii="Times New Roman" w:hAnsi="Times New Roman" w:cs="Times New Roman"/>
                <w:u w:val="single"/>
              </w:rPr>
              <w:t>276</w:t>
            </w:r>
            <w:r w:rsidRPr="006E2E8B" w:rsidR="002E2FBF">
              <w:rPr>
                <w:rFonts w:ascii="Times New Roman" w:hAnsi="Times New Roman" w:cs="Times New Roman"/>
                <w:u w:val="single"/>
              </w:rPr>
              <w:t xml:space="preserve"> </w:t>
            </w:r>
            <w:r w:rsidRPr="006E2E8B" w:rsidR="00707A95">
              <w:rPr>
                <w:rFonts w:ascii="Times New Roman" w:hAnsi="Times New Roman" w:cs="Times New Roman"/>
                <w:u w:val="single"/>
              </w:rPr>
              <w:t>962</w:t>
            </w:r>
            <w:r w:rsidRPr="006E2E8B">
              <w:rPr>
                <w:rFonts w:ascii="Times New Roman" w:hAnsi="Times New Roman" w:cs="Times New Roman"/>
                <w:u w:val="single"/>
              </w:rPr>
              <w:t xml:space="preserve"> </w:t>
            </w:r>
            <w:r w:rsidRPr="006E2E8B">
              <w:rPr>
                <w:rFonts w:ascii="Times New Roman" w:hAnsi="Times New Roman" w:cs="Times New Roman"/>
                <w:i/>
                <w:u w:val="single"/>
              </w:rPr>
              <w:t>euro</w:t>
            </w:r>
            <w:r w:rsidRPr="00D82F0B">
              <w:rPr>
                <w:rFonts w:ascii="Times New Roman" w:hAnsi="Times New Roman" w:cs="Times New Roman"/>
                <w:i/>
              </w:rPr>
              <w:t xml:space="preserve"> </w:t>
            </w:r>
            <w:r w:rsidRPr="00D82F0B">
              <w:rPr>
                <w:rFonts w:ascii="Times New Roman" w:hAnsi="Times New Roman" w:cs="Times New Roman"/>
              </w:rPr>
              <w:t>).</w:t>
            </w:r>
          </w:p>
          <w:p w:rsidR="006D6911" w:rsidRPr="00A114CF" w:rsidP="00AF7C22" w14:paraId="3AEC302D" w14:textId="77777777">
            <w:pPr>
              <w:spacing w:after="80"/>
              <w:ind w:firstLine="213"/>
              <w:jc w:val="both"/>
              <w:rPr>
                <w:rFonts w:ascii="Times New Roman" w:hAnsi="Times New Roman" w:cs="Times New Roman"/>
              </w:rPr>
            </w:pPr>
          </w:p>
          <w:p w:rsidR="006D6911" w:rsidRPr="00A114CF" w:rsidP="00AF7C22" w14:paraId="1200F1DC" w14:textId="77777777">
            <w:pPr>
              <w:widowControl w:val="0"/>
              <w:ind w:firstLine="209"/>
              <w:jc w:val="both"/>
              <w:rPr>
                <w:rFonts w:ascii="Times New Roman" w:eastAsia="Times New Roman" w:hAnsi="Times New Roman" w:cs="Times New Roman"/>
                <w:b/>
                <w:i/>
                <w:u w:val="single"/>
                <w:shd w:val="clear" w:color="auto" w:fill="FFFFFF"/>
                <w:lang w:eastAsia="lv-LV" w:bidi="lv-LV"/>
              </w:rPr>
            </w:pPr>
            <w:r w:rsidRPr="00A114CF">
              <w:rPr>
                <w:rFonts w:ascii="Times New Roman" w:eastAsia="Times New Roman" w:hAnsi="Times New Roman" w:cs="Times New Roman"/>
                <w:b/>
                <w:i/>
                <w:u w:val="single"/>
                <w:shd w:val="clear" w:color="auto" w:fill="FFFFFF"/>
                <w:lang w:eastAsia="lv-LV" w:bidi="lv-LV"/>
              </w:rPr>
              <w:t>Ietekme 2019.gadam un turpmāk ik gadu</w:t>
            </w:r>
          </w:p>
          <w:p w:rsidR="004D59EC" w:rsidP="00AF7C22" w14:paraId="494B51A6" w14:textId="77777777">
            <w:pPr>
              <w:spacing w:after="120"/>
              <w:ind w:firstLine="213"/>
              <w:jc w:val="both"/>
              <w:rPr>
                <w:rFonts w:ascii="Times New Roman" w:hAnsi="Times New Roman" w:cs="Times New Roman"/>
                <w:u w:val="single"/>
              </w:rPr>
            </w:pPr>
            <w:r w:rsidRPr="002A4DB4">
              <w:rPr>
                <w:rFonts w:ascii="Times New Roman" w:hAnsi="Times New Roman" w:cs="Times New Roman"/>
                <w:u w:val="single"/>
              </w:rPr>
              <w:t xml:space="preserve">Kopumā hronisko pacientu aprūpes nodrošināšanai nepieciešams finansējums </w:t>
            </w:r>
            <w:r w:rsidRPr="002A4DB4" w:rsidR="00B671A7">
              <w:rPr>
                <w:rFonts w:ascii="Times New Roman" w:hAnsi="Times New Roman" w:cs="Times New Roman"/>
                <w:u w:val="single"/>
              </w:rPr>
              <w:t>5 </w:t>
            </w:r>
            <w:r w:rsidRPr="002A4DB4" w:rsidR="00E41F5C">
              <w:rPr>
                <w:rFonts w:ascii="Times New Roman" w:hAnsi="Times New Roman" w:cs="Times New Roman"/>
                <w:u w:val="single"/>
              </w:rPr>
              <w:t>437</w:t>
            </w:r>
            <w:r w:rsidRPr="002A4DB4" w:rsidR="00B671A7">
              <w:rPr>
                <w:rFonts w:ascii="Times New Roman" w:hAnsi="Times New Roman" w:cs="Times New Roman"/>
                <w:u w:val="single"/>
              </w:rPr>
              <w:t> </w:t>
            </w:r>
            <w:r w:rsidR="00D604C6">
              <w:rPr>
                <w:rFonts w:ascii="Times New Roman" w:hAnsi="Times New Roman" w:cs="Times New Roman"/>
                <w:u w:val="single"/>
              </w:rPr>
              <w:t>810</w:t>
            </w:r>
            <w:bookmarkStart w:id="0" w:name="_GoBack"/>
            <w:bookmarkEnd w:id="0"/>
            <w:r w:rsidRPr="002A4DB4" w:rsidR="00E41F5C">
              <w:rPr>
                <w:rFonts w:ascii="Times New Roman" w:hAnsi="Times New Roman" w:cs="Times New Roman"/>
                <w:u w:val="single"/>
              </w:rPr>
              <w:t xml:space="preserve"> </w:t>
            </w:r>
            <w:r w:rsidRPr="002A4DB4">
              <w:rPr>
                <w:rFonts w:ascii="Times New Roman" w:hAnsi="Times New Roman" w:cs="Times New Roman"/>
                <w:i/>
                <w:u w:val="single"/>
              </w:rPr>
              <w:t>euro</w:t>
            </w:r>
            <w:r w:rsidRPr="002A4DB4" w:rsidR="00B671A7">
              <w:rPr>
                <w:rFonts w:ascii="Times New Roman" w:hAnsi="Times New Roman" w:cs="Times New Roman"/>
                <w:u w:val="single"/>
              </w:rPr>
              <w:t xml:space="preserve"> apmērā, nodrošinot 13</w:t>
            </w:r>
            <w:r w:rsidRPr="002A4DB4" w:rsidR="00C33773">
              <w:rPr>
                <w:rFonts w:ascii="Times New Roman" w:hAnsi="Times New Roman" w:cs="Times New Roman"/>
                <w:u w:val="single"/>
              </w:rPr>
              <w:t> </w:t>
            </w:r>
            <w:r w:rsidRPr="002A4DB4">
              <w:rPr>
                <w:rFonts w:ascii="Times New Roman" w:hAnsi="Times New Roman" w:cs="Times New Roman"/>
                <w:u w:val="single"/>
              </w:rPr>
              <w:t xml:space="preserve">142 </w:t>
            </w:r>
            <w:r w:rsidRPr="002A4DB4">
              <w:rPr>
                <w:rFonts w:ascii="Times New Roman" w:hAnsi="Times New Roman" w:cs="Times New Roman"/>
                <w:u w:val="single"/>
              </w:rPr>
              <w:t>stacionēšanās</w:t>
            </w:r>
            <w:r w:rsidRPr="002A4DB4">
              <w:rPr>
                <w:rFonts w:ascii="Times New Roman" w:hAnsi="Times New Roman" w:cs="Times New Roman"/>
                <w:u w:val="single"/>
              </w:rPr>
              <w:t xml:space="preserve"> gadījumus gadā</w:t>
            </w:r>
            <w:r w:rsidRPr="002A4DB4">
              <w:rPr>
                <w:rFonts w:ascii="Times New Roman" w:hAnsi="Times New Roman" w:cs="Times New Roman"/>
                <w:u w:val="single"/>
              </w:rPr>
              <w:t>. No tiem, 3</w:t>
            </w:r>
            <w:r w:rsidRPr="002A4DB4" w:rsidR="00B671A7">
              <w:rPr>
                <w:rFonts w:ascii="Times New Roman" w:hAnsi="Times New Roman" w:cs="Times New Roman"/>
                <w:u w:val="single"/>
              </w:rPr>
              <w:t> </w:t>
            </w:r>
            <w:r w:rsidR="00201525">
              <w:rPr>
                <w:rFonts w:ascii="Times New Roman" w:hAnsi="Times New Roman" w:cs="Times New Roman"/>
                <w:u w:val="single"/>
              </w:rPr>
              <w:t>535</w:t>
            </w:r>
            <w:r w:rsidRPr="002A4DB4">
              <w:rPr>
                <w:rFonts w:ascii="Times New Roman" w:hAnsi="Times New Roman" w:cs="Times New Roman"/>
                <w:u w:val="single"/>
              </w:rPr>
              <w:t xml:space="preserve"> gadījumi ir ar blakus diagnozēm, kurām ārstēšanas laiks nepieciešams vairāk kā 10 dienas un kuriem tiek piemērots viena pacienta ārstēšanas tarifs - 505,45 </w:t>
            </w:r>
            <w:r w:rsidRPr="002A4DB4">
              <w:rPr>
                <w:rFonts w:ascii="Times New Roman" w:hAnsi="Times New Roman" w:cs="Times New Roman"/>
                <w:i/>
                <w:u w:val="single"/>
              </w:rPr>
              <w:t>euro</w:t>
            </w:r>
            <w:r w:rsidRPr="002A4DB4">
              <w:rPr>
                <w:rFonts w:ascii="Times New Roman" w:hAnsi="Times New Roman" w:cs="Times New Roman"/>
                <w:u w:val="single"/>
              </w:rPr>
              <w:t xml:space="preserve"> apmērā par stacionēšanas reizi, un 9</w:t>
            </w:r>
            <w:r w:rsidRPr="002A4DB4" w:rsidR="00B671A7">
              <w:rPr>
                <w:rFonts w:ascii="Times New Roman" w:hAnsi="Times New Roman" w:cs="Times New Roman"/>
                <w:u w:val="single"/>
              </w:rPr>
              <w:t> </w:t>
            </w:r>
            <w:r w:rsidR="00364DF8">
              <w:rPr>
                <w:rFonts w:ascii="Times New Roman" w:hAnsi="Times New Roman" w:cs="Times New Roman"/>
                <w:u w:val="single"/>
              </w:rPr>
              <w:t>607</w:t>
            </w:r>
            <w:r w:rsidRPr="002A4DB4">
              <w:rPr>
                <w:rFonts w:ascii="Times New Roman" w:hAnsi="Times New Roman" w:cs="Times New Roman"/>
                <w:u w:val="single"/>
              </w:rPr>
              <w:t xml:space="preserve"> gadījumi ar tarifu viena pacienta ārstēšanai  380,04 </w:t>
            </w:r>
            <w:r w:rsidRPr="002A4DB4">
              <w:rPr>
                <w:rFonts w:ascii="Times New Roman" w:hAnsi="Times New Roman" w:cs="Times New Roman"/>
                <w:i/>
                <w:u w:val="single"/>
              </w:rPr>
              <w:t>euro</w:t>
            </w:r>
            <w:r w:rsidR="003A24E5">
              <w:rPr>
                <w:rFonts w:ascii="Times New Roman" w:hAnsi="Times New Roman" w:cs="Times New Roman"/>
                <w:u w:val="single"/>
              </w:rPr>
              <w:t xml:space="preserve"> apmērā, skat., tabulu Nr.3.</w:t>
            </w:r>
          </w:p>
          <w:p w:rsidR="003A24E5" w:rsidRPr="00D86C79" w:rsidP="003A24E5" w14:paraId="69882724" w14:textId="77777777">
            <w:pPr>
              <w:spacing w:after="120"/>
              <w:ind w:firstLine="213"/>
              <w:jc w:val="right"/>
              <w:rPr>
                <w:rFonts w:ascii="Times New Roman" w:hAnsi="Times New Roman" w:cs="Times New Roman"/>
                <w:i/>
              </w:rPr>
            </w:pPr>
            <w:r w:rsidRPr="00D86C79">
              <w:rPr>
                <w:rFonts w:ascii="Times New Roman" w:hAnsi="Times New Roman" w:cs="Times New Roman"/>
                <w:i/>
              </w:rPr>
              <w:t>Tabula Nr.3</w:t>
            </w:r>
          </w:p>
          <w:tbl>
            <w:tblPr>
              <w:tblW w:w="8959" w:type="dxa"/>
              <w:tblLayout w:type="fixed"/>
              <w:tblLook w:val="04A0"/>
            </w:tblPr>
            <w:tblGrid>
              <w:gridCol w:w="1021"/>
              <w:gridCol w:w="851"/>
              <w:gridCol w:w="1134"/>
              <w:gridCol w:w="1134"/>
              <w:gridCol w:w="709"/>
              <w:gridCol w:w="708"/>
              <w:gridCol w:w="993"/>
              <w:gridCol w:w="567"/>
              <w:gridCol w:w="850"/>
              <w:gridCol w:w="992"/>
            </w:tblGrid>
            <w:tr w14:paraId="05B58E30" w14:textId="77777777" w:rsidTr="003C746E">
              <w:tblPrEx>
                <w:tblW w:w="8959" w:type="dxa"/>
                <w:tblLayout w:type="fixed"/>
                <w:tblLook w:val="04A0"/>
              </w:tblPrEx>
              <w:trPr>
                <w:trHeight w:val="525"/>
              </w:trPr>
              <w:tc>
                <w:tcPr>
                  <w:tcW w:w="1872"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rsidR="0036246B" w:rsidRPr="004C0C49" w:rsidP="0036246B" w14:paraId="2752881D"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1.Samaksa par manipulācijām</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F2F2F2"/>
                  <w:vAlign w:val="bottom"/>
                  <w:hideMark/>
                </w:tcPr>
                <w:p w:rsidR="0036246B" w:rsidRPr="004C0C49" w:rsidP="0036246B" w14:paraId="243C99ED" w14:textId="77777777">
                  <w:pPr>
                    <w:spacing w:after="0" w:line="240" w:lineRule="auto"/>
                    <w:jc w:val="center"/>
                    <w:rPr>
                      <w:rFonts w:ascii="Times New Roman" w:eastAsia="Times New Roman" w:hAnsi="Times New Roman" w:cs="Times New Roman"/>
                      <w:color w:val="000000"/>
                      <w:sz w:val="14"/>
                      <w:szCs w:val="14"/>
                      <w:lang w:eastAsia="lv-LV"/>
                    </w:rPr>
                  </w:pPr>
                  <w:r w:rsidRPr="004C0C49">
                    <w:rPr>
                      <w:rFonts w:ascii="Times New Roman" w:eastAsia="Times New Roman" w:hAnsi="Times New Roman" w:cs="Times New Roman"/>
                      <w:color w:val="000000"/>
                      <w:sz w:val="14"/>
                      <w:szCs w:val="14"/>
                      <w:lang w:eastAsia="lv-LV"/>
                    </w:rPr>
                    <w:t>kopā, t.sk.</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6246B" w:rsidRPr="004C0C49" w:rsidP="0036246B" w14:paraId="43E9E753" w14:textId="77777777">
                  <w:pPr>
                    <w:spacing w:after="0" w:line="240" w:lineRule="auto"/>
                    <w:jc w:val="center"/>
                    <w:rPr>
                      <w:rFonts w:ascii="Times New Roman" w:eastAsia="Times New Roman" w:hAnsi="Times New Roman" w:cs="Times New Roman"/>
                      <w:color w:val="000000"/>
                      <w:sz w:val="14"/>
                      <w:szCs w:val="14"/>
                      <w:lang w:eastAsia="lv-LV"/>
                    </w:rPr>
                  </w:pPr>
                  <w:r w:rsidRPr="004C0C49">
                    <w:rPr>
                      <w:rFonts w:ascii="Times New Roman" w:eastAsia="Times New Roman" w:hAnsi="Times New Roman" w:cs="Times New Roman"/>
                      <w:color w:val="000000"/>
                      <w:sz w:val="14"/>
                      <w:szCs w:val="14"/>
                      <w:lang w:eastAsia="lv-LV"/>
                    </w:rPr>
                    <w:t>Vidējais tarifs, euro</w:t>
                  </w:r>
                </w:p>
              </w:tc>
              <w:tc>
                <w:tcPr>
                  <w:tcW w:w="1701" w:type="dxa"/>
                  <w:gridSpan w:val="2"/>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7F5C26E7"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ārstēšanas ilgums līdz 10 dienām</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6246B" w:rsidRPr="004C0C49" w:rsidP="0036246B" w14:paraId="0D4D5E43"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Vidējais tarifs, euro</w:t>
                  </w:r>
                </w:p>
              </w:tc>
              <w:tc>
                <w:tcPr>
                  <w:tcW w:w="1842" w:type="dxa"/>
                  <w:gridSpan w:val="2"/>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6C25EB02"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ārstēšanas ilgums virs 10 dienām</w:t>
                  </w:r>
                </w:p>
              </w:tc>
            </w:tr>
            <w:tr w14:paraId="5E32674A" w14:textId="77777777" w:rsidTr="003C746E">
              <w:tblPrEx>
                <w:tblW w:w="8959" w:type="dxa"/>
                <w:tblLayout w:type="fixed"/>
                <w:tblLook w:val="04A0"/>
              </w:tblPrEx>
              <w:trPr>
                <w:trHeight w:val="450"/>
              </w:trPr>
              <w:tc>
                <w:tcPr>
                  <w:tcW w:w="1872" w:type="dxa"/>
                  <w:gridSpan w:val="2"/>
                  <w:vMerge/>
                  <w:tcBorders>
                    <w:top w:val="single" w:sz="4" w:space="0" w:color="auto"/>
                    <w:left w:val="single" w:sz="4" w:space="0" w:color="auto"/>
                    <w:bottom w:val="single" w:sz="4" w:space="0" w:color="000000"/>
                    <w:right w:val="single" w:sz="4" w:space="0" w:color="000000"/>
                  </w:tcBorders>
                  <w:vAlign w:val="center"/>
                  <w:hideMark/>
                </w:tcPr>
                <w:p w:rsidR="0036246B" w:rsidRPr="004C0C49" w:rsidP="0036246B" w14:paraId="211C6EA1" w14:textId="77777777">
                  <w:pPr>
                    <w:spacing w:after="0" w:line="240" w:lineRule="auto"/>
                    <w:rPr>
                      <w:rFonts w:ascii="Times New Roman" w:eastAsia="Times New Roman" w:hAnsi="Times New Roman" w:cs="Times New Roman"/>
                      <w:sz w:val="14"/>
                      <w:szCs w:val="14"/>
                      <w:lang w:eastAsia="lv-LV"/>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246B" w:rsidRPr="004C0C49" w:rsidP="0036246B" w14:paraId="5ACCC9E3"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skaits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246B" w:rsidRPr="004C0C49" w:rsidP="0036246B" w14:paraId="7D69FA87"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summa, euro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65BD10EA" w14:textId="77777777">
                  <w:pPr>
                    <w:spacing w:after="0" w:line="240" w:lineRule="auto"/>
                    <w:rPr>
                      <w:rFonts w:ascii="Times New Roman" w:eastAsia="Times New Roman" w:hAnsi="Times New Roman" w:cs="Times New Roman"/>
                      <w:color w:val="000000"/>
                      <w:sz w:val="14"/>
                      <w:szCs w:val="14"/>
                      <w:lang w:eastAsia="lv-LV"/>
                    </w:rPr>
                  </w:pP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6246B" w:rsidRPr="004C0C49" w:rsidP="0036246B" w14:paraId="213ED539"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skaits </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6246B" w:rsidRPr="004C0C49" w:rsidP="0036246B" w14:paraId="0286BAFC"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summa, euro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05C00FC5" w14:textId="77777777">
                  <w:pPr>
                    <w:spacing w:after="0" w:line="240" w:lineRule="auto"/>
                    <w:rPr>
                      <w:rFonts w:ascii="Times New Roman" w:eastAsia="Times New Roman" w:hAnsi="Times New Roman" w:cs="Times New Roman"/>
                      <w:sz w:val="14"/>
                      <w:szCs w:val="14"/>
                      <w:lang w:eastAsia="lv-LV"/>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6246B" w:rsidRPr="004C0C49" w:rsidP="0036246B" w14:paraId="3429B137"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skaits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6246B" w:rsidRPr="004C0C49" w:rsidP="0036246B" w14:paraId="3E8061BD"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summa, euro </w:t>
                  </w:r>
                </w:p>
              </w:tc>
            </w:tr>
            <w:tr w14:paraId="2A68B89F" w14:textId="77777777" w:rsidTr="003C746E">
              <w:tblPrEx>
                <w:tblW w:w="8959" w:type="dxa"/>
                <w:tblLayout w:type="fixed"/>
                <w:tblLook w:val="04A0"/>
              </w:tblPrEx>
              <w:trPr>
                <w:trHeight w:val="450"/>
              </w:trPr>
              <w:tc>
                <w:tcPr>
                  <w:tcW w:w="1872" w:type="dxa"/>
                  <w:gridSpan w:val="2"/>
                  <w:vMerge/>
                  <w:tcBorders>
                    <w:top w:val="single" w:sz="4" w:space="0" w:color="auto"/>
                    <w:left w:val="single" w:sz="4" w:space="0" w:color="auto"/>
                    <w:bottom w:val="single" w:sz="4" w:space="0" w:color="000000"/>
                    <w:right w:val="single" w:sz="4" w:space="0" w:color="000000"/>
                  </w:tcBorders>
                  <w:vAlign w:val="center"/>
                  <w:hideMark/>
                </w:tcPr>
                <w:p w:rsidR="0036246B" w:rsidRPr="004C0C49" w:rsidP="0036246B" w14:paraId="4EB158F3" w14:textId="77777777">
                  <w:pPr>
                    <w:spacing w:after="0" w:line="240" w:lineRule="auto"/>
                    <w:rPr>
                      <w:rFonts w:ascii="Times New Roman" w:eastAsia="Times New Roman" w:hAnsi="Times New Roman" w:cs="Times New Roman"/>
                      <w:sz w:val="14"/>
                      <w:szCs w:val="1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246B" w:rsidRPr="004C0C49" w:rsidP="0036246B" w14:paraId="04AE3EAB" w14:textId="77777777">
                  <w:pPr>
                    <w:spacing w:after="0" w:line="240" w:lineRule="auto"/>
                    <w:rPr>
                      <w:rFonts w:ascii="Times New Roman" w:eastAsia="Times New Roman" w:hAnsi="Times New Roman" w:cs="Times New Roman"/>
                      <w:sz w:val="14"/>
                      <w:szCs w:val="1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246B" w:rsidRPr="004C0C49" w:rsidP="0036246B" w14:paraId="2BA6D82D" w14:textId="77777777">
                  <w:pPr>
                    <w:spacing w:after="0" w:line="240" w:lineRule="auto"/>
                    <w:rPr>
                      <w:rFonts w:ascii="Times New Roman" w:eastAsia="Times New Roman" w:hAnsi="Times New Roman" w:cs="Times New Roman"/>
                      <w:sz w:val="14"/>
                      <w:szCs w:val="14"/>
                      <w:lang w:eastAsia="lv-L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3ABFF6B6" w14:textId="77777777">
                  <w:pPr>
                    <w:spacing w:after="0" w:line="240" w:lineRule="auto"/>
                    <w:rPr>
                      <w:rFonts w:ascii="Times New Roman" w:eastAsia="Times New Roman" w:hAnsi="Times New Roman" w:cs="Times New Roman"/>
                      <w:color w:val="000000"/>
                      <w:sz w:val="14"/>
                      <w:szCs w:val="14"/>
                      <w:lang w:eastAsia="lv-LV"/>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71687F14" w14:textId="77777777">
                  <w:pPr>
                    <w:spacing w:after="0" w:line="240" w:lineRule="auto"/>
                    <w:rPr>
                      <w:rFonts w:ascii="Times New Roman" w:eastAsia="Times New Roman" w:hAnsi="Times New Roman" w:cs="Times New Roman"/>
                      <w:sz w:val="14"/>
                      <w:szCs w:val="14"/>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50E00FBC" w14:textId="77777777">
                  <w:pPr>
                    <w:spacing w:after="0" w:line="240" w:lineRule="auto"/>
                    <w:rPr>
                      <w:rFonts w:ascii="Times New Roman" w:eastAsia="Times New Roman" w:hAnsi="Times New Roman" w:cs="Times New Roman"/>
                      <w:sz w:val="14"/>
                      <w:szCs w:val="14"/>
                      <w:lang w:eastAsia="lv-LV"/>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3EC887AC" w14:textId="77777777">
                  <w:pPr>
                    <w:spacing w:after="0" w:line="240" w:lineRule="auto"/>
                    <w:rPr>
                      <w:rFonts w:ascii="Times New Roman" w:eastAsia="Times New Roman" w:hAnsi="Times New Roman" w:cs="Times New Roman"/>
                      <w:sz w:val="14"/>
                      <w:szCs w:val="14"/>
                      <w:lang w:eastAsia="lv-LV"/>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2E09AC4D" w14:textId="77777777">
                  <w:pPr>
                    <w:spacing w:after="0" w:line="240" w:lineRule="auto"/>
                    <w:rPr>
                      <w:rFonts w:ascii="Times New Roman" w:eastAsia="Times New Roman" w:hAnsi="Times New Roman" w:cs="Times New Roman"/>
                      <w:sz w:val="14"/>
                      <w:szCs w:val="14"/>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4423BF25" w14:textId="77777777">
                  <w:pPr>
                    <w:spacing w:after="0" w:line="240" w:lineRule="auto"/>
                    <w:rPr>
                      <w:rFonts w:ascii="Times New Roman" w:eastAsia="Times New Roman" w:hAnsi="Times New Roman" w:cs="Times New Roman"/>
                      <w:sz w:val="14"/>
                      <w:szCs w:val="14"/>
                      <w:lang w:eastAsia="lv-LV"/>
                    </w:rPr>
                  </w:pPr>
                </w:p>
              </w:tc>
            </w:tr>
            <w:tr w14:paraId="202EF575" w14:textId="77777777" w:rsidTr="003C746E">
              <w:tblPrEx>
                <w:tblW w:w="8959" w:type="dxa"/>
                <w:tblLayout w:type="fixed"/>
                <w:tblLook w:val="04A0"/>
              </w:tblPrEx>
              <w:trPr>
                <w:trHeight w:val="255"/>
              </w:trPr>
              <w:tc>
                <w:tcPr>
                  <w:tcW w:w="1872" w:type="dxa"/>
                  <w:gridSpan w:val="2"/>
                  <w:vMerge/>
                  <w:tcBorders>
                    <w:top w:val="single" w:sz="4" w:space="0" w:color="auto"/>
                    <w:left w:val="single" w:sz="4" w:space="0" w:color="auto"/>
                    <w:bottom w:val="single" w:sz="4" w:space="0" w:color="000000"/>
                    <w:right w:val="single" w:sz="4" w:space="0" w:color="000000"/>
                  </w:tcBorders>
                  <w:vAlign w:val="center"/>
                  <w:hideMark/>
                </w:tcPr>
                <w:p w:rsidR="0036246B" w:rsidRPr="004C0C49" w:rsidP="0036246B" w14:paraId="0E7F7EDC" w14:textId="77777777">
                  <w:pPr>
                    <w:spacing w:after="0" w:line="240" w:lineRule="auto"/>
                    <w:rPr>
                      <w:rFonts w:ascii="Times New Roman" w:eastAsia="Times New Roman" w:hAnsi="Times New Roman" w:cs="Times New Roman"/>
                      <w:sz w:val="14"/>
                      <w:szCs w:val="14"/>
                      <w:lang w:eastAsia="lv-LV"/>
                    </w:rPr>
                  </w:pP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36246B" w:rsidRPr="004C0C49" w:rsidP="0036246B" w14:paraId="4C328242"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44 353.00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36246B" w:rsidRPr="004C0C49" w:rsidP="0036246B" w14:paraId="48BBEAA1"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928 739.86</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36246B" w:rsidRPr="004C0C49" w:rsidP="0036246B" w14:paraId="6C24F55B"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20.78</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36246B" w:rsidRPr="004C0C49" w:rsidP="0036246B" w14:paraId="60E5A037"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32 987.00</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rsidR="0036246B" w:rsidRPr="004C0C49" w:rsidP="0036246B" w14:paraId="64403711"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685 489.41</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36246B" w:rsidRPr="004C0C49" w:rsidP="0036246B" w14:paraId="0E8D8642"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21.40</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36246B" w:rsidRPr="004C0C49" w:rsidP="0036246B" w14:paraId="666447D9"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11 366.00</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36246B" w:rsidRPr="004C0C49" w:rsidP="0036246B" w14:paraId="302540AD"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243 250.45</w:t>
                  </w:r>
                </w:p>
              </w:tc>
            </w:tr>
            <w:tr w14:paraId="1A7FE9B8" w14:textId="77777777" w:rsidTr="003C746E">
              <w:tblPrEx>
                <w:tblW w:w="8959" w:type="dxa"/>
                <w:tblLayout w:type="fixed"/>
                <w:tblLook w:val="04A0"/>
              </w:tblPrEx>
              <w:trPr>
                <w:trHeight w:val="555"/>
              </w:trPr>
              <w:tc>
                <w:tcPr>
                  <w:tcW w:w="102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6246B" w:rsidRPr="004C0C49" w:rsidP="0036246B" w14:paraId="448B3D5B"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2.Samaksa par </w:t>
                  </w:r>
                  <w:r w:rsidRPr="004C0C49">
                    <w:rPr>
                      <w:rFonts w:ascii="Times New Roman" w:eastAsia="Times New Roman" w:hAnsi="Times New Roman" w:cs="Times New Roman"/>
                      <w:sz w:val="14"/>
                      <w:szCs w:val="14"/>
                      <w:lang w:eastAsia="lv-LV"/>
                    </w:rPr>
                    <w:t>gultasdienām</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2CBD9A36"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gultasdienu</w:t>
                  </w:r>
                  <w:r w:rsidRPr="004C0C49">
                    <w:rPr>
                      <w:rFonts w:ascii="Times New Roman" w:eastAsia="Times New Roman" w:hAnsi="Times New Roman" w:cs="Times New Roman"/>
                      <w:sz w:val="14"/>
                      <w:szCs w:val="14"/>
                      <w:lang w:eastAsia="lv-LV"/>
                    </w:rPr>
                    <w:t xml:space="preserve"> tarifs, </w:t>
                  </w:r>
                  <w:r w:rsidRPr="004C0C49">
                    <w:rPr>
                      <w:rFonts w:ascii="Times New Roman" w:eastAsia="Times New Roman" w:hAnsi="Times New Roman" w:cs="Times New Roman"/>
                      <w:sz w:val="14"/>
                      <w:szCs w:val="14"/>
                      <w:lang w:eastAsia="lv-LV"/>
                    </w:rPr>
                    <w:t>euro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00D1CE68"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plānotais </w:t>
                  </w:r>
                  <w:r w:rsidRPr="004C0C49">
                    <w:rPr>
                      <w:rFonts w:ascii="Times New Roman" w:eastAsia="Times New Roman" w:hAnsi="Times New Roman" w:cs="Times New Roman"/>
                      <w:sz w:val="14"/>
                      <w:szCs w:val="14"/>
                      <w:lang w:eastAsia="lv-LV"/>
                    </w:rPr>
                    <w:t>gultasdienu</w:t>
                  </w:r>
                  <w:r w:rsidRPr="004C0C49">
                    <w:rPr>
                      <w:rFonts w:ascii="Times New Roman" w:eastAsia="Times New Roman" w:hAnsi="Times New Roman" w:cs="Times New Roman"/>
                      <w:sz w:val="14"/>
                      <w:szCs w:val="14"/>
                      <w:lang w:eastAsia="lv-LV"/>
                    </w:rPr>
                    <w:t xml:space="preserve"> skaits</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0BE81585"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summa, euro </w:t>
                  </w:r>
                </w:p>
              </w:tc>
              <w:tc>
                <w:tcPr>
                  <w:tcW w:w="709" w:type="dxa"/>
                  <w:tcBorders>
                    <w:top w:val="nil"/>
                    <w:left w:val="single" w:sz="4" w:space="0" w:color="auto"/>
                    <w:bottom w:val="single" w:sz="4" w:space="0" w:color="auto"/>
                    <w:right w:val="nil"/>
                  </w:tcBorders>
                  <w:shd w:val="clear" w:color="000000" w:fill="F2F2F2"/>
                  <w:vAlign w:val="center"/>
                  <w:hideMark/>
                </w:tcPr>
                <w:p w:rsidR="0036246B" w:rsidRPr="004C0C49" w:rsidP="0036246B" w14:paraId="618E4976"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4110"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36246B" w:rsidRPr="004C0C49" w:rsidP="0036246B" w14:paraId="2AA51769"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r>
            <w:tr w14:paraId="599F4F36" w14:textId="77777777" w:rsidTr="003C746E">
              <w:tblPrEx>
                <w:tblW w:w="8959" w:type="dxa"/>
                <w:tblLayout w:type="fixed"/>
                <w:tblLook w:val="04A0"/>
              </w:tblPrEx>
              <w:trPr>
                <w:trHeight w:val="315"/>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36246B" w:rsidRPr="004C0C49" w:rsidP="0036246B" w14:paraId="3835F1C4" w14:textId="77777777">
                  <w:pPr>
                    <w:spacing w:after="0" w:line="240" w:lineRule="auto"/>
                    <w:rPr>
                      <w:rFonts w:ascii="Times New Roman" w:eastAsia="Times New Roman" w:hAnsi="Times New Roman" w:cs="Times New Roman"/>
                      <w:sz w:val="14"/>
                      <w:szCs w:val="14"/>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0888AF58"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39.11 </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7EBB6CDA" w14:textId="77777777">
                  <w:pPr>
                    <w:spacing w:after="0" w:line="240" w:lineRule="auto"/>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    </w:t>
                  </w:r>
                  <w:r w:rsidRPr="004C0C49">
                    <w:rPr>
                      <w:rFonts w:ascii="Times New Roman" w:eastAsia="Times New Roman" w:hAnsi="Times New Roman" w:cs="Times New Roman"/>
                      <w:sz w:val="14"/>
                      <w:szCs w:val="14"/>
                      <w:lang w:eastAsia="lv-LV"/>
                    </w:rPr>
                    <w:t xml:space="preserve">115 292.00 </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774BD5A3" w14:textId="77777777">
                  <w:pPr>
                    <w:spacing w:after="0" w:line="240" w:lineRule="auto"/>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 </w:t>
                  </w:r>
                  <w:r w:rsidRPr="004C0C49">
                    <w:rPr>
                      <w:rFonts w:ascii="Times New Roman" w:eastAsia="Times New Roman" w:hAnsi="Times New Roman" w:cs="Times New Roman"/>
                      <w:sz w:val="14"/>
                      <w:szCs w:val="14"/>
                      <w:lang w:eastAsia="lv-LV"/>
                    </w:rPr>
                    <w:t xml:space="preserve"> 4 509 070.12 </w:t>
                  </w:r>
                </w:p>
              </w:tc>
              <w:tc>
                <w:tcPr>
                  <w:tcW w:w="709"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334FC487"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163341B1" w14:textId="77777777">
                  <w:pPr>
                    <w:spacing w:after="0" w:line="240" w:lineRule="auto"/>
                    <w:jc w:val="right"/>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75826</w:t>
                  </w:r>
                </w:p>
              </w:tc>
              <w:tc>
                <w:tcPr>
                  <w:tcW w:w="993"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476BE430"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2 965 554.86 </w:t>
                  </w:r>
                </w:p>
              </w:tc>
              <w:tc>
                <w:tcPr>
                  <w:tcW w:w="567"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111DEAD2"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0"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43C6248C" w14:textId="77777777">
                  <w:pPr>
                    <w:spacing w:after="0" w:line="240" w:lineRule="auto"/>
                    <w:jc w:val="right"/>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39466</w:t>
                  </w:r>
                </w:p>
              </w:tc>
              <w:tc>
                <w:tcPr>
                  <w:tcW w:w="992" w:type="dxa"/>
                  <w:tcBorders>
                    <w:top w:val="single" w:sz="4" w:space="0" w:color="auto"/>
                    <w:left w:val="nil"/>
                    <w:bottom w:val="single" w:sz="4" w:space="0" w:color="auto"/>
                    <w:right w:val="single" w:sz="4" w:space="0" w:color="auto"/>
                  </w:tcBorders>
                  <w:shd w:val="clear" w:color="000000" w:fill="F2F2F2"/>
                  <w:vAlign w:val="bottom"/>
                  <w:hideMark/>
                </w:tcPr>
                <w:p w:rsidR="0036246B" w:rsidRPr="004C0C49" w:rsidP="0036246B" w14:paraId="2374F9C9"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1 543 515.26 </w:t>
                  </w:r>
                </w:p>
              </w:tc>
            </w:tr>
            <w:tr w14:paraId="49D9CA4F" w14:textId="77777777" w:rsidTr="003C746E">
              <w:tblPrEx>
                <w:tblW w:w="8959" w:type="dxa"/>
                <w:tblLayout w:type="fixed"/>
                <w:tblLook w:val="04A0"/>
              </w:tblPrEx>
              <w:trPr>
                <w:trHeight w:val="255"/>
              </w:trPr>
              <w:tc>
                <w:tcPr>
                  <w:tcW w:w="1021" w:type="dxa"/>
                  <w:tcBorders>
                    <w:top w:val="nil"/>
                    <w:left w:val="nil"/>
                    <w:bottom w:val="nil"/>
                    <w:right w:val="nil"/>
                  </w:tcBorders>
                  <w:shd w:val="clear" w:color="000000" w:fill="F2F2F2"/>
                  <w:noWrap/>
                  <w:vAlign w:val="bottom"/>
                  <w:hideMark/>
                </w:tcPr>
                <w:p w:rsidR="0036246B" w:rsidRPr="004C0C49" w:rsidP="0036246B" w14:paraId="4FAEB77D"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1" w:type="dxa"/>
                  <w:tcBorders>
                    <w:top w:val="nil"/>
                    <w:left w:val="nil"/>
                    <w:bottom w:val="nil"/>
                    <w:right w:val="nil"/>
                  </w:tcBorders>
                  <w:shd w:val="clear" w:color="000000" w:fill="F2F2F2"/>
                  <w:noWrap/>
                  <w:vAlign w:val="bottom"/>
                  <w:hideMark/>
                </w:tcPr>
                <w:p w:rsidR="0036246B" w:rsidRPr="004C0C49" w:rsidP="0036246B" w14:paraId="7CC20D53"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1134" w:type="dxa"/>
                  <w:tcBorders>
                    <w:top w:val="nil"/>
                    <w:left w:val="nil"/>
                    <w:bottom w:val="nil"/>
                    <w:right w:val="nil"/>
                  </w:tcBorders>
                  <w:shd w:val="clear" w:color="000000" w:fill="F2F2F2"/>
                  <w:noWrap/>
                  <w:vAlign w:val="bottom"/>
                  <w:hideMark/>
                </w:tcPr>
                <w:p w:rsidR="0036246B" w:rsidRPr="004C0C49" w:rsidP="0036246B" w14:paraId="3B861DF7"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1134" w:type="dxa"/>
                  <w:tcBorders>
                    <w:top w:val="nil"/>
                    <w:left w:val="nil"/>
                    <w:bottom w:val="nil"/>
                    <w:right w:val="nil"/>
                  </w:tcBorders>
                  <w:shd w:val="clear" w:color="000000" w:fill="F2F2F2"/>
                  <w:noWrap/>
                  <w:vAlign w:val="bottom"/>
                  <w:hideMark/>
                </w:tcPr>
                <w:p w:rsidR="0036246B" w:rsidRPr="004C0C49" w:rsidP="0036246B" w14:paraId="23386D77"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9" w:type="dxa"/>
                  <w:tcBorders>
                    <w:top w:val="nil"/>
                    <w:left w:val="nil"/>
                    <w:bottom w:val="nil"/>
                    <w:right w:val="nil"/>
                  </w:tcBorders>
                  <w:shd w:val="clear" w:color="000000" w:fill="F2F2F2"/>
                  <w:noWrap/>
                  <w:vAlign w:val="bottom"/>
                  <w:hideMark/>
                </w:tcPr>
                <w:p w:rsidR="0036246B" w:rsidRPr="004C0C49" w:rsidP="0036246B" w14:paraId="46CC34D0"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nil"/>
                    <w:left w:val="nil"/>
                    <w:bottom w:val="nil"/>
                    <w:right w:val="nil"/>
                  </w:tcBorders>
                  <w:shd w:val="clear" w:color="000000" w:fill="F2F2F2"/>
                  <w:noWrap/>
                  <w:vAlign w:val="bottom"/>
                  <w:hideMark/>
                </w:tcPr>
                <w:p w:rsidR="0036246B" w:rsidRPr="004C0C49" w:rsidP="0036246B" w14:paraId="2312ED73"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3" w:type="dxa"/>
                  <w:tcBorders>
                    <w:top w:val="nil"/>
                    <w:left w:val="nil"/>
                    <w:bottom w:val="nil"/>
                    <w:right w:val="nil"/>
                  </w:tcBorders>
                  <w:shd w:val="clear" w:color="000000" w:fill="F2F2F2"/>
                  <w:noWrap/>
                  <w:vAlign w:val="bottom"/>
                  <w:hideMark/>
                </w:tcPr>
                <w:p w:rsidR="0036246B" w:rsidRPr="004C0C49" w:rsidP="0036246B" w14:paraId="282C1F1C"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567" w:type="dxa"/>
                  <w:tcBorders>
                    <w:top w:val="nil"/>
                    <w:left w:val="nil"/>
                    <w:bottom w:val="nil"/>
                    <w:right w:val="nil"/>
                  </w:tcBorders>
                  <w:shd w:val="clear" w:color="000000" w:fill="F2F2F2"/>
                  <w:noWrap/>
                  <w:vAlign w:val="bottom"/>
                  <w:hideMark/>
                </w:tcPr>
                <w:p w:rsidR="0036246B" w:rsidRPr="004C0C49" w:rsidP="0036246B" w14:paraId="3FB22FD7"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0" w:type="dxa"/>
                  <w:tcBorders>
                    <w:top w:val="nil"/>
                    <w:left w:val="nil"/>
                    <w:bottom w:val="nil"/>
                    <w:right w:val="nil"/>
                  </w:tcBorders>
                  <w:shd w:val="clear" w:color="000000" w:fill="F2F2F2"/>
                  <w:noWrap/>
                  <w:vAlign w:val="bottom"/>
                  <w:hideMark/>
                </w:tcPr>
                <w:p w:rsidR="0036246B" w:rsidRPr="004C0C49" w:rsidP="0036246B" w14:paraId="31E22D90"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2" w:type="dxa"/>
                  <w:tcBorders>
                    <w:top w:val="nil"/>
                    <w:left w:val="nil"/>
                    <w:bottom w:val="nil"/>
                    <w:right w:val="nil"/>
                  </w:tcBorders>
                  <w:shd w:val="clear" w:color="000000" w:fill="F2F2F2"/>
                  <w:noWrap/>
                  <w:vAlign w:val="bottom"/>
                  <w:hideMark/>
                </w:tcPr>
                <w:p w:rsidR="0036246B" w:rsidRPr="004C0C49" w:rsidP="0036246B" w14:paraId="4CFABAB7"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r>
            <w:tr w14:paraId="2F6547D0" w14:textId="77777777" w:rsidTr="003C746E">
              <w:tblPrEx>
                <w:tblW w:w="8959" w:type="dxa"/>
                <w:tblLayout w:type="fixed"/>
                <w:tblLook w:val="04A0"/>
              </w:tblPrEx>
              <w:trPr>
                <w:trHeight w:val="420"/>
              </w:trPr>
              <w:tc>
                <w:tcPr>
                  <w:tcW w:w="3006" w:type="dxa"/>
                  <w:gridSpan w:val="3"/>
                  <w:tcBorders>
                    <w:top w:val="single" w:sz="4" w:space="0" w:color="auto"/>
                    <w:left w:val="single" w:sz="4" w:space="0" w:color="auto"/>
                    <w:bottom w:val="single" w:sz="4" w:space="0" w:color="auto"/>
                    <w:right w:val="single" w:sz="4" w:space="0" w:color="000000"/>
                  </w:tcBorders>
                  <w:shd w:val="clear" w:color="000000" w:fill="FFC000"/>
                  <w:vAlign w:val="center"/>
                  <w:hideMark/>
                </w:tcPr>
                <w:p w:rsidR="0036246B" w:rsidRPr="004C0C49" w:rsidP="0036246B" w14:paraId="43330BA5"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Pavisam kopā (samaksa par manipulācijām + samaksas par </w:t>
                  </w:r>
                  <w:r w:rsidRPr="004C0C49">
                    <w:rPr>
                      <w:rFonts w:ascii="Times New Roman" w:eastAsia="Times New Roman" w:hAnsi="Times New Roman" w:cs="Times New Roman"/>
                      <w:sz w:val="14"/>
                      <w:szCs w:val="14"/>
                      <w:lang w:eastAsia="lv-LV"/>
                    </w:rPr>
                    <w:t>gultasdienām</w:t>
                  </w:r>
                  <w:r w:rsidRPr="004C0C49">
                    <w:rPr>
                      <w:rFonts w:ascii="Times New Roman" w:eastAsia="Times New Roman" w:hAnsi="Times New Roman" w:cs="Times New Roman"/>
                      <w:sz w:val="14"/>
                      <w:szCs w:val="14"/>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6246B" w:rsidRPr="004C0C49" w:rsidP="0036246B" w14:paraId="185295B5" w14:textId="77777777">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 xml:space="preserve">  </w:t>
                  </w:r>
                  <w:r w:rsidRPr="004C0C49">
                    <w:rPr>
                      <w:rFonts w:ascii="Times New Roman" w:eastAsia="Times New Roman" w:hAnsi="Times New Roman" w:cs="Times New Roman"/>
                      <w:sz w:val="14"/>
                      <w:szCs w:val="14"/>
                      <w:lang w:eastAsia="lv-LV"/>
                    </w:rPr>
                    <w:t xml:space="preserve"> 5 437 809.98 </w:t>
                  </w:r>
                </w:p>
              </w:tc>
              <w:tc>
                <w:tcPr>
                  <w:tcW w:w="709"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3345EF49"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1CF995A5"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3"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5C5F8D" w14:paraId="2DEE916A"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3 651 044.27 </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344D6B5F"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0"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191CE984"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2"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5C5F8D" w14:paraId="053723CE"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xml:space="preserve"> 1 786 765.71 </w:t>
                  </w:r>
                </w:p>
              </w:tc>
            </w:tr>
            <w:tr w14:paraId="194258AE" w14:textId="77777777" w:rsidTr="003C746E">
              <w:tblPrEx>
                <w:tblW w:w="8959" w:type="dxa"/>
                <w:tblLayout w:type="fixed"/>
                <w:tblLook w:val="04A0"/>
              </w:tblPrEx>
              <w:trPr>
                <w:trHeight w:val="315"/>
              </w:trPr>
              <w:tc>
                <w:tcPr>
                  <w:tcW w:w="102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6246B" w:rsidRPr="004C0C49" w:rsidP="0036246B" w14:paraId="5B80D652"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Plānotais pacientu skaits:</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6246B" w:rsidRPr="004C0C49" w:rsidP="0036246B" w14:paraId="78AAE6DF"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6246B" w:rsidRPr="004C0C49" w:rsidP="0036246B" w14:paraId="4F67E61B"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13142</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5FF385A1"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1C5A59F1"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3"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51392DF8"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9607</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19A55E82"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78276BC7"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2"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1B5EA73C"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3535</w:t>
                  </w:r>
                </w:p>
              </w:tc>
            </w:tr>
            <w:tr w14:paraId="3DA293FE" w14:textId="77777777" w:rsidTr="003C746E">
              <w:tblPrEx>
                <w:tblW w:w="8959" w:type="dxa"/>
                <w:tblLayout w:type="fixed"/>
                <w:tblLook w:val="04A0"/>
              </w:tblPrEx>
              <w:trPr>
                <w:trHeight w:val="660"/>
              </w:trPr>
              <w:tc>
                <w:tcPr>
                  <w:tcW w:w="102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6246B" w:rsidRPr="004C0C49" w:rsidP="0036246B" w14:paraId="2150C150" w14:textId="77777777">
                  <w:pPr>
                    <w:spacing w:after="0" w:line="240" w:lineRule="auto"/>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Vienas ārstēšanas vidējās izmaksas (izmaksas/ pacientu skaits)</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6246B" w:rsidRPr="004C0C49" w:rsidP="0036246B" w14:paraId="3214D316"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6246B" w:rsidRPr="004C0C49" w:rsidP="0036246B" w14:paraId="63F2AF3C"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70396C22"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65F63E4C" w14:textId="77777777">
                  <w:pPr>
                    <w:spacing w:after="0" w:line="240" w:lineRule="auto"/>
                    <w:jc w:val="center"/>
                    <w:rPr>
                      <w:rFonts w:ascii="Times New Roman" w:eastAsia="Times New Roman" w:hAnsi="Times New Roman" w:cs="Times New Roman"/>
                      <w:sz w:val="14"/>
                      <w:szCs w:val="14"/>
                      <w:lang w:eastAsia="lv-LV"/>
                    </w:rPr>
                  </w:pPr>
                  <w:r w:rsidRPr="004C0C49">
                    <w:rPr>
                      <w:rFonts w:ascii="Times New Roman" w:eastAsia="Times New Roman" w:hAnsi="Times New Roman" w:cs="Times New Roman"/>
                      <w:sz w:val="14"/>
                      <w:szCs w:val="14"/>
                      <w:lang w:eastAsia="lv-LV"/>
                    </w:rPr>
                    <w:t> </w:t>
                  </w:r>
                </w:p>
              </w:tc>
              <w:tc>
                <w:tcPr>
                  <w:tcW w:w="993"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32C0E3D2" w14:textId="77777777">
                  <w:pPr>
                    <w:spacing w:after="0" w:line="240" w:lineRule="auto"/>
                    <w:jc w:val="center"/>
                    <w:rPr>
                      <w:rFonts w:ascii="Times New Roman" w:eastAsia="Times New Roman" w:hAnsi="Times New Roman" w:cs="Times New Roman"/>
                      <w:b/>
                      <w:bCs/>
                      <w:sz w:val="14"/>
                      <w:szCs w:val="14"/>
                      <w:lang w:eastAsia="lv-LV"/>
                    </w:rPr>
                  </w:pPr>
                  <w:r w:rsidRPr="004C0C49">
                    <w:rPr>
                      <w:rFonts w:ascii="Times New Roman" w:eastAsia="Times New Roman" w:hAnsi="Times New Roman" w:cs="Times New Roman"/>
                      <w:b/>
                      <w:bCs/>
                      <w:sz w:val="14"/>
                      <w:szCs w:val="14"/>
                      <w:lang w:eastAsia="lv-LV"/>
                    </w:rPr>
                    <w:t xml:space="preserve">                     380.04 </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2CF0AC95" w14:textId="77777777">
                  <w:pPr>
                    <w:spacing w:after="0" w:line="240" w:lineRule="auto"/>
                    <w:jc w:val="center"/>
                    <w:rPr>
                      <w:rFonts w:ascii="Times New Roman" w:eastAsia="Times New Roman" w:hAnsi="Times New Roman" w:cs="Times New Roman"/>
                      <w:b/>
                      <w:bCs/>
                      <w:sz w:val="14"/>
                      <w:szCs w:val="14"/>
                      <w:lang w:eastAsia="lv-LV"/>
                    </w:rPr>
                  </w:pPr>
                  <w:r w:rsidRPr="004C0C49">
                    <w:rPr>
                      <w:rFonts w:ascii="Times New Roman" w:eastAsia="Times New Roman" w:hAnsi="Times New Roman" w:cs="Times New Roman"/>
                      <w:b/>
                      <w:bCs/>
                      <w:sz w:val="14"/>
                      <w:szCs w:val="14"/>
                      <w:lang w:eastAsia="lv-LV"/>
                    </w:rPr>
                    <w:t> </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36246B" w:rsidRPr="004C0C49" w:rsidP="0036246B" w14:paraId="281999EF" w14:textId="77777777">
                  <w:pPr>
                    <w:spacing w:after="0" w:line="240" w:lineRule="auto"/>
                    <w:jc w:val="center"/>
                    <w:rPr>
                      <w:rFonts w:ascii="Times New Roman" w:eastAsia="Times New Roman" w:hAnsi="Times New Roman" w:cs="Times New Roman"/>
                      <w:b/>
                      <w:bCs/>
                      <w:sz w:val="14"/>
                      <w:szCs w:val="14"/>
                      <w:lang w:eastAsia="lv-LV"/>
                    </w:rPr>
                  </w:pPr>
                  <w:r w:rsidRPr="004C0C49">
                    <w:rPr>
                      <w:rFonts w:ascii="Times New Roman" w:eastAsia="Times New Roman" w:hAnsi="Times New Roman" w:cs="Times New Roman"/>
                      <w:b/>
                      <w:bCs/>
                      <w:sz w:val="14"/>
                      <w:szCs w:val="14"/>
                      <w:lang w:eastAsia="lv-LV"/>
                    </w:rPr>
                    <w:t> </w:t>
                  </w:r>
                </w:p>
              </w:tc>
              <w:tc>
                <w:tcPr>
                  <w:tcW w:w="992" w:type="dxa"/>
                  <w:tcBorders>
                    <w:top w:val="single" w:sz="4" w:space="0" w:color="auto"/>
                    <w:left w:val="nil"/>
                    <w:bottom w:val="single" w:sz="4" w:space="0" w:color="auto"/>
                    <w:right w:val="single" w:sz="4" w:space="0" w:color="auto"/>
                  </w:tcBorders>
                  <w:shd w:val="clear" w:color="000000" w:fill="FFC000"/>
                  <w:vAlign w:val="center"/>
                  <w:hideMark/>
                </w:tcPr>
                <w:p w:rsidR="0036246B" w:rsidRPr="004C0C49" w:rsidP="0036246B" w14:paraId="79333C70" w14:textId="77777777">
                  <w:pPr>
                    <w:spacing w:after="0" w:line="240" w:lineRule="auto"/>
                    <w:jc w:val="center"/>
                    <w:rPr>
                      <w:rFonts w:ascii="Times New Roman" w:eastAsia="Times New Roman" w:hAnsi="Times New Roman" w:cs="Times New Roman"/>
                      <w:b/>
                      <w:bCs/>
                      <w:sz w:val="14"/>
                      <w:szCs w:val="14"/>
                      <w:lang w:eastAsia="lv-LV"/>
                    </w:rPr>
                  </w:pPr>
                  <w:r w:rsidRPr="004C0C49">
                    <w:rPr>
                      <w:rFonts w:ascii="Times New Roman" w:eastAsia="Times New Roman" w:hAnsi="Times New Roman" w:cs="Times New Roman"/>
                      <w:b/>
                      <w:bCs/>
                      <w:sz w:val="14"/>
                      <w:szCs w:val="14"/>
                      <w:lang w:eastAsia="lv-LV"/>
                    </w:rPr>
                    <w:t xml:space="preserve">                   505.45 </w:t>
                  </w:r>
                </w:p>
              </w:tc>
            </w:tr>
          </w:tbl>
          <w:p w:rsidR="0051205E" w:rsidRPr="002258A6" w:rsidP="006E4A01" w14:paraId="21144221" w14:textId="77777777">
            <w:pPr>
              <w:shd w:val="clear" w:color="auto" w:fill="FFFFFF"/>
              <w:jc w:val="both"/>
              <w:rPr>
                <w:rFonts w:ascii="Times New Roman" w:eastAsia="Times New Roman" w:hAnsi="Times New Roman" w:cs="Times New Roman"/>
                <w:sz w:val="14"/>
                <w:szCs w:val="14"/>
                <w:u w:val="single"/>
                <w:shd w:val="clear" w:color="auto" w:fill="FFFFFF"/>
                <w:lang w:eastAsia="lv-LV" w:bidi="lv-LV"/>
              </w:rPr>
            </w:pPr>
          </w:p>
          <w:p w:rsidR="0051205E" w:rsidP="006E4A01" w14:paraId="2139B113" w14:textId="77777777">
            <w:pPr>
              <w:shd w:val="clear" w:color="auto" w:fill="FFFFFF"/>
              <w:jc w:val="both"/>
              <w:rPr>
                <w:rFonts w:ascii="Times New Roman" w:eastAsia="Times New Roman" w:hAnsi="Times New Roman" w:cs="Times New Roman"/>
                <w:u w:val="single"/>
                <w:shd w:val="clear" w:color="auto" w:fill="FFFFFF"/>
                <w:lang w:eastAsia="lv-LV" w:bidi="lv-LV"/>
              </w:rPr>
            </w:pPr>
          </w:p>
          <w:p w:rsidR="006E4A01" w:rsidRPr="003954D6" w:rsidP="006E4A01" w14:paraId="3D4AEB83" w14:textId="77777777">
            <w:pPr>
              <w:shd w:val="clear" w:color="auto" w:fill="FFFFFF"/>
              <w:jc w:val="both"/>
              <w:rPr>
                <w:rFonts w:ascii="Times New Roman" w:eastAsia="Times New Roman" w:hAnsi="Times New Roman" w:cs="Times New Roman"/>
                <w:u w:val="single"/>
                <w:shd w:val="clear" w:color="auto" w:fill="FFFFFF"/>
                <w:lang w:eastAsia="lv-LV" w:bidi="lv-LV"/>
              </w:rPr>
            </w:pPr>
            <w:r w:rsidRPr="003954D6">
              <w:rPr>
                <w:rFonts w:ascii="Times New Roman" w:eastAsia="Times New Roman" w:hAnsi="Times New Roman" w:cs="Times New Roman"/>
                <w:u w:val="single"/>
                <w:shd w:val="clear" w:color="auto" w:fill="FFFFFF"/>
                <w:lang w:eastAsia="lv-LV" w:bidi="lv-LV"/>
              </w:rPr>
              <w:t xml:space="preserve">2019.gadā un turpmāk papildus nepieciešamais finansējums - </w:t>
            </w:r>
            <w:r w:rsidR="003025E7">
              <w:rPr>
                <w:rFonts w:ascii="Times New Roman" w:hAnsi="Times New Roman" w:cs="Times New Roman"/>
                <w:b/>
                <w:u w:val="single"/>
              </w:rPr>
              <w:t>5 437 810</w:t>
            </w:r>
            <w:r w:rsidRPr="003954D6" w:rsidR="002A4DB4">
              <w:rPr>
                <w:rFonts w:ascii="Times New Roman" w:hAnsi="Times New Roman" w:cs="Times New Roman"/>
                <w:u w:val="single"/>
              </w:rPr>
              <w:t xml:space="preserve"> </w:t>
            </w:r>
            <w:r w:rsidRPr="003954D6">
              <w:rPr>
                <w:rFonts w:ascii="Times New Roman" w:eastAsia="Times New Roman" w:hAnsi="Times New Roman" w:cs="Times New Roman"/>
                <w:i/>
                <w:u w:val="single"/>
                <w:shd w:val="clear" w:color="auto" w:fill="FFFFFF"/>
                <w:lang w:eastAsia="lv-LV" w:bidi="lv-LV"/>
              </w:rPr>
              <w:t>euro</w:t>
            </w:r>
            <w:r w:rsidRPr="003954D6">
              <w:rPr>
                <w:rFonts w:ascii="Times New Roman" w:eastAsia="Times New Roman" w:hAnsi="Times New Roman" w:cs="Times New Roman"/>
                <w:u w:val="single"/>
                <w:shd w:val="clear" w:color="auto" w:fill="FFFFFF"/>
                <w:lang w:eastAsia="lv-LV" w:bidi="lv-LV"/>
              </w:rPr>
              <w:t>.</w:t>
            </w:r>
          </w:p>
          <w:p w:rsidR="006E4A01" w:rsidRPr="00D82F0B" w:rsidP="006E4A01" w14:paraId="7E39D09C" w14:textId="77777777">
            <w:pPr>
              <w:spacing w:after="80"/>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 xml:space="preserve">   Finansējums 2019. un 2020.gadam tiks nodrošināts no l</w:t>
            </w:r>
            <w:r w:rsidRPr="004C476B">
              <w:rPr>
                <w:rFonts w:ascii="Times New Roman" w:eastAsia="Times New Roman" w:hAnsi="Times New Roman" w:cs="Times New Roman"/>
                <w:shd w:val="clear" w:color="auto" w:fill="FFFFFF"/>
                <w:lang w:eastAsia="lv-LV" w:bidi="lv-LV"/>
              </w:rPr>
              <w:t>ikuma “Par vidēja termiņa budžeta ietvaru 2018., 2019. un 2020.gadam” budžeta resorā “74.Gadskārtējā valsts budžeta izpildes procesā pārdalāmais finansējums” Veselības ministrijai veselības finansējuma nodrošināšanai rezervētiem līdzekļiem</w:t>
            </w:r>
            <w:r>
              <w:rPr>
                <w:rFonts w:ascii="Times New Roman" w:eastAsia="Times New Roman" w:hAnsi="Times New Roman" w:cs="Times New Roman"/>
                <w:shd w:val="clear" w:color="auto" w:fill="FFFFFF"/>
                <w:lang w:eastAsia="lv-LV" w:bidi="lv-LV"/>
              </w:rPr>
              <w:t xml:space="preserve">. </w:t>
            </w:r>
          </w:p>
          <w:p w:rsidR="006D6911" w:rsidRPr="00341D91" w:rsidP="006E4A01" w14:paraId="0B04F094" w14:textId="77777777">
            <w:pPr>
              <w:spacing w:after="80"/>
              <w:ind w:firstLine="213"/>
              <w:jc w:val="both"/>
              <w:rPr>
                <w:rFonts w:ascii="Times New Roman" w:hAnsi="Times New Roman" w:cs="Times New Roman"/>
              </w:rPr>
            </w:pPr>
            <w:r w:rsidRPr="008C057B">
              <w:rPr>
                <w:rFonts w:ascii="Times New Roman" w:eastAsia="Times New Roman" w:hAnsi="Times New Roman" w:cs="Times New Roman"/>
                <w:lang w:eastAsia="lv-LV"/>
              </w:rPr>
              <w:t xml:space="preserve">   Sākot ar 2021.gadu un turpmāk ik gadu  noteikuma projektā paredzēto pasākumu</w:t>
            </w:r>
            <w:r w:rsidR="005155DD">
              <w:rPr>
                <w:rFonts w:ascii="Times New Roman" w:eastAsia="Times New Roman" w:hAnsi="Times New Roman" w:cs="Times New Roman"/>
                <w:lang w:eastAsia="lv-LV"/>
              </w:rPr>
              <w:t xml:space="preserve"> īstenošanu</w:t>
            </w:r>
            <w:r w:rsidRPr="008C057B">
              <w:rPr>
                <w:rFonts w:ascii="Times New Roman" w:eastAsia="Times New Roman" w:hAnsi="Times New Roman" w:cs="Times New Roman"/>
                <w:lang w:eastAsia="lv-LV"/>
              </w:rPr>
              <w:t xml:space="preserve"> plānots realizēt Veselības ministrijai piešķirto valsts budžeta līdzekļu ietvaros.</w:t>
            </w:r>
          </w:p>
        </w:tc>
      </w:tr>
      <w:tr w14:paraId="1110084E"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00944510"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6.1. detalizēts ieņēmumu aprēķins</w:t>
            </w:r>
          </w:p>
        </w:tc>
        <w:tc>
          <w:tcPr>
            <w:tcW w:w="4354" w:type="pct"/>
            <w:gridSpan w:val="7"/>
            <w:vMerge/>
          </w:tcPr>
          <w:p w:rsidR="006D6911" w:rsidRPr="00B21B25" w:rsidP="00AF7C22" w14:paraId="532A190E" w14:textId="77777777">
            <w:pPr>
              <w:rPr>
                <w:rFonts w:ascii="Times New Roman" w:eastAsia="Times New Roman" w:hAnsi="Times New Roman" w:cs="Times New Roman"/>
                <w:sz w:val="20"/>
                <w:szCs w:val="20"/>
                <w:lang w:eastAsia="lv-LV"/>
              </w:rPr>
            </w:pPr>
          </w:p>
        </w:tc>
      </w:tr>
      <w:tr w14:paraId="4E986584" w14:textId="77777777" w:rsidTr="008F0A7B">
        <w:tblPrEx>
          <w:tblW w:w="5714" w:type="pct"/>
          <w:tblCellSpacing w:w="20" w:type="dxa"/>
          <w:tblInd w:w="-717" w:type="dxa"/>
          <w:tblLayout w:type="fixed"/>
          <w:tblLook w:val="04A0"/>
        </w:tblPrEx>
        <w:trPr>
          <w:tblCellSpacing w:w="20" w:type="dxa"/>
        </w:trPr>
        <w:tc>
          <w:tcPr>
            <w:tcW w:w="588" w:type="pct"/>
            <w:hideMark/>
          </w:tcPr>
          <w:p w:rsidR="006D6911" w:rsidRPr="00B21B25" w:rsidP="00AF7C22" w14:paraId="2F1B4B97"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6.2. detalizēts izdevumu aprēķins</w:t>
            </w:r>
          </w:p>
        </w:tc>
        <w:tc>
          <w:tcPr>
            <w:tcW w:w="4354" w:type="pct"/>
            <w:gridSpan w:val="7"/>
            <w:vMerge/>
          </w:tcPr>
          <w:p w:rsidR="006D6911" w:rsidRPr="00B21B25" w:rsidP="00AF7C22" w14:paraId="452F9C9F" w14:textId="77777777">
            <w:pPr>
              <w:rPr>
                <w:rFonts w:ascii="Times New Roman" w:eastAsia="Times New Roman" w:hAnsi="Times New Roman" w:cs="Times New Roman"/>
                <w:sz w:val="20"/>
                <w:szCs w:val="20"/>
                <w:lang w:eastAsia="lv-LV"/>
              </w:rPr>
            </w:pPr>
          </w:p>
        </w:tc>
      </w:tr>
      <w:tr w14:paraId="037B1BDA" w14:textId="77777777" w:rsidTr="008F0A7B">
        <w:tblPrEx>
          <w:tblW w:w="5714" w:type="pct"/>
          <w:tblCellSpacing w:w="20" w:type="dxa"/>
          <w:tblInd w:w="-717" w:type="dxa"/>
          <w:tblLayout w:type="fixed"/>
          <w:tblLook w:val="04A0"/>
        </w:tblPrEx>
        <w:trPr>
          <w:trHeight w:val="1134"/>
          <w:tblCellSpacing w:w="20" w:type="dxa"/>
        </w:trPr>
        <w:tc>
          <w:tcPr>
            <w:tcW w:w="588" w:type="pct"/>
          </w:tcPr>
          <w:p w:rsidR="006D6911" w:rsidRPr="00B21B25" w:rsidP="00AF7C22" w14:paraId="477B460E"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7. Amata vietu skaita izmaiņas</w:t>
            </w:r>
          </w:p>
        </w:tc>
        <w:tc>
          <w:tcPr>
            <w:tcW w:w="4354" w:type="pct"/>
            <w:gridSpan w:val="7"/>
          </w:tcPr>
          <w:p w:rsidR="006D6911" w:rsidRPr="00B21B25" w:rsidP="00AF7C22" w14:paraId="5F3B5D67" w14:textId="77777777">
            <w:pPr>
              <w:contextualSpacing/>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Nav</w:t>
            </w:r>
          </w:p>
        </w:tc>
      </w:tr>
      <w:tr w14:paraId="586640D8" w14:textId="77777777" w:rsidTr="008F0A7B">
        <w:tblPrEx>
          <w:tblW w:w="5714" w:type="pct"/>
          <w:tblCellSpacing w:w="20" w:type="dxa"/>
          <w:tblInd w:w="-717" w:type="dxa"/>
          <w:tblLayout w:type="fixed"/>
          <w:tblLook w:val="04A0"/>
        </w:tblPrEx>
        <w:trPr>
          <w:trHeight w:val="668"/>
          <w:tblCellSpacing w:w="20" w:type="dxa"/>
        </w:trPr>
        <w:tc>
          <w:tcPr>
            <w:tcW w:w="588" w:type="pct"/>
            <w:hideMark/>
          </w:tcPr>
          <w:p w:rsidR="006D6911" w:rsidRPr="00B21B25" w:rsidP="00AF7C22" w14:paraId="24E82F19" w14:textId="77777777">
            <w:pPr>
              <w:rPr>
                <w:rFonts w:ascii="Times New Roman" w:eastAsia="Times New Roman" w:hAnsi="Times New Roman" w:cs="Times New Roman"/>
                <w:sz w:val="20"/>
                <w:szCs w:val="20"/>
                <w:lang w:eastAsia="lv-LV"/>
              </w:rPr>
            </w:pPr>
            <w:r w:rsidRPr="00B21B25">
              <w:rPr>
                <w:rFonts w:ascii="Times New Roman" w:eastAsia="Times New Roman" w:hAnsi="Times New Roman" w:cs="Times New Roman"/>
                <w:sz w:val="20"/>
                <w:szCs w:val="20"/>
                <w:lang w:eastAsia="lv-LV"/>
              </w:rPr>
              <w:t>8. Cita informācija</w:t>
            </w:r>
          </w:p>
        </w:tc>
        <w:tc>
          <w:tcPr>
            <w:tcW w:w="4354" w:type="pct"/>
            <w:gridSpan w:val="7"/>
          </w:tcPr>
          <w:p w:rsidR="006D6911" w:rsidRPr="00B21B25" w:rsidP="00AF7C22" w14:paraId="7A638EB2" w14:textId="77777777">
            <w:pPr>
              <w:contextualSpacing/>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Nav</w:t>
            </w:r>
          </w:p>
        </w:tc>
      </w:tr>
    </w:tbl>
    <w:p w:rsidR="006D6911" w:rsidRPr="003002C0" w:rsidP="00E5323B" w14:paraId="65D273CF" w14:textId="7777777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27"/>
        <w:gridCol w:w="2123"/>
        <w:gridCol w:w="6105"/>
      </w:tblGrid>
      <w:tr w14:paraId="20578477" w14:textId="77777777" w:rsidTr="00C85B1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55B1C821"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IV. Tiesību akta projekta ietekme uz spēkā esošo tiesību normu sistēmu</w:t>
            </w:r>
          </w:p>
        </w:tc>
      </w:tr>
      <w:tr w14:paraId="3B4EEED8" w14:textId="77777777" w:rsidTr="00E50DEA">
        <w:tblPrEx>
          <w:tblW w:w="5000" w:type="pct"/>
          <w:tblCellSpacing w:w="15" w:type="dxa"/>
          <w:tblCellMar>
            <w:top w:w="30" w:type="dxa"/>
            <w:left w:w="30" w:type="dxa"/>
            <w:bottom w:w="30" w:type="dxa"/>
            <w:right w:w="30" w:type="dxa"/>
          </w:tblCellMar>
          <w:tblLook w:val="04A0"/>
        </w:tblPrEx>
        <w:trPr>
          <w:trHeight w:val="90"/>
          <w:tblCellSpacing w:w="15" w:type="dxa"/>
        </w:trPr>
        <w:tc>
          <w:tcPr>
            <w:tcW w:w="435" w:type="pct"/>
            <w:tcBorders>
              <w:top w:val="outset" w:sz="6" w:space="0" w:color="auto"/>
              <w:left w:val="outset" w:sz="6" w:space="0" w:color="auto"/>
              <w:bottom w:val="outset" w:sz="6" w:space="0" w:color="auto"/>
              <w:right w:val="outset" w:sz="6" w:space="0" w:color="auto"/>
            </w:tcBorders>
            <w:vAlign w:val="center"/>
          </w:tcPr>
          <w:p w:rsidR="00E50DEA" w:rsidRPr="00FD18DC" w:rsidP="00FD18DC" w14:paraId="588180FA" w14:textId="7777777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1163" w:type="pct"/>
            <w:tcBorders>
              <w:top w:val="outset" w:sz="6" w:space="0" w:color="auto"/>
              <w:left w:val="outset" w:sz="6" w:space="0" w:color="auto"/>
              <w:bottom w:val="outset" w:sz="6" w:space="0" w:color="auto"/>
              <w:right w:val="outset" w:sz="6" w:space="0" w:color="auto"/>
            </w:tcBorders>
            <w:vAlign w:val="center"/>
          </w:tcPr>
          <w:p w:rsidR="00E50DEA" w:rsidRPr="00FD18DC" w:rsidP="00E50DEA" w14:paraId="7B3DD60D" w14:textId="77777777">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vAlign w:val="center"/>
          </w:tcPr>
          <w:p w:rsidR="00E50DEA" w:rsidRPr="00FD18DC" w:rsidP="00881BA1" w14:paraId="0E49ABC2" w14:textId="77777777">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w:t>
            </w:r>
            <w:r w:rsidRPr="00E8299A" w:rsidR="00E8299A">
              <w:rPr>
                <w:rFonts w:ascii="Times New Roman" w:eastAsia="Times New Roman" w:hAnsi="Times New Roman" w:cs="Times New Roman"/>
                <w:bCs/>
                <w:iCs/>
                <w:sz w:val="24"/>
                <w:szCs w:val="24"/>
                <w:lang w:eastAsia="lv-LV"/>
              </w:rPr>
              <w:t xml:space="preserve">Lai noteiktu vienotu veselības aprūpes organizēšanas un finansēšanas kārtību, atbilstoši Veselības aprūpes finansēšanas likumā iekļautajam deleģējumam, nepieciešams izstrādāt </w:t>
            </w:r>
            <w:r w:rsidRPr="00E8299A" w:rsidR="00E8299A">
              <w:rPr>
                <w:rFonts w:ascii="Times New Roman" w:eastAsia="Times New Roman" w:hAnsi="Times New Roman" w:cs="Times New Roman"/>
                <w:bCs/>
                <w:iCs/>
                <w:sz w:val="24"/>
                <w:szCs w:val="24"/>
                <w:lang w:eastAsia="lv-LV"/>
              </w:rPr>
              <w:t xml:space="preserve">vienotus Ministru kabineta noteikumus līdz 2018. gada 31. augustam, kuros nepieciešams integrēt noteikumu projektā iekļautās normas.   </w:t>
            </w:r>
          </w:p>
        </w:tc>
      </w:tr>
      <w:tr w14:paraId="2D4A729C" w14:textId="77777777" w:rsidTr="00E50DEA">
        <w:tblPrEx>
          <w:tblW w:w="5000" w:type="pct"/>
          <w:tblCellSpacing w:w="15" w:type="dxa"/>
          <w:tblCellMar>
            <w:top w:w="30" w:type="dxa"/>
            <w:left w:w="30" w:type="dxa"/>
            <w:bottom w:w="30" w:type="dxa"/>
            <w:right w:w="30" w:type="dxa"/>
          </w:tblCellMar>
          <w:tblLook w:val="04A0"/>
        </w:tblPrEx>
        <w:trPr>
          <w:trHeight w:val="90"/>
          <w:tblCellSpacing w:w="15" w:type="dxa"/>
        </w:trPr>
        <w:tc>
          <w:tcPr>
            <w:tcW w:w="435" w:type="pct"/>
            <w:tcBorders>
              <w:top w:val="outset" w:sz="6" w:space="0" w:color="auto"/>
              <w:left w:val="outset" w:sz="6" w:space="0" w:color="auto"/>
              <w:bottom w:val="outset" w:sz="6" w:space="0" w:color="auto"/>
              <w:right w:val="outset" w:sz="6" w:space="0" w:color="auto"/>
            </w:tcBorders>
            <w:vAlign w:val="center"/>
          </w:tcPr>
          <w:p w:rsidR="00E50DEA" w:rsidRPr="00FD18DC" w:rsidP="00FD18DC" w14:paraId="5E2DA53D" w14:textId="7777777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1163" w:type="pct"/>
            <w:tcBorders>
              <w:top w:val="outset" w:sz="6" w:space="0" w:color="auto"/>
              <w:left w:val="outset" w:sz="6" w:space="0" w:color="auto"/>
              <w:bottom w:val="outset" w:sz="6" w:space="0" w:color="auto"/>
              <w:right w:val="outset" w:sz="6" w:space="0" w:color="auto"/>
            </w:tcBorders>
            <w:vAlign w:val="center"/>
          </w:tcPr>
          <w:p w:rsidR="00E50DEA" w:rsidRPr="00FD18DC" w:rsidP="00E50DEA" w14:paraId="18290E06" w14:textId="77777777">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vAlign w:val="center"/>
          </w:tcPr>
          <w:p w:rsidR="00E50DEA" w:rsidRPr="00FD18DC" w:rsidP="00FC40FC" w14:paraId="7A0BAF21" w14:textId="77777777">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Veselības ministrija</w:t>
            </w:r>
          </w:p>
        </w:tc>
      </w:tr>
      <w:tr w14:paraId="03DD6F66" w14:textId="77777777" w:rsidTr="00E50DEA">
        <w:tblPrEx>
          <w:tblW w:w="5000" w:type="pct"/>
          <w:tblCellSpacing w:w="15" w:type="dxa"/>
          <w:tblCellMar>
            <w:top w:w="30" w:type="dxa"/>
            <w:left w:w="30" w:type="dxa"/>
            <w:bottom w:w="30" w:type="dxa"/>
            <w:right w:w="30" w:type="dxa"/>
          </w:tblCellMar>
          <w:tblLook w:val="04A0"/>
        </w:tblPrEx>
        <w:trPr>
          <w:trHeight w:val="90"/>
          <w:tblCellSpacing w:w="15" w:type="dxa"/>
        </w:trPr>
        <w:tc>
          <w:tcPr>
            <w:tcW w:w="435" w:type="pct"/>
            <w:tcBorders>
              <w:top w:val="outset" w:sz="6" w:space="0" w:color="auto"/>
              <w:left w:val="outset" w:sz="6" w:space="0" w:color="auto"/>
              <w:bottom w:val="outset" w:sz="6" w:space="0" w:color="auto"/>
              <w:right w:val="outset" w:sz="6" w:space="0" w:color="auto"/>
            </w:tcBorders>
            <w:vAlign w:val="center"/>
          </w:tcPr>
          <w:p w:rsidR="00E50DEA" w:rsidRPr="00FD18DC" w:rsidP="00FD18DC" w14:paraId="1C1B9A9F" w14:textId="7777777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163" w:type="pct"/>
            <w:tcBorders>
              <w:top w:val="outset" w:sz="6" w:space="0" w:color="auto"/>
              <w:left w:val="outset" w:sz="6" w:space="0" w:color="auto"/>
              <w:bottom w:val="outset" w:sz="6" w:space="0" w:color="auto"/>
              <w:right w:val="outset" w:sz="6" w:space="0" w:color="auto"/>
            </w:tcBorders>
            <w:vAlign w:val="center"/>
          </w:tcPr>
          <w:p w:rsidR="00E50DEA" w:rsidRPr="00FD18DC" w:rsidP="00E50DEA" w14:paraId="6A079855" w14:textId="77777777">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vAlign w:val="center"/>
          </w:tcPr>
          <w:p w:rsidR="00E50DEA" w:rsidRPr="00FD18DC" w:rsidP="00FC40FC" w14:paraId="406BD529" w14:textId="77777777">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rsidR="00E5323B" w:rsidRPr="003002C0" w:rsidP="00E5323B" w14:paraId="610745F0"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58C74A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6F12F6A1"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6CE3255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8DC" w:rsidRPr="00FD18DC" w:rsidP="00FD18DC" w14:paraId="3863EF61" w14:textId="77777777">
            <w:pPr>
              <w:spacing w:after="0" w:line="240" w:lineRule="auto"/>
              <w:jc w:val="center"/>
              <w:rPr>
                <w:rFonts w:ascii="Times New Roman" w:eastAsia="Times New Roman" w:hAnsi="Times New Roman" w:cs="Times New Roman"/>
                <w:bCs/>
                <w:iCs/>
                <w:sz w:val="24"/>
                <w:szCs w:val="24"/>
                <w:lang w:eastAsia="lv-LV"/>
              </w:rPr>
            </w:pPr>
            <w:r w:rsidRPr="00FD18DC">
              <w:rPr>
                <w:rFonts w:ascii="Times New Roman" w:eastAsia="Times New Roman" w:hAnsi="Times New Roman" w:cs="Times New Roman"/>
                <w:bCs/>
                <w:iCs/>
                <w:sz w:val="24"/>
                <w:szCs w:val="24"/>
                <w:lang w:eastAsia="lv-LV"/>
              </w:rPr>
              <w:t>Projekts šo jomu neskar</w:t>
            </w:r>
          </w:p>
        </w:tc>
      </w:tr>
    </w:tbl>
    <w:p w:rsidR="00E5323B" w:rsidRPr="003002C0" w:rsidP="00E5323B" w14:paraId="611D6BC7"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BE1ECA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40BC8909"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VI. Sabiedrības līdzdalība un komunikācijas aktivitātes</w:t>
            </w:r>
          </w:p>
        </w:tc>
      </w:tr>
      <w:tr w14:paraId="0A026A1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45404FA1"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4F3BBD96"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165939" w:rsidP="001C697B" w14:paraId="41E50520" w14:textId="77777777">
            <w:pPr>
              <w:spacing w:after="0" w:line="240" w:lineRule="auto"/>
              <w:ind w:firstLine="393"/>
              <w:jc w:val="both"/>
              <w:rPr>
                <w:rFonts w:ascii="Times New Roman" w:eastAsia="Times New Roman" w:hAnsi="Times New Roman" w:cs="Times New Roman"/>
                <w:iCs/>
                <w:sz w:val="24"/>
                <w:szCs w:val="24"/>
                <w:lang w:eastAsia="lv-LV"/>
              </w:rPr>
            </w:pPr>
            <w:r w:rsidRPr="00AA0365">
              <w:rPr>
                <w:rFonts w:ascii="Times New Roman" w:eastAsia="Times New Roman" w:hAnsi="Times New Roman" w:cs="Times New Roman"/>
                <w:iCs/>
                <w:sz w:val="24"/>
                <w:szCs w:val="24"/>
                <w:lang w:eastAsia="lv-LV"/>
              </w:rPr>
              <w:t xml:space="preserve">Noteikumu projekts </w:t>
            </w:r>
            <w:r w:rsidR="006D6911">
              <w:rPr>
                <w:rFonts w:ascii="Times New Roman" w:eastAsia="Times New Roman" w:hAnsi="Times New Roman" w:cs="Times New Roman"/>
                <w:iCs/>
                <w:sz w:val="24"/>
                <w:szCs w:val="24"/>
                <w:lang w:eastAsia="lv-LV"/>
              </w:rPr>
              <w:t xml:space="preserve">tika </w:t>
            </w:r>
            <w:r w:rsidRPr="00AA0365">
              <w:rPr>
                <w:rFonts w:ascii="Times New Roman" w:eastAsia="Times New Roman" w:hAnsi="Times New Roman" w:cs="Times New Roman"/>
                <w:iCs/>
                <w:sz w:val="24"/>
                <w:szCs w:val="24"/>
                <w:lang w:eastAsia="lv-LV"/>
              </w:rPr>
              <w:t>ievietots Veselības ministrijas tīmekļa vietnē www.vm.gov.lv un par to ir veikta sabiedriskā apspriede.</w:t>
            </w:r>
          </w:p>
        </w:tc>
      </w:tr>
      <w:tr w14:paraId="36B616F7" w14:textId="77777777" w:rsidTr="004E46B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19AD3A3E"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25A02B5A"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FC4D8E" w:rsidP="005D6350" w14:paraId="0CABD279" w14:textId="77777777">
            <w:pPr>
              <w:spacing w:after="0" w:line="240" w:lineRule="auto"/>
              <w:ind w:firstLine="391"/>
              <w:jc w:val="both"/>
              <w:rPr>
                <w:rFonts w:ascii="Times New Roman" w:eastAsia="Times New Roman" w:hAnsi="Times New Roman" w:cs="Times New Roman"/>
                <w:iCs/>
                <w:sz w:val="24"/>
                <w:szCs w:val="24"/>
                <w:highlight w:val="yellow"/>
                <w:lang w:eastAsia="lv-LV"/>
              </w:rPr>
            </w:pPr>
            <w:r w:rsidRPr="00AA0365">
              <w:rPr>
                <w:rFonts w:ascii="Times New Roman" w:eastAsia="Times New Roman" w:hAnsi="Times New Roman" w:cs="Times New Roman"/>
                <w:iCs/>
                <w:sz w:val="24"/>
                <w:szCs w:val="24"/>
                <w:lang w:eastAsia="lv-LV"/>
              </w:rPr>
              <w:t xml:space="preserve">Noteikumu projekts 2018.gada </w:t>
            </w:r>
            <w:r w:rsidR="003074E5">
              <w:rPr>
                <w:rFonts w:ascii="Times New Roman" w:eastAsia="Times New Roman" w:hAnsi="Times New Roman" w:cs="Times New Roman"/>
                <w:iCs/>
                <w:sz w:val="24"/>
                <w:szCs w:val="24"/>
                <w:lang w:eastAsia="lv-LV"/>
              </w:rPr>
              <w:t xml:space="preserve">12.aprīlī </w:t>
            </w:r>
            <w:r w:rsidRPr="00AA0365">
              <w:rPr>
                <w:rFonts w:ascii="Times New Roman" w:eastAsia="Times New Roman" w:hAnsi="Times New Roman" w:cs="Times New Roman"/>
                <w:iCs/>
                <w:sz w:val="24"/>
                <w:szCs w:val="24"/>
                <w:lang w:eastAsia="lv-LV"/>
              </w:rPr>
              <w:t>ievietots Veselības ministrijas tīmekļa vietnē</w:t>
            </w:r>
            <w:r w:rsidRPr="00AA0365" w:rsidR="003074E5">
              <w:rPr>
                <w:rFonts w:ascii="Times New Roman" w:eastAsia="Times New Roman" w:hAnsi="Times New Roman" w:cs="Times New Roman"/>
                <w:iCs/>
                <w:sz w:val="24"/>
                <w:szCs w:val="24"/>
                <w:lang w:eastAsia="lv-LV"/>
              </w:rPr>
              <w:t xml:space="preserve"> un par to</w:t>
            </w:r>
            <w:r w:rsidR="003074E5">
              <w:rPr>
                <w:rFonts w:ascii="Times New Roman" w:eastAsia="Times New Roman" w:hAnsi="Times New Roman" w:cs="Times New Roman"/>
                <w:iCs/>
                <w:sz w:val="24"/>
                <w:szCs w:val="24"/>
                <w:lang w:eastAsia="lv-LV"/>
              </w:rPr>
              <w:t xml:space="preserve"> </w:t>
            </w:r>
            <w:r w:rsidRPr="00AA0365" w:rsidR="003074E5">
              <w:rPr>
                <w:rFonts w:ascii="Times New Roman" w:eastAsia="Times New Roman" w:hAnsi="Times New Roman" w:cs="Times New Roman"/>
                <w:iCs/>
                <w:sz w:val="24"/>
                <w:szCs w:val="24"/>
                <w:lang w:eastAsia="lv-LV"/>
              </w:rPr>
              <w:t xml:space="preserve"> </w:t>
            </w:r>
            <w:r w:rsidRPr="003074E5" w:rsidR="003074E5">
              <w:rPr>
                <w:rFonts w:ascii="Times New Roman" w:eastAsia="Times New Roman" w:hAnsi="Times New Roman" w:cs="Times New Roman"/>
                <w:iCs/>
                <w:sz w:val="24"/>
                <w:szCs w:val="24"/>
                <w:lang w:eastAsia="lv-LV"/>
              </w:rPr>
              <w:t xml:space="preserve">2018.gada 26.aprīlī </w:t>
            </w:r>
            <w:r w:rsidRPr="00AA0365" w:rsidR="003074E5">
              <w:rPr>
                <w:rFonts w:ascii="Times New Roman" w:eastAsia="Times New Roman" w:hAnsi="Times New Roman" w:cs="Times New Roman"/>
                <w:iCs/>
                <w:sz w:val="24"/>
                <w:szCs w:val="24"/>
                <w:lang w:eastAsia="lv-LV"/>
              </w:rPr>
              <w:t>veikta sabiedriskā apspriede.</w:t>
            </w:r>
            <w:r w:rsidR="003074E5">
              <w:rPr>
                <w:rFonts w:ascii="Times New Roman" w:eastAsia="Times New Roman" w:hAnsi="Times New Roman" w:cs="Times New Roman"/>
                <w:iCs/>
                <w:sz w:val="24"/>
                <w:szCs w:val="24"/>
                <w:lang w:eastAsia="lv-LV"/>
              </w:rPr>
              <w:t xml:space="preserve"> </w:t>
            </w:r>
            <w:r w:rsidRPr="00AA0365">
              <w:rPr>
                <w:rFonts w:ascii="Times New Roman" w:eastAsia="Times New Roman" w:hAnsi="Times New Roman" w:cs="Times New Roman"/>
                <w:iCs/>
                <w:sz w:val="24"/>
                <w:szCs w:val="24"/>
                <w:lang w:eastAsia="lv-LV"/>
              </w:rPr>
              <w:t>Vienlaikus informācija par sabiedriskās apspriedes norisi tika nosūtīta</w:t>
            </w:r>
            <w:r w:rsidR="003074E5">
              <w:rPr>
                <w:rFonts w:ascii="Times New Roman" w:eastAsia="Times New Roman" w:hAnsi="Times New Roman" w:cs="Times New Roman"/>
                <w:iCs/>
                <w:sz w:val="24"/>
                <w:szCs w:val="24"/>
                <w:lang w:eastAsia="lv-LV"/>
              </w:rPr>
              <w:t xml:space="preserve"> Latvijas Slimnīcu biedrībai, </w:t>
            </w:r>
            <w:r w:rsidR="008A26AD">
              <w:rPr>
                <w:rFonts w:ascii="Times New Roman" w:eastAsia="Times New Roman" w:hAnsi="Times New Roman" w:cs="Times New Roman"/>
                <w:iCs/>
                <w:sz w:val="24"/>
                <w:szCs w:val="24"/>
                <w:lang w:eastAsia="lv-LV"/>
              </w:rPr>
              <w:t>V</w:t>
            </w:r>
            <w:r w:rsidR="003074E5">
              <w:rPr>
                <w:rFonts w:ascii="Times New Roman" w:eastAsia="Times New Roman" w:hAnsi="Times New Roman" w:cs="Times New Roman"/>
                <w:iCs/>
                <w:sz w:val="24"/>
                <w:szCs w:val="24"/>
                <w:lang w:eastAsia="lv-LV"/>
              </w:rPr>
              <w:t xml:space="preserve">SIA “Bērnu klīniskā universitātes slimnīca”, SIA </w:t>
            </w:r>
            <w:r w:rsidR="008A26AD">
              <w:rPr>
                <w:rFonts w:ascii="Times New Roman" w:eastAsia="Times New Roman" w:hAnsi="Times New Roman" w:cs="Times New Roman"/>
                <w:iCs/>
                <w:sz w:val="24"/>
                <w:szCs w:val="24"/>
                <w:lang w:eastAsia="lv-LV"/>
              </w:rPr>
              <w:t>“</w:t>
            </w:r>
            <w:r w:rsidR="003074E5">
              <w:rPr>
                <w:rFonts w:ascii="Times New Roman" w:eastAsia="Times New Roman" w:hAnsi="Times New Roman" w:cs="Times New Roman"/>
                <w:iCs/>
                <w:sz w:val="24"/>
                <w:szCs w:val="24"/>
                <w:lang w:eastAsia="lv-LV"/>
              </w:rPr>
              <w:t xml:space="preserve">Rīgas Austrumu klīniskā universitātes slimnīca” un VSIA “Paula Stradiņa klīniskā universitātes slimnīca”. </w:t>
            </w:r>
            <w:r w:rsidRPr="00AA0365">
              <w:rPr>
                <w:rFonts w:ascii="Times New Roman" w:eastAsia="Times New Roman" w:hAnsi="Times New Roman" w:cs="Times New Roman"/>
                <w:iCs/>
                <w:sz w:val="24"/>
                <w:szCs w:val="24"/>
                <w:lang w:eastAsia="lv-LV"/>
              </w:rPr>
              <w:t xml:space="preserve">  </w:t>
            </w:r>
          </w:p>
        </w:tc>
      </w:tr>
      <w:tr w14:paraId="301975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029BE59D"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31C47062"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1C697B" w:rsidP="006D6911" w14:paraId="581829DB" w14:textId="77777777">
            <w:pPr>
              <w:spacing w:after="0" w:line="240" w:lineRule="auto"/>
              <w:ind w:firstLine="393"/>
              <w:jc w:val="both"/>
              <w:rPr>
                <w:rFonts w:ascii="Times New Roman" w:eastAsia="Times New Roman" w:hAnsi="Times New Roman" w:cs="Times New Roman"/>
                <w:iCs/>
                <w:sz w:val="24"/>
                <w:szCs w:val="24"/>
                <w:lang w:eastAsia="lv-LV"/>
              </w:rPr>
            </w:pPr>
            <w:r w:rsidRPr="003074E5">
              <w:rPr>
                <w:rFonts w:ascii="Times New Roman" w:eastAsia="Times New Roman" w:hAnsi="Times New Roman" w:cs="Times New Roman"/>
                <w:iCs/>
                <w:sz w:val="24"/>
                <w:szCs w:val="24"/>
                <w:lang w:eastAsia="lv-LV"/>
              </w:rPr>
              <w:t xml:space="preserve">Noteikumu projekta sabiedriskajā apspriedē piedalījās </w:t>
            </w:r>
            <w:r w:rsidR="008A26AD">
              <w:rPr>
                <w:rFonts w:ascii="Times New Roman" w:eastAsia="Times New Roman" w:hAnsi="Times New Roman" w:cs="Times New Roman"/>
                <w:iCs/>
                <w:sz w:val="24"/>
                <w:szCs w:val="24"/>
                <w:lang w:eastAsia="lv-LV"/>
              </w:rPr>
              <w:t xml:space="preserve">pārstāvji no Latvijas Slimnīcu biedrības, </w:t>
            </w:r>
            <w:r w:rsidR="006D6911">
              <w:rPr>
                <w:rFonts w:ascii="Times New Roman" w:eastAsia="Times New Roman" w:hAnsi="Times New Roman" w:cs="Times New Roman"/>
                <w:iCs/>
                <w:sz w:val="24"/>
                <w:szCs w:val="24"/>
                <w:lang w:eastAsia="lv-LV"/>
              </w:rPr>
              <w:t>M</w:t>
            </w:r>
            <w:r w:rsidR="008A26AD">
              <w:rPr>
                <w:rFonts w:ascii="Times New Roman" w:eastAsia="Times New Roman" w:hAnsi="Times New Roman" w:cs="Times New Roman"/>
                <w:iCs/>
                <w:sz w:val="24"/>
                <w:szCs w:val="24"/>
                <w:lang w:eastAsia="lv-LV"/>
              </w:rPr>
              <w:t>edicīnas iestāžu biedrības, slimnīcām, Dienesta un Veselības ministrijas.</w:t>
            </w:r>
          </w:p>
          <w:p w:rsidR="00E5323B" w:rsidP="00E82EB0" w14:paraId="320AA7A0" w14:textId="77777777">
            <w:pPr>
              <w:spacing w:after="0" w:line="240" w:lineRule="auto"/>
              <w:ind w:firstLine="3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apspriedes dalībnieku iebildumi un  priekšlikumi ņemti vērā</w:t>
            </w:r>
            <w:r w:rsidR="00E82EB0">
              <w:rPr>
                <w:rFonts w:ascii="Times New Roman" w:eastAsia="Times New Roman" w:hAnsi="Times New Roman" w:cs="Times New Roman"/>
                <w:iCs/>
                <w:sz w:val="24"/>
                <w:szCs w:val="24"/>
                <w:lang w:eastAsia="lv-LV"/>
              </w:rPr>
              <w:t xml:space="preserve">, izņemot </w:t>
            </w:r>
            <w:r>
              <w:rPr>
                <w:rFonts w:ascii="Times New Roman" w:eastAsia="Times New Roman" w:hAnsi="Times New Roman" w:cs="Times New Roman"/>
                <w:iCs/>
                <w:sz w:val="24"/>
                <w:szCs w:val="24"/>
                <w:lang w:eastAsia="lv-LV"/>
              </w:rPr>
              <w:t>Latvijas slimnīcu biedrības iebildum</w:t>
            </w:r>
            <w:r w:rsidR="00037B25">
              <w:rPr>
                <w:rFonts w:ascii="Times New Roman" w:eastAsia="Times New Roman" w:hAnsi="Times New Roman" w:cs="Times New Roman"/>
                <w:iCs/>
                <w:sz w:val="24"/>
                <w:szCs w:val="24"/>
                <w:lang w:eastAsia="lv-LV"/>
              </w:rPr>
              <w:t xml:space="preserve">u saistībā ar </w:t>
            </w:r>
            <w:r>
              <w:rPr>
                <w:rFonts w:ascii="Times New Roman" w:eastAsia="Times New Roman" w:hAnsi="Times New Roman" w:cs="Times New Roman"/>
                <w:iCs/>
                <w:sz w:val="24"/>
                <w:szCs w:val="24"/>
                <w:lang w:eastAsia="lv-LV"/>
              </w:rPr>
              <w:t xml:space="preserve">noteikumu projekta 2.pielikuma papildināšanu ar </w:t>
            </w:r>
            <w:r w:rsidR="00714F96">
              <w:rPr>
                <w:rFonts w:ascii="Times New Roman" w:eastAsia="Times New Roman" w:hAnsi="Times New Roman" w:cs="Times New Roman"/>
                <w:iCs/>
                <w:sz w:val="24"/>
                <w:szCs w:val="24"/>
                <w:lang w:eastAsia="lv-LV"/>
              </w:rPr>
              <w:t>hroniskām psihiatriskām un narkoloģiskām diagnozēm</w:t>
            </w:r>
            <w:r w:rsidR="00037B25">
              <w:rPr>
                <w:rFonts w:ascii="Times New Roman" w:eastAsia="Times New Roman" w:hAnsi="Times New Roman" w:cs="Times New Roman"/>
                <w:iCs/>
                <w:sz w:val="24"/>
                <w:szCs w:val="24"/>
                <w:lang w:eastAsia="lv-LV"/>
              </w:rPr>
              <w:t xml:space="preserve"> diskusijas laikā panākta vienošanās par iebilduma atcelšanu.</w:t>
            </w:r>
            <w:r w:rsidR="00E82EB0">
              <w:rPr>
                <w:rFonts w:ascii="Times New Roman" w:eastAsia="Times New Roman" w:hAnsi="Times New Roman" w:cs="Times New Roman"/>
                <w:iCs/>
                <w:sz w:val="24"/>
                <w:szCs w:val="24"/>
                <w:lang w:eastAsia="lv-LV"/>
              </w:rPr>
              <w:t xml:space="preserve"> </w:t>
            </w:r>
            <w:r w:rsidRPr="00037B25" w:rsidR="00037B25">
              <w:rPr>
                <w:rFonts w:ascii="Times New Roman" w:eastAsia="Times New Roman" w:hAnsi="Times New Roman" w:cs="Times New Roman"/>
                <w:iCs/>
                <w:sz w:val="24"/>
                <w:szCs w:val="24"/>
                <w:lang w:eastAsia="lv-LV"/>
              </w:rPr>
              <w:t xml:space="preserve">Psihiatrijas programma noteikumu projektā netiek iekļauta, jo tās apmaksas nosacījumi </w:t>
            </w:r>
            <w:r w:rsidR="00037B25">
              <w:rPr>
                <w:rFonts w:ascii="Times New Roman" w:eastAsia="Times New Roman" w:hAnsi="Times New Roman" w:cs="Times New Roman"/>
                <w:iCs/>
                <w:sz w:val="24"/>
                <w:szCs w:val="24"/>
                <w:lang w:eastAsia="lv-LV"/>
              </w:rPr>
              <w:t xml:space="preserve">veselības aprūpes pakalpojumu sniedzējiem </w:t>
            </w:r>
            <w:r w:rsidRPr="00037B25" w:rsidR="00037B25">
              <w:rPr>
                <w:rFonts w:ascii="Times New Roman" w:eastAsia="Times New Roman" w:hAnsi="Times New Roman" w:cs="Times New Roman"/>
                <w:iCs/>
                <w:sz w:val="24"/>
                <w:szCs w:val="24"/>
                <w:lang w:eastAsia="lv-LV"/>
              </w:rPr>
              <w:t>šobrīd ir noteikti Ministru kabineta 2013.gada 17.decembra noteikumos Nr.1529 “Veselības aprūpes organizēšanas un finansēšanas noteikumi” (Noteikumu projekta 8.punkts).</w:t>
            </w:r>
          </w:p>
          <w:p w:rsidR="00137FB4" w:rsidRPr="003002C0" w:rsidP="00FB63EF" w14:paraId="5DCD82A2" w14:textId="77777777">
            <w:pPr>
              <w:spacing w:after="0" w:line="240" w:lineRule="auto"/>
              <w:ind w:firstLine="391"/>
              <w:jc w:val="both"/>
              <w:rPr>
                <w:rFonts w:ascii="Times New Roman" w:eastAsia="Times New Roman" w:hAnsi="Times New Roman" w:cs="Times New Roman"/>
                <w:iCs/>
                <w:sz w:val="24"/>
                <w:szCs w:val="24"/>
                <w:lang w:eastAsia="lv-LV"/>
              </w:rPr>
            </w:pPr>
            <w:r w:rsidRPr="00F254D9">
              <w:rPr>
                <w:rFonts w:ascii="Times New Roman" w:eastAsia="Times New Roman" w:hAnsi="Times New Roman" w:cs="Times New Roman"/>
                <w:iCs/>
                <w:color w:val="000000" w:themeColor="text1"/>
                <w:sz w:val="24"/>
                <w:szCs w:val="24"/>
                <w:lang w:eastAsia="lv-LV"/>
              </w:rPr>
              <w:t>Papildus Veselības ministrija 2018.gada 13.jūnijā saņēma sabiedrisk</w:t>
            </w:r>
            <w:r w:rsidRPr="00F254D9" w:rsidR="00881BA1">
              <w:rPr>
                <w:rFonts w:ascii="Times New Roman" w:eastAsia="Times New Roman" w:hAnsi="Times New Roman" w:cs="Times New Roman"/>
                <w:iCs/>
                <w:color w:val="000000" w:themeColor="text1"/>
                <w:sz w:val="24"/>
                <w:szCs w:val="24"/>
                <w:lang w:eastAsia="lv-LV"/>
              </w:rPr>
              <w:t>a</w:t>
            </w:r>
            <w:r w:rsidRPr="00F254D9">
              <w:rPr>
                <w:rFonts w:ascii="Times New Roman" w:eastAsia="Times New Roman" w:hAnsi="Times New Roman" w:cs="Times New Roman"/>
                <w:iCs/>
                <w:color w:val="000000" w:themeColor="text1"/>
                <w:sz w:val="24"/>
                <w:szCs w:val="24"/>
                <w:lang w:eastAsia="lv-LV"/>
              </w:rPr>
              <w:t>s organizācijas “Latvijas Lielo pilsētu asociācija” viedokli par noteikumu projektā iekļautajām normām</w:t>
            </w:r>
            <w:r w:rsidRPr="00F254D9" w:rsidR="00881BA1">
              <w:rPr>
                <w:rFonts w:ascii="Times New Roman" w:eastAsia="Times New Roman" w:hAnsi="Times New Roman" w:cs="Times New Roman"/>
                <w:iCs/>
                <w:color w:val="000000" w:themeColor="text1"/>
                <w:sz w:val="24"/>
                <w:szCs w:val="24"/>
                <w:lang w:eastAsia="lv-LV"/>
              </w:rPr>
              <w:t>.</w:t>
            </w:r>
            <w:r w:rsidRPr="00F254D9" w:rsidR="003624B5">
              <w:rPr>
                <w:rFonts w:ascii="Times New Roman" w:eastAsia="Times New Roman" w:hAnsi="Times New Roman" w:cs="Times New Roman"/>
                <w:iCs/>
                <w:color w:val="000000" w:themeColor="text1"/>
                <w:sz w:val="24"/>
                <w:szCs w:val="24"/>
                <w:lang w:eastAsia="lv-LV"/>
              </w:rPr>
              <w:t xml:space="preserve"> Ņem</w:t>
            </w:r>
            <w:r w:rsidRPr="00F254D9" w:rsidR="00680CA3">
              <w:rPr>
                <w:rFonts w:ascii="Times New Roman" w:eastAsia="Times New Roman" w:hAnsi="Times New Roman" w:cs="Times New Roman"/>
                <w:iCs/>
                <w:color w:val="000000" w:themeColor="text1"/>
                <w:sz w:val="24"/>
                <w:szCs w:val="24"/>
                <w:lang w:eastAsia="lv-LV"/>
              </w:rPr>
              <w:t xml:space="preserve">ts </w:t>
            </w:r>
            <w:r w:rsidRPr="00F254D9" w:rsidR="003624B5">
              <w:rPr>
                <w:rFonts w:ascii="Times New Roman" w:eastAsia="Times New Roman" w:hAnsi="Times New Roman" w:cs="Times New Roman"/>
                <w:iCs/>
                <w:color w:val="000000" w:themeColor="text1"/>
                <w:sz w:val="24"/>
                <w:szCs w:val="24"/>
                <w:lang w:eastAsia="lv-LV"/>
              </w:rPr>
              <w:t xml:space="preserve">vērā iesniedzēja </w:t>
            </w:r>
            <w:r w:rsidRPr="00F254D9" w:rsidR="00680CA3">
              <w:rPr>
                <w:rFonts w:ascii="Times New Roman" w:eastAsia="Times New Roman" w:hAnsi="Times New Roman" w:cs="Times New Roman"/>
                <w:iCs/>
                <w:color w:val="000000" w:themeColor="text1"/>
                <w:sz w:val="24"/>
                <w:szCs w:val="24"/>
                <w:lang w:eastAsia="lv-LV"/>
              </w:rPr>
              <w:t xml:space="preserve">ierosinātais precizējums par </w:t>
            </w:r>
            <w:r w:rsidRPr="00F254D9" w:rsidR="003624B5">
              <w:rPr>
                <w:rFonts w:ascii="Times New Roman" w:eastAsia="Times New Roman" w:hAnsi="Times New Roman" w:cs="Times New Roman"/>
                <w:iCs/>
                <w:color w:val="000000" w:themeColor="text1"/>
                <w:sz w:val="24"/>
                <w:szCs w:val="24"/>
                <w:lang w:eastAsia="lv-LV"/>
              </w:rPr>
              <w:t>n</w:t>
            </w:r>
            <w:r w:rsidRPr="00F254D9" w:rsidR="00881BA1">
              <w:rPr>
                <w:rFonts w:ascii="Times New Roman" w:eastAsia="Times New Roman" w:hAnsi="Times New Roman" w:cs="Times New Roman"/>
                <w:iCs/>
                <w:color w:val="000000" w:themeColor="text1"/>
                <w:sz w:val="24"/>
                <w:szCs w:val="24"/>
                <w:lang w:eastAsia="lv-LV"/>
              </w:rPr>
              <w:t>oteikumu projekta 3.punkt</w:t>
            </w:r>
            <w:r w:rsidRPr="00F254D9" w:rsidR="00680CA3">
              <w:rPr>
                <w:rFonts w:ascii="Times New Roman" w:eastAsia="Times New Roman" w:hAnsi="Times New Roman" w:cs="Times New Roman"/>
                <w:iCs/>
                <w:color w:val="000000" w:themeColor="text1"/>
                <w:sz w:val="24"/>
                <w:szCs w:val="24"/>
                <w:lang w:eastAsia="lv-LV"/>
              </w:rPr>
              <w:t>a</w:t>
            </w:r>
            <w:r w:rsidRPr="00F254D9" w:rsidR="00881BA1">
              <w:rPr>
                <w:rFonts w:ascii="Times New Roman" w:eastAsia="Times New Roman" w:hAnsi="Times New Roman" w:cs="Times New Roman"/>
                <w:iCs/>
                <w:color w:val="000000" w:themeColor="text1"/>
                <w:sz w:val="24"/>
                <w:szCs w:val="24"/>
                <w:lang w:eastAsia="lv-LV"/>
              </w:rPr>
              <w:t xml:space="preserve"> papildinā</w:t>
            </w:r>
            <w:r w:rsidRPr="00F254D9" w:rsidR="00680CA3">
              <w:rPr>
                <w:rFonts w:ascii="Times New Roman" w:eastAsia="Times New Roman" w:hAnsi="Times New Roman" w:cs="Times New Roman"/>
                <w:iCs/>
                <w:color w:val="000000" w:themeColor="text1"/>
                <w:sz w:val="24"/>
                <w:szCs w:val="24"/>
                <w:lang w:eastAsia="lv-LV"/>
              </w:rPr>
              <w:t>šanu</w:t>
            </w:r>
            <w:r w:rsidRPr="00F254D9" w:rsidR="00881BA1">
              <w:rPr>
                <w:rFonts w:ascii="Times New Roman" w:eastAsia="Times New Roman" w:hAnsi="Times New Roman" w:cs="Times New Roman"/>
                <w:iCs/>
                <w:color w:val="000000" w:themeColor="text1"/>
                <w:sz w:val="24"/>
                <w:szCs w:val="24"/>
                <w:lang w:eastAsia="lv-LV"/>
              </w:rPr>
              <w:t xml:space="preserve"> ar norādi, ka hronisko pacientu aprūpi stacionārā ārstniecības iestādē visu diennakti nodrošina atbilstošas specialitātes sertificēts ārsts un medicīnas māsa</w:t>
            </w:r>
            <w:r w:rsidRPr="00F254D9" w:rsidR="003624B5">
              <w:rPr>
                <w:rFonts w:ascii="Times New Roman" w:eastAsia="Times New Roman" w:hAnsi="Times New Roman" w:cs="Times New Roman"/>
                <w:iCs/>
                <w:color w:val="000000" w:themeColor="text1"/>
                <w:sz w:val="24"/>
                <w:szCs w:val="24"/>
                <w:lang w:eastAsia="lv-LV"/>
              </w:rPr>
              <w:t>s</w:t>
            </w:r>
            <w:r w:rsidRPr="00F254D9" w:rsidR="00CC4FB5">
              <w:rPr>
                <w:rFonts w:ascii="Times New Roman" w:eastAsia="Times New Roman" w:hAnsi="Times New Roman" w:cs="Times New Roman"/>
                <w:iCs/>
                <w:color w:val="000000" w:themeColor="text1"/>
                <w:sz w:val="24"/>
                <w:szCs w:val="24"/>
                <w:lang w:eastAsia="lv-LV"/>
              </w:rPr>
              <w:t>.</w:t>
            </w:r>
            <w:r w:rsidRPr="00F254D9" w:rsidR="003624B5">
              <w:rPr>
                <w:rFonts w:ascii="Times New Roman" w:eastAsia="Times New Roman" w:hAnsi="Times New Roman" w:cs="Times New Roman"/>
                <w:iCs/>
                <w:color w:val="000000" w:themeColor="text1"/>
                <w:sz w:val="24"/>
                <w:szCs w:val="24"/>
                <w:lang w:eastAsia="lv-LV"/>
              </w:rPr>
              <w:t xml:space="preserve"> </w:t>
            </w:r>
            <w:r w:rsidRPr="00F254D9" w:rsidR="00680CA3">
              <w:rPr>
                <w:rFonts w:ascii="Times New Roman" w:eastAsia="Times New Roman" w:hAnsi="Times New Roman" w:cs="Times New Roman"/>
                <w:iCs/>
                <w:color w:val="000000" w:themeColor="text1"/>
                <w:sz w:val="24"/>
                <w:szCs w:val="24"/>
                <w:lang w:eastAsia="lv-LV"/>
              </w:rPr>
              <w:t xml:space="preserve">Savukārt priekšlikums </w:t>
            </w:r>
            <w:r w:rsidRPr="00F254D9" w:rsidR="003624B5">
              <w:rPr>
                <w:rFonts w:ascii="Times New Roman" w:eastAsia="Times New Roman" w:hAnsi="Times New Roman" w:cs="Times New Roman"/>
                <w:iCs/>
                <w:color w:val="000000" w:themeColor="text1"/>
                <w:sz w:val="24"/>
                <w:szCs w:val="24"/>
                <w:lang w:eastAsia="lv-LV"/>
              </w:rPr>
              <w:t xml:space="preserve">par hronisko slimību pacientu atbrīvošanu no pacienta iemaksas </w:t>
            </w:r>
            <w:r w:rsidRPr="00F254D9" w:rsidR="003624B5">
              <w:rPr>
                <w:rFonts w:ascii="Times New Roman" w:eastAsia="Times New Roman" w:hAnsi="Times New Roman" w:cs="Times New Roman"/>
                <w:iCs/>
                <w:color w:val="000000" w:themeColor="text1"/>
                <w:sz w:val="24"/>
                <w:szCs w:val="24"/>
                <w:lang w:eastAsia="lv-LV"/>
              </w:rPr>
              <w:t>netiek ņemts vērā, jo pacienta iemaksu maksā visas personas, t.sk. pensionāri</w:t>
            </w:r>
            <w:r w:rsidRPr="00F254D9" w:rsidR="00680CA3">
              <w:rPr>
                <w:rFonts w:ascii="Times New Roman" w:eastAsia="Times New Roman" w:hAnsi="Times New Roman" w:cs="Times New Roman"/>
                <w:iCs/>
                <w:color w:val="000000" w:themeColor="text1"/>
                <w:sz w:val="24"/>
                <w:szCs w:val="24"/>
                <w:lang w:eastAsia="lv-LV"/>
              </w:rPr>
              <w:t>,</w:t>
            </w:r>
            <w:r w:rsidRPr="00F254D9" w:rsidR="003624B5">
              <w:rPr>
                <w:rFonts w:ascii="Times New Roman" w:eastAsia="Times New Roman" w:hAnsi="Times New Roman" w:cs="Times New Roman"/>
                <w:iCs/>
                <w:color w:val="000000" w:themeColor="text1"/>
                <w:sz w:val="24"/>
                <w:szCs w:val="24"/>
                <w:lang w:eastAsia="lv-LV"/>
              </w:rPr>
              <w:t xml:space="preserve"> ja vien viņi neatbilst kādai no tām personu grupām, kuras saskaņā ar šobrīd spēkā esošajām tiesību normām ir atbrīvotas no pacienta iemaksas</w:t>
            </w:r>
            <w:r w:rsidRPr="00F254D9" w:rsidR="002D03D4">
              <w:rPr>
                <w:rFonts w:ascii="Times New Roman" w:eastAsia="Times New Roman" w:hAnsi="Times New Roman" w:cs="Times New Roman"/>
                <w:iCs/>
                <w:color w:val="000000" w:themeColor="text1"/>
                <w:sz w:val="24"/>
                <w:szCs w:val="24"/>
                <w:lang w:eastAsia="lv-LV"/>
              </w:rPr>
              <w:t xml:space="preserve"> un lēmumu par pacientam nepieciešamo ārstēšanu pieņem ārsts atbilstoši savai kompetencei.</w:t>
            </w:r>
          </w:p>
        </w:tc>
      </w:tr>
      <w:tr w14:paraId="7C4CB21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5BACDC73"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1192085D"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002C0" w:rsidP="00E5323B" w14:paraId="2A57906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P="00E5323B" w14:paraId="2558E5F0"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14C19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5E79EA0C"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5BB576D" w14:textId="77777777" w:rsidTr="00E82EB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6553F25B"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60857CDA"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E5323B" w:rsidRPr="003002C0" w:rsidP="00665998" w14:paraId="7C139155" w14:textId="77777777">
            <w:pPr>
              <w:spacing w:after="0" w:line="240" w:lineRule="auto"/>
              <w:jc w:val="both"/>
              <w:rPr>
                <w:rFonts w:ascii="Times New Roman" w:eastAsia="Times New Roman" w:hAnsi="Times New Roman" w:cs="Times New Roman"/>
                <w:iCs/>
                <w:sz w:val="24"/>
                <w:szCs w:val="24"/>
                <w:lang w:eastAsia="lv-LV"/>
              </w:rPr>
            </w:pPr>
            <w:r w:rsidRPr="00FB43FE">
              <w:rPr>
                <w:rFonts w:ascii="Times New Roman" w:eastAsia="Times New Roman" w:hAnsi="Times New Roman" w:cs="Times New Roman"/>
                <w:iCs/>
                <w:sz w:val="24"/>
                <w:szCs w:val="24"/>
                <w:lang w:eastAsia="lv-LV"/>
              </w:rPr>
              <w:t xml:space="preserve">Veselības ministrija, </w:t>
            </w:r>
            <w:r>
              <w:rPr>
                <w:rFonts w:ascii="Times New Roman" w:eastAsia="Times New Roman" w:hAnsi="Times New Roman" w:cs="Times New Roman"/>
                <w:iCs/>
                <w:sz w:val="24"/>
                <w:szCs w:val="24"/>
                <w:lang w:eastAsia="lv-LV"/>
              </w:rPr>
              <w:t>D</w:t>
            </w:r>
            <w:r w:rsidRPr="00FB43FE">
              <w:rPr>
                <w:rFonts w:ascii="Times New Roman" w:eastAsia="Times New Roman" w:hAnsi="Times New Roman" w:cs="Times New Roman"/>
                <w:iCs/>
                <w:sz w:val="24"/>
                <w:szCs w:val="24"/>
                <w:lang w:eastAsia="lv-LV"/>
              </w:rPr>
              <w:t xml:space="preserve">ienests, ārstniecības iestādes, kas sniedz veselības aprūpes pakalpojumus </w:t>
            </w:r>
            <w:r>
              <w:rPr>
                <w:rFonts w:ascii="Times New Roman" w:eastAsia="Times New Roman" w:hAnsi="Times New Roman" w:cs="Times New Roman"/>
                <w:iCs/>
                <w:sz w:val="24"/>
                <w:szCs w:val="24"/>
                <w:lang w:eastAsia="lv-LV"/>
              </w:rPr>
              <w:t xml:space="preserve">hronisko slimību pacientiem </w:t>
            </w:r>
            <w:r w:rsidR="00085540">
              <w:rPr>
                <w:rFonts w:ascii="Times New Roman" w:eastAsia="Times New Roman" w:hAnsi="Times New Roman" w:cs="Times New Roman"/>
                <w:iCs/>
                <w:sz w:val="24"/>
                <w:szCs w:val="24"/>
                <w:lang w:eastAsia="lv-LV"/>
              </w:rPr>
              <w:t xml:space="preserve"> stacionā</w:t>
            </w:r>
            <w:r w:rsidR="004609EC">
              <w:rPr>
                <w:rFonts w:ascii="Times New Roman" w:eastAsia="Times New Roman" w:hAnsi="Times New Roman" w:cs="Times New Roman"/>
                <w:iCs/>
                <w:sz w:val="24"/>
                <w:szCs w:val="24"/>
                <w:lang w:eastAsia="lv-LV"/>
              </w:rPr>
              <w:t>r</w:t>
            </w:r>
            <w:r w:rsidR="00085540">
              <w:rPr>
                <w:rFonts w:ascii="Times New Roman" w:eastAsia="Times New Roman" w:hAnsi="Times New Roman" w:cs="Times New Roman"/>
                <w:iCs/>
                <w:sz w:val="24"/>
                <w:szCs w:val="24"/>
                <w:lang w:eastAsia="lv-LV"/>
              </w:rPr>
              <w:t>ā</w:t>
            </w:r>
            <w:r w:rsidR="008F0A7B">
              <w:rPr>
                <w:rFonts w:ascii="Times New Roman" w:eastAsia="Times New Roman" w:hAnsi="Times New Roman" w:cs="Times New Roman"/>
                <w:iCs/>
                <w:sz w:val="24"/>
                <w:szCs w:val="24"/>
                <w:lang w:eastAsia="lv-LV"/>
              </w:rPr>
              <w:t>, ārstniecības personas</w:t>
            </w:r>
            <w:r w:rsidR="005F788E">
              <w:rPr>
                <w:rFonts w:ascii="Times New Roman" w:eastAsia="Times New Roman" w:hAnsi="Times New Roman" w:cs="Times New Roman"/>
                <w:iCs/>
                <w:sz w:val="24"/>
                <w:szCs w:val="24"/>
                <w:lang w:eastAsia="lv-LV"/>
              </w:rPr>
              <w:t>.</w:t>
            </w:r>
          </w:p>
        </w:tc>
      </w:tr>
      <w:tr w14:paraId="1F4B825F" w14:textId="77777777" w:rsidTr="00E82EB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4F15B9A7"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0F801955"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izpildes ietekme uz pārvaldes funkcijām un institucionālo struktūru.</w:t>
            </w:r>
            <w:r w:rsidRPr="003002C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E5323B" w:rsidRPr="003002C0" w:rsidP="00E5323B" w14:paraId="4058874E" w14:textId="77777777">
            <w:pPr>
              <w:spacing w:after="0" w:line="240" w:lineRule="auto"/>
              <w:rPr>
                <w:rFonts w:ascii="Times New Roman" w:eastAsia="Times New Roman" w:hAnsi="Times New Roman" w:cs="Times New Roman"/>
                <w:iCs/>
                <w:sz w:val="24"/>
                <w:szCs w:val="24"/>
                <w:lang w:eastAsia="lv-LV"/>
              </w:rPr>
            </w:pPr>
            <w:r w:rsidRPr="004E46BA">
              <w:rPr>
                <w:rFonts w:ascii="Times New Roman" w:eastAsia="Times New Roman" w:hAnsi="Times New Roman" w:cs="Times New Roman"/>
                <w:iCs/>
                <w:sz w:val="24"/>
                <w:szCs w:val="24"/>
                <w:lang w:eastAsia="lv-LV"/>
              </w:rPr>
              <w:t>Projekts šo jomu neskar</w:t>
            </w:r>
          </w:p>
        </w:tc>
      </w:tr>
      <w:tr w14:paraId="0A7B09D2" w14:textId="77777777" w:rsidTr="00E82EB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2ED5317B"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43D813A6"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3002C0" w:rsidP="00E5323B" w14:paraId="5376AA9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3002C0" w:rsidP="00894C55" w14:paraId="2D348226" w14:textId="77777777">
      <w:pPr>
        <w:spacing w:after="0" w:line="240" w:lineRule="auto"/>
        <w:rPr>
          <w:rFonts w:ascii="Times New Roman" w:hAnsi="Times New Roman" w:cs="Times New Roman"/>
          <w:sz w:val="28"/>
          <w:szCs w:val="28"/>
        </w:rPr>
      </w:pPr>
    </w:p>
    <w:p w:rsidR="00E5323B" w:rsidRPr="00665998" w:rsidP="00894C55" w14:paraId="5271C2DF" w14:textId="77777777">
      <w:pPr>
        <w:spacing w:after="0" w:line="240" w:lineRule="auto"/>
        <w:rPr>
          <w:rFonts w:ascii="Times New Roman" w:hAnsi="Times New Roman" w:cs="Times New Roman"/>
          <w:sz w:val="24"/>
          <w:szCs w:val="28"/>
        </w:rPr>
      </w:pPr>
    </w:p>
    <w:p w:rsidR="00576149" w:rsidRPr="00657EC9" w:rsidP="00576149" w14:paraId="714DC165" w14:textId="77777777">
      <w:pPr>
        <w:tabs>
          <w:tab w:val="left" w:pos="6521"/>
          <w:tab w:val="right" w:pos="9356"/>
        </w:tabs>
        <w:spacing w:after="0" w:line="240" w:lineRule="auto"/>
        <w:ind w:right="-23"/>
        <w:rPr>
          <w:rFonts w:ascii="Times New Roman" w:eastAsia="Times New Roman" w:hAnsi="Times New Roman" w:cs="Times New Roman"/>
          <w:sz w:val="28"/>
          <w:szCs w:val="28"/>
        </w:rPr>
      </w:pPr>
      <w:r w:rsidRPr="00657EC9">
        <w:rPr>
          <w:rFonts w:ascii="Times New Roman" w:eastAsia="Times New Roman" w:hAnsi="Times New Roman" w:cs="Times New Roman"/>
          <w:sz w:val="28"/>
          <w:szCs w:val="24"/>
          <w:lang w:eastAsia="lv-LV"/>
        </w:rPr>
        <w:t xml:space="preserve">Veselības </w:t>
      </w:r>
      <w:r w:rsidRPr="00657EC9">
        <w:rPr>
          <w:rFonts w:ascii="Times New Roman" w:eastAsia="Times New Roman" w:hAnsi="Times New Roman" w:cs="Times New Roman"/>
          <w:sz w:val="28"/>
          <w:szCs w:val="28"/>
        </w:rPr>
        <w:t>ministre</w:t>
      </w:r>
      <w:r w:rsidRPr="00657EC9">
        <w:rPr>
          <w:rFonts w:ascii="Times New Roman" w:eastAsia="Times New Roman" w:hAnsi="Times New Roman" w:cs="Times New Roman"/>
          <w:sz w:val="28"/>
          <w:szCs w:val="24"/>
          <w:lang w:eastAsia="lv-LV"/>
        </w:rPr>
        <w:t xml:space="preserve"> </w:t>
      </w:r>
      <w:r w:rsidRPr="00657EC9">
        <w:rPr>
          <w:rFonts w:ascii="Times New Roman" w:eastAsia="Times New Roman" w:hAnsi="Times New Roman" w:cs="Times New Roman"/>
          <w:sz w:val="28"/>
          <w:szCs w:val="24"/>
          <w:lang w:eastAsia="lv-LV"/>
        </w:rPr>
        <w:tab/>
      </w:r>
      <w:r w:rsidRPr="00657EC9">
        <w:rPr>
          <w:rFonts w:ascii="Times New Roman" w:eastAsia="Times New Roman" w:hAnsi="Times New Roman" w:cs="Times New Roman"/>
          <w:sz w:val="28"/>
          <w:szCs w:val="24"/>
          <w:lang w:eastAsia="lv-LV"/>
        </w:rPr>
        <w:tab/>
      </w:r>
      <w:r w:rsidRPr="00657EC9">
        <w:rPr>
          <w:rFonts w:ascii="Times New Roman" w:eastAsia="Calibri" w:hAnsi="Times New Roman" w:cs="Times New Roman"/>
          <w:sz w:val="28"/>
          <w:szCs w:val="28"/>
          <w:lang w:eastAsia="lv-LV"/>
        </w:rPr>
        <w:t>Anda Čakša</w:t>
      </w:r>
    </w:p>
    <w:p w:rsidR="00576149" w:rsidP="00576149" w14:paraId="4F013E78" w14:textId="77777777">
      <w:pPr>
        <w:pStyle w:val="Parasts1"/>
        <w:tabs>
          <w:tab w:val="left" w:pos="6521"/>
        </w:tabs>
        <w:ind w:right="-613"/>
        <w:rPr>
          <w:sz w:val="28"/>
          <w:szCs w:val="28"/>
        </w:rPr>
      </w:pPr>
    </w:p>
    <w:p w:rsidR="00576149" w:rsidP="00576149" w14:paraId="7DC66851" w14:textId="77777777">
      <w:pPr>
        <w:pStyle w:val="Parasts1"/>
        <w:tabs>
          <w:tab w:val="left" w:pos="6521"/>
        </w:tabs>
        <w:ind w:right="-613"/>
        <w:rPr>
          <w:sz w:val="28"/>
          <w:szCs w:val="28"/>
        </w:rPr>
      </w:pPr>
    </w:p>
    <w:p w:rsidR="00AE069D" w:rsidRPr="00A75A64" w:rsidP="00AE069D" w14:paraId="3F9CECC1" w14:textId="77777777">
      <w:pPr>
        <w:tabs>
          <w:tab w:val="right" w:pos="9072"/>
          <w:tab w:val="right" w:pos="9639"/>
        </w:tabs>
        <w:spacing w:after="0" w:line="240" w:lineRule="auto"/>
        <w:ind w:right="-1"/>
        <w:contextualSpacing/>
        <w:rPr>
          <w:rFonts w:ascii="Times New Roman" w:eastAsia="Calibri" w:hAnsi="Times New Roman" w:cs="Times New Roman"/>
          <w:sz w:val="28"/>
          <w:szCs w:val="24"/>
        </w:rPr>
      </w:pPr>
      <w:r w:rsidRPr="00A75A64">
        <w:rPr>
          <w:rFonts w:ascii="Times New Roman" w:eastAsia="Calibri" w:hAnsi="Times New Roman" w:cs="Times New Roman"/>
          <w:sz w:val="28"/>
          <w:szCs w:val="24"/>
        </w:rPr>
        <w:t>Vīza: Valsts sekretārs</w:t>
      </w:r>
      <w:r w:rsidRPr="00A75A64">
        <w:rPr>
          <w:rFonts w:ascii="Times New Roman" w:eastAsia="Calibri" w:hAnsi="Times New Roman" w:cs="Times New Roman"/>
          <w:sz w:val="28"/>
          <w:szCs w:val="24"/>
        </w:rPr>
        <w:tab/>
        <w:t>Aivars Lapiņš</w:t>
      </w:r>
    </w:p>
    <w:p w:rsidR="004E46BA" w:rsidP="00894C55" w14:paraId="02336F60" w14:textId="77777777">
      <w:pPr>
        <w:tabs>
          <w:tab w:val="left" w:pos="6237"/>
        </w:tabs>
        <w:spacing w:after="0" w:line="240" w:lineRule="auto"/>
        <w:rPr>
          <w:rFonts w:ascii="Times New Roman" w:hAnsi="Times New Roman" w:cs="Times New Roman"/>
          <w:szCs w:val="28"/>
        </w:rPr>
      </w:pPr>
    </w:p>
    <w:p w:rsidR="004E46BA" w:rsidP="00894C55" w14:paraId="0A445F64" w14:textId="77777777">
      <w:pPr>
        <w:tabs>
          <w:tab w:val="left" w:pos="6237"/>
        </w:tabs>
        <w:spacing w:after="0" w:line="240" w:lineRule="auto"/>
        <w:rPr>
          <w:rFonts w:ascii="Times New Roman" w:hAnsi="Times New Roman" w:cs="Times New Roman"/>
          <w:szCs w:val="28"/>
        </w:rPr>
      </w:pPr>
    </w:p>
    <w:p w:rsidR="00E82EB0" w:rsidP="00894C55" w14:paraId="7C0C2491" w14:textId="77777777">
      <w:pPr>
        <w:tabs>
          <w:tab w:val="left" w:pos="6237"/>
        </w:tabs>
        <w:spacing w:after="0" w:line="240" w:lineRule="auto"/>
        <w:rPr>
          <w:rFonts w:ascii="Times New Roman" w:hAnsi="Times New Roman" w:cs="Times New Roman"/>
          <w:szCs w:val="28"/>
        </w:rPr>
      </w:pPr>
    </w:p>
    <w:p w:rsidR="00E82EB0" w:rsidP="00894C55" w14:paraId="78E3CA12" w14:textId="77777777">
      <w:pPr>
        <w:tabs>
          <w:tab w:val="left" w:pos="6237"/>
        </w:tabs>
        <w:spacing w:after="0" w:line="240" w:lineRule="auto"/>
        <w:rPr>
          <w:rFonts w:ascii="Times New Roman" w:hAnsi="Times New Roman" w:cs="Times New Roman"/>
          <w:szCs w:val="28"/>
        </w:rPr>
      </w:pPr>
    </w:p>
    <w:p w:rsidR="00E82EB0" w:rsidP="00894C55" w14:paraId="55CC0BC0" w14:textId="77777777">
      <w:pPr>
        <w:tabs>
          <w:tab w:val="left" w:pos="6237"/>
        </w:tabs>
        <w:spacing w:after="0" w:line="240" w:lineRule="auto"/>
        <w:rPr>
          <w:rFonts w:ascii="Times New Roman" w:hAnsi="Times New Roman" w:cs="Times New Roman"/>
          <w:szCs w:val="28"/>
        </w:rPr>
      </w:pPr>
    </w:p>
    <w:p w:rsidR="00E82EB0" w:rsidP="00894C55" w14:paraId="0FEB9E4B" w14:textId="77777777">
      <w:pPr>
        <w:tabs>
          <w:tab w:val="left" w:pos="6237"/>
        </w:tabs>
        <w:spacing w:after="0" w:line="240" w:lineRule="auto"/>
        <w:rPr>
          <w:rFonts w:ascii="Times New Roman" w:hAnsi="Times New Roman" w:cs="Times New Roman"/>
          <w:szCs w:val="28"/>
        </w:rPr>
      </w:pPr>
    </w:p>
    <w:p w:rsidR="00E82EB0" w:rsidP="00894C55" w14:paraId="5D24590B" w14:textId="77777777">
      <w:pPr>
        <w:tabs>
          <w:tab w:val="left" w:pos="6237"/>
        </w:tabs>
        <w:spacing w:after="0" w:line="240" w:lineRule="auto"/>
        <w:rPr>
          <w:rFonts w:ascii="Times New Roman" w:hAnsi="Times New Roman" w:cs="Times New Roman"/>
          <w:szCs w:val="28"/>
        </w:rPr>
      </w:pPr>
    </w:p>
    <w:p w:rsidR="00E82EB0" w:rsidP="00894C55" w14:paraId="5678E4DE" w14:textId="77777777">
      <w:pPr>
        <w:tabs>
          <w:tab w:val="left" w:pos="6237"/>
        </w:tabs>
        <w:spacing w:after="0" w:line="240" w:lineRule="auto"/>
        <w:rPr>
          <w:rFonts w:ascii="Times New Roman" w:hAnsi="Times New Roman" w:cs="Times New Roman"/>
          <w:szCs w:val="28"/>
        </w:rPr>
      </w:pPr>
    </w:p>
    <w:p w:rsidR="004E46BA" w:rsidP="00894C55" w14:paraId="76F10BBC" w14:textId="77777777">
      <w:pPr>
        <w:tabs>
          <w:tab w:val="left" w:pos="6237"/>
        </w:tabs>
        <w:spacing w:after="0" w:line="240" w:lineRule="auto"/>
        <w:rPr>
          <w:rFonts w:ascii="Times New Roman" w:hAnsi="Times New Roman" w:cs="Times New Roman"/>
          <w:szCs w:val="28"/>
        </w:rPr>
      </w:pPr>
    </w:p>
    <w:p w:rsidR="00894C55" w:rsidRPr="00B45712" w:rsidP="00894C55" w14:paraId="185C2B80" w14:textId="77777777">
      <w:pPr>
        <w:tabs>
          <w:tab w:val="left" w:pos="6237"/>
        </w:tabs>
        <w:spacing w:after="0" w:line="240" w:lineRule="auto"/>
        <w:rPr>
          <w:rFonts w:ascii="Times New Roman" w:hAnsi="Times New Roman" w:cs="Times New Roman"/>
          <w:sz w:val="24"/>
          <w:szCs w:val="24"/>
        </w:rPr>
      </w:pPr>
      <w:r w:rsidRPr="00B45712">
        <w:rPr>
          <w:rFonts w:ascii="Times New Roman" w:hAnsi="Times New Roman" w:cs="Times New Roman"/>
          <w:sz w:val="24"/>
          <w:szCs w:val="24"/>
        </w:rPr>
        <w:t>Eglīte</w:t>
      </w:r>
      <w:r w:rsidRPr="00B45712" w:rsidR="00D133F8">
        <w:rPr>
          <w:rFonts w:ascii="Times New Roman" w:hAnsi="Times New Roman" w:cs="Times New Roman"/>
          <w:sz w:val="24"/>
          <w:szCs w:val="24"/>
        </w:rPr>
        <w:t xml:space="preserve"> 67</w:t>
      </w:r>
      <w:r w:rsidRPr="00B45712" w:rsidR="005F788E">
        <w:rPr>
          <w:rFonts w:ascii="Times New Roman" w:hAnsi="Times New Roman" w:cs="Times New Roman"/>
          <w:sz w:val="24"/>
          <w:szCs w:val="24"/>
        </w:rPr>
        <w:t>876</w:t>
      </w:r>
      <w:r w:rsidRPr="00B45712">
        <w:rPr>
          <w:rFonts w:ascii="Times New Roman" w:hAnsi="Times New Roman" w:cs="Times New Roman"/>
          <w:sz w:val="24"/>
          <w:szCs w:val="24"/>
        </w:rPr>
        <w:t>091</w:t>
      </w:r>
    </w:p>
    <w:p w:rsidR="00894C55" w:rsidRPr="00B45712" w:rsidP="00894C55" w14:paraId="22FD9F40" w14:textId="77777777">
      <w:pPr>
        <w:tabs>
          <w:tab w:val="left" w:pos="6237"/>
        </w:tabs>
        <w:spacing w:after="0" w:line="240" w:lineRule="auto"/>
        <w:rPr>
          <w:rFonts w:ascii="Times New Roman" w:hAnsi="Times New Roman" w:cs="Times New Roman"/>
          <w:sz w:val="24"/>
          <w:szCs w:val="24"/>
        </w:rPr>
      </w:pPr>
      <w:r w:rsidRPr="00B45712">
        <w:rPr>
          <w:rFonts w:ascii="Times New Roman" w:hAnsi="Times New Roman" w:cs="Times New Roman"/>
          <w:sz w:val="24"/>
          <w:szCs w:val="24"/>
        </w:rPr>
        <w:t>Leonora.Eglite</w:t>
      </w:r>
      <w:r w:rsidRPr="00B45712" w:rsidR="005F788E">
        <w:rPr>
          <w:rFonts w:ascii="Times New Roman" w:hAnsi="Times New Roman" w:cs="Times New Roman"/>
          <w:sz w:val="24"/>
          <w:szCs w:val="24"/>
        </w:rPr>
        <w:t>@vm.gov.lv</w:t>
      </w:r>
    </w:p>
    <w:p w:rsidR="00C1173E" w:rsidP="00894C55" w14:paraId="76D3143E" w14:textId="77777777">
      <w:pPr>
        <w:tabs>
          <w:tab w:val="left" w:pos="6237"/>
        </w:tabs>
        <w:spacing w:after="0" w:line="240" w:lineRule="auto"/>
        <w:rPr>
          <w:rFonts w:ascii="Times New Roman" w:hAnsi="Times New Roman" w:cs="Times New Roman"/>
          <w:szCs w:val="28"/>
        </w:rPr>
      </w:pPr>
    </w:p>
    <w:p w:rsidR="00B86139" w:rsidRPr="00B45712" w:rsidP="00894C55" w14:paraId="1ABC7EFE" w14:textId="77777777">
      <w:pPr>
        <w:tabs>
          <w:tab w:val="left" w:pos="6237"/>
        </w:tabs>
        <w:spacing w:after="0" w:line="240" w:lineRule="auto"/>
        <w:rPr>
          <w:rFonts w:ascii="Times New Roman" w:hAnsi="Times New Roman" w:cs="Times New Roman"/>
          <w:color w:val="000000" w:themeColor="text1"/>
          <w:sz w:val="24"/>
          <w:szCs w:val="24"/>
        </w:rPr>
      </w:pPr>
      <w:r w:rsidRPr="00B45712">
        <w:rPr>
          <w:rFonts w:ascii="Times New Roman" w:hAnsi="Times New Roman" w:cs="Times New Roman"/>
          <w:color w:val="000000" w:themeColor="text1"/>
          <w:sz w:val="24"/>
          <w:szCs w:val="24"/>
        </w:rPr>
        <w:t xml:space="preserve">Lazdiņa </w:t>
      </w:r>
      <w:r w:rsidRPr="00B45712" w:rsidR="005F788E">
        <w:rPr>
          <w:rFonts w:ascii="Times New Roman" w:hAnsi="Times New Roman" w:cs="Times New Roman"/>
          <w:color w:val="000000" w:themeColor="text1"/>
          <w:sz w:val="24"/>
          <w:szCs w:val="24"/>
        </w:rPr>
        <w:t>67876</w:t>
      </w:r>
      <w:r w:rsidRPr="00B45712">
        <w:rPr>
          <w:rFonts w:ascii="Times New Roman" w:hAnsi="Times New Roman" w:cs="Times New Roman"/>
          <w:color w:val="000000" w:themeColor="text1"/>
          <w:sz w:val="24"/>
          <w:szCs w:val="24"/>
        </w:rPr>
        <w:t>169</w:t>
      </w:r>
    </w:p>
    <w:p w:rsidR="00B86139" w:rsidRPr="00B45712" w:rsidP="00894C55" w14:paraId="4C60A27A" w14:textId="77777777">
      <w:pPr>
        <w:tabs>
          <w:tab w:val="left" w:pos="6237"/>
        </w:tabs>
        <w:spacing w:after="0" w:line="240" w:lineRule="auto"/>
        <w:rPr>
          <w:rFonts w:ascii="Times New Roman" w:hAnsi="Times New Roman" w:cs="Times New Roman"/>
          <w:color w:val="000000" w:themeColor="text1"/>
          <w:sz w:val="24"/>
          <w:szCs w:val="24"/>
        </w:rPr>
      </w:pPr>
      <w:r w:rsidRPr="00B45712">
        <w:rPr>
          <w:rFonts w:ascii="Times New Roman" w:hAnsi="Times New Roman" w:cs="Times New Roman"/>
          <w:color w:val="000000" w:themeColor="text1"/>
          <w:sz w:val="24"/>
          <w:szCs w:val="24"/>
        </w:rPr>
        <w:t>Ivita.Lazdina</w:t>
      </w:r>
      <w:r w:rsidRPr="00B45712" w:rsidR="005F788E">
        <w:rPr>
          <w:rFonts w:ascii="Times New Roman" w:hAnsi="Times New Roman" w:cs="Times New Roman"/>
          <w:color w:val="000000" w:themeColor="text1"/>
          <w:sz w:val="24"/>
          <w:szCs w:val="24"/>
        </w:rPr>
        <w:t>@vm.gov.lv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75C" w:rsidRPr="00E5283C" w:rsidP="00E91B1A" w14:paraId="53C3B90C" w14:textId="77777777">
    <w:pPr>
      <w:pStyle w:val="Footer"/>
      <w:rPr>
        <w:sz w:val="24"/>
        <w:szCs w:val="24"/>
      </w:rPr>
    </w:pPr>
    <w:r w:rsidRPr="00E5283C">
      <w:rPr>
        <w:rFonts w:ascii="Times New Roman" w:hAnsi="Times New Roman" w:cs="Times New Roman"/>
        <w:sz w:val="24"/>
        <w:szCs w:val="24"/>
      </w:rPr>
      <w:t>VManot_</w:t>
    </w:r>
    <w:r w:rsidR="00576149">
      <w:rPr>
        <w:rFonts w:ascii="Times New Roman" w:hAnsi="Times New Roman" w:cs="Times New Roman"/>
        <w:sz w:val="24"/>
        <w:szCs w:val="24"/>
      </w:rPr>
      <w:t>24</w:t>
    </w:r>
    <w:r>
      <w:rPr>
        <w:rFonts w:ascii="Times New Roman" w:hAnsi="Times New Roman" w:cs="Times New Roman"/>
        <w:sz w:val="24"/>
        <w:szCs w:val="24"/>
      </w:rPr>
      <w:t>07</w:t>
    </w:r>
    <w:r w:rsidRPr="00E5283C">
      <w:rPr>
        <w:rFonts w:ascii="Times New Roman" w:hAnsi="Times New Roman" w:cs="Times New Roman"/>
        <w:sz w:val="24"/>
        <w:szCs w:val="24"/>
      </w:rPr>
      <w:t>18_hron_pac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75C" w:rsidRPr="00E5283C" w:rsidP="009F4434" w14:paraId="673AC5F9" w14:textId="77777777">
    <w:pPr>
      <w:pStyle w:val="Footer"/>
      <w:rPr>
        <w:rFonts w:ascii="Times New Roman" w:hAnsi="Times New Roman" w:cs="Times New Roman"/>
        <w:sz w:val="24"/>
        <w:szCs w:val="24"/>
      </w:rPr>
    </w:pPr>
    <w:r w:rsidRPr="00E5283C">
      <w:rPr>
        <w:rFonts w:ascii="Times New Roman" w:hAnsi="Times New Roman" w:cs="Times New Roman"/>
        <w:sz w:val="24"/>
        <w:szCs w:val="24"/>
      </w:rPr>
      <w:t>VManot_</w:t>
    </w:r>
    <w:r w:rsidR="00576149">
      <w:rPr>
        <w:rFonts w:ascii="Times New Roman" w:hAnsi="Times New Roman" w:cs="Times New Roman"/>
        <w:sz w:val="24"/>
        <w:szCs w:val="24"/>
      </w:rPr>
      <w:t>24</w:t>
    </w:r>
    <w:r w:rsidRPr="00E5283C">
      <w:rPr>
        <w:rFonts w:ascii="Times New Roman" w:hAnsi="Times New Roman" w:cs="Times New Roman"/>
        <w:sz w:val="24"/>
        <w:szCs w:val="24"/>
      </w:rPr>
      <w:t>0</w:t>
    </w:r>
    <w:r>
      <w:rPr>
        <w:rFonts w:ascii="Times New Roman" w:hAnsi="Times New Roman" w:cs="Times New Roman"/>
        <w:sz w:val="24"/>
        <w:szCs w:val="24"/>
      </w:rPr>
      <w:t>7</w:t>
    </w:r>
    <w:r w:rsidRPr="00E5283C">
      <w:rPr>
        <w:rFonts w:ascii="Times New Roman" w:hAnsi="Times New Roman" w:cs="Times New Roman"/>
        <w:sz w:val="24"/>
        <w:szCs w:val="24"/>
      </w:rPr>
      <w:t>18_hron_pac</w:t>
    </w:r>
  </w:p>
  <w:p w:rsidR="0065775C" w:rsidRPr="009F4434" w:rsidP="009F4434" w14:paraId="54C9D39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75C" w:rsidRPr="00C25B49" w14:paraId="652DC69D" w14:textId="77777777">
    <w:pPr>
      <w:pStyle w:val="Header"/>
      <w:jc w:val="center"/>
      <w:rPr>
        <w:rFonts w:ascii="Times New Roman" w:hAnsi="Times New Roman" w:cs="Times New Roman"/>
        <w:sz w:val="24"/>
        <w:szCs w:val="20"/>
      </w:rPr>
    </w:pPr>
    <w:sdt>
      <w:sdtPr>
        <w:rPr>
          <w:rFonts w:ascii="Times New Roman" w:hAnsi="Times New Roman" w:cs="Times New Roman"/>
          <w:noProof/>
          <w:sz w:val="24"/>
          <w:szCs w:val="20"/>
        </w:rPr>
        <w:id w:val="1879112268"/>
        <w:docPartObj>
          <w:docPartGallery w:val="Page Numbers (Top of Page)"/>
          <w:docPartUnique/>
        </w:docPartObj>
      </w:sdtPr>
      <w:sdtEndPr>
        <w:rPr>
          <w:rFonts w:ascii="Times New Roman" w:hAnsi="Times New Roman" w:cs="Times New Roman"/>
          <w:noProof/>
          <w:sz w:val="24"/>
          <w:szCs w:val="20"/>
        </w:rPr>
      </w:sdtEndPr>
      <w:sdtContent>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09D4">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B231D71"/>
    <w:multiLevelType w:val="hybridMultilevel"/>
    <w:tmpl w:val="F30CCA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8"/>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D4"/>
    <w:rsid w:val="00002922"/>
    <w:rsid w:val="00011D86"/>
    <w:rsid w:val="00013AA1"/>
    <w:rsid w:val="00022B4F"/>
    <w:rsid w:val="00035DA6"/>
    <w:rsid w:val="0003735D"/>
    <w:rsid w:val="00037B25"/>
    <w:rsid w:val="000410EE"/>
    <w:rsid w:val="00041A4C"/>
    <w:rsid w:val="00057D27"/>
    <w:rsid w:val="00066C57"/>
    <w:rsid w:val="000732EA"/>
    <w:rsid w:val="00085540"/>
    <w:rsid w:val="00087743"/>
    <w:rsid w:val="000905EF"/>
    <w:rsid w:val="00091D7C"/>
    <w:rsid w:val="000A019F"/>
    <w:rsid w:val="000A3BB6"/>
    <w:rsid w:val="000A4D19"/>
    <w:rsid w:val="000B1D44"/>
    <w:rsid w:val="000B6C0C"/>
    <w:rsid w:val="000C2824"/>
    <w:rsid w:val="000C3A75"/>
    <w:rsid w:val="000D27D1"/>
    <w:rsid w:val="000D59BB"/>
    <w:rsid w:val="000E6596"/>
    <w:rsid w:val="000F792B"/>
    <w:rsid w:val="00102C69"/>
    <w:rsid w:val="00113E48"/>
    <w:rsid w:val="0012157C"/>
    <w:rsid w:val="0012374A"/>
    <w:rsid w:val="0012489C"/>
    <w:rsid w:val="00137618"/>
    <w:rsid w:val="00137FB4"/>
    <w:rsid w:val="00154387"/>
    <w:rsid w:val="001559B7"/>
    <w:rsid w:val="00157E72"/>
    <w:rsid w:val="00161037"/>
    <w:rsid w:val="00165939"/>
    <w:rsid w:val="0018208D"/>
    <w:rsid w:val="0018686B"/>
    <w:rsid w:val="00187455"/>
    <w:rsid w:val="001A535C"/>
    <w:rsid w:val="001C63E0"/>
    <w:rsid w:val="001C697B"/>
    <w:rsid w:val="001D1637"/>
    <w:rsid w:val="001D7F34"/>
    <w:rsid w:val="001E2B4D"/>
    <w:rsid w:val="001E4C71"/>
    <w:rsid w:val="00201525"/>
    <w:rsid w:val="00201A67"/>
    <w:rsid w:val="002126A5"/>
    <w:rsid w:val="0021437E"/>
    <w:rsid w:val="00214746"/>
    <w:rsid w:val="0022258B"/>
    <w:rsid w:val="00222910"/>
    <w:rsid w:val="00225305"/>
    <w:rsid w:val="002258A6"/>
    <w:rsid w:val="00243157"/>
    <w:rsid w:val="00243426"/>
    <w:rsid w:val="00244CF9"/>
    <w:rsid w:val="002531D9"/>
    <w:rsid w:val="002559AB"/>
    <w:rsid w:val="00271B00"/>
    <w:rsid w:val="0027474F"/>
    <w:rsid w:val="00280E6A"/>
    <w:rsid w:val="0028346A"/>
    <w:rsid w:val="00286831"/>
    <w:rsid w:val="002A4DB4"/>
    <w:rsid w:val="002B28F2"/>
    <w:rsid w:val="002B2B5C"/>
    <w:rsid w:val="002C55E0"/>
    <w:rsid w:val="002D03D4"/>
    <w:rsid w:val="002D0844"/>
    <w:rsid w:val="002E138C"/>
    <w:rsid w:val="002E1C05"/>
    <w:rsid w:val="002E2FBF"/>
    <w:rsid w:val="002E71D5"/>
    <w:rsid w:val="002F0384"/>
    <w:rsid w:val="003002C0"/>
    <w:rsid w:val="003025E7"/>
    <w:rsid w:val="003031C8"/>
    <w:rsid w:val="003074E5"/>
    <w:rsid w:val="00314CD6"/>
    <w:rsid w:val="0033134E"/>
    <w:rsid w:val="003360DE"/>
    <w:rsid w:val="00341D91"/>
    <w:rsid w:val="003429D8"/>
    <w:rsid w:val="00344141"/>
    <w:rsid w:val="00360135"/>
    <w:rsid w:val="003621F9"/>
    <w:rsid w:val="0036246B"/>
    <w:rsid w:val="003624B5"/>
    <w:rsid w:val="0036463F"/>
    <w:rsid w:val="00364DF8"/>
    <w:rsid w:val="003661BA"/>
    <w:rsid w:val="003830B7"/>
    <w:rsid w:val="00383DF2"/>
    <w:rsid w:val="00393758"/>
    <w:rsid w:val="003954D6"/>
    <w:rsid w:val="00397D26"/>
    <w:rsid w:val="003A24E5"/>
    <w:rsid w:val="003A6800"/>
    <w:rsid w:val="003B0BF9"/>
    <w:rsid w:val="003B12FC"/>
    <w:rsid w:val="003C554B"/>
    <w:rsid w:val="003C746E"/>
    <w:rsid w:val="003D0F2F"/>
    <w:rsid w:val="003E0791"/>
    <w:rsid w:val="003E3B9F"/>
    <w:rsid w:val="003E4C66"/>
    <w:rsid w:val="003F28AC"/>
    <w:rsid w:val="004074CF"/>
    <w:rsid w:val="00411512"/>
    <w:rsid w:val="0041706D"/>
    <w:rsid w:val="00420B14"/>
    <w:rsid w:val="0043047F"/>
    <w:rsid w:val="004424CA"/>
    <w:rsid w:val="004454FE"/>
    <w:rsid w:val="004552B1"/>
    <w:rsid w:val="00456D3F"/>
    <w:rsid w:val="00456E40"/>
    <w:rsid w:val="004609EC"/>
    <w:rsid w:val="00463C75"/>
    <w:rsid w:val="00471F27"/>
    <w:rsid w:val="00483C23"/>
    <w:rsid w:val="00495932"/>
    <w:rsid w:val="004A08E8"/>
    <w:rsid w:val="004B5C0D"/>
    <w:rsid w:val="004B69D0"/>
    <w:rsid w:val="004C0C49"/>
    <w:rsid w:val="004C476B"/>
    <w:rsid w:val="004D07CD"/>
    <w:rsid w:val="004D59EC"/>
    <w:rsid w:val="004E0996"/>
    <w:rsid w:val="004E46BA"/>
    <w:rsid w:val="004E7E8F"/>
    <w:rsid w:val="004F4DBA"/>
    <w:rsid w:val="004F61D6"/>
    <w:rsid w:val="0050178F"/>
    <w:rsid w:val="00507241"/>
    <w:rsid w:val="0051205E"/>
    <w:rsid w:val="005132D3"/>
    <w:rsid w:val="005155DD"/>
    <w:rsid w:val="00515B29"/>
    <w:rsid w:val="00524C6A"/>
    <w:rsid w:val="0052618B"/>
    <w:rsid w:val="005278D3"/>
    <w:rsid w:val="00536290"/>
    <w:rsid w:val="0054103F"/>
    <w:rsid w:val="0055169C"/>
    <w:rsid w:val="00552359"/>
    <w:rsid w:val="00561863"/>
    <w:rsid w:val="005717DC"/>
    <w:rsid w:val="00576149"/>
    <w:rsid w:val="00576784"/>
    <w:rsid w:val="005779C4"/>
    <w:rsid w:val="00580080"/>
    <w:rsid w:val="00593C98"/>
    <w:rsid w:val="005A037F"/>
    <w:rsid w:val="005A0690"/>
    <w:rsid w:val="005A0DAA"/>
    <w:rsid w:val="005A2127"/>
    <w:rsid w:val="005C5F8D"/>
    <w:rsid w:val="005C7333"/>
    <w:rsid w:val="005D2F75"/>
    <w:rsid w:val="005D3C9B"/>
    <w:rsid w:val="005D50E3"/>
    <w:rsid w:val="005D6350"/>
    <w:rsid w:val="005E00CF"/>
    <w:rsid w:val="005E3E23"/>
    <w:rsid w:val="005F49BA"/>
    <w:rsid w:val="005F788E"/>
    <w:rsid w:val="006366D7"/>
    <w:rsid w:val="0064116D"/>
    <w:rsid w:val="00651FAC"/>
    <w:rsid w:val="00654B47"/>
    <w:rsid w:val="00655F2C"/>
    <w:rsid w:val="0065775C"/>
    <w:rsid w:val="00657EC9"/>
    <w:rsid w:val="006626AB"/>
    <w:rsid w:val="0066357D"/>
    <w:rsid w:val="00665998"/>
    <w:rsid w:val="0067143B"/>
    <w:rsid w:val="0067306E"/>
    <w:rsid w:val="00680CA3"/>
    <w:rsid w:val="00680F4D"/>
    <w:rsid w:val="00687EE5"/>
    <w:rsid w:val="006B0205"/>
    <w:rsid w:val="006B1CA6"/>
    <w:rsid w:val="006B6EEB"/>
    <w:rsid w:val="006C5EB2"/>
    <w:rsid w:val="006D3067"/>
    <w:rsid w:val="006D6911"/>
    <w:rsid w:val="006E1081"/>
    <w:rsid w:val="006E2E8B"/>
    <w:rsid w:val="006E3047"/>
    <w:rsid w:val="006E4A01"/>
    <w:rsid w:val="006F1173"/>
    <w:rsid w:val="00701E84"/>
    <w:rsid w:val="0070305E"/>
    <w:rsid w:val="00705857"/>
    <w:rsid w:val="00707A95"/>
    <w:rsid w:val="00714F96"/>
    <w:rsid w:val="00720585"/>
    <w:rsid w:val="00724145"/>
    <w:rsid w:val="007537B4"/>
    <w:rsid w:val="007554CE"/>
    <w:rsid w:val="0076584F"/>
    <w:rsid w:val="007736CC"/>
    <w:rsid w:val="007739F7"/>
    <w:rsid w:val="00773AF6"/>
    <w:rsid w:val="007800BA"/>
    <w:rsid w:val="00786949"/>
    <w:rsid w:val="00787F11"/>
    <w:rsid w:val="00793065"/>
    <w:rsid w:val="00795F71"/>
    <w:rsid w:val="00796713"/>
    <w:rsid w:val="00797A09"/>
    <w:rsid w:val="00797DF4"/>
    <w:rsid w:val="007A295E"/>
    <w:rsid w:val="007B1CA5"/>
    <w:rsid w:val="007B1F53"/>
    <w:rsid w:val="007D0692"/>
    <w:rsid w:val="007D10BA"/>
    <w:rsid w:val="007D1970"/>
    <w:rsid w:val="007D268B"/>
    <w:rsid w:val="007D317B"/>
    <w:rsid w:val="007D62CF"/>
    <w:rsid w:val="007E2197"/>
    <w:rsid w:val="007E5E55"/>
    <w:rsid w:val="007E5F7A"/>
    <w:rsid w:val="007E6B46"/>
    <w:rsid w:val="007E73AB"/>
    <w:rsid w:val="007E7887"/>
    <w:rsid w:val="007E7CB0"/>
    <w:rsid w:val="00800489"/>
    <w:rsid w:val="008039F5"/>
    <w:rsid w:val="00805BCC"/>
    <w:rsid w:val="00816C11"/>
    <w:rsid w:val="0082380D"/>
    <w:rsid w:val="008339F8"/>
    <w:rsid w:val="00833E2A"/>
    <w:rsid w:val="008351AE"/>
    <w:rsid w:val="00837703"/>
    <w:rsid w:val="00843B1F"/>
    <w:rsid w:val="00846B79"/>
    <w:rsid w:val="0085376B"/>
    <w:rsid w:val="00863D92"/>
    <w:rsid w:val="00881BA1"/>
    <w:rsid w:val="00887E8D"/>
    <w:rsid w:val="008936BB"/>
    <w:rsid w:val="008941F5"/>
    <w:rsid w:val="00894C55"/>
    <w:rsid w:val="008A26AD"/>
    <w:rsid w:val="008A40CC"/>
    <w:rsid w:val="008B0C21"/>
    <w:rsid w:val="008B4E76"/>
    <w:rsid w:val="008C057B"/>
    <w:rsid w:val="008D3D1F"/>
    <w:rsid w:val="008D5813"/>
    <w:rsid w:val="008E1035"/>
    <w:rsid w:val="008F0A7B"/>
    <w:rsid w:val="009015EA"/>
    <w:rsid w:val="00906F1B"/>
    <w:rsid w:val="00910351"/>
    <w:rsid w:val="0091401F"/>
    <w:rsid w:val="009229E7"/>
    <w:rsid w:val="009277B6"/>
    <w:rsid w:val="009319E6"/>
    <w:rsid w:val="00933428"/>
    <w:rsid w:val="009336C6"/>
    <w:rsid w:val="0093389A"/>
    <w:rsid w:val="009516A3"/>
    <w:rsid w:val="00952F59"/>
    <w:rsid w:val="0095349F"/>
    <w:rsid w:val="009573AB"/>
    <w:rsid w:val="00962BAB"/>
    <w:rsid w:val="00964F6A"/>
    <w:rsid w:val="0096759C"/>
    <w:rsid w:val="00970B11"/>
    <w:rsid w:val="00972D19"/>
    <w:rsid w:val="00981128"/>
    <w:rsid w:val="00985A1D"/>
    <w:rsid w:val="00987A1C"/>
    <w:rsid w:val="00990240"/>
    <w:rsid w:val="009961FD"/>
    <w:rsid w:val="009A2654"/>
    <w:rsid w:val="009A3CF6"/>
    <w:rsid w:val="009A7DEC"/>
    <w:rsid w:val="009C3B07"/>
    <w:rsid w:val="009D214B"/>
    <w:rsid w:val="009D53D7"/>
    <w:rsid w:val="009D6655"/>
    <w:rsid w:val="009F2CDD"/>
    <w:rsid w:val="009F4434"/>
    <w:rsid w:val="009F4490"/>
    <w:rsid w:val="009F668F"/>
    <w:rsid w:val="00A00311"/>
    <w:rsid w:val="00A06E01"/>
    <w:rsid w:val="00A10FC3"/>
    <w:rsid w:val="00A114CF"/>
    <w:rsid w:val="00A11A56"/>
    <w:rsid w:val="00A15F02"/>
    <w:rsid w:val="00A22354"/>
    <w:rsid w:val="00A22B1C"/>
    <w:rsid w:val="00A25506"/>
    <w:rsid w:val="00A25D3C"/>
    <w:rsid w:val="00A42675"/>
    <w:rsid w:val="00A6073E"/>
    <w:rsid w:val="00A64806"/>
    <w:rsid w:val="00A64D3C"/>
    <w:rsid w:val="00A75A64"/>
    <w:rsid w:val="00A8795F"/>
    <w:rsid w:val="00A90EBA"/>
    <w:rsid w:val="00AA0365"/>
    <w:rsid w:val="00AB112A"/>
    <w:rsid w:val="00AC2578"/>
    <w:rsid w:val="00AD0EB6"/>
    <w:rsid w:val="00AD1402"/>
    <w:rsid w:val="00AD36C3"/>
    <w:rsid w:val="00AD36E9"/>
    <w:rsid w:val="00AE069D"/>
    <w:rsid w:val="00AE5567"/>
    <w:rsid w:val="00AE63B6"/>
    <w:rsid w:val="00AF03A7"/>
    <w:rsid w:val="00AF1239"/>
    <w:rsid w:val="00AF14A4"/>
    <w:rsid w:val="00AF4BBC"/>
    <w:rsid w:val="00AF7C22"/>
    <w:rsid w:val="00B0030A"/>
    <w:rsid w:val="00B0518D"/>
    <w:rsid w:val="00B07DAB"/>
    <w:rsid w:val="00B13BB9"/>
    <w:rsid w:val="00B16480"/>
    <w:rsid w:val="00B2165C"/>
    <w:rsid w:val="00B21B25"/>
    <w:rsid w:val="00B21E4B"/>
    <w:rsid w:val="00B237B9"/>
    <w:rsid w:val="00B25F71"/>
    <w:rsid w:val="00B307EE"/>
    <w:rsid w:val="00B43E52"/>
    <w:rsid w:val="00B45712"/>
    <w:rsid w:val="00B46270"/>
    <w:rsid w:val="00B551FE"/>
    <w:rsid w:val="00B55CBF"/>
    <w:rsid w:val="00B56C63"/>
    <w:rsid w:val="00B57E71"/>
    <w:rsid w:val="00B62619"/>
    <w:rsid w:val="00B632AA"/>
    <w:rsid w:val="00B651DA"/>
    <w:rsid w:val="00B671A7"/>
    <w:rsid w:val="00B71D36"/>
    <w:rsid w:val="00B73629"/>
    <w:rsid w:val="00B757F4"/>
    <w:rsid w:val="00B80AF2"/>
    <w:rsid w:val="00B819EB"/>
    <w:rsid w:val="00B855BB"/>
    <w:rsid w:val="00B86139"/>
    <w:rsid w:val="00BA1B19"/>
    <w:rsid w:val="00BA20AA"/>
    <w:rsid w:val="00BB4556"/>
    <w:rsid w:val="00BD21F6"/>
    <w:rsid w:val="00BD4313"/>
    <w:rsid w:val="00BD4425"/>
    <w:rsid w:val="00BD715E"/>
    <w:rsid w:val="00BE391D"/>
    <w:rsid w:val="00BE6740"/>
    <w:rsid w:val="00BF600A"/>
    <w:rsid w:val="00BF79C3"/>
    <w:rsid w:val="00C01EDE"/>
    <w:rsid w:val="00C04B89"/>
    <w:rsid w:val="00C1173E"/>
    <w:rsid w:val="00C11F6D"/>
    <w:rsid w:val="00C15A04"/>
    <w:rsid w:val="00C24E7D"/>
    <w:rsid w:val="00C25B49"/>
    <w:rsid w:val="00C33773"/>
    <w:rsid w:val="00C42E14"/>
    <w:rsid w:val="00C53011"/>
    <w:rsid w:val="00C612C8"/>
    <w:rsid w:val="00C64517"/>
    <w:rsid w:val="00C707B7"/>
    <w:rsid w:val="00C858B3"/>
    <w:rsid w:val="00C85B19"/>
    <w:rsid w:val="00C950B5"/>
    <w:rsid w:val="00C95C14"/>
    <w:rsid w:val="00C96A2E"/>
    <w:rsid w:val="00CB5BF4"/>
    <w:rsid w:val="00CC0D2D"/>
    <w:rsid w:val="00CC35B7"/>
    <w:rsid w:val="00CC4FB5"/>
    <w:rsid w:val="00CD4B43"/>
    <w:rsid w:val="00CD644A"/>
    <w:rsid w:val="00CD7488"/>
    <w:rsid w:val="00CE1A9A"/>
    <w:rsid w:val="00CE5657"/>
    <w:rsid w:val="00CE5833"/>
    <w:rsid w:val="00CE7EA3"/>
    <w:rsid w:val="00D10CE1"/>
    <w:rsid w:val="00D133F8"/>
    <w:rsid w:val="00D14A3E"/>
    <w:rsid w:val="00D2203A"/>
    <w:rsid w:val="00D41482"/>
    <w:rsid w:val="00D414CC"/>
    <w:rsid w:val="00D41F2F"/>
    <w:rsid w:val="00D42DAA"/>
    <w:rsid w:val="00D44F20"/>
    <w:rsid w:val="00D53A1E"/>
    <w:rsid w:val="00D6033D"/>
    <w:rsid w:val="00D604C6"/>
    <w:rsid w:val="00D6279C"/>
    <w:rsid w:val="00D71B08"/>
    <w:rsid w:val="00D73C2B"/>
    <w:rsid w:val="00D76074"/>
    <w:rsid w:val="00D80F14"/>
    <w:rsid w:val="00D82F0B"/>
    <w:rsid w:val="00D83434"/>
    <w:rsid w:val="00D856C6"/>
    <w:rsid w:val="00D85D80"/>
    <w:rsid w:val="00D8654C"/>
    <w:rsid w:val="00D86C79"/>
    <w:rsid w:val="00D8797E"/>
    <w:rsid w:val="00D90291"/>
    <w:rsid w:val="00D96D45"/>
    <w:rsid w:val="00D978C7"/>
    <w:rsid w:val="00DA09D4"/>
    <w:rsid w:val="00DA5EA2"/>
    <w:rsid w:val="00DB19B8"/>
    <w:rsid w:val="00DB65F1"/>
    <w:rsid w:val="00DB758E"/>
    <w:rsid w:val="00DC2CD3"/>
    <w:rsid w:val="00DC6511"/>
    <w:rsid w:val="00DC67FD"/>
    <w:rsid w:val="00DD1EFC"/>
    <w:rsid w:val="00DD4715"/>
    <w:rsid w:val="00DD5F0F"/>
    <w:rsid w:val="00DF025B"/>
    <w:rsid w:val="00E01DE2"/>
    <w:rsid w:val="00E03B69"/>
    <w:rsid w:val="00E078E7"/>
    <w:rsid w:val="00E308AD"/>
    <w:rsid w:val="00E317B9"/>
    <w:rsid w:val="00E31E26"/>
    <w:rsid w:val="00E3716B"/>
    <w:rsid w:val="00E41F5C"/>
    <w:rsid w:val="00E42C20"/>
    <w:rsid w:val="00E44892"/>
    <w:rsid w:val="00E47DC7"/>
    <w:rsid w:val="00E50DEA"/>
    <w:rsid w:val="00E51984"/>
    <w:rsid w:val="00E5234D"/>
    <w:rsid w:val="00E5283C"/>
    <w:rsid w:val="00E5306B"/>
    <w:rsid w:val="00E5323B"/>
    <w:rsid w:val="00E55BB7"/>
    <w:rsid w:val="00E55CD3"/>
    <w:rsid w:val="00E56549"/>
    <w:rsid w:val="00E67659"/>
    <w:rsid w:val="00E737D6"/>
    <w:rsid w:val="00E74DDF"/>
    <w:rsid w:val="00E8299A"/>
    <w:rsid w:val="00E82EB0"/>
    <w:rsid w:val="00E84ACD"/>
    <w:rsid w:val="00E871B0"/>
    <w:rsid w:val="00E8749E"/>
    <w:rsid w:val="00E90C01"/>
    <w:rsid w:val="00E91B1A"/>
    <w:rsid w:val="00E92876"/>
    <w:rsid w:val="00E97A8F"/>
    <w:rsid w:val="00EA0041"/>
    <w:rsid w:val="00EA28BD"/>
    <w:rsid w:val="00EA486E"/>
    <w:rsid w:val="00EC52F0"/>
    <w:rsid w:val="00EC555E"/>
    <w:rsid w:val="00ED750D"/>
    <w:rsid w:val="00EE0996"/>
    <w:rsid w:val="00EE4561"/>
    <w:rsid w:val="00EE7A59"/>
    <w:rsid w:val="00EF457A"/>
    <w:rsid w:val="00EF4F9B"/>
    <w:rsid w:val="00EF738E"/>
    <w:rsid w:val="00F0441C"/>
    <w:rsid w:val="00F177A1"/>
    <w:rsid w:val="00F233B2"/>
    <w:rsid w:val="00F254D9"/>
    <w:rsid w:val="00F36C30"/>
    <w:rsid w:val="00F4373C"/>
    <w:rsid w:val="00F57B0C"/>
    <w:rsid w:val="00F636F8"/>
    <w:rsid w:val="00F8324E"/>
    <w:rsid w:val="00FA436A"/>
    <w:rsid w:val="00FB01C1"/>
    <w:rsid w:val="00FB22E7"/>
    <w:rsid w:val="00FB43FE"/>
    <w:rsid w:val="00FB63EF"/>
    <w:rsid w:val="00FC0862"/>
    <w:rsid w:val="00FC40FC"/>
    <w:rsid w:val="00FC4D8E"/>
    <w:rsid w:val="00FD16F3"/>
    <w:rsid w:val="00FD18DC"/>
    <w:rsid w:val="00FD5C39"/>
    <w:rsid w:val="00FD620A"/>
    <w:rsid w:val="00FE13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DD6A97C-4627-4947-9AF7-9FA9F64D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9D53D7"/>
    <w:pPr>
      <w:spacing w:after="0" w:line="240" w:lineRule="auto"/>
    </w:pPr>
    <w:rPr>
      <w:sz w:val="20"/>
      <w:szCs w:val="20"/>
    </w:rPr>
  </w:style>
  <w:style w:type="character" w:customStyle="1" w:styleId="FootnoteTextChar">
    <w:name w:val="Footnote Text Char"/>
    <w:aliases w:val="-E Fußnotentext Char,Footnote Char,Fußnote Char,Fußnotentext Ursprung Char,Vēres teksts Char Char Char Char,Vēres teksts Char Char Char Char Char Char,footnote tex Char,ft Char,ft Rakstz. Char,ft Rakstz. Rakstz. Char,single space Char"/>
    <w:basedOn w:val="DefaultParagraphFont"/>
    <w:link w:val="FootnoteText"/>
    <w:uiPriority w:val="99"/>
    <w:rsid w:val="009D53D7"/>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9D53D7"/>
    <w:rPr>
      <w:vertAlign w:val="superscript"/>
    </w:rPr>
  </w:style>
  <w:style w:type="character" w:customStyle="1" w:styleId="UnresolvedMention1">
    <w:name w:val="Unresolved Mention1"/>
    <w:basedOn w:val="DefaultParagraphFont"/>
    <w:uiPriority w:val="99"/>
    <w:semiHidden/>
    <w:unhideWhenUsed/>
    <w:rsid w:val="009D53D7"/>
    <w:rPr>
      <w:color w:val="808080"/>
      <w:shd w:val="clear" w:color="auto" w:fill="E6E6E6"/>
    </w:rPr>
  </w:style>
  <w:style w:type="table" w:styleId="GridTableLight">
    <w:name w:val="Grid Table Light"/>
    <w:basedOn w:val="TableNormal"/>
    <w:uiPriority w:val="40"/>
    <w:rsid w:val="00D71B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25D3C"/>
    <w:rPr>
      <w:sz w:val="16"/>
      <w:szCs w:val="16"/>
    </w:rPr>
  </w:style>
  <w:style w:type="paragraph" w:styleId="CommentText">
    <w:name w:val="annotation text"/>
    <w:basedOn w:val="Normal"/>
    <w:link w:val="CommentTextChar"/>
    <w:uiPriority w:val="99"/>
    <w:semiHidden/>
    <w:unhideWhenUsed/>
    <w:rsid w:val="00A25D3C"/>
    <w:pPr>
      <w:spacing w:line="240" w:lineRule="auto"/>
    </w:pPr>
    <w:rPr>
      <w:sz w:val="20"/>
      <w:szCs w:val="20"/>
    </w:rPr>
  </w:style>
  <w:style w:type="character" w:customStyle="1" w:styleId="CommentTextChar">
    <w:name w:val="Comment Text Char"/>
    <w:basedOn w:val="DefaultParagraphFont"/>
    <w:link w:val="CommentText"/>
    <w:uiPriority w:val="99"/>
    <w:semiHidden/>
    <w:rsid w:val="00A25D3C"/>
    <w:rPr>
      <w:sz w:val="20"/>
      <w:szCs w:val="20"/>
    </w:rPr>
  </w:style>
  <w:style w:type="paragraph" w:styleId="CommentSubject">
    <w:name w:val="annotation subject"/>
    <w:basedOn w:val="CommentText"/>
    <w:next w:val="CommentText"/>
    <w:link w:val="CommentSubjectChar"/>
    <w:uiPriority w:val="99"/>
    <w:semiHidden/>
    <w:unhideWhenUsed/>
    <w:rsid w:val="00A25D3C"/>
    <w:rPr>
      <w:b/>
      <w:bCs/>
    </w:rPr>
  </w:style>
  <w:style w:type="character" w:customStyle="1" w:styleId="CommentSubjectChar">
    <w:name w:val="Comment Subject Char"/>
    <w:basedOn w:val="CommentTextChar"/>
    <w:link w:val="CommentSubject"/>
    <w:uiPriority w:val="99"/>
    <w:semiHidden/>
    <w:rsid w:val="00A25D3C"/>
    <w:rPr>
      <w:b/>
      <w:bCs/>
      <w:sz w:val="20"/>
      <w:szCs w:val="20"/>
    </w:rPr>
  </w:style>
  <w:style w:type="paragraph" w:customStyle="1" w:styleId="tv213">
    <w:name w:val="tv213"/>
    <w:basedOn w:val="Normal"/>
    <w:rsid w:val="00A25D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013A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90EBA"/>
    <w:pPr>
      <w:ind w:left="720"/>
      <w:contextualSpacing/>
    </w:pPr>
  </w:style>
  <w:style w:type="paragraph" w:customStyle="1" w:styleId="Char2">
    <w:name w:val="Char2"/>
    <w:aliases w:val="Char Char Char Char"/>
    <w:basedOn w:val="Normal"/>
    <w:next w:val="Normal"/>
    <w:link w:val="FootnoteReference"/>
    <w:uiPriority w:val="99"/>
    <w:rsid w:val="009C3B07"/>
    <w:pPr>
      <w:spacing w:line="240" w:lineRule="exact"/>
      <w:jc w:val="both"/>
      <w:textAlignment w:val="baseline"/>
    </w:pPr>
    <w:rPr>
      <w:vertAlign w:val="superscript"/>
    </w:rPr>
  </w:style>
  <w:style w:type="paragraph" w:customStyle="1" w:styleId="Parasts1">
    <w:name w:val="Parasts1"/>
    <w:qFormat/>
    <w:rsid w:val="0057614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342E-2D15-4B70-8ABD-DE7AB020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13976</Words>
  <Characters>7967</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projekta "Veselības aprūpes pakalpojumi dienas stacionārā" sākotnējās ietekmes novērtējuma ziņojums (anotācija)</vt:lpstr>
    </vt:vector>
  </TitlesOfParts>
  <Company>Veselības ministrija</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pakalpojumi dienas stacionārā" sākotnējās ietekmes novērtējuma ziņojums (anotācija)</dc:title>
  <dc:subject>Anotācija</dc:subject>
  <dc:creator>Alvis Bless</dc:creator>
  <dc:description>67876122, Alvis.Bless@vm.gov.lv</dc:description>
  <cp:lastModifiedBy>Gundega Ozoliņa</cp:lastModifiedBy>
  <cp:revision>5</cp:revision>
  <cp:lastPrinted>2018-06-12T11:12:00Z</cp:lastPrinted>
  <dcterms:created xsi:type="dcterms:W3CDTF">2018-07-18T14:23:00Z</dcterms:created>
  <dcterms:modified xsi:type="dcterms:W3CDTF">2018-07-24T07:31:00Z</dcterms:modified>
</cp:coreProperties>
</file>