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E9" w:rsidRPr="00992071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rīkojuma projekta </w:t>
      </w:r>
      <w:r w:rsidR="001A457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nekustam</w:t>
      </w:r>
      <w:r w:rsidR="00C05A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 īpašuma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05A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“Baumaņi” Olaines pagastā, Olaines novadā 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pirkšanu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6352E9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  <w:bookmarkStart w:id="0" w:name="_GoBack"/>
      <w:bookmarkEnd w:id="0"/>
    </w:p>
    <w:p w:rsidR="006352E9" w:rsidRDefault="006352E9" w:rsidP="0063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5789" w:type="pct"/>
        <w:tblInd w:w="-1281" w:type="dxa"/>
        <w:tblLook w:val="00A0" w:firstRow="1" w:lastRow="0" w:firstColumn="1" w:lastColumn="0" w:noHBand="0" w:noVBand="0"/>
      </w:tblPr>
      <w:tblGrid>
        <w:gridCol w:w="2411"/>
        <w:gridCol w:w="8080"/>
      </w:tblGrid>
      <w:tr w:rsidR="00C05A81" w:rsidTr="003E78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1" w:rsidRPr="003E788D" w:rsidRDefault="00C05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05A81" w:rsidTr="00EE37D5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1" w:rsidRPr="003E788D" w:rsidRDefault="00C05A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1" w:rsidRPr="00EE37D5" w:rsidRDefault="00EE37D5" w:rsidP="00EE3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E37D5">
              <w:rPr>
                <w:rFonts w:ascii="Times New Roman" w:hAnsi="Times New Roman" w:cs="Times New Roman"/>
                <w:sz w:val="24"/>
                <w:szCs w:val="24"/>
              </w:rPr>
              <w:t>Saskaņā ar Ministru kabineta 2009.</w:t>
            </w:r>
            <w:r w:rsidR="001A45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37D5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1A45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37D5">
              <w:rPr>
                <w:rFonts w:ascii="Times New Roman" w:hAnsi="Times New Roman" w:cs="Times New Roman"/>
                <w:sz w:val="24"/>
                <w:szCs w:val="24"/>
              </w:rPr>
              <w:t>decembra instrukcijas Nr.</w:t>
            </w:r>
            <w:r w:rsidR="001A45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37D5">
              <w:rPr>
                <w:rFonts w:ascii="Times New Roman" w:hAnsi="Times New Roman" w:cs="Times New Roman"/>
                <w:sz w:val="24"/>
                <w:szCs w:val="24"/>
              </w:rPr>
              <w:t>19 “Tiesību akta projekta sākotnējās ietekmes izvērtēšanas kārtība” 5.</w:t>
            </w:r>
            <w:r w:rsidRPr="00EE37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A45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EE37D5">
              <w:rPr>
                <w:rFonts w:ascii="Times New Roman" w:hAnsi="Times New Roman" w:cs="Times New Roman"/>
                <w:sz w:val="24"/>
                <w:szCs w:val="24"/>
              </w:rPr>
              <w:t>punktu anotācijas kopsavilkums nav jāaizpilda, jo anotācijas I sadaļas 2.</w:t>
            </w:r>
            <w:r w:rsidR="001A45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37D5">
              <w:rPr>
                <w:rFonts w:ascii="Times New Roman" w:hAnsi="Times New Roman" w:cs="Times New Roman"/>
                <w:sz w:val="24"/>
                <w:szCs w:val="24"/>
              </w:rPr>
              <w:t>punkts nepārsniedz divas lapaspuses.</w:t>
            </w:r>
          </w:p>
        </w:tc>
      </w:tr>
    </w:tbl>
    <w:tbl>
      <w:tblPr>
        <w:tblW w:w="5792" w:type="pct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8"/>
        <w:gridCol w:w="8081"/>
      </w:tblGrid>
      <w:tr w:rsidR="006352E9" w:rsidRPr="00992071" w:rsidTr="006146A6">
        <w:trPr>
          <w:trHeight w:val="1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Tiesību akta projekta izstrādes nepieciešamība</w:t>
            </w:r>
          </w:p>
        </w:tc>
      </w:tr>
      <w:tr w:rsidR="006352E9" w:rsidRPr="00992071" w:rsidTr="006146A6"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(turpmāk tekstā – rīkojums) sagatavots, pamatojoties uz Sabiedrības vajadzībām nepieciešamā nekustamā īpašuma atsavināšanas likuma 9.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pantu.</w:t>
            </w:r>
          </w:p>
          <w:p w:rsidR="006352E9" w:rsidRPr="00992071" w:rsidRDefault="006352E9" w:rsidP="003E788D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Ministru kabineta 201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oktobra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sēdē konceptuāli apstiprināto Aizsardzības ministrijas informatīvo ziņojumu TA-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nekustam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Olaines pagastā, Olaines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novadā “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iegādāt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valsts aizsardzības vajadzību nodrošināšanai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352E9" w:rsidRPr="00992071" w:rsidTr="006146A6"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6352E9" w:rsidRPr="00992071" w:rsidRDefault="006352E9" w:rsidP="006146A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Default="006352E9" w:rsidP="006146A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Default="006352E9" w:rsidP="00614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Pr="007B055E" w:rsidRDefault="006352E9" w:rsidP="00614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Default="006352E9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Sabiedrības vajadzībām nepieciešamā nekustamā īpašuma atsavināšanas likuma 2.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pantu, nekustam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atsavināt</w:t>
            </w:r>
            <w:r w:rsidR="00F37A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aizsardzības vajadzībām</w:t>
            </w:r>
            <w:r w:rsidR="003E7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37A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atsavināšanas mērķis un nepieciešamības pamatojums valsts aizsardzībai </w:t>
            </w:r>
            <w:r w:rsidR="00FE3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izklāstīts</w:t>
            </w:r>
            <w:r w:rsidR="00F37A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informatīvajā ziņojumā, kurš apstiprināts Ministru kabineta 2016. gada 4. oktobra sēdē, protokols Nr. 50, 48. §.</w:t>
            </w:r>
          </w:p>
          <w:p w:rsidR="006352E9" w:rsidRDefault="00F37A89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Nekustamais īpašums “Baumaņi” (nekustamā īpašuma kadastra Nr. 8080 008 0756) 9,5697 ha platībā </w:t>
            </w:r>
            <w:r w:rsidR="008D5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2015. gada 17. septembrī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ierakstīts Olaines pagasta zemesgrāmatas nodalījumā Nr. 1</w:t>
            </w:r>
            <w:r w:rsidR="008C5C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00000548425 uz fiziskas personas vārda, kur</w:t>
            </w:r>
            <w:r w:rsidR="00083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C5C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2012. gada 16. aprīlī ar Minesotas štata autorizēta publiskā notāra </w:t>
            </w:r>
            <w:r w:rsidR="00F118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izdotu </w:t>
            </w:r>
            <w:r w:rsidR="00083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pilnvaru ir pilnvarojusi</w:t>
            </w:r>
            <w:r w:rsidR="008C5C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Aizsardzības ministriju rīkoties ar nekustamo īpašu</w:t>
            </w:r>
            <w:r w:rsidR="00083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 “Baumaņi”, tajā skaitā</w:t>
            </w:r>
            <w:r w:rsidR="005275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3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lemt</w:t>
            </w:r>
            <w:r w:rsidR="008C5C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zemes vienības atsavināšanu Aizsardzības ministrija</w:t>
            </w:r>
            <w:r w:rsidR="00083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valdījumā</w:t>
            </w:r>
            <w:r w:rsidR="000619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C5C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2B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parakstīt </w:t>
            </w:r>
            <w:r w:rsidR="00083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pirkuma līgumu </w:t>
            </w:r>
            <w:r w:rsidR="00CD2B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vienības īpašnieka vārdā, savukārt Aizsardzības ministrija minēto darbību veikšanai ar pārpilnvarojuma kārtībā izsniegtu 2012. gada 29. maija pilnvaru Nr. 1206 </w:t>
            </w:r>
            <w:r w:rsidR="00FE3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pilnvarojusi citu fizisku personu.</w:t>
            </w:r>
          </w:p>
          <w:p w:rsidR="00715DD2" w:rsidRDefault="00880208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“Baumaņi” izveidots, atdalot no nekustamā īpašuma “Andrej-Baudas” (nekustamā īpašuma kadastra Nr. </w:t>
            </w:r>
            <w:r w:rsidR="00715D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8080 008 0228) zemes vienības daļu 9,5697 ha platībā. Ņemot vērā nepieciešamību nodrošināt </w:t>
            </w:r>
            <w:r w:rsidR="008D5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drošības režīmu </w:t>
            </w:r>
            <w:r w:rsidR="00715D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īpašumā Aizsardzības ministrijas valdījumā </w:t>
            </w:r>
            <w:r w:rsidR="00B25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blakus </w:t>
            </w:r>
            <w:r w:rsidR="00715D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esošajam valsts aizsardzības objektam</w:t>
            </w:r>
            <w:r w:rsidR="00B25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2012. gada 16. aprīlī noslēgts Nekustamā īpašuma daļas lietojuma līgums</w:t>
            </w:r>
            <w:r w:rsidR="00FD71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tekstā – Lietojuma līgums)</w:t>
            </w:r>
            <w:r w:rsidR="00B25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par ko veikts ieraksts Olaines pagasta zemesgrāmatas nodalījumā Nr. 100000548425 atzīmes veidā. Saskaņā ar </w:t>
            </w:r>
            <w:r w:rsidR="00FD71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B25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ietojuma līguma 10. un 12. punktu puses vienojušās par lietošanas tiesību nodibināšanas atlīdzību LVL 9 000 (deviņi tūkstoši latu) jeb EUR 12 805,85 (divpadsmit tūkstoši astoņi simti pieci </w:t>
            </w:r>
            <w:proofErr w:type="spellStart"/>
            <w:r w:rsidR="00B25447" w:rsidRPr="008D5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25447" w:rsidRPr="008D5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B25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85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25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centi) apmērā, nosakot, ka </w:t>
            </w:r>
            <w:r w:rsidR="008D5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 ir uzskatāma par pirkuma maksu nekustamā īpašuma atsavināšanas gadījumā.</w:t>
            </w:r>
          </w:p>
          <w:p w:rsidR="00FD710C" w:rsidRDefault="008D5AFB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Nolūkā atsavināt nekustamo īpašumu “Baumaņi” un p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amatojoties uz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noteikumiem Nr.204 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Kārtība, kādā nosaka taisnīgu atlīdzību par sabiedrības vajadzībām atsavināmo nekustamo īpašumu”, Aizsardzības ministrija izveidoja 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aisnīgas atlīdzības noteikšanas komisiju 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(turpmāk tekstā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omisija). Komisijas uzdevumā nekustamā īpašuma tirgus vērtības noteikšanu veica sertificēts sabiedrības ar ierobežotu atbildību 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NIRA fonds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nekustamā īpašuma vērtētājs, nosakot 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tirgus vērtību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13 800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(trīspadsmit tūkstoši astoņi simti </w:t>
            </w:r>
            <w:proofErr w:type="spellStart"/>
            <w:r w:rsidR="006352E9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  <w:r w:rsidR="006352E9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 izvērtējusi un aprēķinājusi atlīdzību </w:t>
            </w:r>
            <w:r w:rsidR="00FD71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12 805,85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D71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(divpadsmit tūkstoši astoņi simti pieci </w:t>
            </w:r>
            <w:proofErr w:type="spellStart"/>
            <w:r w:rsidR="006352E9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D71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85 centi) </w:t>
            </w:r>
            <w:r w:rsidR="0063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par nekustamā īpašuma atsavināšanu </w:t>
            </w:r>
            <w:r w:rsidR="00FD71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Lietojuma līguma 10. un 12. punktā noteiktajai un samaksātajai atlīdzībai.</w:t>
            </w:r>
          </w:p>
          <w:p w:rsidR="006352E9" w:rsidRPr="00942689" w:rsidRDefault="00FD710C" w:rsidP="00FD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“Kārtība, kādā nosaka taisnīgu atlīdzību par sabiedrības vajadzībām atsavināmo nekustamo īpašumu” 36.1.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apakšpunktu Aizsardzības ministrija apstiprinājusi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omisijas aprēķināto atlīdzības apmēru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maijā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lēmumu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MV-N/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1268</w:t>
            </w:r>
            <w:r w:rsidR="006352E9"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D710C" w:rsidRDefault="00FD710C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Pirms lēmuma par atlīdzības apmēru pieņemšanas Komisija ar 2017. gada 23. novembra vēstuli Nr. 7911 uzaicinājusi īpašnieku un pilnvaroto personu 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piedalīties sēdē un izteikt viedokli par Komisijas aprēķināto atlīdzību</w:t>
            </w:r>
            <w:r w:rsidR="00EE37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E1C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Īpašnieks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37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nosūtīto uzaicinājum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nav atsaucies, bet pilnvarotā persona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rakstveidā 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piekritusi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aprēķinātajam taisnīgas atlīdzības apmēram un informēj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usi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Komisijas sēdē nepiedalīsies.</w:t>
            </w:r>
          </w:p>
          <w:p w:rsidR="006352E9" w:rsidRPr="00992071" w:rsidRDefault="00F62E90" w:rsidP="00F62E90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Valsts zemes dienesta Kadastra informācijas sistēmas datiem nekustamajam īpašumam “Baumaņi” noteikts lietošanas mērķis </w:t>
            </w:r>
            <w:r w:rsidR="00B636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nozīmes objektu, drošības, policijas, ugunsdzēsības un glābšanas, robežsardzes un soda izciešanas iestāžu apbūve 9,5697 ha platībā.</w:t>
            </w:r>
          </w:p>
        </w:tc>
      </w:tr>
      <w:tr w:rsidR="006352E9" w:rsidRPr="00992071" w:rsidTr="006146A6"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militāro objektu un iepirkumu centrs.</w:t>
            </w:r>
          </w:p>
        </w:tc>
      </w:tr>
      <w:tr w:rsidR="006352E9" w:rsidRPr="00992071" w:rsidTr="006146A6"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2E9" w:rsidRPr="00992071" w:rsidRDefault="006352E9" w:rsidP="006146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0490" w:type="dxa"/>
        <w:tblInd w:w="-1281" w:type="dxa"/>
        <w:tblLook w:val="04A0" w:firstRow="1" w:lastRow="0" w:firstColumn="1" w:lastColumn="0" w:noHBand="0" w:noVBand="1"/>
      </w:tblPr>
      <w:tblGrid>
        <w:gridCol w:w="567"/>
        <w:gridCol w:w="5104"/>
        <w:gridCol w:w="4819"/>
      </w:tblGrid>
      <w:tr w:rsidR="006352E9" w:rsidRPr="00942689" w:rsidTr="006146A6">
        <w:tc>
          <w:tcPr>
            <w:tcW w:w="10490" w:type="dxa"/>
            <w:gridSpan w:val="3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352E9" w:rsidRPr="00942689" w:rsidTr="006146A6">
        <w:tc>
          <w:tcPr>
            <w:tcW w:w="567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04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4819" w:type="dxa"/>
          </w:tcPr>
          <w:p w:rsidR="006352E9" w:rsidRPr="00942689" w:rsidRDefault="006352E9" w:rsidP="00F62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Rīkojumā risinātais jautājums</w:t>
            </w: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skar tiesību subjektu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 zaudē īpašuma tiesības uz nekustamo īpašumu pret taisnīgu atlīdzību.</w:t>
            </w:r>
          </w:p>
        </w:tc>
      </w:tr>
      <w:tr w:rsidR="006352E9" w:rsidRPr="00942689" w:rsidTr="006146A6">
        <w:tc>
          <w:tcPr>
            <w:tcW w:w="567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04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4819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6352E9" w:rsidRPr="00942689" w:rsidTr="006146A6">
        <w:tc>
          <w:tcPr>
            <w:tcW w:w="567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04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4819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6352E9" w:rsidRPr="00942689" w:rsidTr="006146A6">
        <w:tc>
          <w:tcPr>
            <w:tcW w:w="567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104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4819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</w:tc>
      </w:tr>
      <w:tr w:rsidR="006352E9" w:rsidRPr="00942689" w:rsidTr="006146A6">
        <w:tc>
          <w:tcPr>
            <w:tcW w:w="567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104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819" w:type="dxa"/>
          </w:tcPr>
          <w:p w:rsidR="006352E9" w:rsidRPr="00942689" w:rsidRDefault="006352E9" w:rsidP="00614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6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tbl>
      <w:tblPr>
        <w:tblW w:w="5792" w:type="pct"/>
        <w:tblInd w:w="-12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665"/>
        <w:gridCol w:w="1552"/>
        <w:gridCol w:w="1171"/>
        <w:gridCol w:w="1372"/>
        <w:gridCol w:w="1517"/>
        <w:gridCol w:w="1198"/>
        <w:gridCol w:w="1278"/>
      </w:tblGrid>
      <w:tr w:rsidR="006352E9" w:rsidRPr="00992071" w:rsidTr="006146A6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352E9" w:rsidRPr="00992071" w:rsidTr="006146A6">
        <w:tc>
          <w:tcPr>
            <w:tcW w:w="114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52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F6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F6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19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tūkst.EUR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352E9" w:rsidRPr="00992071" w:rsidTr="006146A6">
        <w:tc>
          <w:tcPr>
            <w:tcW w:w="114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52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F6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F6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F6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F6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F62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6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</w:tr>
      <w:tr w:rsidR="006352E9" w:rsidRPr="00992071" w:rsidTr="006146A6">
        <w:tc>
          <w:tcPr>
            <w:tcW w:w="114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Budžeta ieņēmumi:</w:t>
            </w:r>
          </w:p>
        </w:tc>
        <w:tc>
          <w:tcPr>
            <w:tcW w:w="3855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2545"/>
              <w:gridCol w:w="1556"/>
              <w:gridCol w:w="1132"/>
              <w:gridCol w:w="1265"/>
            </w:tblGrid>
            <w:tr w:rsidR="006352E9" w:rsidTr="006146A6">
              <w:trPr>
                <w:trHeight w:val="2467"/>
              </w:trPr>
              <w:tc>
                <w:tcPr>
                  <w:tcW w:w="152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valsts pamatbudžets, tai skaitā ieņēmumi no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maksas pakalpojumiem un citi pašu ieņēmumi</w:t>
            </w:r>
          </w:p>
        </w:tc>
        <w:tc>
          <w:tcPr>
            <w:tcW w:w="3855" w:type="pct"/>
            <w:gridSpan w:val="6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valsts speciālais budžets</w:t>
            </w:r>
          </w:p>
        </w:tc>
        <w:tc>
          <w:tcPr>
            <w:tcW w:w="3855" w:type="pct"/>
            <w:gridSpan w:val="6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pašvaldību budžets</w:t>
            </w:r>
          </w:p>
        </w:tc>
        <w:tc>
          <w:tcPr>
            <w:tcW w:w="3855" w:type="pct"/>
            <w:gridSpan w:val="6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38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2545"/>
              <w:gridCol w:w="1556"/>
              <w:gridCol w:w="1132"/>
              <w:gridCol w:w="1265"/>
            </w:tblGrid>
            <w:tr w:rsidR="006352E9" w:rsidTr="006146A6">
              <w:trPr>
                <w:trHeight w:val="1527"/>
              </w:trPr>
              <w:tc>
                <w:tcPr>
                  <w:tcW w:w="152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385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385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rPr>
          <w:trHeight w:val="153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385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38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2545"/>
              <w:gridCol w:w="1556"/>
              <w:gridCol w:w="1132"/>
              <w:gridCol w:w="1265"/>
            </w:tblGrid>
            <w:tr w:rsidR="006352E9" w:rsidTr="006146A6">
              <w:trPr>
                <w:trHeight w:val="1259"/>
              </w:trPr>
              <w:tc>
                <w:tcPr>
                  <w:tcW w:w="152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38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38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rPr>
          <w:trHeight w:val="20"/>
        </w:trPr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385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rPr>
          <w:trHeight w:val="1661"/>
        </w:trPr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40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116" w:type="pct"/>
            <w:gridSpan w:val="5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3"/>
              <w:gridCol w:w="1556"/>
              <w:gridCol w:w="1132"/>
              <w:gridCol w:w="1265"/>
            </w:tblGrid>
            <w:tr w:rsidR="006352E9" w:rsidTr="006146A6">
              <w:trPr>
                <w:trHeight w:val="1840"/>
              </w:trPr>
              <w:tc>
                <w:tcPr>
                  <w:tcW w:w="2517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116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2"/>
              <w:gridCol w:w="1556"/>
              <w:gridCol w:w="1132"/>
              <w:gridCol w:w="1264"/>
            </w:tblGrid>
            <w:tr w:rsidR="006352E9" w:rsidTr="006146A6">
              <w:trPr>
                <w:trHeight w:val="1572"/>
              </w:trPr>
              <w:tc>
                <w:tcPr>
                  <w:tcW w:w="2512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6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2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4" w:type="dxa"/>
                </w:tcPr>
                <w:p w:rsidR="006352E9" w:rsidRDefault="006352E9" w:rsidP="006146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6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6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6" w:type="pct"/>
            <w:gridSpan w:val="5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855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 0</w:t>
            </w:r>
          </w:p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352E9" w:rsidRPr="00992071" w:rsidRDefault="006352E9" w:rsidP="006146A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855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855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2E9" w:rsidRPr="00992071" w:rsidRDefault="006352E9" w:rsidP="0061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52E9" w:rsidRPr="00992071" w:rsidTr="006146A6">
        <w:tc>
          <w:tcPr>
            <w:tcW w:w="11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85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2E9" w:rsidRPr="00992071" w:rsidRDefault="006352E9" w:rsidP="00F6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Rīkojumam nav ietekmes uz valsts budžetu, 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līdzekļi no valsts budžeta nav nepieciešami. I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zdevumi, kas saistīti ar nekustamā īpašuma 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tsavināšanu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ierakstīšanu zemesgrāmatā, tiks segti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201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62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gadam Aizsardzības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ministrijas budžeta programmā 33.00.00 “Aizsardzības īpašumu pārvaldīšana” paredzētajiem līdzekļiem.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C970EB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</w:t>
            </w:r>
            <w:r w:rsidR="00B6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C970EB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</w:t>
            </w:r>
            <w:r w:rsidR="00B6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C970EB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</w:t>
            </w:r>
            <w:r w:rsidR="00B6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5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ministrija, Valsts aizsardzības militāro objektu un iepirkumu centrs.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25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neskar.</w:t>
            </w:r>
          </w:p>
        </w:tc>
      </w:tr>
      <w:tr w:rsidR="006352E9" w:rsidRPr="00992071" w:rsidTr="00614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5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E9" w:rsidRPr="00992071" w:rsidRDefault="006352E9" w:rsidP="00614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Pr="00992071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Pr="00992071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aimonds Bergmanis</w:t>
      </w: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Pr="006352E9" w:rsidRDefault="00FE3240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Jānis </w:t>
      </w:r>
      <w:r w:rsidR="006352E9" w:rsidRPr="006352E9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</w:p>
    <w:p w:rsidR="006352E9" w:rsidRPr="00992071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Pr="00992071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Pr="00992071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352E9" w:rsidRDefault="006352E9" w:rsidP="00635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3240" w:rsidRPr="00FE3240" w:rsidRDefault="00FE3240" w:rsidP="00FE324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3240">
        <w:rPr>
          <w:rFonts w:ascii="Times New Roman" w:eastAsia="Times New Roman" w:hAnsi="Times New Roman" w:cs="Times New Roman"/>
          <w:sz w:val="20"/>
          <w:szCs w:val="20"/>
        </w:rPr>
        <w:t>D. Priedīte, 67300279</w:t>
      </w:r>
    </w:p>
    <w:p w:rsidR="00FE3240" w:rsidRPr="00FE3240" w:rsidRDefault="00FE3240" w:rsidP="00FE324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3240">
        <w:rPr>
          <w:rFonts w:ascii="Times New Roman" w:eastAsia="Times New Roman" w:hAnsi="Times New Roman" w:cs="Times New Roman"/>
          <w:sz w:val="20"/>
          <w:szCs w:val="20"/>
        </w:rPr>
        <w:t>Dace.Priedite@vamoic.gov.lv</w:t>
      </w:r>
    </w:p>
    <w:p w:rsidR="00FE3240" w:rsidRPr="00FE3240" w:rsidRDefault="00FE3240" w:rsidP="00FE324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3240" w:rsidRPr="00FE3240" w:rsidRDefault="00FE3240" w:rsidP="00FE324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3240">
        <w:rPr>
          <w:rFonts w:ascii="Times New Roman" w:eastAsia="Times New Roman" w:hAnsi="Times New Roman" w:cs="Times New Roman"/>
          <w:sz w:val="20"/>
          <w:szCs w:val="20"/>
        </w:rPr>
        <w:t>L. Riekstiņa, 67335154</w:t>
      </w:r>
    </w:p>
    <w:p w:rsidR="00FE3240" w:rsidRPr="00FE3240" w:rsidRDefault="00FE3240" w:rsidP="00FE324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3240">
        <w:rPr>
          <w:rFonts w:ascii="Times New Roman" w:eastAsia="Times New Roman" w:hAnsi="Times New Roman" w:cs="Times New Roman"/>
          <w:sz w:val="20"/>
          <w:szCs w:val="20"/>
        </w:rPr>
        <w:t>Liene.Riekstina@mod.gov.lv</w:t>
      </w:r>
    </w:p>
    <w:p w:rsidR="006352E9" w:rsidRDefault="006352E9" w:rsidP="006352E9"/>
    <w:p w:rsidR="007A63E9" w:rsidRDefault="007A63E9"/>
    <w:sectPr w:rsidR="007A63E9" w:rsidSect="00CB6220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42" w:left="170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B4" w:rsidRDefault="009A5CB4" w:rsidP="00F62E90">
      <w:pPr>
        <w:spacing w:after="0" w:line="240" w:lineRule="auto"/>
      </w:pPr>
      <w:r>
        <w:separator/>
      </w:r>
    </w:p>
  </w:endnote>
  <w:endnote w:type="continuationSeparator" w:id="0">
    <w:p w:rsidR="009A5CB4" w:rsidRDefault="009A5CB4" w:rsidP="00F6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9E" w:rsidRPr="0029613B" w:rsidRDefault="003F2EAB" w:rsidP="00752351">
    <w:pPr>
      <w:pStyle w:val="Footer"/>
      <w:jc w:val="both"/>
    </w:pPr>
    <w:r>
      <w:rPr>
        <w:sz w:val="20"/>
        <w:szCs w:val="20"/>
      </w:rPr>
      <w:t>AIMAnot_</w:t>
    </w:r>
    <w:r w:rsidR="00F62E90">
      <w:rPr>
        <w:sz w:val="20"/>
        <w:szCs w:val="20"/>
      </w:rPr>
      <w:t>03082018</w:t>
    </w:r>
    <w:r>
      <w:rPr>
        <w:sz w:val="20"/>
        <w:szCs w:val="20"/>
      </w:rPr>
      <w:t>_</w:t>
    </w:r>
    <w:r w:rsidR="00F62E90">
      <w:rPr>
        <w:sz w:val="20"/>
        <w:szCs w:val="20"/>
      </w:rPr>
      <w:t>Baumaņi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9E" w:rsidRPr="001E20B2" w:rsidRDefault="003F2EAB" w:rsidP="001E20B2">
    <w:pPr>
      <w:pStyle w:val="Footer"/>
      <w:jc w:val="both"/>
    </w:pPr>
    <w:r>
      <w:rPr>
        <w:sz w:val="20"/>
        <w:szCs w:val="20"/>
      </w:rPr>
      <w:t>AIMAnot_</w:t>
    </w:r>
    <w:r w:rsidR="00F62E90">
      <w:rPr>
        <w:sz w:val="20"/>
        <w:szCs w:val="20"/>
      </w:rPr>
      <w:t>03082018</w:t>
    </w:r>
    <w:r>
      <w:rPr>
        <w:sz w:val="20"/>
        <w:szCs w:val="20"/>
      </w:rPr>
      <w:t>_</w:t>
    </w:r>
    <w:r w:rsidR="00F62E90">
      <w:rPr>
        <w:sz w:val="20"/>
        <w:szCs w:val="20"/>
      </w:rPr>
      <w:t>Baumaņi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B4" w:rsidRDefault="009A5CB4" w:rsidP="00F62E90">
      <w:pPr>
        <w:spacing w:after="0" w:line="240" w:lineRule="auto"/>
      </w:pPr>
      <w:r>
        <w:separator/>
      </w:r>
    </w:p>
  </w:footnote>
  <w:footnote w:type="continuationSeparator" w:id="0">
    <w:p w:rsidR="009A5CB4" w:rsidRDefault="009A5CB4" w:rsidP="00F6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9E" w:rsidRDefault="003F2EAB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F9E" w:rsidRDefault="009A5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9E" w:rsidRDefault="003F2EAB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D09">
      <w:rPr>
        <w:rStyle w:val="PageNumber"/>
        <w:noProof/>
      </w:rPr>
      <w:t>2</w:t>
    </w:r>
    <w:r>
      <w:rPr>
        <w:rStyle w:val="PageNumber"/>
      </w:rPr>
      <w:fldChar w:fldCharType="end"/>
    </w:r>
  </w:p>
  <w:p w:rsidR="00921F9E" w:rsidRDefault="009A5CB4" w:rsidP="00752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E9"/>
    <w:rsid w:val="00061987"/>
    <w:rsid w:val="0008346F"/>
    <w:rsid w:val="00141E57"/>
    <w:rsid w:val="001A457C"/>
    <w:rsid w:val="0022200D"/>
    <w:rsid w:val="003A05A4"/>
    <w:rsid w:val="003E788D"/>
    <w:rsid w:val="003F2EAB"/>
    <w:rsid w:val="00407605"/>
    <w:rsid w:val="00527520"/>
    <w:rsid w:val="005E1CAB"/>
    <w:rsid w:val="006352E9"/>
    <w:rsid w:val="00715DD2"/>
    <w:rsid w:val="007A63E9"/>
    <w:rsid w:val="008459AF"/>
    <w:rsid w:val="00880208"/>
    <w:rsid w:val="008C084C"/>
    <w:rsid w:val="008C5CBD"/>
    <w:rsid w:val="008D5AFB"/>
    <w:rsid w:val="009A5CB4"/>
    <w:rsid w:val="00B25447"/>
    <w:rsid w:val="00B63676"/>
    <w:rsid w:val="00C05A81"/>
    <w:rsid w:val="00CD2BAE"/>
    <w:rsid w:val="00D93D09"/>
    <w:rsid w:val="00EE37D5"/>
    <w:rsid w:val="00F010C4"/>
    <w:rsid w:val="00F11847"/>
    <w:rsid w:val="00F37A89"/>
    <w:rsid w:val="00F62E90"/>
    <w:rsid w:val="00FD710C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F0F9-3794-40C8-AB1A-4126337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52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352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6352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6352E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52E9"/>
  </w:style>
  <w:style w:type="table" w:styleId="TableGrid">
    <w:name w:val="Table Grid"/>
    <w:basedOn w:val="TableNormal"/>
    <w:uiPriority w:val="39"/>
    <w:rsid w:val="0063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0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5303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projekta sākotnējās ietekmes novērtējuma ziņojums (anotācija)</vt:lpstr>
    </vt:vector>
  </TitlesOfParts>
  <Company>VAMOIC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sākotnējās ietekmes novērtējuma ziņojums (anotācija)</dc:title>
  <dc:subject>"Par nekustamā īpašuma "Baumaņi" Olaines pagastā, Olaines novadā pirkšanu"</dc:subject>
  <dc:creator>Dace Priedite</dc:creator>
  <cp:keywords/>
  <dc:description>67300279
Dace.Priedite@vamoic.gov.lv</dc:description>
  <cp:lastModifiedBy>Jekaterina Borovika</cp:lastModifiedBy>
  <cp:revision>2</cp:revision>
  <dcterms:created xsi:type="dcterms:W3CDTF">2018-08-07T12:13:00Z</dcterms:created>
  <dcterms:modified xsi:type="dcterms:W3CDTF">2018-08-07T12:13:00Z</dcterms:modified>
</cp:coreProperties>
</file>