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F9" w:rsidRPr="00DF5A04" w:rsidRDefault="00B002D5" w:rsidP="005C653D">
      <w:pPr>
        <w:pStyle w:val="Title"/>
        <w:tabs>
          <w:tab w:val="left" w:pos="1134"/>
        </w:tabs>
        <w:ind w:right="-1" w:firstLine="284"/>
        <w:rPr>
          <w:sz w:val="26"/>
          <w:szCs w:val="26"/>
        </w:rPr>
      </w:pPr>
      <w:bookmarkStart w:id="0" w:name="OLE_LINK1"/>
      <w:bookmarkStart w:id="1" w:name="OLE_LINK2"/>
      <w:r w:rsidRPr="00DF5A04">
        <w:rPr>
          <w:bCs/>
          <w:sz w:val="26"/>
          <w:szCs w:val="26"/>
        </w:rPr>
        <w:t xml:space="preserve">Informatīvais ziņojums </w:t>
      </w:r>
      <w:r w:rsidRPr="00DF5A04">
        <w:rPr>
          <w:sz w:val="26"/>
          <w:szCs w:val="26"/>
        </w:rPr>
        <w:t>“Par līdzekļu no</w:t>
      </w:r>
      <w:r w:rsidR="005E6323" w:rsidRPr="00DF5A04">
        <w:rPr>
          <w:sz w:val="26"/>
          <w:szCs w:val="26"/>
        </w:rPr>
        <w:t>virzīšanu brīvprātīgajām iemaksām</w:t>
      </w:r>
      <w:r w:rsidR="00640211" w:rsidRPr="00DF5A04">
        <w:rPr>
          <w:sz w:val="26"/>
          <w:szCs w:val="26"/>
        </w:rPr>
        <w:t xml:space="preserve"> </w:t>
      </w:r>
      <w:r w:rsidRPr="00DF5A04">
        <w:rPr>
          <w:sz w:val="26"/>
          <w:szCs w:val="26"/>
        </w:rPr>
        <w:t xml:space="preserve">Eiropas Padomes “Rīcības plānā </w:t>
      </w:r>
      <w:r w:rsidR="005E6323" w:rsidRPr="00DF5A04">
        <w:rPr>
          <w:sz w:val="26"/>
          <w:szCs w:val="26"/>
        </w:rPr>
        <w:t>Gruzijai 2016. - 2019</w:t>
      </w:r>
      <w:r w:rsidRPr="00DF5A04">
        <w:rPr>
          <w:sz w:val="26"/>
          <w:szCs w:val="26"/>
        </w:rPr>
        <w:t>.</w:t>
      </w:r>
      <w:bookmarkEnd w:id="0"/>
      <w:bookmarkEnd w:id="1"/>
      <w:r w:rsidRPr="00DF5A04">
        <w:rPr>
          <w:sz w:val="26"/>
          <w:szCs w:val="26"/>
        </w:rPr>
        <w:t xml:space="preserve"> gadam””</w:t>
      </w:r>
    </w:p>
    <w:p w:rsidR="007D55F9" w:rsidRPr="00DF5A04" w:rsidRDefault="007D55F9" w:rsidP="005C653D">
      <w:pPr>
        <w:pStyle w:val="Title"/>
        <w:tabs>
          <w:tab w:val="left" w:pos="1134"/>
        </w:tabs>
        <w:ind w:right="-1" w:firstLine="284"/>
        <w:rPr>
          <w:b w:val="0"/>
          <w:sz w:val="26"/>
          <w:szCs w:val="26"/>
        </w:rPr>
      </w:pPr>
    </w:p>
    <w:p w:rsidR="007D55F9" w:rsidRPr="00DF5A04" w:rsidRDefault="00D644D6" w:rsidP="005C653D">
      <w:pPr>
        <w:tabs>
          <w:tab w:val="left" w:pos="1134"/>
        </w:tabs>
        <w:jc w:val="both"/>
        <w:rPr>
          <w:iCs/>
          <w:sz w:val="26"/>
          <w:szCs w:val="26"/>
          <w:lang w:val="lv-LV"/>
        </w:rPr>
      </w:pPr>
      <w:r w:rsidRPr="00DF5A04">
        <w:rPr>
          <w:iCs/>
          <w:sz w:val="26"/>
          <w:szCs w:val="26"/>
          <w:lang w:val="lv-LV"/>
        </w:rPr>
        <w:tab/>
      </w:r>
      <w:r w:rsidR="00B002D5" w:rsidRPr="00DF5A04">
        <w:rPr>
          <w:iCs/>
          <w:sz w:val="26"/>
          <w:szCs w:val="26"/>
          <w:lang w:val="lv-LV"/>
        </w:rPr>
        <w:t>201</w:t>
      </w:r>
      <w:r w:rsidR="00CA5581" w:rsidRPr="00DF5A04">
        <w:rPr>
          <w:iCs/>
          <w:sz w:val="26"/>
          <w:szCs w:val="26"/>
          <w:lang w:val="lv-LV"/>
        </w:rPr>
        <w:t>8</w:t>
      </w:r>
      <w:r w:rsidR="00B002D5" w:rsidRPr="00DF5A04">
        <w:rPr>
          <w:iCs/>
          <w:sz w:val="26"/>
          <w:szCs w:val="26"/>
          <w:lang w:val="lv-LV"/>
        </w:rPr>
        <w:t xml:space="preserve">. gada </w:t>
      </w:r>
      <w:r w:rsidR="00CA5581" w:rsidRPr="00DF5A04">
        <w:rPr>
          <w:iCs/>
          <w:sz w:val="26"/>
          <w:szCs w:val="26"/>
          <w:lang w:val="lv-LV"/>
        </w:rPr>
        <w:t>16.</w:t>
      </w:r>
      <w:r w:rsidR="00B002D5" w:rsidRPr="00DF5A04">
        <w:rPr>
          <w:iCs/>
          <w:sz w:val="26"/>
          <w:szCs w:val="26"/>
          <w:lang w:val="lv-LV"/>
        </w:rPr>
        <w:t xml:space="preserve"> </w:t>
      </w:r>
      <w:r w:rsidR="00CA5581" w:rsidRPr="00DF5A04">
        <w:rPr>
          <w:iCs/>
          <w:sz w:val="26"/>
          <w:szCs w:val="26"/>
          <w:lang w:val="lv-LV"/>
        </w:rPr>
        <w:t>aprīlī</w:t>
      </w:r>
      <w:r w:rsidR="00B002D5" w:rsidRPr="00DF5A04">
        <w:rPr>
          <w:iCs/>
          <w:sz w:val="26"/>
          <w:szCs w:val="26"/>
          <w:lang w:val="lv-LV"/>
        </w:rPr>
        <w:t xml:space="preserve"> Ārlietu ministrij</w:t>
      </w:r>
      <w:r w:rsidR="00EA4EA3" w:rsidRPr="00DF5A04">
        <w:rPr>
          <w:iCs/>
          <w:sz w:val="26"/>
          <w:szCs w:val="26"/>
          <w:lang w:val="lv-LV"/>
        </w:rPr>
        <w:t>a</w:t>
      </w:r>
      <w:r w:rsidR="00B002D5" w:rsidRPr="00DF5A04">
        <w:rPr>
          <w:iCs/>
          <w:sz w:val="26"/>
          <w:szCs w:val="26"/>
          <w:lang w:val="lv-LV"/>
        </w:rPr>
        <w:t xml:space="preserve"> tika </w:t>
      </w:r>
      <w:r w:rsidR="00CA5581" w:rsidRPr="00DF5A04">
        <w:rPr>
          <w:iCs/>
          <w:sz w:val="26"/>
          <w:szCs w:val="26"/>
          <w:lang w:val="lv-LV"/>
        </w:rPr>
        <w:t>informēta par</w:t>
      </w:r>
      <w:r w:rsidR="00B002D5" w:rsidRPr="00DF5A04">
        <w:rPr>
          <w:iCs/>
          <w:sz w:val="26"/>
          <w:szCs w:val="26"/>
          <w:lang w:val="lv-LV"/>
        </w:rPr>
        <w:t xml:space="preserve"> Eiropas Padomes (turpmāk - EP) </w:t>
      </w:r>
      <w:r w:rsidR="005315F1" w:rsidRPr="00DF5A04">
        <w:rPr>
          <w:iCs/>
          <w:sz w:val="26"/>
          <w:szCs w:val="26"/>
          <w:lang w:val="lv-LV"/>
        </w:rPr>
        <w:t>Eiropas medikamentu un veselības aprūpes direktorāta (turpmāk - Direktorāts)</w:t>
      </w:r>
      <w:r w:rsidR="00182E3E" w:rsidRPr="00DF5A04">
        <w:rPr>
          <w:iCs/>
          <w:sz w:val="26"/>
          <w:szCs w:val="26"/>
          <w:lang w:val="lv-LV"/>
        </w:rPr>
        <w:t xml:space="preserve"> budžetā radušos pārpalikumu, kas tiek sadalīts </w:t>
      </w:r>
      <w:r w:rsidR="00B002D5" w:rsidRPr="00DF5A04">
        <w:rPr>
          <w:iCs/>
          <w:sz w:val="26"/>
          <w:szCs w:val="26"/>
          <w:lang w:val="lv-LV"/>
        </w:rPr>
        <w:t>starp Konvencijas par Eiropas farmakopejas izveidi (turpmāk – Konvencijas) dalī</w:t>
      </w:r>
      <w:r w:rsidR="00077ABF" w:rsidRPr="00DF5A04">
        <w:rPr>
          <w:iCs/>
          <w:sz w:val="26"/>
          <w:szCs w:val="26"/>
          <w:lang w:val="lv-LV"/>
        </w:rPr>
        <w:t>b</w:t>
      </w:r>
      <w:r w:rsidR="00EA4EA3" w:rsidRPr="00DF5A04">
        <w:rPr>
          <w:iCs/>
          <w:sz w:val="26"/>
          <w:szCs w:val="26"/>
          <w:lang w:val="lv-LV"/>
        </w:rPr>
        <w:t>valstīm</w:t>
      </w:r>
      <w:r w:rsidR="00077ABF" w:rsidRPr="00DF5A04">
        <w:rPr>
          <w:iCs/>
          <w:sz w:val="26"/>
          <w:szCs w:val="26"/>
          <w:lang w:val="lv-LV"/>
        </w:rPr>
        <w:t xml:space="preserve">. Latvijas līdzekļu daļa </w:t>
      </w:r>
      <w:r w:rsidR="00B002D5" w:rsidRPr="00DF5A04">
        <w:rPr>
          <w:iCs/>
          <w:sz w:val="26"/>
          <w:szCs w:val="26"/>
          <w:lang w:val="lv-LV"/>
        </w:rPr>
        <w:t xml:space="preserve">sastāda </w:t>
      </w:r>
      <w:r w:rsidR="00077ABF" w:rsidRPr="00DF5A04">
        <w:rPr>
          <w:iCs/>
          <w:sz w:val="26"/>
          <w:szCs w:val="26"/>
          <w:lang w:val="lv-LV"/>
        </w:rPr>
        <w:t xml:space="preserve">3849.78 </w:t>
      </w:r>
      <w:r w:rsidR="00077ABF" w:rsidRPr="00DF5A04">
        <w:rPr>
          <w:i/>
          <w:iCs/>
          <w:sz w:val="26"/>
          <w:szCs w:val="26"/>
          <w:lang w:val="lv-LV"/>
        </w:rPr>
        <w:t>euro</w:t>
      </w:r>
      <w:r w:rsidR="00182E3E" w:rsidRPr="00DF5A04">
        <w:rPr>
          <w:iCs/>
          <w:sz w:val="26"/>
          <w:szCs w:val="26"/>
          <w:lang w:val="lv-LV"/>
        </w:rPr>
        <w:t xml:space="preserve"> (</w:t>
      </w:r>
      <w:r w:rsidR="00182E3E" w:rsidRPr="00DF5A04">
        <w:rPr>
          <w:sz w:val="26"/>
          <w:szCs w:val="26"/>
          <w:lang w:val="lv-LV"/>
        </w:rPr>
        <w:t xml:space="preserve">2000.13 </w:t>
      </w:r>
      <w:r w:rsidR="00182E3E" w:rsidRPr="00DF5A04">
        <w:rPr>
          <w:i/>
          <w:sz w:val="26"/>
          <w:szCs w:val="26"/>
          <w:lang w:val="lv-LV"/>
        </w:rPr>
        <w:t>euro</w:t>
      </w:r>
      <w:r w:rsidR="00182E3E" w:rsidRPr="00DF5A04">
        <w:rPr>
          <w:sz w:val="26"/>
          <w:szCs w:val="26"/>
          <w:lang w:val="lv-LV"/>
        </w:rPr>
        <w:t xml:space="preserve"> par 2017. gadu un 1849.65 </w:t>
      </w:r>
      <w:r w:rsidR="00182E3E" w:rsidRPr="00DF5A04">
        <w:rPr>
          <w:i/>
          <w:sz w:val="26"/>
          <w:szCs w:val="26"/>
          <w:lang w:val="lv-LV"/>
        </w:rPr>
        <w:t>euro</w:t>
      </w:r>
      <w:r w:rsidR="00182E3E" w:rsidRPr="00DF5A04">
        <w:rPr>
          <w:sz w:val="26"/>
          <w:szCs w:val="26"/>
          <w:lang w:val="lv-LV"/>
        </w:rPr>
        <w:t xml:space="preserve"> par 2018. gadu).</w:t>
      </w:r>
    </w:p>
    <w:p w:rsidR="007D55F9" w:rsidRPr="00DF5A04" w:rsidRDefault="00D644D6" w:rsidP="005C653D">
      <w:pPr>
        <w:tabs>
          <w:tab w:val="left" w:pos="1134"/>
        </w:tabs>
        <w:jc w:val="both"/>
        <w:rPr>
          <w:sz w:val="26"/>
          <w:szCs w:val="26"/>
          <w:lang w:val="lv-LV"/>
        </w:rPr>
      </w:pPr>
      <w:r w:rsidRPr="00DF5A04">
        <w:rPr>
          <w:iCs/>
          <w:sz w:val="26"/>
          <w:szCs w:val="26"/>
          <w:lang w:val="lv-LV"/>
        </w:rPr>
        <w:tab/>
      </w:r>
      <w:r w:rsidR="00B002D5" w:rsidRPr="00DF5A04">
        <w:rPr>
          <w:iCs/>
          <w:sz w:val="26"/>
          <w:szCs w:val="26"/>
          <w:lang w:val="lv-LV"/>
        </w:rPr>
        <w:t>201</w:t>
      </w:r>
      <w:r w:rsidR="00DD0F22" w:rsidRPr="00DF5A04">
        <w:rPr>
          <w:iCs/>
          <w:sz w:val="26"/>
          <w:szCs w:val="26"/>
          <w:lang w:val="lv-LV"/>
        </w:rPr>
        <w:t>8</w:t>
      </w:r>
      <w:r w:rsidR="00B002D5" w:rsidRPr="00DF5A04">
        <w:rPr>
          <w:iCs/>
          <w:sz w:val="26"/>
          <w:szCs w:val="26"/>
          <w:lang w:val="lv-LV"/>
        </w:rPr>
        <w:t xml:space="preserve">. gada </w:t>
      </w:r>
      <w:r w:rsidR="00DD0F22" w:rsidRPr="00DF5A04">
        <w:rPr>
          <w:iCs/>
          <w:sz w:val="26"/>
          <w:szCs w:val="26"/>
          <w:lang w:val="lv-LV"/>
        </w:rPr>
        <w:t>22. maijā</w:t>
      </w:r>
      <w:r w:rsidR="00B002D5" w:rsidRPr="00DF5A04">
        <w:rPr>
          <w:iCs/>
          <w:sz w:val="26"/>
          <w:szCs w:val="26"/>
          <w:lang w:val="lv-LV"/>
        </w:rPr>
        <w:t xml:space="preserve"> Ārlietu ministrij</w:t>
      </w:r>
      <w:r w:rsidR="00DD0F22" w:rsidRPr="00DF5A04">
        <w:rPr>
          <w:iCs/>
          <w:sz w:val="26"/>
          <w:szCs w:val="26"/>
          <w:lang w:val="lv-LV"/>
        </w:rPr>
        <w:t>a</w:t>
      </w:r>
      <w:r w:rsidR="00B002D5" w:rsidRPr="00DF5A04">
        <w:rPr>
          <w:iCs/>
          <w:sz w:val="26"/>
          <w:szCs w:val="26"/>
          <w:lang w:val="lv-LV"/>
        </w:rPr>
        <w:t xml:space="preserve"> </w:t>
      </w:r>
      <w:r w:rsidR="00DD0F22" w:rsidRPr="00DF5A04">
        <w:rPr>
          <w:iCs/>
          <w:sz w:val="26"/>
          <w:szCs w:val="26"/>
          <w:lang w:val="lv-LV"/>
        </w:rPr>
        <w:t>saņēma</w:t>
      </w:r>
      <w:r w:rsidR="00B002D5" w:rsidRPr="00DF5A04">
        <w:rPr>
          <w:iCs/>
          <w:sz w:val="26"/>
          <w:szCs w:val="26"/>
          <w:lang w:val="lv-LV"/>
        </w:rPr>
        <w:t xml:space="preserve"> EP </w:t>
      </w:r>
      <w:r w:rsidR="00DD0F22" w:rsidRPr="00DF5A04">
        <w:rPr>
          <w:iCs/>
          <w:sz w:val="26"/>
          <w:szCs w:val="26"/>
          <w:lang w:val="lv-LV"/>
        </w:rPr>
        <w:t xml:space="preserve">Finanšu </w:t>
      </w:r>
      <w:r w:rsidR="00182E3E" w:rsidRPr="00DF5A04">
        <w:rPr>
          <w:iCs/>
          <w:sz w:val="26"/>
          <w:szCs w:val="26"/>
          <w:lang w:val="lv-LV"/>
        </w:rPr>
        <w:t>direktorāta</w:t>
      </w:r>
      <w:r w:rsidR="00B002D5" w:rsidRPr="00DF5A04">
        <w:rPr>
          <w:iCs/>
          <w:sz w:val="26"/>
          <w:szCs w:val="26"/>
          <w:lang w:val="lv-LV"/>
        </w:rPr>
        <w:t xml:space="preserve"> vēstul</w:t>
      </w:r>
      <w:r w:rsidR="00DD0F22" w:rsidRPr="00DF5A04">
        <w:rPr>
          <w:iCs/>
          <w:sz w:val="26"/>
          <w:szCs w:val="26"/>
          <w:lang w:val="lv-LV"/>
        </w:rPr>
        <w:t>i</w:t>
      </w:r>
      <w:r w:rsidR="00B002D5" w:rsidRPr="00DF5A04">
        <w:rPr>
          <w:iCs/>
          <w:sz w:val="26"/>
          <w:szCs w:val="26"/>
          <w:lang w:val="lv-LV"/>
        </w:rPr>
        <w:t xml:space="preserve">, </w:t>
      </w:r>
      <w:r w:rsidR="00C377AC" w:rsidRPr="00DF5A04">
        <w:rPr>
          <w:iCs/>
          <w:sz w:val="26"/>
          <w:szCs w:val="26"/>
          <w:lang w:val="lv-LV"/>
        </w:rPr>
        <w:t>apstiprinot pārpalikuma</w:t>
      </w:r>
      <w:r w:rsidR="00415417" w:rsidRPr="00DF5A04">
        <w:rPr>
          <w:sz w:val="26"/>
          <w:szCs w:val="26"/>
          <w:lang w:val="lv-LV"/>
        </w:rPr>
        <w:t xml:space="preserve"> esamību</w:t>
      </w:r>
      <w:r w:rsidR="00EA4EA3" w:rsidRPr="00DF5A04">
        <w:rPr>
          <w:sz w:val="26"/>
          <w:szCs w:val="26"/>
          <w:lang w:val="lv-LV"/>
        </w:rPr>
        <w:t xml:space="preserve"> un</w:t>
      </w:r>
      <w:r w:rsidR="00415417" w:rsidRPr="00DF5A04">
        <w:rPr>
          <w:sz w:val="26"/>
          <w:szCs w:val="26"/>
          <w:lang w:val="lv-LV"/>
        </w:rPr>
        <w:t xml:space="preserve"> informējot par iespējām izmantot </w:t>
      </w:r>
      <w:r w:rsidR="00335163" w:rsidRPr="00DF5A04">
        <w:rPr>
          <w:sz w:val="26"/>
          <w:szCs w:val="26"/>
          <w:lang w:val="lv-LV"/>
        </w:rPr>
        <w:t>minētos</w:t>
      </w:r>
      <w:r w:rsidR="00415417" w:rsidRPr="00DF5A04">
        <w:rPr>
          <w:sz w:val="26"/>
          <w:szCs w:val="26"/>
          <w:lang w:val="lv-LV"/>
        </w:rPr>
        <w:t xml:space="preserve"> līdzekļus.</w:t>
      </w:r>
    </w:p>
    <w:p w:rsidR="007D55F9" w:rsidRPr="00DF5A04" w:rsidRDefault="00D644D6" w:rsidP="005C653D">
      <w:pPr>
        <w:tabs>
          <w:tab w:val="left" w:pos="1134"/>
        </w:tabs>
        <w:jc w:val="both"/>
        <w:rPr>
          <w:sz w:val="26"/>
          <w:szCs w:val="26"/>
          <w:lang w:val="lv-LV"/>
        </w:rPr>
      </w:pPr>
      <w:r w:rsidRPr="00DF5A04">
        <w:rPr>
          <w:iCs/>
          <w:sz w:val="26"/>
          <w:szCs w:val="26"/>
          <w:lang w:val="lv-LV"/>
        </w:rPr>
        <w:tab/>
      </w:r>
      <w:r w:rsidR="00335163" w:rsidRPr="00DF5A04">
        <w:rPr>
          <w:iCs/>
          <w:sz w:val="26"/>
          <w:szCs w:val="26"/>
          <w:lang w:val="lv-LV"/>
        </w:rPr>
        <w:t>L</w:t>
      </w:r>
      <w:r w:rsidR="00C377AC" w:rsidRPr="00DF5A04">
        <w:rPr>
          <w:iCs/>
          <w:sz w:val="26"/>
          <w:szCs w:val="26"/>
          <w:lang w:val="lv-LV"/>
        </w:rPr>
        <w:t xml:space="preserve">īdzekļus ir iespējams </w:t>
      </w:r>
      <w:r w:rsidR="0048465D" w:rsidRPr="00DF5A04">
        <w:rPr>
          <w:iCs/>
          <w:sz w:val="26"/>
          <w:szCs w:val="26"/>
          <w:lang w:val="lv-LV"/>
        </w:rPr>
        <w:t xml:space="preserve">izmantot trīs veidos: </w:t>
      </w:r>
      <w:r w:rsidR="0054745D" w:rsidRPr="00DF5A04">
        <w:rPr>
          <w:iCs/>
          <w:sz w:val="26"/>
          <w:szCs w:val="26"/>
          <w:lang w:val="lv-LV"/>
        </w:rPr>
        <w:t xml:space="preserve">novirzīt tos brīvprātīgo iemaksu veikšanai kādai EP iniciatīvai tās Budžeta programmas 2018. – 2019. gadam ietvaros; </w:t>
      </w:r>
      <w:r w:rsidR="00C377AC" w:rsidRPr="00DF5A04">
        <w:rPr>
          <w:iCs/>
          <w:sz w:val="26"/>
          <w:szCs w:val="26"/>
          <w:lang w:val="lv-LV"/>
        </w:rPr>
        <w:t xml:space="preserve">lūgt </w:t>
      </w:r>
      <w:r w:rsidR="00C377AC" w:rsidRPr="00DF5A04">
        <w:rPr>
          <w:sz w:val="26"/>
          <w:szCs w:val="26"/>
          <w:lang w:val="lv-LV"/>
        </w:rPr>
        <w:t>paturēt kā priekšapmaksu Latvijas nākamajai regulārajai iemaksai EP pamatbudžetā;</w:t>
      </w:r>
      <w:r w:rsidR="00C377AC" w:rsidRPr="00DF5A04">
        <w:rPr>
          <w:iCs/>
          <w:sz w:val="26"/>
          <w:szCs w:val="26"/>
          <w:lang w:val="lv-LV"/>
        </w:rPr>
        <w:t xml:space="preserve"> </w:t>
      </w:r>
      <w:r w:rsidR="006A3FCA" w:rsidRPr="00DF5A04">
        <w:rPr>
          <w:iCs/>
          <w:sz w:val="26"/>
          <w:szCs w:val="26"/>
          <w:lang w:val="lv-LV"/>
        </w:rPr>
        <w:t xml:space="preserve">vai </w:t>
      </w:r>
      <w:r w:rsidR="00415417" w:rsidRPr="00DF5A04">
        <w:rPr>
          <w:iCs/>
          <w:sz w:val="26"/>
          <w:szCs w:val="26"/>
          <w:lang w:val="lv-LV"/>
        </w:rPr>
        <w:t>l</w:t>
      </w:r>
      <w:r w:rsidR="0054745D" w:rsidRPr="00DF5A04">
        <w:rPr>
          <w:iCs/>
          <w:sz w:val="26"/>
          <w:szCs w:val="26"/>
          <w:lang w:val="lv-LV"/>
        </w:rPr>
        <w:t>ūgt līdzekļus atmaksāt Latvijai</w:t>
      </w:r>
      <w:r w:rsidR="00B002D5" w:rsidRPr="00DF5A04">
        <w:rPr>
          <w:iCs/>
          <w:sz w:val="26"/>
          <w:szCs w:val="26"/>
          <w:lang w:val="lv-LV"/>
        </w:rPr>
        <w:t>.</w:t>
      </w:r>
    </w:p>
    <w:p w:rsidR="007D55F9" w:rsidRPr="00DF5A04" w:rsidRDefault="00D644D6" w:rsidP="005C653D">
      <w:pPr>
        <w:tabs>
          <w:tab w:val="left" w:pos="1134"/>
        </w:tabs>
        <w:jc w:val="both"/>
        <w:rPr>
          <w:sz w:val="26"/>
          <w:szCs w:val="26"/>
          <w:lang w:val="lv-LV"/>
        </w:rPr>
      </w:pPr>
      <w:r w:rsidRPr="00DF5A04">
        <w:rPr>
          <w:iCs/>
          <w:sz w:val="26"/>
          <w:szCs w:val="26"/>
          <w:lang w:val="lv-LV"/>
        </w:rPr>
        <w:tab/>
      </w:r>
      <w:r w:rsidR="00B002D5" w:rsidRPr="00DF5A04">
        <w:rPr>
          <w:iCs/>
          <w:sz w:val="26"/>
          <w:szCs w:val="26"/>
          <w:lang w:val="lv-LV"/>
        </w:rPr>
        <w:t xml:space="preserve">Ārlietu ministrija sadarbībā ar Veselības ministriju, kura ir atbildīgā institūcija par Konvencijas jautājumiem, </w:t>
      </w:r>
      <w:r w:rsidR="00B002D5" w:rsidRPr="00DF5A04">
        <w:rPr>
          <w:b/>
          <w:iCs/>
          <w:sz w:val="26"/>
          <w:szCs w:val="26"/>
          <w:lang w:val="lv-LV"/>
        </w:rPr>
        <w:t xml:space="preserve">ir izstrādājusi priekšlikumu, kas paredz augstākminētos līdzekļus, kopumā </w:t>
      </w:r>
      <w:r w:rsidR="00DD0F22" w:rsidRPr="00DF5A04">
        <w:rPr>
          <w:b/>
          <w:sz w:val="26"/>
          <w:szCs w:val="26"/>
          <w:lang w:val="lv-LV"/>
        </w:rPr>
        <w:t xml:space="preserve">3849.78 </w:t>
      </w:r>
      <w:r w:rsidR="00B002D5" w:rsidRPr="00DF5A04">
        <w:rPr>
          <w:b/>
          <w:i/>
          <w:sz w:val="26"/>
          <w:szCs w:val="26"/>
          <w:lang w:val="lv-LV"/>
        </w:rPr>
        <w:t>euro</w:t>
      </w:r>
      <w:r w:rsidR="00B002D5" w:rsidRPr="00DF5A04">
        <w:rPr>
          <w:b/>
          <w:sz w:val="26"/>
          <w:szCs w:val="26"/>
          <w:lang w:val="lv-LV"/>
        </w:rPr>
        <w:t xml:space="preserve"> apmērā, novirzīt kā Latvijas brīvprātīgo maksājumu EP “Rīcības plānā </w:t>
      </w:r>
      <w:r w:rsidR="00DD0F22" w:rsidRPr="00DF5A04">
        <w:rPr>
          <w:b/>
          <w:sz w:val="26"/>
          <w:szCs w:val="26"/>
          <w:lang w:val="lv-LV"/>
        </w:rPr>
        <w:t>Gruzijai 2016. – 2019</w:t>
      </w:r>
      <w:r w:rsidR="00B002D5" w:rsidRPr="00DF5A04">
        <w:rPr>
          <w:b/>
          <w:sz w:val="26"/>
          <w:szCs w:val="26"/>
          <w:lang w:val="lv-LV"/>
        </w:rPr>
        <w:t>. gadam” (turpmāk – Rīcības plāns)</w:t>
      </w:r>
      <w:r w:rsidR="00B002D5" w:rsidRPr="00DF5A04">
        <w:rPr>
          <w:rStyle w:val="FootnoteReference"/>
          <w:b/>
          <w:sz w:val="26"/>
          <w:szCs w:val="26"/>
          <w:lang w:val="lv-LV"/>
        </w:rPr>
        <w:footnoteReference w:id="1"/>
      </w:r>
      <w:r w:rsidRPr="00DF5A04">
        <w:rPr>
          <w:b/>
          <w:sz w:val="26"/>
          <w:szCs w:val="26"/>
          <w:lang w:val="lv-LV"/>
        </w:rPr>
        <w:t>.</w:t>
      </w:r>
    </w:p>
    <w:p w:rsidR="007D55F9" w:rsidRPr="00DF5A04" w:rsidRDefault="007D55F9" w:rsidP="005C653D">
      <w:pPr>
        <w:tabs>
          <w:tab w:val="left" w:pos="1134"/>
        </w:tabs>
        <w:ind w:firstLine="284"/>
        <w:jc w:val="both"/>
        <w:rPr>
          <w:sz w:val="26"/>
          <w:szCs w:val="26"/>
          <w:lang w:val="lv-LV"/>
        </w:rPr>
      </w:pPr>
    </w:p>
    <w:p w:rsidR="00B054D7" w:rsidRPr="00DF5A04" w:rsidRDefault="00D644D6" w:rsidP="005C653D">
      <w:pPr>
        <w:tabs>
          <w:tab w:val="left" w:pos="1134"/>
        </w:tabs>
        <w:jc w:val="both"/>
        <w:rPr>
          <w:sz w:val="26"/>
          <w:szCs w:val="26"/>
          <w:lang w:val="lv-LV"/>
        </w:rPr>
      </w:pPr>
      <w:r w:rsidRPr="00DF5A04">
        <w:rPr>
          <w:sz w:val="26"/>
          <w:szCs w:val="26"/>
          <w:lang w:val="lv-LV"/>
        </w:rPr>
        <w:tab/>
      </w:r>
      <w:r w:rsidR="00B002D5" w:rsidRPr="00DF5A04">
        <w:rPr>
          <w:sz w:val="26"/>
          <w:szCs w:val="26"/>
          <w:lang w:val="lv-LV"/>
        </w:rPr>
        <w:t xml:space="preserve">Rīcības plāns </w:t>
      </w:r>
      <w:r w:rsidR="0019630A" w:rsidRPr="00DF5A04">
        <w:rPr>
          <w:sz w:val="26"/>
          <w:szCs w:val="26"/>
          <w:lang w:val="lv-LV"/>
        </w:rPr>
        <w:t>tika</w:t>
      </w:r>
      <w:r w:rsidR="00B002D5" w:rsidRPr="00DF5A04">
        <w:rPr>
          <w:sz w:val="26"/>
          <w:szCs w:val="26"/>
          <w:lang w:val="lv-LV"/>
        </w:rPr>
        <w:t xml:space="preserve"> apstiprināts EP Ministru vietnieku komitej</w:t>
      </w:r>
      <w:r w:rsidR="0019630A" w:rsidRPr="00DF5A04">
        <w:rPr>
          <w:sz w:val="26"/>
          <w:szCs w:val="26"/>
          <w:lang w:val="lv-LV"/>
        </w:rPr>
        <w:t>a</w:t>
      </w:r>
      <w:r w:rsidR="00A57259" w:rsidRPr="00DF5A04">
        <w:rPr>
          <w:sz w:val="26"/>
          <w:szCs w:val="26"/>
          <w:lang w:val="lv-LV"/>
        </w:rPr>
        <w:t>s</w:t>
      </w:r>
      <w:r w:rsidR="00B002D5" w:rsidRPr="00DF5A04">
        <w:rPr>
          <w:sz w:val="26"/>
          <w:szCs w:val="26"/>
          <w:lang w:val="lv-LV"/>
        </w:rPr>
        <w:t xml:space="preserve"> 2016. gada</w:t>
      </w:r>
      <w:r w:rsidR="00A57259" w:rsidRPr="00DF5A04">
        <w:rPr>
          <w:sz w:val="26"/>
          <w:szCs w:val="26"/>
          <w:lang w:val="lv-LV"/>
        </w:rPr>
        <w:t xml:space="preserve"> 15. – 16. marta sanāksmē.</w:t>
      </w:r>
      <w:r w:rsidR="00B002D5" w:rsidRPr="00DF5A04">
        <w:rPr>
          <w:sz w:val="26"/>
          <w:szCs w:val="26"/>
          <w:lang w:val="lv-LV"/>
        </w:rPr>
        <w:t xml:space="preserve"> Tas </w:t>
      </w:r>
      <w:r w:rsidR="0019630A" w:rsidRPr="00DF5A04">
        <w:rPr>
          <w:sz w:val="26"/>
          <w:szCs w:val="26"/>
          <w:lang w:val="lv-LV"/>
        </w:rPr>
        <w:t>bija</w:t>
      </w:r>
      <w:r w:rsidR="00B002D5" w:rsidRPr="00DF5A04">
        <w:rPr>
          <w:sz w:val="26"/>
          <w:szCs w:val="26"/>
          <w:lang w:val="lv-LV"/>
        </w:rPr>
        <w:t xml:space="preserve"> </w:t>
      </w:r>
      <w:r w:rsidR="00B002D5" w:rsidRPr="00DF5A04">
        <w:rPr>
          <w:b/>
          <w:sz w:val="26"/>
          <w:szCs w:val="26"/>
          <w:lang w:val="lv-LV"/>
        </w:rPr>
        <w:t>izstrādāts un ti</w:t>
      </w:r>
      <w:r w:rsidR="0019630A" w:rsidRPr="00DF5A04">
        <w:rPr>
          <w:b/>
          <w:sz w:val="26"/>
          <w:szCs w:val="26"/>
          <w:lang w:val="lv-LV"/>
        </w:rPr>
        <w:t>ek īstenots ciešā sadarbībā ar Gruzijas valdību</w:t>
      </w:r>
      <w:r w:rsidR="0019630A" w:rsidRPr="00DF5A04">
        <w:rPr>
          <w:sz w:val="26"/>
          <w:szCs w:val="26"/>
          <w:lang w:val="lv-LV"/>
        </w:rPr>
        <w:t>,</w:t>
      </w:r>
      <w:r w:rsidR="00B002D5" w:rsidRPr="00DF5A04">
        <w:rPr>
          <w:sz w:val="26"/>
          <w:szCs w:val="26"/>
          <w:lang w:val="lv-LV"/>
        </w:rPr>
        <w:t xml:space="preserve"> </w:t>
      </w:r>
      <w:r w:rsidR="0019630A" w:rsidRPr="00DF5A04">
        <w:rPr>
          <w:sz w:val="26"/>
          <w:szCs w:val="26"/>
          <w:lang w:val="lv-LV"/>
        </w:rPr>
        <w:t>balstoties uz</w:t>
      </w:r>
      <w:r w:rsidR="00B834EC" w:rsidRPr="00DF5A04">
        <w:rPr>
          <w:sz w:val="26"/>
          <w:szCs w:val="26"/>
          <w:lang w:val="lv-LV"/>
        </w:rPr>
        <w:t xml:space="preserve"> </w:t>
      </w:r>
      <w:r w:rsidR="003F4C5D" w:rsidRPr="00DF5A04">
        <w:rPr>
          <w:sz w:val="26"/>
          <w:szCs w:val="26"/>
          <w:lang w:val="lv-LV"/>
        </w:rPr>
        <w:t xml:space="preserve">EP </w:t>
      </w:r>
      <w:r w:rsidR="00B834EC" w:rsidRPr="00DF5A04">
        <w:rPr>
          <w:sz w:val="26"/>
          <w:szCs w:val="26"/>
          <w:lang w:val="lv-LV"/>
        </w:rPr>
        <w:t xml:space="preserve">Ģenerālsekretāra un </w:t>
      </w:r>
      <w:r w:rsidR="003F4C5D" w:rsidRPr="00DF5A04">
        <w:rPr>
          <w:sz w:val="26"/>
          <w:szCs w:val="26"/>
          <w:lang w:val="lv-LV"/>
        </w:rPr>
        <w:t>monitoringa meh</w:t>
      </w:r>
      <w:r w:rsidR="005E4FA1" w:rsidRPr="00DF5A04">
        <w:rPr>
          <w:sz w:val="26"/>
          <w:szCs w:val="26"/>
          <w:lang w:val="lv-LV"/>
        </w:rPr>
        <w:t>ānismu ziņojumos ide</w:t>
      </w:r>
      <w:r w:rsidR="00B834EC" w:rsidRPr="00DF5A04">
        <w:rPr>
          <w:sz w:val="26"/>
          <w:szCs w:val="26"/>
          <w:lang w:val="lv-LV"/>
        </w:rPr>
        <w:t>ntificētajiem izaicinājumiem, kā arī Rīcības plāna Gruzijai 2013. – 2015. gadam rezultātiem</w:t>
      </w:r>
      <w:r w:rsidR="00C94696" w:rsidRPr="00DF5A04">
        <w:rPr>
          <w:sz w:val="26"/>
          <w:szCs w:val="26"/>
          <w:lang w:val="lv-LV"/>
        </w:rPr>
        <w:t>.</w:t>
      </w:r>
    </w:p>
    <w:p w:rsidR="00C94696" w:rsidRPr="00DF5A04" w:rsidRDefault="00D644D6" w:rsidP="005C653D">
      <w:pPr>
        <w:tabs>
          <w:tab w:val="left" w:pos="1134"/>
        </w:tabs>
        <w:jc w:val="both"/>
        <w:rPr>
          <w:sz w:val="26"/>
          <w:szCs w:val="26"/>
          <w:lang w:val="lv-LV"/>
        </w:rPr>
      </w:pPr>
      <w:r w:rsidRPr="00DF5A04">
        <w:rPr>
          <w:sz w:val="26"/>
          <w:szCs w:val="26"/>
          <w:lang w:val="lv-LV"/>
        </w:rPr>
        <w:tab/>
      </w:r>
      <w:r w:rsidR="00C94696" w:rsidRPr="00DF5A04">
        <w:rPr>
          <w:sz w:val="26"/>
          <w:szCs w:val="26"/>
          <w:lang w:val="lv-LV"/>
        </w:rPr>
        <w:t>1999. gadā Gruzija kļuva par 41. EP dalībvalsti, un</w:t>
      </w:r>
      <w:r w:rsidR="00FC6057" w:rsidRPr="00DF5A04">
        <w:rPr>
          <w:sz w:val="26"/>
          <w:szCs w:val="26"/>
          <w:lang w:val="lv-LV"/>
        </w:rPr>
        <w:t xml:space="preserve"> kopš tā laika</w:t>
      </w:r>
      <w:r w:rsidR="00C94696" w:rsidRPr="00DF5A04">
        <w:rPr>
          <w:sz w:val="26"/>
          <w:szCs w:val="26"/>
          <w:lang w:val="lv-LV"/>
        </w:rPr>
        <w:t xml:space="preserve"> ir pievienojusies 72 EP konvencijām. Rīcības plāna mērķis ir</w:t>
      </w:r>
      <w:r w:rsidR="00C94696" w:rsidRPr="00DF5A04">
        <w:rPr>
          <w:b/>
          <w:sz w:val="26"/>
          <w:szCs w:val="26"/>
          <w:lang w:val="lv-LV"/>
        </w:rPr>
        <w:t xml:space="preserve"> turpināt atbalstīt Gruziju Eiropas </w:t>
      </w:r>
      <w:r w:rsidR="00EF780E" w:rsidRPr="00DF5A04">
        <w:rPr>
          <w:b/>
          <w:sz w:val="26"/>
          <w:szCs w:val="26"/>
          <w:lang w:val="lv-LV"/>
        </w:rPr>
        <w:t>Cilvēka tiesību un pamatbrīvību aizsardzības konvencijas īstenošanā</w:t>
      </w:r>
      <w:r w:rsidR="00C94696" w:rsidRPr="00DF5A04">
        <w:rPr>
          <w:b/>
          <w:sz w:val="26"/>
          <w:szCs w:val="26"/>
          <w:lang w:val="lv-LV"/>
        </w:rPr>
        <w:t xml:space="preserve"> un </w:t>
      </w:r>
      <w:r w:rsidR="00EF780E" w:rsidRPr="00DF5A04">
        <w:rPr>
          <w:b/>
          <w:sz w:val="26"/>
          <w:szCs w:val="26"/>
          <w:lang w:val="lv-LV"/>
        </w:rPr>
        <w:t>EP cilvēktiesību, demokrātijas un likuma varas standartu uzturēšanā.</w:t>
      </w:r>
    </w:p>
    <w:p w:rsidR="005E4FA1" w:rsidRPr="00DF5A04" w:rsidRDefault="00D644D6" w:rsidP="005C653D">
      <w:pPr>
        <w:tabs>
          <w:tab w:val="left" w:pos="1134"/>
        </w:tabs>
        <w:jc w:val="both"/>
        <w:rPr>
          <w:b/>
          <w:sz w:val="26"/>
          <w:szCs w:val="26"/>
          <w:lang w:val="lv-LV"/>
        </w:rPr>
      </w:pPr>
      <w:r w:rsidRPr="00DF5A04">
        <w:rPr>
          <w:sz w:val="26"/>
          <w:szCs w:val="26"/>
          <w:lang w:val="lv-LV"/>
        </w:rPr>
        <w:tab/>
      </w:r>
      <w:r w:rsidR="005E4FA1" w:rsidRPr="00DF5A04">
        <w:rPr>
          <w:sz w:val="26"/>
          <w:szCs w:val="26"/>
          <w:lang w:val="lv-LV"/>
        </w:rPr>
        <w:t xml:space="preserve">Rīcības plānā ietverts plašs aktivitāšu loks, vērsts uz Gruzijas valsts institūcijām, pilsonisko sabiedrību un sabiedrību kopumā, tai skaitā reģionos. Rīcības plāns fokusējas uz piecām jomām: </w:t>
      </w:r>
      <w:r w:rsidR="005E4FA1" w:rsidRPr="00DF5A04">
        <w:rPr>
          <w:b/>
          <w:sz w:val="26"/>
          <w:szCs w:val="26"/>
          <w:lang w:val="lv-LV"/>
        </w:rPr>
        <w:t>cilvēktiesību un sociālo tiesību stiprināšana un veicināšana; tiesiskuma veicināšana; demokrātiskās pārvaldes stiprināšana;</w:t>
      </w:r>
      <w:r w:rsidR="00F90C32" w:rsidRPr="00DF5A04">
        <w:rPr>
          <w:b/>
          <w:sz w:val="26"/>
          <w:szCs w:val="26"/>
          <w:lang w:val="lv-LV"/>
        </w:rPr>
        <w:t xml:space="preserve"> tiesu varas draudu novēršana</w:t>
      </w:r>
      <w:r w:rsidR="00FC6057" w:rsidRPr="00DF5A04">
        <w:rPr>
          <w:b/>
          <w:sz w:val="26"/>
          <w:szCs w:val="26"/>
          <w:lang w:val="lv-LV"/>
        </w:rPr>
        <w:t xml:space="preserve">, īpaši </w:t>
      </w:r>
      <w:r w:rsidR="005E4FA1" w:rsidRPr="00DF5A04">
        <w:rPr>
          <w:b/>
          <w:sz w:val="26"/>
          <w:szCs w:val="26"/>
          <w:lang w:val="lv-LV"/>
        </w:rPr>
        <w:t>korupcija</w:t>
      </w:r>
      <w:r w:rsidR="00FC6057" w:rsidRPr="00DF5A04">
        <w:rPr>
          <w:b/>
          <w:sz w:val="26"/>
          <w:szCs w:val="26"/>
          <w:lang w:val="lv-LV"/>
        </w:rPr>
        <w:t>s</w:t>
      </w:r>
      <w:r w:rsidR="005E4FA1" w:rsidRPr="00DF5A04">
        <w:rPr>
          <w:b/>
          <w:sz w:val="26"/>
          <w:szCs w:val="26"/>
          <w:lang w:val="lv-LV"/>
        </w:rPr>
        <w:t xml:space="preserve">, </w:t>
      </w:r>
      <w:r w:rsidR="00F90C32" w:rsidRPr="00DF5A04">
        <w:rPr>
          <w:b/>
          <w:sz w:val="26"/>
          <w:szCs w:val="26"/>
          <w:lang w:val="lv-LV"/>
        </w:rPr>
        <w:t>noziedzīgi</w:t>
      </w:r>
      <w:r w:rsidR="005E4FA1" w:rsidRPr="00DF5A04">
        <w:rPr>
          <w:b/>
          <w:sz w:val="26"/>
          <w:szCs w:val="26"/>
          <w:lang w:val="lv-LV"/>
        </w:rPr>
        <w:t xml:space="preserve"> iegūtu līdzekļu </w:t>
      </w:r>
      <w:r w:rsidR="00F90C32" w:rsidRPr="00DF5A04">
        <w:rPr>
          <w:b/>
          <w:sz w:val="26"/>
          <w:szCs w:val="26"/>
          <w:lang w:val="lv-LV"/>
        </w:rPr>
        <w:t>legalizācija</w:t>
      </w:r>
      <w:r w:rsidR="00FC6057" w:rsidRPr="00DF5A04">
        <w:rPr>
          <w:b/>
          <w:sz w:val="26"/>
          <w:szCs w:val="26"/>
          <w:lang w:val="lv-LV"/>
        </w:rPr>
        <w:t>s un</w:t>
      </w:r>
      <w:r w:rsidR="005E4FA1" w:rsidRPr="00DF5A04">
        <w:rPr>
          <w:b/>
          <w:sz w:val="26"/>
          <w:szCs w:val="26"/>
          <w:lang w:val="lv-LV"/>
        </w:rPr>
        <w:t xml:space="preserve"> </w:t>
      </w:r>
      <w:r w:rsidR="00F90C32" w:rsidRPr="00DF5A04">
        <w:rPr>
          <w:b/>
          <w:sz w:val="26"/>
          <w:szCs w:val="26"/>
          <w:lang w:val="lv-LV"/>
        </w:rPr>
        <w:t>manipulācija</w:t>
      </w:r>
      <w:r w:rsidR="00FC6057" w:rsidRPr="00DF5A04">
        <w:rPr>
          <w:b/>
          <w:sz w:val="26"/>
          <w:szCs w:val="26"/>
          <w:lang w:val="lv-LV"/>
        </w:rPr>
        <w:t>s</w:t>
      </w:r>
      <w:r w:rsidR="00F90C32" w:rsidRPr="00DF5A04">
        <w:rPr>
          <w:b/>
          <w:sz w:val="26"/>
          <w:szCs w:val="26"/>
          <w:lang w:val="lv-LV"/>
        </w:rPr>
        <w:t xml:space="preserve"> ar </w:t>
      </w:r>
      <w:r w:rsidR="005E4FA1" w:rsidRPr="00DF5A04">
        <w:rPr>
          <w:b/>
          <w:sz w:val="26"/>
          <w:szCs w:val="26"/>
          <w:lang w:val="lv-LV"/>
        </w:rPr>
        <w:t>sporta sacensīb</w:t>
      </w:r>
      <w:r w:rsidR="00F90C32" w:rsidRPr="00DF5A04">
        <w:rPr>
          <w:b/>
          <w:sz w:val="26"/>
          <w:szCs w:val="26"/>
          <w:lang w:val="lv-LV"/>
        </w:rPr>
        <w:t>ām</w:t>
      </w:r>
      <w:r w:rsidR="005E4FA1" w:rsidRPr="00DF5A04">
        <w:rPr>
          <w:b/>
          <w:sz w:val="26"/>
          <w:szCs w:val="26"/>
          <w:lang w:val="lv-LV"/>
        </w:rPr>
        <w:t xml:space="preserve">; un </w:t>
      </w:r>
      <w:r w:rsidR="00D86E22" w:rsidRPr="00DF5A04">
        <w:rPr>
          <w:b/>
          <w:sz w:val="26"/>
          <w:szCs w:val="26"/>
          <w:lang w:val="lv-LV"/>
        </w:rPr>
        <w:t>uzticības palielināšana</w:t>
      </w:r>
      <w:r w:rsidR="00EA4EA3" w:rsidRPr="00DF5A04">
        <w:rPr>
          <w:b/>
          <w:sz w:val="26"/>
          <w:szCs w:val="26"/>
          <w:lang w:val="lv-LV"/>
        </w:rPr>
        <w:t xml:space="preserve"> publiskajām institūcijām, īpaši konflikt</w:t>
      </w:r>
      <w:r w:rsidR="00B834EC" w:rsidRPr="00DF5A04">
        <w:rPr>
          <w:b/>
          <w:sz w:val="26"/>
          <w:szCs w:val="26"/>
          <w:lang w:val="lv-LV"/>
        </w:rPr>
        <w:t>u zonās</w:t>
      </w:r>
      <w:r w:rsidR="00EA4EA3" w:rsidRPr="00DF5A04">
        <w:rPr>
          <w:b/>
          <w:sz w:val="26"/>
          <w:szCs w:val="26"/>
          <w:lang w:val="lv-LV"/>
        </w:rPr>
        <w:t>.</w:t>
      </w:r>
    </w:p>
    <w:p w:rsidR="007D55F9" w:rsidRPr="00DF5A04" w:rsidRDefault="00D644D6" w:rsidP="005C653D">
      <w:pPr>
        <w:tabs>
          <w:tab w:val="left" w:pos="1134"/>
        </w:tabs>
        <w:jc w:val="both"/>
        <w:rPr>
          <w:sz w:val="26"/>
          <w:szCs w:val="26"/>
          <w:lang w:val="lv-LV"/>
        </w:rPr>
      </w:pPr>
      <w:r w:rsidRPr="00DF5A04">
        <w:rPr>
          <w:sz w:val="26"/>
          <w:szCs w:val="26"/>
          <w:lang w:val="lv-LV"/>
        </w:rPr>
        <w:tab/>
      </w:r>
      <w:r w:rsidR="00B002D5" w:rsidRPr="00DF5A04">
        <w:rPr>
          <w:sz w:val="26"/>
          <w:szCs w:val="26"/>
          <w:lang w:val="lv-LV"/>
        </w:rPr>
        <w:t>Rīcības plāna īstenošanas uzraudzību un rezultātu izvērtēšanu vei</w:t>
      </w:r>
      <w:r w:rsidR="00B834EC" w:rsidRPr="00DF5A04">
        <w:rPr>
          <w:sz w:val="26"/>
          <w:szCs w:val="26"/>
          <w:lang w:val="lv-LV"/>
        </w:rPr>
        <w:t>c</w:t>
      </w:r>
      <w:r w:rsidR="00B002D5" w:rsidRPr="00DF5A04">
        <w:rPr>
          <w:sz w:val="26"/>
          <w:szCs w:val="26"/>
          <w:lang w:val="lv-LV"/>
        </w:rPr>
        <w:t xml:space="preserve"> EP un </w:t>
      </w:r>
      <w:r w:rsidR="00B834EC" w:rsidRPr="00DF5A04">
        <w:rPr>
          <w:sz w:val="26"/>
          <w:szCs w:val="26"/>
          <w:lang w:val="lv-LV"/>
        </w:rPr>
        <w:t>Gruzijas</w:t>
      </w:r>
      <w:r w:rsidR="00B002D5" w:rsidRPr="00DF5A04">
        <w:rPr>
          <w:sz w:val="26"/>
          <w:szCs w:val="26"/>
          <w:lang w:val="lv-LV"/>
        </w:rPr>
        <w:t xml:space="preserve"> kopīgi veidota darba grupa</w:t>
      </w:r>
      <w:r w:rsidR="00B834EC" w:rsidRPr="00DF5A04">
        <w:rPr>
          <w:sz w:val="26"/>
          <w:szCs w:val="26"/>
          <w:lang w:val="lv-LV"/>
        </w:rPr>
        <w:t>, kurā darbojas EP, Gruzijas Ārlietu ministrijas un citu Gruzijas ie</w:t>
      </w:r>
      <w:r w:rsidR="00FC6057" w:rsidRPr="00DF5A04">
        <w:rPr>
          <w:sz w:val="26"/>
          <w:szCs w:val="26"/>
          <w:lang w:val="lv-LV"/>
        </w:rPr>
        <w:t>saistīto</w:t>
      </w:r>
      <w:r w:rsidR="00B834EC" w:rsidRPr="00DF5A04">
        <w:rPr>
          <w:sz w:val="26"/>
          <w:szCs w:val="26"/>
          <w:lang w:val="lv-LV"/>
        </w:rPr>
        <w:t xml:space="preserve"> pušu pārstāvji.</w:t>
      </w:r>
    </w:p>
    <w:p w:rsidR="00B834EC" w:rsidRPr="00DF5A04" w:rsidRDefault="00D644D6" w:rsidP="005C653D">
      <w:pPr>
        <w:pStyle w:val="ListParagraph"/>
        <w:tabs>
          <w:tab w:val="left" w:pos="1134"/>
        </w:tabs>
        <w:ind w:left="0"/>
        <w:jc w:val="both"/>
        <w:rPr>
          <w:sz w:val="26"/>
          <w:szCs w:val="26"/>
          <w:lang w:val="lv-LV"/>
        </w:rPr>
      </w:pPr>
      <w:r w:rsidRPr="00DF5A04">
        <w:rPr>
          <w:sz w:val="26"/>
          <w:szCs w:val="26"/>
          <w:lang w:val="lv-LV"/>
        </w:rPr>
        <w:lastRenderedPageBreak/>
        <w:tab/>
      </w:r>
      <w:r w:rsidR="00B002D5" w:rsidRPr="00DF5A04">
        <w:rPr>
          <w:sz w:val="26"/>
          <w:szCs w:val="26"/>
          <w:lang w:val="lv-LV"/>
        </w:rPr>
        <w:t xml:space="preserve">Rīcības plāna kopējais budžets ir </w:t>
      </w:r>
      <w:r w:rsidR="00D8545D" w:rsidRPr="00DF5A04">
        <w:rPr>
          <w:sz w:val="26"/>
          <w:szCs w:val="26"/>
          <w:lang w:val="lv-LV"/>
        </w:rPr>
        <w:t xml:space="preserve">25’377’269 </w:t>
      </w:r>
      <w:r w:rsidR="00B002D5" w:rsidRPr="00DF5A04">
        <w:rPr>
          <w:i/>
          <w:sz w:val="26"/>
          <w:szCs w:val="26"/>
          <w:lang w:val="lv-LV"/>
        </w:rPr>
        <w:t xml:space="preserve">euro. </w:t>
      </w:r>
      <w:r w:rsidR="00B002D5" w:rsidRPr="00DF5A04">
        <w:rPr>
          <w:sz w:val="26"/>
          <w:szCs w:val="26"/>
          <w:lang w:val="lv-LV"/>
        </w:rPr>
        <w:t xml:space="preserve">Tas </w:t>
      </w:r>
      <w:r w:rsidR="00007B1B" w:rsidRPr="00DF5A04">
        <w:rPr>
          <w:sz w:val="26"/>
          <w:szCs w:val="26"/>
          <w:lang w:val="lv-LV"/>
        </w:rPr>
        <w:t xml:space="preserve">daļēji </w:t>
      </w:r>
      <w:r w:rsidR="00B002D5" w:rsidRPr="00DF5A04">
        <w:rPr>
          <w:sz w:val="26"/>
          <w:szCs w:val="26"/>
          <w:lang w:val="lv-LV"/>
        </w:rPr>
        <w:t>ti</w:t>
      </w:r>
      <w:r w:rsidR="00007B1B" w:rsidRPr="00DF5A04">
        <w:rPr>
          <w:sz w:val="26"/>
          <w:szCs w:val="26"/>
          <w:lang w:val="lv-LV"/>
        </w:rPr>
        <w:t xml:space="preserve">ek finansēts no EP pamatbudžeta, bet lielākā daļa finansējuma balstās uz </w:t>
      </w:r>
      <w:r w:rsidR="00B002D5" w:rsidRPr="00DF5A04">
        <w:rPr>
          <w:sz w:val="26"/>
          <w:szCs w:val="26"/>
          <w:lang w:val="lv-LV"/>
        </w:rPr>
        <w:t>starptautisko organizāciju</w:t>
      </w:r>
      <w:r w:rsidR="00B002D5" w:rsidRPr="00DF5A04">
        <w:rPr>
          <w:rStyle w:val="FootnoteReference"/>
          <w:sz w:val="26"/>
          <w:szCs w:val="26"/>
          <w:lang w:val="lv-LV"/>
        </w:rPr>
        <w:footnoteReference w:id="2"/>
      </w:r>
      <w:r w:rsidR="00B002D5" w:rsidRPr="00DF5A04">
        <w:rPr>
          <w:sz w:val="26"/>
          <w:szCs w:val="26"/>
          <w:lang w:val="lv-LV"/>
        </w:rPr>
        <w:t xml:space="preserve"> un </w:t>
      </w:r>
      <w:r w:rsidR="00B002D5" w:rsidRPr="00DF5A04">
        <w:rPr>
          <w:b/>
          <w:sz w:val="26"/>
          <w:szCs w:val="26"/>
          <w:lang w:val="lv-LV"/>
        </w:rPr>
        <w:t>dalībvalstu brīvprātīgajām iemaksām</w:t>
      </w:r>
      <w:r w:rsidR="00B002D5" w:rsidRPr="00DF5A04">
        <w:rPr>
          <w:sz w:val="26"/>
          <w:szCs w:val="26"/>
          <w:lang w:val="lv-LV"/>
        </w:rPr>
        <w:t>.</w:t>
      </w:r>
    </w:p>
    <w:p w:rsidR="007D55F9" w:rsidRPr="00DF5A04" w:rsidRDefault="00D644D6" w:rsidP="005C653D">
      <w:pPr>
        <w:tabs>
          <w:tab w:val="left" w:pos="1134"/>
        </w:tabs>
        <w:jc w:val="both"/>
        <w:rPr>
          <w:sz w:val="26"/>
          <w:szCs w:val="26"/>
          <w:lang w:val="lv-LV"/>
        </w:rPr>
      </w:pPr>
      <w:r w:rsidRPr="00DF5A04">
        <w:rPr>
          <w:sz w:val="26"/>
          <w:szCs w:val="26"/>
          <w:lang w:val="lv-LV"/>
        </w:rPr>
        <w:tab/>
      </w:r>
      <w:r w:rsidR="00007B1B" w:rsidRPr="00DF5A04">
        <w:rPr>
          <w:sz w:val="26"/>
          <w:szCs w:val="26"/>
          <w:lang w:val="lv-LV"/>
        </w:rPr>
        <w:t xml:space="preserve">Gruzija ir viena no Latvijas attīstības sadarbības politikas prioritārajām valstīm. </w:t>
      </w:r>
      <w:r w:rsidR="00B002D5" w:rsidRPr="00DF5A04">
        <w:rPr>
          <w:sz w:val="26"/>
          <w:szCs w:val="26"/>
          <w:lang w:val="lv-LV"/>
        </w:rPr>
        <w:t xml:space="preserve">Latvijai ir svarīgi, lai </w:t>
      </w:r>
      <w:r w:rsidR="00007B1B" w:rsidRPr="00DF5A04">
        <w:rPr>
          <w:sz w:val="26"/>
          <w:szCs w:val="26"/>
          <w:lang w:val="lv-LV"/>
        </w:rPr>
        <w:t>Gruzija</w:t>
      </w:r>
      <w:r w:rsidR="00B002D5" w:rsidRPr="00DF5A04">
        <w:rPr>
          <w:sz w:val="26"/>
          <w:szCs w:val="26"/>
          <w:lang w:val="lv-LV"/>
        </w:rPr>
        <w:t xml:space="preserve"> attīstītos kā demokrātiska, ekonomiski un sociāli stabila valsts, kurā tiek ievērotas cilvēktiesības un likuma vara. Brīvprātīgās iemaksas veikšana </w:t>
      </w:r>
      <w:r w:rsidR="00B002D5" w:rsidRPr="00DF5A04">
        <w:rPr>
          <w:iCs/>
          <w:sz w:val="26"/>
          <w:szCs w:val="26"/>
          <w:lang w:val="lv-LV"/>
        </w:rPr>
        <w:t>atbilstu</w:t>
      </w:r>
      <w:r w:rsidR="00B002D5" w:rsidRPr="00DF5A04">
        <w:rPr>
          <w:sz w:val="26"/>
          <w:szCs w:val="26"/>
          <w:lang w:val="lv-LV"/>
        </w:rPr>
        <w:t xml:space="preserve"> Latvijas ārpolitikas prioritātēm</w:t>
      </w:r>
      <w:r w:rsidR="005D34A7" w:rsidRPr="00DF5A04">
        <w:rPr>
          <w:iCs/>
          <w:sz w:val="26"/>
          <w:szCs w:val="26"/>
          <w:lang w:val="lv-LV"/>
        </w:rPr>
        <w:t xml:space="preserve"> un nacionālajām interesēm;</w:t>
      </w:r>
      <w:r w:rsidR="00B002D5" w:rsidRPr="00DF5A04">
        <w:rPr>
          <w:iCs/>
          <w:sz w:val="26"/>
          <w:szCs w:val="26"/>
          <w:lang w:val="lv-LV"/>
        </w:rPr>
        <w:t xml:space="preserve"> </w:t>
      </w:r>
      <w:r w:rsidR="00B002D5" w:rsidRPr="00DF5A04">
        <w:rPr>
          <w:sz w:val="26"/>
          <w:szCs w:val="26"/>
          <w:lang w:val="lv-LV"/>
        </w:rPr>
        <w:t xml:space="preserve">šāds solis </w:t>
      </w:r>
      <w:r w:rsidR="00B002D5" w:rsidRPr="00DF5A04">
        <w:rPr>
          <w:iCs/>
          <w:sz w:val="26"/>
          <w:szCs w:val="26"/>
          <w:lang w:val="lv-LV"/>
        </w:rPr>
        <w:t>apliecinātu</w:t>
      </w:r>
      <w:r w:rsidR="00B002D5" w:rsidRPr="00DF5A04">
        <w:rPr>
          <w:sz w:val="26"/>
          <w:szCs w:val="26"/>
          <w:lang w:val="lv-LV"/>
        </w:rPr>
        <w:t xml:space="preserve"> Latvijas labo gribu EP ietvaros un saskanētu ar līdzšinējo Latvijas darbību EP, kas bijusi vērsta uz sadarbības ar ES Austrumu partnerības reģiona valstīm veicināšanu.</w:t>
      </w:r>
    </w:p>
    <w:p w:rsidR="007D55F9" w:rsidRPr="00DF5A04" w:rsidRDefault="007D55F9" w:rsidP="005C653D">
      <w:pPr>
        <w:widowControl w:val="0"/>
        <w:tabs>
          <w:tab w:val="left" w:pos="1134"/>
        </w:tabs>
        <w:overflowPunct w:val="0"/>
        <w:autoSpaceDE w:val="0"/>
        <w:ind w:firstLine="284"/>
        <w:jc w:val="both"/>
        <w:rPr>
          <w:sz w:val="26"/>
          <w:szCs w:val="26"/>
          <w:lang w:val="lv-LV"/>
        </w:rPr>
      </w:pPr>
    </w:p>
    <w:p w:rsidR="007D55F9" w:rsidRPr="00DF5A04" w:rsidRDefault="007D55F9" w:rsidP="005C653D">
      <w:pPr>
        <w:tabs>
          <w:tab w:val="left" w:pos="1134"/>
          <w:tab w:val="left" w:pos="6237"/>
        </w:tabs>
        <w:ind w:firstLine="284"/>
        <w:jc w:val="both"/>
        <w:rPr>
          <w:sz w:val="26"/>
          <w:szCs w:val="26"/>
          <w:lang w:val="lv-LV"/>
        </w:rPr>
      </w:pPr>
    </w:p>
    <w:p w:rsidR="007D55F9" w:rsidRPr="00DF5A04" w:rsidRDefault="007D55F9" w:rsidP="005C653D">
      <w:pPr>
        <w:tabs>
          <w:tab w:val="left" w:pos="1134"/>
          <w:tab w:val="left" w:pos="6237"/>
        </w:tabs>
        <w:spacing w:line="276" w:lineRule="auto"/>
        <w:ind w:firstLine="284"/>
        <w:jc w:val="both"/>
        <w:rPr>
          <w:sz w:val="26"/>
          <w:szCs w:val="26"/>
          <w:lang w:val="lv-LV"/>
        </w:rPr>
      </w:pPr>
    </w:p>
    <w:p w:rsidR="00640211" w:rsidRPr="00DF5A04" w:rsidRDefault="00827537" w:rsidP="005C653D">
      <w:pPr>
        <w:tabs>
          <w:tab w:val="left" w:pos="1134"/>
          <w:tab w:val="left" w:pos="6946"/>
        </w:tabs>
        <w:ind w:right="-58"/>
        <w:jc w:val="both"/>
        <w:rPr>
          <w:b/>
          <w:sz w:val="26"/>
          <w:szCs w:val="26"/>
          <w:lang w:val="lv-LV"/>
        </w:rPr>
      </w:pPr>
      <w:r w:rsidRPr="00DF5A04">
        <w:rPr>
          <w:sz w:val="26"/>
          <w:szCs w:val="26"/>
          <w:lang w:val="lv-LV"/>
        </w:rPr>
        <w:t>Ā</w:t>
      </w:r>
      <w:r w:rsidR="00662D5A" w:rsidRPr="00DF5A04">
        <w:rPr>
          <w:sz w:val="26"/>
          <w:szCs w:val="26"/>
          <w:lang w:val="lv-LV"/>
        </w:rPr>
        <w:t>rlietu ministrs</w:t>
      </w:r>
      <w:r w:rsidR="005C653D">
        <w:rPr>
          <w:sz w:val="26"/>
          <w:szCs w:val="26"/>
          <w:lang w:val="lv-LV"/>
        </w:rPr>
        <w:tab/>
      </w:r>
      <w:r w:rsidR="00D1418B">
        <w:rPr>
          <w:sz w:val="26"/>
          <w:szCs w:val="26"/>
          <w:lang w:val="lv-LV"/>
        </w:rPr>
        <w:tab/>
        <w:t xml:space="preserve">         </w:t>
      </w:r>
      <w:r w:rsidR="00662D5A" w:rsidRPr="00DF5A04">
        <w:rPr>
          <w:sz w:val="26"/>
          <w:szCs w:val="26"/>
          <w:lang w:val="lv-LV"/>
        </w:rPr>
        <w:t>E.Rinkēvičs</w:t>
      </w:r>
    </w:p>
    <w:p w:rsidR="007D55F9" w:rsidRPr="00DF5A04" w:rsidRDefault="00B002D5" w:rsidP="005C653D">
      <w:pPr>
        <w:tabs>
          <w:tab w:val="left" w:pos="1134"/>
          <w:tab w:val="left" w:pos="6237"/>
        </w:tabs>
        <w:jc w:val="both"/>
        <w:rPr>
          <w:sz w:val="26"/>
          <w:szCs w:val="26"/>
          <w:lang w:val="lv-LV"/>
        </w:rPr>
      </w:pPr>
      <w:r w:rsidRPr="00DF5A04">
        <w:rPr>
          <w:sz w:val="26"/>
          <w:szCs w:val="26"/>
          <w:lang w:val="lv-LV"/>
        </w:rPr>
        <w:tab/>
      </w:r>
    </w:p>
    <w:p w:rsidR="007D55F9" w:rsidRPr="00DF5A04" w:rsidRDefault="007D55F9" w:rsidP="005C653D">
      <w:pPr>
        <w:tabs>
          <w:tab w:val="left" w:pos="1134"/>
        </w:tabs>
        <w:jc w:val="both"/>
        <w:rPr>
          <w:sz w:val="26"/>
          <w:szCs w:val="26"/>
          <w:lang w:val="lv-LV"/>
        </w:rPr>
      </w:pPr>
    </w:p>
    <w:p w:rsidR="007D55F9" w:rsidRPr="00DF5A04" w:rsidRDefault="007D55F9" w:rsidP="005C653D">
      <w:pPr>
        <w:tabs>
          <w:tab w:val="left" w:pos="1134"/>
        </w:tabs>
        <w:jc w:val="both"/>
        <w:rPr>
          <w:sz w:val="26"/>
          <w:szCs w:val="26"/>
          <w:lang w:val="lv-LV"/>
        </w:rPr>
      </w:pPr>
    </w:p>
    <w:p w:rsidR="007D55F9" w:rsidRPr="00DF5A04" w:rsidRDefault="00640211" w:rsidP="005C653D">
      <w:pPr>
        <w:tabs>
          <w:tab w:val="left" w:pos="1134"/>
          <w:tab w:val="left" w:pos="6946"/>
        </w:tabs>
        <w:rPr>
          <w:sz w:val="26"/>
          <w:szCs w:val="26"/>
          <w:lang w:val="lv-LV"/>
        </w:rPr>
      </w:pPr>
      <w:r w:rsidRPr="00DF5A04">
        <w:rPr>
          <w:sz w:val="26"/>
          <w:szCs w:val="26"/>
          <w:lang w:val="lv-LV"/>
        </w:rPr>
        <w:t xml:space="preserve">Vīzē: valsts </w:t>
      </w:r>
      <w:r w:rsidR="00787225">
        <w:rPr>
          <w:sz w:val="26"/>
          <w:szCs w:val="26"/>
          <w:lang w:val="lv-LV"/>
        </w:rPr>
        <w:t>sekretārs</w:t>
      </w:r>
      <w:r w:rsidR="005C653D">
        <w:rPr>
          <w:sz w:val="26"/>
          <w:szCs w:val="26"/>
          <w:lang w:val="lv-LV"/>
        </w:rPr>
        <w:tab/>
      </w:r>
      <w:r w:rsidR="00D1418B">
        <w:rPr>
          <w:sz w:val="26"/>
          <w:szCs w:val="26"/>
          <w:lang w:val="lv-LV"/>
        </w:rPr>
        <w:t xml:space="preserve">          </w:t>
      </w:r>
      <w:r w:rsidR="00827537" w:rsidRPr="00DF5A04">
        <w:rPr>
          <w:sz w:val="26"/>
          <w:szCs w:val="26"/>
          <w:lang w:val="lv-LV"/>
        </w:rPr>
        <w:t>A</w:t>
      </w:r>
      <w:r w:rsidRPr="00DF5A04">
        <w:rPr>
          <w:sz w:val="26"/>
          <w:szCs w:val="26"/>
          <w:lang w:val="lv-LV"/>
        </w:rPr>
        <w:t>.</w:t>
      </w:r>
      <w:r w:rsidR="00827537" w:rsidRPr="00DF5A04">
        <w:rPr>
          <w:sz w:val="26"/>
          <w:szCs w:val="26"/>
          <w:lang w:val="lv-LV"/>
        </w:rPr>
        <w:t>Pildegovičs</w:t>
      </w:r>
    </w:p>
    <w:p w:rsidR="007D55F9" w:rsidRPr="00DF5A04" w:rsidRDefault="007D55F9" w:rsidP="005C653D">
      <w:pPr>
        <w:tabs>
          <w:tab w:val="left" w:pos="1134"/>
          <w:tab w:val="left" w:pos="5670"/>
        </w:tabs>
        <w:jc w:val="both"/>
        <w:rPr>
          <w:sz w:val="26"/>
          <w:szCs w:val="26"/>
          <w:lang w:val="lv-LV"/>
        </w:rPr>
      </w:pPr>
    </w:p>
    <w:p w:rsidR="007D55F9" w:rsidRPr="00640211" w:rsidRDefault="007D55F9" w:rsidP="005C653D">
      <w:pPr>
        <w:pStyle w:val="naisf"/>
        <w:tabs>
          <w:tab w:val="left" w:pos="1134"/>
        </w:tabs>
        <w:spacing w:before="0" w:after="0"/>
        <w:ind w:firstLine="0"/>
        <w:rPr>
          <w:rFonts w:eastAsia="Calibri"/>
          <w:lang w:eastAsia="en-US"/>
        </w:rPr>
      </w:pPr>
    </w:p>
    <w:p w:rsidR="007D55F9" w:rsidRPr="00640211" w:rsidRDefault="007D55F9" w:rsidP="005C653D">
      <w:pPr>
        <w:pStyle w:val="naisf"/>
        <w:tabs>
          <w:tab w:val="left" w:pos="1134"/>
        </w:tabs>
        <w:spacing w:before="0" w:after="0"/>
        <w:ind w:firstLine="284"/>
        <w:rPr>
          <w:sz w:val="18"/>
          <w:szCs w:val="18"/>
          <w:shd w:val="clear" w:color="auto" w:fill="FFFF00"/>
        </w:rPr>
      </w:pPr>
    </w:p>
    <w:p w:rsidR="007D55F9" w:rsidRDefault="007D55F9" w:rsidP="005C653D">
      <w:pPr>
        <w:pStyle w:val="naisf"/>
        <w:tabs>
          <w:tab w:val="left" w:pos="1134"/>
        </w:tabs>
        <w:spacing w:before="0" w:after="0"/>
        <w:ind w:firstLine="284"/>
        <w:rPr>
          <w:sz w:val="18"/>
          <w:szCs w:val="18"/>
          <w:shd w:val="clear" w:color="auto" w:fill="FFFF00"/>
        </w:rPr>
      </w:pPr>
    </w:p>
    <w:p w:rsidR="009402EB" w:rsidRDefault="009402EB" w:rsidP="005C653D">
      <w:pPr>
        <w:pStyle w:val="naisf"/>
        <w:tabs>
          <w:tab w:val="left" w:pos="1134"/>
        </w:tabs>
        <w:spacing w:before="0" w:after="0"/>
        <w:ind w:firstLine="0"/>
        <w:rPr>
          <w:sz w:val="20"/>
          <w:szCs w:val="20"/>
        </w:rPr>
      </w:pPr>
    </w:p>
    <w:p w:rsidR="009402EB" w:rsidRDefault="009402EB" w:rsidP="005C653D">
      <w:pPr>
        <w:pStyle w:val="naisf"/>
        <w:tabs>
          <w:tab w:val="left" w:pos="1134"/>
        </w:tabs>
        <w:spacing w:before="0" w:after="0"/>
        <w:ind w:firstLine="0"/>
        <w:rPr>
          <w:sz w:val="20"/>
          <w:szCs w:val="20"/>
        </w:rPr>
      </w:pPr>
      <w:bookmarkStart w:id="2" w:name="_GoBack"/>
      <w:bookmarkEnd w:id="2"/>
    </w:p>
    <w:p w:rsidR="009402EB" w:rsidRDefault="009402EB" w:rsidP="005C653D">
      <w:pPr>
        <w:pStyle w:val="naisf"/>
        <w:tabs>
          <w:tab w:val="left" w:pos="1134"/>
        </w:tabs>
        <w:spacing w:before="0" w:after="0"/>
        <w:ind w:firstLine="0"/>
        <w:rPr>
          <w:sz w:val="20"/>
          <w:szCs w:val="20"/>
        </w:rPr>
      </w:pPr>
    </w:p>
    <w:p w:rsidR="00A347F7" w:rsidRDefault="00A347F7" w:rsidP="005C653D">
      <w:pPr>
        <w:pStyle w:val="naisf"/>
        <w:tabs>
          <w:tab w:val="left" w:pos="1134"/>
        </w:tabs>
        <w:spacing w:before="0" w:after="0"/>
        <w:ind w:firstLine="0"/>
        <w:rPr>
          <w:sz w:val="20"/>
          <w:szCs w:val="20"/>
        </w:rPr>
      </w:pPr>
    </w:p>
    <w:p w:rsidR="00574299" w:rsidRDefault="00574299" w:rsidP="005C653D">
      <w:pPr>
        <w:pStyle w:val="naisf"/>
        <w:tabs>
          <w:tab w:val="left" w:pos="1134"/>
        </w:tabs>
        <w:spacing w:before="0" w:after="0"/>
        <w:ind w:firstLine="0"/>
        <w:rPr>
          <w:sz w:val="20"/>
          <w:szCs w:val="20"/>
        </w:rPr>
      </w:pPr>
    </w:p>
    <w:p w:rsidR="00574299" w:rsidRDefault="00574299" w:rsidP="005C653D">
      <w:pPr>
        <w:pStyle w:val="naisf"/>
        <w:tabs>
          <w:tab w:val="left" w:pos="1134"/>
        </w:tabs>
        <w:spacing w:before="0" w:after="0"/>
        <w:ind w:firstLine="0"/>
        <w:rPr>
          <w:sz w:val="20"/>
          <w:szCs w:val="20"/>
        </w:rPr>
      </w:pPr>
    </w:p>
    <w:p w:rsidR="00574299" w:rsidRDefault="00574299" w:rsidP="005C653D">
      <w:pPr>
        <w:pStyle w:val="naisf"/>
        <w:tabs>
          <w:tab w:val="left" w:pos="1134"/>
        </w:tabs>
        <w:spacing w:before="0" w:after="0"/>
        <w:ind w:firstLine="0"/>
        <w:rPr>
          <w:sz w:val="20"/>
          <w:szCs w:val="20"/>
        </w:rPr>
      </w:pPr>
    </w:p>
    <w:p w:rsidR="00574299" w:rsidRDefault="00574299" w:rsidP="005C653D">
      <w:pPr>
        <w:pStyle w:val="naisf"/>
        <w:tabs>
          <w:tab w:val="left" w:pos="1134"/>
        </w:tabs>
        <w:spacing w:before="0" w:after="0"/>
        <w:ind w:firstLine="0"/>
        <w:rPr>
          <w:sz w:val="20"/>
          <w:szCs w:val="20"/>
        </w:rPr>
      </w:pPr>
    </w:p>
    <w:p w:rsidR="00574299" w:rsidRDefault="00574299" w:rsidP="005C653D">
      <w:pPr>
        <w:pStyle w:val="naisf"/>
        <w:tabs>
          <w:tab w:val="left" w:pos="1134"/>
        </w:tabs>
        <w:spacing w:before="0" w:after="0"/>
        <w:ind w:firstLine="0"/>
        <w:rPr>
          <w:sz w:val="20"/>
          <w:szCs w:val="20"/>
        </w:rPr>
      </w:pPr>
    </w:p>
    <w:p w:rsidR="00574299" w:rsidRDefault="00574299" w:rsidP="005C653D">
      <w:pPr>
        <w:pStyle w:val="naisf"/>
        <w:tabs>
          <w:tab w:val="left" w:pos="1134"/>
        </w:tabs>
        <w:spacing w:before="0" w:after="0"/>
        <w:ind w:firstLine="0"/>
        <w:rPr>
          <w:sz w:val="20"/>
          <w:szCs w:val="20"/>
        </w:rPr>
      </w:pPr>
    </w:p>
    <w:p w:rsidR="00574299" w:rsidRDefault="00574299" w:rsidP="005C653D">
      <w:pPr>
        <w:pStyle w:val="naisf"/>
        <w:tabs>
          <w:tab w:val="left" w:pos="1134"/>
        </w:tabs>
        <w:spacing w:before="0" w:after="0"/>
        <w:ind w:firstLine="0"/>
        <w:rPr>
          <w:sz w:val="20"/>
          <w:szCs w:val="20"/>
        </w:rPr>
      </w:pPr>
    </w:p>
    <w:p w:rsidR="00574299" w:rsidRDefault="00574299" w:rsidP="005C653D">
      <w:pPr>
        <w:pStyle w:val="naisf"/>
        <w:tabs>
          <w:tab w:val="left" w:pos="1134"/>
        </w:tabs>
        <w:spacing w:before="0" w:after="0"/>
        <w:ind w:firstLine="0"/>
        <w:rPr>
          <w:sz w:val="20"/>
          <w:szCs w:val="20"/>
        </w:rPr>
      </w:pPr>
    </w:p>
    <w:p w:rsidR="00574299" w:rsidRDefault="00574299" w:rsidP="005C653D">
      <w:pPr>
        <w:pStyle w:val="naisf"/>
        <w:tabs>
          <w:tab w:val="left" w:pos="1134"/>
        </w:tabs>
        <w:spacing w:before="0" w:after="0"/>
        <w:ind w:firstLine="0"/>
        <w:rPr>
          <w:sz w:val="20"/>
          <w:szCs w:val="20"/>
        </w:rPr>
      </w:pPr>
    </w:p>
    <w:p w:rsidR="00574299" w:rsidRDefault="00574299" w:rsidP="005C653D">
      <w:pPr>
        <w:pStyle w:val="naisf"/>
        <w:tabs>
          <w:tab w:val="left" w:pos="1134"/>
        </w:tabs>
        <w:spacing w:before="0" w:after="0"/>
        <w:ind w:firstLine="0"/>
        <w:rPr>
          <w:sz w:val="20"/>
          <w:szCs w:val="20"/>
        </w:rPr>
      </w:pPr>
    </w:p>
    <w:p w:rsidR="00574299" w:rsidRDefault="00574299" w:rsidP="005C653D">
      <w:pPr>
        <w:pStyle w:val="naisf"/>
        <w:tabs>
          <w:tab w:val="left" w:pos="1134"/>
        </w:tabs>
        <w:spacing w:before="0" w:after="0"/>
        <w:ind w:firstLine="0"/>
        <w:rPr>
          <w:sz w:val="20"/>
          <w:szCs w:val="20"/>
        </w:rPr>
      </w:pPr>
    </w:p>
    <w:p w:rsidR="00574299" w:rsidRDefault="00574299" w:rsidP="005C653D">
      <w:pPr>
        <w:pStyle w:val="naisf"/>
        <w:tabs>
          <w:tab w:val="left" w:pos="1134"/>
        </w:tabs>
        <w:spacing w:before="0" w:after="0"/>
        <w:ind w:firstLine="0"/>
        <w:rPr>
          <w:sz w:val="20"/>
          <w:szCs w:val="20"/>
        </w:rPr>
      </w:pPr>
    </w:p>
    <w:p w:rsidR="00574299" w:rsidRDefault="00574299" w:rsidP="005C653D">
      <w:pPr>
        <w:pStyle w:val="naisf"/>
        <w:tabs>
          <w:tab w:val="left" w:pos="1134"/>
        </w:tabs>
        <w:spacing w:before="0" w:after="0"/>
        <w:ind w:firstLine="0"/>
        <w:rPr>
          <w:sz w:val="20"/>
          <w:szCs w:val="20"/>
        </w:rPr>
      </w:pPr>
    </w:p>
    <w:p w:rsidR="00574299" w:rsidRDefault="00574299" w:rsidP="005C653D">
      <w:pPr>
        <w:pStyle w:val="naisf"/>
        <w:tabs>
          <w:tab w:val="left" w:pos="1134"/>
        </w:tabs>
        <w:spacing w:before="0" w:after="0"/>
        <w:ind w:firstLine="0"/>
        <w:rPr>
          <w:sz w:val="20"/>
          <w:szCs w:val="20"/>
        </w:rPr>
      </w:pPr>
    </w:p>
    <w:p w:rsidR="00574299" w:rsidRDefault="00574299" w:rsidP="005C653D">
      <w:pPr>
        <w:pStyle w:val="naisf"/>
        <w:tabs>
          <w:tab w:val="left" w:pos="1134"/>
        </w:tabs>
        <w:spacing w:before="0" w:after="0"/>
        <w:ind w:firstLine="0"/>
        <w:rPr>
          <w:sz w:val="20"/>
          <w:szCs w:val="20"/>
        </w:rPr>
      </w:pPr>
    </w:p>
    <w:p w:rsidR="00574299" w:rsidRDefault="00574299" w:rsidP="005C653D">
      <w:pPr>
        <w:pStyle w:val="naisf"/>
        <w:tabs>
          <w:tab w:val="left" w:pos="1134"/>
        </w:tabs>
        <w:spacing w:before="0" w:after="0"/>
        <w:ind w:firstLine="0"/>
        <w:rPr>
          <w:sz w:val="20"/>
          <w:szCs w:val="20"/>
        </w:rPr>
      </w:pPr>
    </w:p>
    <w:p w:rsidR="00574299" w:rsidRDefault="00574299" w:rsidP="005C653D">
      <w:pPr>
        <w:pStyle w:val="naisf"/>
        <w:tabs>
          <w:tab w:val="left" w:pos="1134"/>
        </w:tabs>
        <w:spacing w:before="0" w:after="0"/>
        <w:ind w:firstLine="0"/>
        <w:rPr>
          <w:sz w:val="20"/>
          <w:szCs w:val="20"/>
        </w:rPr>
      </w:pPr>
    </w:p>
    <w:p w:rsidR="00574299" w:rsidRDefault="00574299" w:rsidP="005C653D">
      <w:pPr>
        <w:pStyle w:val="naisf"/>
        <w:tabs>
          <w:tab w:val="left" w:pos="1134"/>
        </w:tabs>
        <w:spacing w:before="0" w:after="0"/>
        <w:ind w:firstLine="0"/>
        <w:rPr>
          <w:sz w:val="20"/>
          <w:szCs w:val="20"/>
        </w:rPr>
      </w:pPr>
    </w:p>
    <w:p w:rsidR="00574299" w:rsidRDefault="00574299" w:rsidP="005C653D">
      <w:pPr>
        <w:pStyle w:val="naisf"/>
        <w:tabs>
          <w:tab w:val="left" w:pos="1134"/>
        </w:tabs>
        <w:spacing w:before="0" w:after="0"/>
        <w:ind w:firstLine="0"/>
        <w:rPr>
          <w:sz w:val="20"/>
          <w:szCs w:val="20"/>
        </w:rPr>
      </w:pPr>
    </w:p>
    <w:p w:rsidR="00574299" w:rsidRDefault="00574299" w:rsidP="005C653D">
      <w:pPr>
        <w:pStyle w:val="naisf"/>
        <w:tabs>
          <w:tab w:val="left" w:pos="1134"/>
        </w:tabs>
        <w:spacing w:before="0" w:after="0"/>
        <w:ind w:firstLine="0"/>
        <w:rPr>
          <w:sz w:val="20"/>
          <w:szCs w:val="20"/>
        </w:rPr>
      </w:pPr>
    </w:p>
    <w:p w:rsidR="00574299" w:rsidRDefault="00574299" w:rsidP="005C653D">
      <w:pPr>
        <w:pStyle w:val="naisf"/>
        <w:tabs>
          <w:tab w:val="left" w:pos="1134"/>
        </w:tabs>
        <w:spacing w:before="0" w:after="0"/>
        <w:ind w:firstLine="0"/>
        <w:rPr>
          <w:sz w:val="20"/>
          <w:szCs w:val="20"/>
        </w:rPr>
      </w:pPr>
    </w:p>
    <w:p w:rsidR="00574299" w:rsidRDefault="00574299" w:rsidP="005C653D">
      <w:pPr>
        <w:pStyle w:val="naisf"/>
        <w:tabs>
          <w:tab w:val="left" w:pos="1134"/>
        </w:tabs>
        <w:spacing w:before="0" w:after="0"/>
        <w:ind w:firstLine="0"/>
        <w:rPr>
          <w:sz w:val="20"/>
          <w:szCs w:val="20"/>
        </w:rPr>
      </w:pPr>
    </w:p>
    <w:p w:rsidR="009402EB" w:rsidRDefault="009402EB" w:rsidP="005C653D">
      <w:pPr>
        <w:pStyle w:val="naisf"/>
        <w:tabs>
          <w:tab w:val="left" w:pos="1134"/>
        </w:tabs>
        <w:spacing w:before="0" w:after="0"/>
        <w:ind w:firstLine="0"/>
        <w:rPr>
          <w:sz w:val="20"/>
          <w:szCs w:val="20"/>
        </w:rPr>
      </w:pPr>
    </w:p>
    <w:p w:rsidR="007D55F9" w:rsidRPr="001D5996" w:rsidRDefault="005E6323" w:rsidP="005C653D">
      <w:pPr>
        <w:pStyle w:val="naisf"/>
        <w:tabs>
          <w:tab w:val="left" w:pos="1134"/>
        </w:tabs>
        <w:spacing w:before="0" w:after="0"/>
        <w:ind w:firstLine="0"/>
        <w:rPr>
          <w:sz w:val="18"/>
          <w:szCs w:val="20"/>
        </w:rPr>
      </w:pPr>
      <w:r w:rsidRPr="001D5996">
        <w:rPr>
          <w:sz w:val="18"/>
          <w:szCs w:val="20"/>
        </w:rPr>
        <w:t>E</w:t>
      </w:r>
      <w:r w:rsidR="00574299" w:rsidRPr="001D5996">
        <w:rPr>
          <w:sz w:val="18"/>
          <w:szCs w:val="20"/>
        </w:rPr>
        <w:t xml:space="preserve">. </w:t>
      </w:r>
      <w:r w:rsidRPr="001D5996">
        <w:rPr>
          <w:sz w:val="18"/>
          <w:szCs w:val="20"/>
        </w:rPr>
        <w:t>Bračiņa</w:t>
      </w:r>
      <w:r w:rsidR="00B002D5" w:rsidRPr="001D5996">
        <w:rPr>
          <w:sz w:val="18"/>
          <w:szCs w:val="20"/>
        </w:rPr>
        <w:t>, 67016337</w:t>
      </w:r>
    </w:p>
    <w:p w:rsidR="007D55F9" w:rsidRPr="001D5996" w:rsidRDefault="003D730A">
      <w:pPr>
        <w:tabs>
          <w:tab w:val="left" w:pos="1134"/>
        </w:tabs>
        <w:rPr>
          <w:sz w:val="22"/>
          <w:lang w:val="lv-LV"/>
        </w:rPr>
      </w:pPr>
      <w:hyperlink r:id="rId8" w:history="1">
        <w:r w:rsidR="005E6323" w:rsidRPr="001D5996">
          <w:rPr>
            <w:rStyle w:val="Hyperlink"/>
            <w:sz w:val="18"/>
            <w:szCs w:val="20"/>
            <w:lang w:val="lv-LV"/>
          </w:rPr>
          <w:t>elina.bracina@mfa.gov.lv</w:t>
        </w:r>
      </w:hyperlink>
    </w:p>
    <w:sectPr w:rsidR="007D55F9" w:rsidRPr="001D5996" w:rsidSect="00216A8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0A" w:rsidRDefault="003D730A">
      <w:r>
        <w:separator/>
      </w:r>
    </w:p>
  </w:endnote>
  <w:endnote w:type="continuationSeparator" w:id="0">
    <w:p w:rsidR="003D730A" w:rsidRDefault="003D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IKDIMP+Arial">
    <w:charset w:val="00"/>
    <w:family w:val="swiss"/>
    <w:pitch w:val="default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259" w:rsidRDefault="00A57259" w:rsidP="00A57259">
    <w:r>
      <w:rPr>
        <w:sz w:val="20"/>
        <w:szCs w:val="20"/>
        <w:lang w:val="lv-LV"/>
      </w:rPr>
      <w:t>AMZino_</w:t>
    </w:r>
    <w:r w:rsidR="00C44E09">
      <w:rPr>
        <w:sz w:val="20"/>
        <w:szCs w:val="20"/>
        <w:lang w:val="lv-LV"/>
      </w:rPr>
      <w:t>16</w:t>
    </w:r>
    <w:r w:rsidR="00787225">
      <w:rPr>
        <w:sz w:val="20"/>
        <w:szCs w:val="20"/>
        <w:lang w:val="lv-LV"/>
      </w:rPr>
      <w:t>07</w:t>
    </w:r>
    <w:r>
      <w:rPr>
        <w:sz w:val="20"/>
        <w:szCs w:val="20"/>
        <w:lang w:val="lv-LV"/>
      </w:rPr>
      <w:t>2018_EP; Informatīv</w:t>
    </w:r>
    <w:r w:rsidR="00574299">
      <w:rPr>
        <w:sz w:val="20"/>
        <w:szCs w:val="20"/>
        <w:lang w:val="lv-LV"/>
      </w:rPr>
      <w:t>ais</w:t>
    </w:r>
    <w:r>
      <w:rPr>
        <w:sz w:val="20"/>
        <w:szCs w:val="20"/>
        <w:lang w:val="lv-LV"/>
      </w:rPr>
      <w:t xml:space="preserve">  ziņojum</w:t>
    </w:r>
    <w:r w:rsidR="00574299">
      <w:rPr>
        <w:sz w:val="20"/>
        <w:szCs w:val="20"/>
        <w:lang w:val="lv-LV"/>
      </w:rPr>
      <w:t>s</w:t>
    </w:r>
    <w:r>
      <w:rPr>
        <w:sz w:val="20"/>
        <w:szCs w:val="20"/>
        <w:lang w:val="lv-LV"/>
      </w:rPr>
      <w:t xml:space="preserve"> </w:t>
    </w:r>
    <w:r w:rsidRPr="00A57259">
      <w:rPr>
        <w:sz w:val="20"/>
        <w:szCs w:val="20"/>
        <w:lang w:val="lv-LV"/>
      </w:rPr>
      <w:t>“Par līdzekļu novirzīšanu brīvprātīgajām iemaksām Eiropas Padomes “Rīcības plānā Gruzijai 2016. - 2019. gadam””</w:t>
    </w:r>
  </w:p>
  <w:p w:rsidR="00E14942" w:rsidRDefault="003D730A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4A7" w:rsidRDefault="00A57259" w:rsidP="005D34A7">
    <w:r>
      <w:rPr>
        <w:sz w:val="20"/>
        <w:szCs w:val="20"/>
        <w:lang w:val="lv-LV"/>
      </w:rPr>
      <w:t>AMZino_</w:t>
    </w:r>
    <w:r w:rsidR="00C44E09">
      <w:rPr>
        <w:sz w:val="20"/>
        <w:szCs w:val="20"/>
        <w:lang w:val="lv-LV"/>
      </w:rPr>
      <w:t>16</w:t>
    </w:r>
    <w:r w:rsidR="00787225">
      <w:rPr>
        <w:sz w:val="20"/>
        <w:szCs w:val="20"/>
        <w:lang w:val="lv-LV"/>
      </w:rPr>
      <w:t>07</w:t>
    </w:r>
    <w:r w:rsidR="005D34A7">
      <w:rPr>
        <w:sz w:val="20"/>
        <w:szCs w:val="20"/>
        <w:lang w:val="lv-LV"/>
      </w:rPr>
      <w:t>201</w:t>
    </w:r>
    <w:r>
      <w:rPr>
        <w:sz w:val="20"/>
        <w:szCs w:val="20"/>
        <w:lang w:val="lv-LV"/>
      </w:rPr>
      <w:t>8</w:t>
    </w:r>
    <w:r w:rsidR="005D34A7">
      <w:rPr>
        <w:sz w:val="20"/>
        <w:szCs w:val="20"/>
        <w:lang w:val="lv-LV"/>
      </w:rPr>
      <w:t>_EP; Informatīv</w:t>
    </w:r>
    <w:r w:rsidR="00574299">
      <w:rPr>
        <w:sz w:val="20"/>
        <w:szCs w:val="20"/>
        <w:lang w:val="lv-LV"/>
      </w:rPr>
      <w:t>ais</w:t>
    </w:r>
    <w:r w:rsidR="005D34A7">
      <w:rPr>
        <w:sz w:val="20"/>
        <w:szCs w:val="20"/>
        <w:lang w:val="lv-LV"/>
      </w:rPr>
      <w:t xml:space="preserve">  ziņojum</w:t>
    </w:r>
    <w:r w:rsidR="00574299">
      <w:rPr>
        <w:sz w:val="20"/>
        <w:szCs w:val="20"/>
        <w:lang w:val="lv-LV"/>
      </w:rPr>
      <w:t>s</w:t>
    </w:r>
    <w:r w:rsidR="005D34A7">
      <w:rPr>
        <w:sz w:val="20"/>
        <w:szCs w:val="20"/>
        <w:lang w:val="lv-LV"/>
      </w:rPr>
      <w:t xml:space="preserve"> </w:t>
    </w:r>
    <w:r w:rsidRPr="00A57259">
      <w:rPr>
        <w:sz w:val="20"/>
        <w:szCs w:val="20"/>
        <w:lang w:val="lv-LV"/>
      </w:rPr>
      <w:t>“Par līdzekļu novirzīšanu brīvprātīgajām iemaksām Eiropas Padomes “Rīcības plānā Gruzijai 2016. - 2019. gadam””</w:t>
    </w:r>
  </w:p>
  <w:p w:rsidR="00E14942" w:rsidRDefault="003D730A">
    <w:pPr>
      <w:pStyle w:val="Footer"/>
      <w:jc w:val="center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0A" w:rsidRDefault="003D730A">
      <w:r>
        <w:rPr>
          <w:color w:val="000000"/>
        </w:rPr>
        <w:separator/>
      </w:r>
    </w:p>
  </w:footnote>
  <w:footnote w:type="continuationSeparator" w:id="0">
    <w:p w:rsidR="003D730A" w:rsidRDefault="003D730A">
      <w:r>
        <w:continuationSeparator/>
      </w:r>
    </w:p>
  </w:footnote>
  <w:footnote w:id="1">
    <w:p w:rsidR="00827537" w:rsidRPr="00144602" w:rsidRDefault="00B002D5" w:rsidP="005C653D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 w:rsidR="00A57259">
        <w:rPr>
          <w:lang w:val="lv-LV"/>
        </w:rPr>
        <w:t xml:space="preserve">Pieejams: </w:t>
      </w:r>
      <w:hyperlink r:id="rId1" w:history="1">
        <w:r w:rsidR="00A57259" w:rsidRPr="00E83A4D">
          <w:rPr>
            <w:rStyle w:val="Hyperlink"/>
            <w:lang w:val="lv-LV"/>
          </w:rPr>
          <w:t>https://rm.coe.int/1680642886</w:t>
        </w:r>
      </w:hyperlink>
      <w:r w:rsidR="00A57259">
        <w:rPr>
          <w:lang w:val="lv-LV"/>
        </w:rPr>
        <w:t xml:space="preserve"> </w:t>
      </w:r>
      <w:r>
        <w:rPr>
          <w:lang w:val="lv-LV"/>
        </w:rPr>
        <w:t xml:space="preserve"> </w:t>
      </w:r>
    </w:p>
  </w:footnote>
  <w:footnote w:id="2">
    <w:p w:rsidR="007D55F9" w:rsidRPr="00C94696" w:rsidRDefault="00B002D5" w:rsidP="005C653D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 w:rsidR="00C94696">
        <w:rPr>
          <w:lang w:val="lv-LV"/>
        </w:rPr>
        <w:t xml:space="preserve">Tai skaitā no Eiropas Padomes un Eiropas Savienības Austrumu </w:t>
      </w:r>
      <w:r w:rsidR="00B7567B">
        <w:rPr>
          <w:lang w:val="lv-LV"/>
        </w:rPr>
        <w:t>p</w:t>
      </w:r>
      <w:r w:rsidR="00C94696">
        <w:rPr>
          <w:lang w:val="lv-LV"/>
        </w:rPr>
        <w:t>artnerības sadarbības programmas (</w:t>
      </w:r>
      <w:proofErr w:type="spellStart"/>
      <w:r w:rsidR="00C94696">
        <w:rPr>
          <w:rFonts w:eastAsia="Times New Roman"/>
          <w:i/>
          <w:lang w:val="lv-LV" w:eastAsia="en-US"/>
        </w:rPr>
        <w:t>Programmatic</w:t>
      </w:r>
      <w:proofErr w:type="spellEnd"/>
      <w:r w:rsidR="00C94696">
        <w:rPr>
          <w:rFonts w:eastAsia="Times New Roman"/>
          <w:i/>
          <w:lang w:val="lv-LV" w:eastAsia="en-US"/>
        </w:rPr>
        <w:t xml:space="preserve"> Co-</w:t>
      </w:r>
      <w:proofErr w:type="spellStart"/>
      <w:r w:rsidR="00C94696">
        <w:rPr>
          <w:rFonts w:eastAsia="Times New Roman"/>
          <w:i/>
          <w:lang w:val="lv-LV" w:eastAsia="en-US"/>
        </w:rPr>
        <w:t>operation</w:t>
      </w:r>
      <w:proofErr w:type="spellEnd"/>
      <w:r w:rsidR="00C94696">
        <w:rPr>
          <w:rFonts w:eastAsia="Times New Roman"/>
          <w:i/>
          <w:lang w:val="lv-LV" w:eastAsia="en-US"/>
        </w:rPr>
        <w:t xml:space="preserve"> </w:t>
      </w:r>
      <w:proofErr w:type="spellStart"/>
      <w:r w:rsidR="00C94696">
        <w:rPr>
          <w:rFonts w:eastAsia="Times New Roman"/>
          <w:i/>
          <w:lang w:val="lv-LV" w:eastAsia="en-US"/>
        </w:rPr>
        <w:t>Framework</w:t>
      </w:r>
      <w:proofErr w:type="spellEnd"/>
      <w:r w:rsidR="00C94696">
        <w:rPr>
          <w:rFonts w:eastAsia="Times New Roman"/>
          <w:i/>
          <w:lang w:val="lv-LV" w:eastAsia="en-US"/>
        </w:rPr>
        <w:t xml:space="preserve"> 2015 – 2017 (PCF)</w:t>
      </w:r>
      <w:r w:rsidR="00C94696" w:rsidRPr="00307482">
        <w:rPr>
          <w:rFonts w:eastAsia="Times New Roman"/>
          <w:i/>
          <w:lang w:val="lv-LV" w:eastAsia="en-US"/>
        </w:rPr>
        <w:t>)</w:t>
      </w:r>
      <w:r w:rsidR="00C94696">
        <w:rPr>
          <w:rFonts w:eastAsia="Times New Roman"/>
          <w:lang w:val="lv-LV" w:eastAsia="en-US"/>
        </w:rPr>
        <w:t xml:space="preserve"> budžeta.</w:t>
      </w:r>
    </w:p>
    <w:p w:rsidR="00827537" w:rsidRPr="00C94696" w:rsidRDefault="00827537" w:rsidP="00827537">
      <w:pPr>
        <w:pStyle w:val="FootnoteText"/>
        <w:ind w:left="567"/>
        <w:jc w:val="both"/>
        <w:rPr>
          <w:lang w:val="lv-LV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942" w:rsidRDefault="00B002D5">
    <w:pPr>
      <w:pStyle w:val="Header"/>
      <w:jc w:val="right"/>
    </w:pPr>
    <w:r>
      <w:fldChar w:fldCharType="begin"/>
    </w:r>
    <w:r>
      <w:instrText xml:space="preserve"> PAGE </w:instrText>
    </w:r>
    <w:r>
      <w:fldChar w:fldCharType="separate"/>
    </w:r>
    <w:r w:rsidR="00D1418B">
      <w:rPr>
        <w:noProof/>
      </w:rPr>
      <w:t>2</w:t>
    </w:r>
    <w:r>
      <w:fldChar w:fldCharType="end"/>
    </w:r>
  </w:p>
  <w:p w:rsidR="00E14942" w:rsidRDefault="003D7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942" w:rsidRDefault="003D730A">
    <w:pPr>
      <w:pStyle w:val="Header"/>
      <w:jc w:val="center"/>
    </w:pPr>
  </w:p>
  <w:p w:rsidR="00E14942" w:rsidRDefault="003D7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30D2"/>
    <w:multiLevelType w:val="multilevel"/>
    <w:tmpl w:val="5B7ADFD6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68251A"/>
    <w:multiLevelType w:val="multilevel"/>
    <w:tmpl w:val="3EA6C200"/>
    <w:styleLink w:val="LFO5"/>
    <w:lvl w:ilvl="0">
      <w:numFmt w:val="bullet"/>
      <w:pStyle w:val="ListDash"/>
      <w:lvlText w:val="–"/>
      <w:lvlJc w:val="left"/>
      <w:pPr>
        <w:ind w:left="283" w:hanging="283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9B31540"/>
    <w:multiLevelType w:val="multilevel"/>
    <w:tmpl w:val="D91800E4"/>
    <w:styleLink w:val="LFO12"/>
    <w:lvl w:ilvl="0">
      <w:numFmt w:val="bullet"/>
      <w:pStyle w:val="List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7EFC4F9F"/>
    <w:multiLevelType w:val="multilevel"/>
    <w:tmpl w:val="94B2010E"/>
    <w:styleLink w:val="LFO11"/>
    <w:lvl w:ilvl="0">
      <w:start w:val="1"/>
      <w:numFmt w:val="decimal"/>
      <w:pStyle w:val="COEParagraphn"/>
      <w:lvlText w:val="%1."/>
      <w:lvlJc w:val="left"/>
      <w:rPr>
        <w:rFonts w:ascii="Times New Roman" w:hAnsi="Times New Roman" w:cs="Times New Roman"/>
        <w:b w:val="0"/>
        <w:i/>
        <w:strike w:val="0"/>
        <w:dstrike w:val="0"/>
        <w:color w:val="auto"/>
        <w:sz w:val="24"/>
        <w:szCs w:val="24"/>
        <w:u w:val="none"/>
        <w:lang w:val="lv-LV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F9"/>
    <w:rsid w:val="00007B1B"/>
    <w:rsid w:val="00077ABF"/>
    <w:rsid w:val="000A5484"/>
    <w:rsid w:val="000B447F"/>
    <w:rsid w:val="00144602"/>
    <w:rsid w:val="00182E3E"/>
    <w:rsid w:val="0019630A"/>
    <w:rsid w:val="001D5996"/>
    <w:rsid w:val="00202BD3"/>
    <w:rsid w:val="00216A8F"/>
    <w:rsid w:val="00242680"/>
    <w:rsid w:val="00307482"/>
    <w:rsid w:val="00307EC2"/>
    <w:rsid w:val="00335163"/>
    <w:rsid w:val="003369B2"/>
    <w:rsid w:val="00347A0A"/>
    <w:rsid w:val="003D730A"/>
    <w:rsid w:val="003F4C5D"/>
    <w:rsid w:val="004075C4"/>
    <w:rsid w:val="00415417"/>
    <w:rsid w:val="00423BDA"/>
    <w:rsid w:val="0048465D"/>
    <w:rsid w:val="005315F1"/>
    <w:rsid w:val="0054745D"/>
    <w:rsid w:val="00574299"/>
    <w:rsid w:val="0059151E"/>
    <w:rsid w:val="005C653D"/>
    <w:rsid w:val="005D34A7"/>
    <w:rsid w:val="005D445B"/>
    <w:rsid w:val="005D5F0D"/>
    <w:rsid w:val="005E4FA1"/>
    <w:rsid w:val="005E6323"/>
    <w:rsid w:val="00603CEF"/>
    <w:rsid w:val="00607D3F"/>
    <w:rsid w:val="006337D6"/>
    <w:rsid w:val="00640211"/>
    <w:rsid w:val="00662D5A"/>
    <w:rsid w:val="00682699"/>
    <w:rsid w:val="006A3FCA"/>
    <w:rsid w:val="006D5483"/>
    <w:rsid w:val="006E5EED"/>
    <w:rsid w:val="006F7BB6"/>
    <w:rsid w:val="007858B4"/>
    <w:rsid w:val="00787225"/>
    <w:rsid w:val="007A2C4A"/>
    <w:rsid w:val="007C0266"/>
    <w:rsid w:val="007D55F9"/>
    <w:rsid w:val="007E7B3F"/>
    <w:rsid w:val="00827537"/>
    <w:rsid w:val="00891D07"/>
    <w:rsid w:val="008F1696"/>
    <w:rsid w:val="009402EB"/>
    <w:rsid w:val="0095283A"/>
    <w:rsid w:val="009C023F"/>
    <w:rsid w:val="009E02DF"/>
    <w:rsid w:val="00A347F7"/>
    <w:rsid w:val="00A57259"/>
    <w:rsid w:val="00AA50B9"/>
    <w:rsid w:val="00AE0DA2"/>
    <w:rsid w:val="00AF4B56"/>
    <w:rsid w:val="00AF7B5D"/>
    <w:rsid w:val="00B002D5"/>
    <w:rsid w:val="00B054D7"/>
    <w:rsid w:val="00B125C3"/>
    <w:rsid w:val="00B7567B"/>
    <w:rsid w:val="00B834EC"/>
    <w:rsid w:val="00C377AC"/>
    <w:rsid w:val="00C44E09"/>
    <w:rsid w:val="00C70580"/>
    <w:rsid w:val="00C94696"/>
    <w:rsid w:val="00CA5581"/>
    <w:rsid w:val="00CD1E9A"/>
    <w:rsid w:val="00CD545E"/>
    <w:rsid w:val="00D1418B"/>
    <w:rsid w:val="00D644D6"/>
    <w:rsid w:val="00D8545D"/>
    <w:rsid w:val="00D86E22"/>
    <w:rsid w:val="00DD0F22"/>
    <w:rsid w:val="00DF5A04"/>
    <w:rsid w:val="00E00ACD"/>
    <w:rsid w:val="00E41E2A"/>
    <w:rsid w:val="00E57C99"/>
    <w:rsid w:val="00E96F7F"/>
    <w:rsid w:val="00EA4EA3"/>
    <w:rsid w:val="00EB6E40"/>
    <w:rsid w:val="00EF780E"/>
    <w:rsid w:val="00F31F86"/>
    <w:rsid w:val="00F908A2"/>
    <w:rsid w:val="00F90C32"/>
    <w:rsid w:val="00FC5C24"/>
    <w:rsid w:val="00FC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AC5AF"/>
  <w15:docId w15:val="{30916E03-E4C2-41AA-A3EE-F4AF3056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basedOn w:val="DefaultParagraphFont"/>
    <w:rPr>
      <w:rFonts w:ascii="Arial" w:eastAsia="Calibri" w:hAnsi="Arial" w:cs="Times New Roman"/>
      <w:b/>
      <w:bCs/>
      <w:i/>
      <w:iCs/>
      <w:sz w:val="28"/>
      <w:szCs w:val="28"/>
      <w:lang w:eastAsia="lv-LV"/>
    </w:rPr>
  </w:style>
  <w:style w:type="character" w:styleId="Strong">
    <w:name w:val="Strong"/>
    <w:basedOn w:val="DefaultParagraphFont"/>
    <w:rPr>
      <w:rFonts w:ascii="Times New Roman" w:hAnsi="Times New Roman" w:cs="Times New Roman"/>
      <w:b/>
    </w:rPr>
  </w:style>
  <w:style w:type="paragraph" w:styleId="BodyText">
    <w:name w:val="Body Text"/>
    <w:basedOn w:val="Normal"/>
    <w:pPr>
      <w:widowControl w:val="0"/>
      <w:jc w:val="both"/>
    </w:pPr>
    <w:rPr>
      <w:rFonts w:eastAsia="Calibri"/>
      <w:szCs w:val="20"/>
      <w:lang w:val="lv-LV" w:eastAsia="lv-LV"/>
    </w:rPr>
  </w:style>
  <w:style w:type="character" w:customStyle="1" w:styleId="BodyTextChar">
    <w:name w:val="Body Text Char"/>
    <w:basedOn w:val="DefaultParagraphFont"/>
    <w:rPr>
      <w:rFonts w:ascii="Times New Roman" w:eastAsia="Calibri" w:hAnsi="Times New Roman" w:cs="Times New Roman"/>
      <w:sz w:val="24"/>
      <w:szCs w:val="20"/>
      <w:lang w:eastAsia="lv-LV"/>
    </w:rPr>
  </w:style>
  <w:style w:type="paragraph" w:styleId="BodyTextIndent">
    <w:name w:val="Body Text Indent"/>
    <w:basedOn w:val="Normal"/>
    <w:pPr>
      <w:ind w:firstLine="720"/>
      <w:jc w:val="both"/>
    </w:pPr>
    <w:rPr>
      <w:rFonts w:eastAsia="Calibri"/>
      <w:sz w:val="26"/>
      <w:szCs w:val="26"/>
      <w:lang w:val="lv-LV" w:eastAsia="lv-LV"/>
    </w:rPr>
  </w:style>
  <w:style w:type="character" w:customStyle="1" w:styleId="BodyTextIndentChar">
    <w:name w:val="Body Text Indent Char"/>
    <w:basedOn w:val="DefaultParagraphFont"/>
    <w:rPr>
      <w:rFonts w:ascii="Times New Roman" w:eastAsia="Calibri" w:hAnsi="Times New Roman" w:cs="Times New Roman"/>
      <w:sz w:val="26"/>
      <w:szCs w:val="26"/>
      <w:lang w:eastAsia="lv-LV"/>
    </w:rPr>
  </w:style>
  <w:style w:type="paragraph" w:styleId="NormalWeb">
    <w:name w:val="Normal (Web)"/>
    <w:basedOn w:val="Normal"/>
    <w:pPr>
      <w:spacing w:before="100" w:after="100"/>
    </w:pPr>
    <w:rPr>
      <w:color w:val="000000"/>
      <w:lang w:val="en-US"/>
    </w:rPr>
  </w:style>
  <w:style w:type="character" w:styleId="FootnoteReference">
    <w:name w:val="footnote reference"/>
    <w:basedOn w:val="DefaultParagraphFont"/>
    <w:rPr>
      <w:rFonts w:cs="Times New Roman"/>
      <w:position w:val="0"/>
      <w:vertAlign w:val="superscript"/>
    </w:rPr>
  </w:style>
  <w:style w:type="paragraph" w:styleId="BodyText3">
    <w:name w:val="Body Text 3"/>
    <w:basedOn w:val="Normal"/>
    <w:pPr>
      <w:widowControl w:val="0"/>
      <w:jc w:val="both"/>
    </w:pPr>
    <w:rPr>
      <w:rFonts w:eastAsia="Calibri"/>
      <w:i/>
      <w:iCs/>
      <w:szCs w:val="20"/>
      <w:lang w:val="lv-LV" w:eastAsia="lv-LV"/>
    </w:rPr>
  </w:style>
  <w:style w:type="character" w:customStyle="1" w:styleId="BodyText3Char">
    <w:name w:val="Body Text 3 Char"/>
    <w:basedOn w:val="DefaultParagraphFont"/>
    <w:rPr>
      <w:rFonts w:ascii="Times New Roman" w:eastAsia="Calibri" w:hAnsi="Times New Roman" w:cs="Times New Roman"/>
      <w:i/>
      <w:iCs/>
      <w:sz w:val="24"/>
      <w:szCs w:val="20"/>
      <w:lang w:eastAsia="lv-LV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FootnoteText">
    <w:name w:val="footnote text"/>
    <w:basedOn w:val="Normal"/>
    <w:rPr>
      <w:rFonts w:eastAsia="Calibri"/>
      <w:sz w:val="20"/>
      <w:szCs w:val="20"/>
      <w:lang w:val="en-US" w:eastAsia="lv-LV"/>
    </w:rPr>
  </w:style>
  <w:style w:type="character" w:customStyle="1" w:styleId="FootnoteTextChar">
    <w:name w:val="Footnote Text Char"/>
    <w:basedOn w:val="DefaultParagraphFont"/>
    <w:rPr>
      <w:rFonts w:ascii="Times New Roman" w:eastAsia="Calibri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rFonts w:cs="Times New Roman"/>
      <w:sz w:val="16"/>
    </w:rPr>
  </w:style>
  <w:style w:type="paragraph" w:styleId="CommentText">
    <w:name w:val="annotation text"/>
    <w:basedOn w:val="Normal"/>
    <w:rPr>
      <w:rFonts w:eastAsia="Calibri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rPr>
      <w:rFonts w:ascii="Times New Roman" w:eastAsia="Calibri" w:hAnsi="Times New Roman" w:cs="Times New Roman"/>
      <w:sz w:val="20"/>
      <w:szCs w:val="20"/>
      <w:lang w:val="en-GB" w:eastAsia="lv-LV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IKDIMP+Arial" w:hAnsi="IKDIMP+Arial" w:cs="IKDIMP+Arial"/>
      <w:color w:val="000000"/>
      <w:sz w:val="24"/>
      <w:szCs w:val="24"/>
    </w:rPr>
  </w:style>
  <w:style w:type="character" w:customStyle="1" w:styleId="Bodytext0">
    <w:name w:val="Body text_"/>
    <w:rPr>
      <w:rFonts w:ascii="Arial" w:hAnsi="Arial"/>
      <w:sz w:val="21"/>
      <w:shd w:val="clear" w:color="auto" w:fill="FFFFFF"/>
    </w:rPr>
  </w:style>
  <w:style w:type="paragraph" w:customStyle="1" w:styleId="BodyText1">
    <w:name w:val="Body Text1"/>
    <w:basedOn w:val="Normal"/>
    <w:pPr>
      <w:shd w:val="clear" w:color="auto" w:fill="FFFFFF"/>
      <w:spacing w:before="180" w:after="180" w:line="227" w:lineRule="exact"/>
      <w:ind w:hanging="340"/>
      <w:jc w:val="both"/>
    </w:pPr>
    <w:rPr>
      <w:rFonts w:ascii="Arial" w:eastAsia="Calibri" w:hAnsi="Arial"/>
      <w:sz w:val="21"/>
      <w:szCs w:val="22"/>
      <w:lang w:val="lv-LV"/>
    </w:rPr>
  </w:style>
  <w:style w:type="paragraph" w:customStyle="1" w:styleId="Pa14">
    <w:name w:val="Pa14"/>
    <w:basedOn w:val="Default"/>
    <w:next w:val="Default"/>
    <w:pPr>
      <w:spacing w:line="241" w:lineRule="atLeast"/>
    </w:pPr>
    <w:rPr>
      <w:rFonts w:ascii="Century Gothic" w:eastAsia="Times New Roman" w:hAnsi="Century Gothic" w:cs="Times New Roman"/>
      <w:color w:val="auto"/>
      <w:lang w:eastAsia="lv-LV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val="en-GB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lang w:val="lv-LV" w:eastAsia="lv-LV"/>
    </w:rPr>
  </w:style>
  <w:style w:type="paragraph" w:styleId="Title">
    <w:name w:val="Title"/>
    <w:basedOn w:val="Normal"/>
    <w:pPr>
      <w:jc w:val="center"/>
    </w:pPr>
    <w:rPr>
      <w:rFonts w:eastAsia="Calibri"/>
      <w:b/>
      <w:sz w:val="28"/>
      <w:szCs w:val="20"/>
      <w:lang w:val="lv-LV" w:eastAsia="lv-LV"/>
    </w:rPr>
  </w:style>
  <w:style w:type="character" w:customStyle="1" w:styleId="TitleChar">
    <w:name w:val="Title Char"/>
    <w:basedOn w:val="DefaultParagraphFont"/>
    <w:rPr>
      <w:rFonts w:ascii="Times New Roman" w:eastAsia="Calibri" w:hAnsi="Times New Roman" w:cs="Times New Roman"/>
      <w:b/>
      <w:sz w:val="28"/>
      <w:szCs w:val="20"/>
      <w:lang w:eastAsia="lv-LV"/>
    </w:rPr>
  </w:style>
  <w:style w:type="paragraph" w:customStyle="1" w:styleId="BodyText21">
    <w:name w:val="Body Text 21"/>
    <w:basedOn w:val="Normal"/>
    <w:pPr>
      <w:overflowPunct w:val="0"/>
      <w:autoSpaceDE w:val="0"/>
      <w:ind w:firstLine="360"/>
      <w:jc w:val="both"/>
    </w:pPr>
    <w:rPr>
      <w:sz w:val="28"/>
      <w:szCs w:val="20"/>
      <w:lang w:val="lv-LV" w:eastAsia="lv-LV"/>
    </w:rPr>
  </w:style>
  <w:style w:type="paragraph" w:customStyle="1" w:styleId="ListDash">
    <w:name w:val="List Dash"/>
    <w:basedOn w:val="Normal"/>
    <w:pPr>
      <w:numPr>
        <w:numId w:val="1"/>
      </w:numPr>
      <w:tabs>
        <w:tab w:val="left" w:pos="-1904"/>
      </w:tabs>
      <w:spacing w:after="240"/>
      <w:jc w:val="both"/>
    </w:pPr>
    <w:rPr>
      <w:lang w:val="lv-LV" w:eastAsia="lv-LV"/>
    </w:rPr>
  </w:style>
  <w:style w:type="paragraph" w:customStyle="1" w:styleId="c13">
    <w:name w:val="c13"/>
    <w:basedOn w:val="Normal"/>
    <w:pPr>
      <w:spacing w:before="100" w:after="100"/>
    </w:pPr>
    <w:rPr>
      <w:lang w:val="lv-LV" w:eastAsia="lv-LV"/>
    </w:rPr>
  </w:style>
  <w:style w:type="character" w:customStyle="1" w:styleId="A2">
    <w:name w:val="A2"/>
    <w:rPr>
      <w:color w:val="000000"/>
      <w:sz w:val="20"/>
    </w:rPr>
  </w:style>
  <w:style w:type="paragraph" w:styleId="Subtitle">
    <w:name w:val="Subtitle"/>
    <w:basedOn w:val="Normal"/>
    <w:next w:val="BodyText"/>
    <w:pPr>
      <w:jc w:val="both"/>
    </w:pPr>
    <w:rPr>
      <w:rFonts w:eastAsia="Calibri" w:cs="Calibri"/>
      <w:lang w:eastAsia="ar-SA"/>
    </w:rPr>
  </w:style>
  <w:style w:type="character" w:customStyle="1" w:styleId="SubtitleChar">
    <w:name w:val="Subtitle Char"/>
    <w:basedOn w:val="DefaultParagraphFont"/>
    <w:rPr>
      <w:rFonts w:ascii="Times New Roman" w:eastAsia="Calibri" w:hAnsi="Times New Roman" w:cs="Calibri"/>
      <w:sz w:val="24"/>
      <w:szCs w:val="24"/>
      <w:lang w:val="en-GB" w:eastAsia="ar-SA"/>
    </w:rPr>
  </w:style>
  <w:style w:type="character" w:customStyle="1" w:styleId="st1">
    <w:name w:val="st1"/>
  </w:style>
  <w:style w:type="paragraph" w:styleId="PlainText">
    <w:name w:val="Plain Text"/>
    <w:basedOn w:val="Normal"/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basedOn w:val="DefaultParagraphFont"/>
    <w:rPr>
      <w:rFonts w:ascii="Calibri" w:eastAsia="Calibri" w:hAnsi="Calibri" w:cs="Times New Roman"/>
      <w:szCs w:val="21"/>
    </w:rPr>
  </w:style>
  <w:style w:type="paragraph" w:customStyle="1" w:styleId="c08dispositif">
    <w:name w:val="c08dispositif"/>
    <w:basedOn w:val="Normal"/>
    <w:pPr>
      <w:spacing w:before="100" w:after="100"/>
    </w:pPr>
    <w:rPr>
      <w:lang w:val="lv-LV" w:eastAsia="lv-LV"/>
    </w:rPr>
  </w:style>
  <w:style w:type="paragraph" w:customStyle="1" w:styleId="paragrb6b">
    <w:name w:val="paragr_b6b"/>
    <w:basedOn w:val="Normal"/>
    <w:pPr>
      <w:spacing w:before="120"/>
      <w:jc w:val="both"/>
    </w:pPr>
    <w:rPr>
      <w:rFonts w:ascii="RimTimes" w:hAnsi="RimTimes"/>
      <w:b/>
      <w:szCs w:val="20"/>
    </w:rPr>
  </w:style>
  <w:style w:type="paragraph" w:customStyle="1" w:styleId="Body">
    <w:name w:val="Body"/>
    <w:pPr>
      <w:suppressAutoHyphens/>
      <w:spacing w:after="0" w:line="240" w:lineRule="auto"/>
    </w:pPr>
    <w:rPr>
      <w:rFonts w:ascii="Helvetica" w:hAnsi="Helvetica"/>
      <w:color w:val="000000"/>
      <w:sz w:val="24"/>
      <w:szCs w:val="24"/>
      <w:lang w:eastAsia="lv-LV"/>
    </w:rPr>
  </w:style>
  <w:style w:type="character" w:customStyle="1" w:styleId="hps">
    <w:name w:val="hps"/>
    <w:basedOn w:val="DefaultParagraphFont"/>
    <w:rPr>
      <w:rFonts w:cs="Times New Roman"/>
    </w:rPr>
  </w:style>
  <w:style w:type="paragraph" w:styleId="NoSpacing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agree">
    <w:name w:val="agree"/>
    <w:basedOn w:val="Normal"/>
    <w:pPr>
      <w:spacing w:before="60" w:after="60"/>
    </w:pPr>
    <w:rPr>
      <w:lang w:val="lv-LV" w:eastAsia="lv-LV"/>
    </w:rPr>
  </w:style>
  <w:style w:type="paragraph" w:styleId="CommentSubject">
    <w:name w:val="annotation subject"/>
    <w:basedOn w:val="CommentText"/>
    <w:next w:val="CommentText"/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 w:cs="Times New Roman"/>
      <w:b/>
      <w:bCs/>
      <w:sz w:val="20"/>
      <w:szCs w:val="20"/>
      <w:lang w:val="en-GB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yiv837579763737354913-18012012">
    <w:name w:val="yiv837579763737354913-18012012"/>
    <w:basedOn w:val="DefaultParagraphFont"/>
    <w:rPr>
      <w:rFonts w:cs="Times New Roman"/>
    </w:rPr>
  </w:style>
  <w:style w:type="character" w:styleId="FollowedHyperlink">
    <w:name w:val="FollowedHyperlink"/>
    <w:basedOn w:val="DefaultParagraphFont"/>
    <w:rPr>
      <w:rFonts w:cs="Times New Roman"/>
      <w:color w:val="800080"/>
      <w:u w:val="single"/>
    </w:rPr>
  </w:style>
  <w:style w:type="paragraph" w:styleId="TOCHeading">
    <w:name w:val="TOC Heading"/>
    <w:basedOn w:val="Heading1"/>
    <w:next w:val="Normal"/>
    <w:pPr>
      <w:spacing w:line="276" w:lineRule="auto"/>
    </w:pPr>
    <w:rPr>
      <w:lang w:val="en-US" w:eastAsia="ja-JP"/>
    </w:rPr>
  </w:style>
  <w:style w:type="paragraph" w:styleId="TOC2">
    <w:name w:val="toc 2"/>
    <w:basedOn w:val="Normal"/>
    <w:next w:val="Normal"/>
    <w:autoRedefine/>
    <w:pPr>
      <w:spacing w:after="100" w:line="276" w:lineRule="auto"/>
      <w:ind w:left="220"/>
    </w:pPr>
    <w:rPr>
      <w:rFonts w:ascii="Calibri" w:hAnsi="Calibr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pPr>
      <w:spacing w:after="100" w:line="276" w:lineRule="auto"/>
    </w:pPr>
    <w:rPr>
      <w:rFonts w:ascii="Calibri" w:hAnsi="Calibr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pPr>
      <w:spacing w:after="100" w:line="276" w:lineRule="auto"/>
      <w:ind w:left="440"/>
    </w:pPr>
    <w:rPr>
      <w:rFonts w:ascii="Calibri" w:hAnsi="Calibri"/>
      <w:sz w:val="22"/>
      <w:szCs w:val="22"/>
      <w:lang w:val="en-US" w:eastAsia="ja-JP"/>
    </w:rPr>
  </w:style>
  <w:style w:type="character" w:customStyle="1" w:styleId="msoins0">
    <w:name w:val="msoins"/>
    <w:basedOn w:val="DefaultParagraphFont"/>
  </w:style>
  <w:style w:type="character" w:customStyle="1" w:styleId="COEParagraphnChar">
    <w:name w:val="COE_Paragraph_n Char"/>
    <w:basedOn w:val="DefaultParagraphFont"/>
    <w:rPr>
      <w:sz w:val="24"/>
      <w:szCs w:val="24"/>
      <w:lang w:val="en-GB" w:eastAsia="fr-FR"/>
    </w:rPr>
  </w:style>
  <w:style w:type="paragraph" w:customStyle="1" w:styleId="COEParagraphn">
    <w:name w:val="COE_Paragraph_n"/>
    <w:basedOn w:val="Normal"/>
    <w:next w:val="Normal"/>
    <w:pPr>
      <w:numPr>
        <w:numId w:val="2"/>
      </w:numPr>
      <w:tabs>
        <w:tab w:val="left" w:pos="627"/>
        <w:tab w:val="left" w:pos="684"/>
        <w:tab w:val="left" w:pos="947"/>
      </w:tabs>
      <w:spacing w:before="120" w:after="120"/>
      <w:jc w:val="both"/>
    </w:pPr>
    <w:rPr>
      <w:rFonts w:ascii="Calibri" w:eastAsia="Calibri" w:hAnsi="Calibri"/>
      <w:lang w:eastAsia="fr-FR"/>
    </w:rPr>
  </w:style>
  <w:style w:type="paragraph" w:customStyle="1" w:styleId="Normalline">
    <w:name w:val="Normal line"/>
    <w:basedOn w:val="Normal"/>
    <w:pPr>
      <w:tabs>
        <w:tab w:val="right" w:leader="underscore" w:pos="9072"/>
      </w:tabs>
      <w:spacing w:after="240" w:line="276" w:lineRule="auto"/>
      <w:jc w:val="both"/>
    </w:pPr>
    <w:rPr>
      <w:rFonts w:eastAsia="Calibri"/>
      <w:sz w:val="22"/>
      <w:szCs w:val="22"/>
    </w:rPr>
  </w:style>
  <w:style w:type="paragraph" w:customStyle="1" w:styleId="CharCharCharChar">
    <w:name w:val="Char Char Char Char"/>
    <w:basedOn w:val="Normal"/>
    <w:next w:val="Normal"/>
    <w:pPr>
      <w:spacing w:after="160" w:line="240" w:lineRule="exact"/>
      <w:jc w:val="both"/>
    </w:pPr>
    <w:rPr>
      <w:rFonts w:ascii="Calibri" w:eastAsia="Calibri" w:hAnsi="Calibri"/>
      <w:sz w:val="22"/>
      <w:szCs w:val="22"/>
      <w:vertAlign w:val="superscript"/>
      <w:lang w:val="lv-LV"/>
    </w:rPr>
  </w:style>
  <w:style w:type="paragraph" w:styleId="ListBullet">
    <w:name w:val="List Bullet"/>
    <w:basedOn w:val="Normal"/>
    <w:pPr>
      <w:numPr>
        <w:numId w:val="3"/>
      </w:numPr>
      <w:spacing w:after="240"/>
      <w:jc w:val="both"/>
    </w:pPr>
    <w:rPr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st">
    <w:name w:val="st"/>
    <w:basedOn w:val="DefaultParagraphFont"/>
    <w:rPr>
      <w:rFonts w:cs="Times New Roman"/>
    </w:rPr>
  </w:style>
  <w:style w:type="paragraph" w:customStyle="1" w:styleId="COEHeading4">
    <w:name w:val="COE_Heading4"/>
    <w:basedOn w:val="Normal"/>
    <w:next w:val="Normal"/>
    <w:pPr>
      <w:keepNext/>
      <w:keepLines/>
      <w:spacing w:before="120" w:after="120"/>
      <w:jc w:val="both"/>
    </w:pPr>
    <w:rPr>
      <w:i/>
      <w:iCs/>
      <w:lang w:val="en-US" w:eastAsia="fr-FR"/>
    </w:rPr>
  </w:style>
  <w:style w:type="character" w:customStyle="1" w:styleId="COEHeading4Char">
    <w:name w:val="COE_Heading4 Char"/>
    <w:basedOn w:val="DefaultParagraphFont"/>
    <w:rPr>
      <w:rFonts w:ascii="Times New Roman" w:eastAsia="Times New Roman" w:hAnsi="Times New Roman" w:cs="Times New Roman"/>
      <w:i/>
      <w:iCs/>
      <w:sz w:val="24"/>
      <w:szCs w:val="24"/>
      <w:lang w:val="en-US" w:eastAsia="fr-FR"/>
    </w:rPr>
  </w:style>
  <w:style w:type="paragraph" w:customStyle="1" w:styleId="tv2132">
    <w:name w:val="tv2132"/>
    <w:basedOn w:val="Normal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ListParagraphChar">
    <w:name w:val="List Paragraph Char"/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LFO5">
    <w:name w:val="LFO5"/>
    <w:basedOn w:val="NoList"/>
    <w:pPr>
      <w:numPr>
        <w:numId w:val="1"/>
      </w:numPr>
    </w:pPr>
  </w:style>
  <w:style w:type="numbering" w:customStyle="1" w:styleId="LFO11">
    <w:name w:val="LFO11"/>
    <w:basedOn w:val="NoList"/>
    <w:pPr>
      <w:numPr>
        <w:numId w:val="2"/>
      </w:numPr>
    </w:pPr>
  </w:style>
  <w:style w:type="numbering" w:customStyle="1" w:styleId="LFO12">
    <w:name w:val="LFO12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bracina@mfa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m.coe.int/1680642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0791-9F4B-472E-ADA3-C6E6C0FB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2323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Bracina</dc:creator>
  <cp:lastModifiedBy>Elina Bracina</cp:lastModifiedBy>
  <cp:revision>3</cp:revision>
  <cp:lastPrinted>2018-06-06T11:48:00Z</cp:lastPrinted>
  <dcterms:created xsi:type="dcterms:W3CDTF">2018-07-16T08:38:00Z</dcterms:created>
  <dcterms:modified xsi:type="dcterms:W3CDTF">2018-07-16T09:49:00Z</dcterms:modified>
</cp:coreProperties>
</file>