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A312E" w:rsidP="009A312E" w14:paraId="593DF8E2" w14:textId="69734C86">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sidR="00894D2B">
        <w:rPr>
          <w:rFonts w:ascii="Times New Roman" w:eastAsia="Times New Roman" w:hAnsi="Times New Roman"/>
          <w:b/>
          <w:sz w:val="24"/>
          <w:szCs w:val="24"/>
          <w:lang w:eastAsia="lv-LV"/>
        </w:rPr>
        <w:t>"</w:t>
      </w:r>
      <w:r w:rsidRPr="00894D2B" w:rsidR="00894D2B">
        <w:rPr>
          <w:rFonts w:ascii="Times New Roman" w:eastAsia="Times New Roman" w:hAnsi="Times New Roman"/>
          <w:b/>
          <w:sz w:val="24"/>
          <w:szCs w:val="24"/>
          <w:lang w:eastAsia="lv-LV"/>
        </w:rPr>
        <w:t xml:space="preserve">Grozījumi Ministru kabineta </w:t>
      </w:r>
      <w:r w:rsidRPr="00894D2B" w:rsidR="00505345">
        <w:rPr>
          <w:rFonts w:ascii="Times New Roman" w:eastAsia="Times New Roman" w:hAnsi="Times New Roman"/>
          <w:b/>
          <w:sz w:val="24"/>
          <w:szCs w:val="24"/>
          <w:lang w:eastAsia="lv-LV"/>
        </w:rPr>
        <w:t>201</w:t>
      </w:r>
      <w:r w:rsidR="00505345">
        <w:rPr>
          <w:rFonts w:ascii="Times New Roman" w:eastAsia="Times New Roman" w:hAnsi="Times New Roman"/>
          <w:b/>
          <w:sz w:val="24"/>
          <w:szCs w:val="24"/>
          <w:lang w:eastAsia="lv-LV"/>
        </w:rPr>
        <w:t>8</w:t>
      </w:r>
      <w:r w:rsidRPr="00894D2B" w:rsidR="00894D2B">
        <w:rPr>
          <w:rFonts w:ascii="Times New Roman" w:eastAsia="Times New Roman" w:hAnsi="Times New Roman"/>
          <w:b/>
          <w:sz w:val="24"/>
          <w:szCs w:val="24"/>
          <w:lang w:eastAsia="lv-LV"/>
        </w:rPr>
        <w:t>. gad</w:t>
      </w:r>
      <w:r w:rsidR="00894D2B">
        <w:rPr>
          <w:rFonts w:ascii="Times New Roman" w:eastAsia="Times New Roman" w:hAnsi="Times New Roman"/>
          <w:b/>
          <w:sz w:val="24"/>
          <w:szCs w:val="24"/>
          <w:lang w:eastAsia="lv-LV"/>
        </w:rPr>
        <w:t>a 4. janvāra noteikumos Nr. 13 "</w:t>
      </w:r>
      <w:r w:rsidRPr="00894D2B" w:rsidR="00894D2B">
        <w:rPr>
          <w:rFonts w:ascii="Times New Roman" w:eastAsia="Times New Roman" w:hAnsi="Times New Roman"/>
          <w:b/>
          <w:sz w:val="24"/>
          <w:szCs w:val="24"/>
          <w:lang w:eastAsia="lv-LV"/>
        </w:rPr>
        <w:t xml:space="preserve">Darbības programmas </w:t>
      </w:r>
      <w:r w:rsidR="00894D2B">
        <w:rPr>
          <w:rFonts w:ascii="Times New Roman" w:eastAsia="Times New Roman" w:hAnsi="Times New Roman"/>
          <w:b/>
          <w:sz w:val="24"/>
          <w:szCs w:val="24"/>
          <w:lang w:eastAsia="lv-LV"/>
        </w:rPr>
        <w:t>"</w:t>
      </w:r>
      <w:r w:rsidRPr="00894D2B" w:rsidR="00894D2B">
        <w:rPr>
          <w:rFonts w:ascii="Times New Roman" w:eastAsia="Times New Roman" w:hAnsi="Times New Roman"/>
          <w:b/>
          <w:sz w:val="24"/>
          <w:szCs w:val="24"/>
          <w:lang w:eastAsia="lv-LV"/>
        </w:rPr>
        <w:t>Izaugsme un nodarbinātība</w:t>
      </w:r>
      <w:r w:rsidR="00894D2B">
        <w:rPr>
          <w:rFonts w:ascii="Times New Roman" w:eastAsia="Times New Roman" w:hAnsi="Times New Roman"/>
          <w:b/>
          <w:sz w:val="24"/>
          <w:szCs w:val="24"/>
          <w:lang w:eastAsia="lv-LV"/>
        </w:rPr>
        <w:t>"</w:t>
      </w:r>
      <w:r w:rsidRPr="00894D2B" w:rsidR="00894D2B">
        <w:rPr>
          <w:rFonts w:ascii="Times New Roman" w:eastAsia="Times New Roman" w:hAnsi="Times New Roman"/>
          <w:b/>
          <w:sz w:val="24"/>
          <w:szCs w:val="24"/>
          <w:lang w:eastAsia="lv-LV"/>
        </w:rPr>
        <w:t xml:space="preserve"> 4.</w:t>
      </w:r>
      <w:r w:rsidR="00894D2B">
        <w:rPr>
          <w:rFonts w:ascii="Times New Roman" w:eastAsia="Times New Roman" w:hAnsi="Times New Roman"/>
          <w:b/>
          <w:sz w:val="24"/>
          <w:szCs w:val="24"/>
          <w:lang w:eastAsia="lv-LV"/>
        </w:rPr>
        <w:t>2.1. specifiskā atbalsta mērķa "</w:t>
      </w:r>
      <w:r w:rsidRPr="00894D2B" w:rsidR="00894D2B">
        <w:rPr>
          <w:rFonts w:ascii="Times New Roman" w:eastAsia="Times New Roman" w:hAnsi="Times New Roman"/>
          <w:b/>
          <w:sz w:val="24"/>
          <w:szCs w:val="24"/>
          <w:lang w:eastAsia="lv-LV"/>
        </w:rPr>
        <w:t>Veicināt energoefektivitātes paaugstin</w:t>
      </w:r>
      <w:r w:rsidR="00894D2B">
        <w:rPr>
          <w:rFonts w:ascii="Times New Roman" w:eastAsia="Times New Roman" w:hAnsi="Times New Roman"/>
          <w:b/>
          <w:sz w:val="24"/>
          <w:szCs w:val="24"/>
          <w:lang w:eastAsia="lv-LV"/>
        </w:rPr>
        <w:t>āšanu valsts un dzīvojamās ēkās" 4.2.1.2. pasākuma "</w:t>
      </w:r>
      <w:r w:rsidRPr="00894D2B" w:rsidR="00894D2B">
        <w:rPr>
          <w:rFonts w:ascii="Times New Roman" w:eastAsia="Times New Roman" w:hAnsi="Times New Roman"/>
          <w:b/>
          <w:sz w:val="24"/>
          <w:szCs w:val="24"/>
          <w:lang w:eastAsia="lv-LV"/>
        </w:rPr>
        <w:t xml:space="preserve">Veicināt energoefektivitātes paaugstināšanu valsts ēkās” otrās projektu iesniegumu atlases kārtas īstenošanas </w:t>
      </w:r>
      <w:r w:rsidR="00894D2B">
        <w:rPr>
          <w:rFonts w:ascii="Times New Roman" w:eastAsia="Times New Roman" w:hAnsi="Times New Roman"/>
          <w:b/>
          <w:sz w:val="24"/>
          <w:szCs w:val="24"/>
          <w:lang w:eastAsia="lv-LV"/>
        </w:rPr>
        <w:t>noteikumi""</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rsidR="009A312E" w:rsidP="009A312E" w14:paraId="3981DC74" w14:textId="3346D93F">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14:paraId="05BD48CA" w14:textId="77777777" w:rsidTr="00E85BF0">
        <w:tblPrEx>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Ex>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B6430E" w:rsidRPr="008B78B2" w:rsidP="00E85BF0" w14:paraId="7977D898" w14:textId="4CCD942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14:paraId="3EB3020E" w14:textId="77777777" w:rsidTr="00E85BF0">
        <w:tblPrEx>
          <w:tblW w:w="9356" w:type="dxa"/>
          <w:tblInd w:w="-537" w:type="dxa"/>
          <w:tblCellMar>
            <w:left w:w="0" w:type="dxa"/>
            <w:right w:w="0" w:type="dxa"/>
          </w:tblCellMar>
          <w:tblLook w:val="04A0"/>
        </w:tblPrEx>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B6430E" w:rsidRPr="008B78B2" w:rsidP="00E85BF0" w14:paraId="499E33BD" w14:textId="72A937C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D85523" w:rsidP="00E85BF0" w14:paraId="48CB2281" w14:textId="77777777">
            <w:pPr>
              <w:spacing w:after="0" w:line="240" w:lineRule="auto"/>
              <w:ind w:left="72"/>
              <w:jc w:val="both"/>
              <w:rPr>
                <w:rFonts w:ascii="Times New Roman" w:hAnsi="Times New Roman"/>
                <w:sz w:val="24"/>
                <w:szCs w:val="24"/>
              </w:rPr>
            </w:pPr>
            <w:r>
              <w:rPr>
                <w:rFonts w:ascii="Times New Roman" w:hAnsi="Times New Roman"/>
                <w:sz w:val="24"/>
                <w:szCs w:val="24"/>
              </w:rPr>
              <w:t xml:space="preserve">Projekta mērķis ir veikt grozījumus Ministru kabineta 2018.gada 4.janvāra </w:t>
            </w:r>
            <w:r>
              <w:rPr>
                <w:rFonts w:ascii="Times New Roman" w:hAnsi="Times New Roman"/>
                <w:sz w:val="24"/>
                <w:szCs w:val="24"/>
              </w:rPr>
              <w:t>noteikumos Nr.13:</w:t>
            </w:r>
          </w:p>
          <w:p w:rsidR="0073369E" w:rsidP="0073369E" w14:paraId="2E4BF429" w14:textId="6275418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palielinot projektu īstenošanai pieejamā finansējuma apjomu;</w:t>
            </w:r>
          </w:p>
          <w:p w:rsidR="0073369E" w:rsidRPr="0073369E" w:rsidP="0073369E" w14:paraId="229490A2" w14:textId="36FBB2ED">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papild</w:t>
            </w:r>
            <w:r w:rsidR="00FD7112">
              <w:rPr>
                <w:rFonts w:ascii="Times New Roman" w:hAnsi="Times New Roman"/>
                <w:sz w:val="24"/>
                <w:szCs w:val="24"/>
              </w:rPr>
              <w:t>in</w:t>
            </w:r>
            <w:r w:rsidRPr="00D85523">
              <w:rPr>
                <w:rFonts w:ascii="Times New Roman" w:hAnsi="Times New Roman"/>
                <w:sz w:val="24"/>
                <w:szCs w:val="24"/>
              </w:rPr>
              <w:t>ot 4.2.1.2.pasākuma “Veicināt energoefektivitātes paaugstināšanu valsts ēkās”</w:t>
            </w:r>
            <w:r w:rsidR="00057209">
              <w:rPr>
                <w:rFonts w:ascii="Times New Roman" w:hAnsi="Times New Roman"/>
                <w:sz w:val="24"/>
                <w:szCs w:val="24"/>
              </w:rPr>
              <w:t xml:space="preserve"> otrās projektu iesniegumu atlases kārtas</w:t>
            </w:r>
            <w:r w:rsidRPr="00D85523">
              <w:rPr>
                <w:rFonts w:ascii="Times New Roman" w:hAnsi="Times New Roman"/>
                <w:sz w:val="24"/>
                <w:szCs w:val="24"/>
              </w:rPr>
              <w:t xml:space="preserve"> (turpmāk – 4.2.1.2.pasākum</w:t>
            </w:r>
            <w:r w:rsidR="00057209">
              <w:rPr>
                <w:rFonts w:ascii="Times New Roman" w:hAnsi="Times New Roman"/>
                <w:sz w:val="24"/>
                <w:szCs w:val="24"/>
              </w:rPr>
              <w:t>a otrā kārta</w:t>
            </w:r>
            <w:r w:rsidRPr="00D85523">
              <w:rPr>
                <w:rFonts w:ascii="Times New Roman" w:hAnsi="Times New Roman"/>
                <w:sz w:val="24"/>
                <w:szCs w:val="24"/>
              </w:rPr>
              <w:t>)</w:t>
            </w:r>
            <w:r w:rsidRPr="00D85523" w:rsidR="00D85523">
              <w:rPr>
                <w:rFonts w:ascii="Times New Roman" w:hAnsi="Times New Roman"/>
                <w:sz w:val="24"/>
                <w:szCs w:val="24"/>
              </w:rPr>
              <w:t xml:space="preserve"> </w:t>
            </w:r>
            <w:r w:rsidRPr="00D85523">
              <w:rPr>
                <w:rFonts w:ascii="Times New Roman" w:hAnsi="Times New Roman"/>
                <w:sz w:val="24"/>
                <w:szCs w:val="24"/>
              </w:rPr>
              <w:t>ietvaros atja</w:t>
            </w:r>
            <w:r w:rsidRPr="00D85523" w:rsidR="00D85523">
              <w:rPr>
                <w:rFonts w:ascii="Times New Roman" w:hAnsi="Times New Roman"/>
                <w:sz w:val="24"/>
                <w:szCs w:val="24"/>
              </w:rPr>
              <w:t>unojamo ēku sarak</w:t>
            </w:r>
            <w:r w:rsidR="00FD7112">
              <w:rPr>
                <w:rFonts w:ascii="Times New Roman" w:hAnsi="Times New Roman"/>
                <w:sz w:val="24"/>
                <w:szCs w:val="24"/>
              </w:rPr>
              <w:t>s</w:t>
            </w:r>
            <w:r w:rsidRPr="00D85523" w:rsidR="00D85523">
              <w:rPr>
                <w:rFonts w:ascii="Times New Roman" w:hAnsi="Times New Roman"/>
                <w:sz w:val="24"/>
                <w:szCs w:val="24"/>
              </w:rPr>
              <w:t>tu;</w:t>
            </w:r>
          </w:p>
          <w:p w:rsidR="00D85523" w:rsidRPr="00D85523" w:rsidP="00D85523" w14:paraId="40C832B7" w14:textId="77777777">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 xml:space="preserve">mazinot administratīvo slogu 4.2.1.2.pasākuma īstenošanā </w:t>
            </w:r>
            <w:r w:rsidRPr="00D85523">
              <w:rPr>
                <w:rFonts w:ascii="Times New Roman" w:hAnsi="Times New Roman"/>
                <w:sz w:val="24"/>
                <w:szCs w:val="24"/>
              </w:rPr>
              <w:t>iesaistītajām pusēm;</w:t>
            </w:r>
          </w:p>
          <w:p w:rsidR="00B6430E" w:rsidP="00D85523" w14:paraId="6BED8862" w14:textId="77777777">
            <w:pPr>
              <w:pStyle w:val="ListParagraph"/>
              <w:numPr>
                <w:ilvl w:val="0"/>
                <w:numId w:val="7"/>
              </w:numPr>
              <w:spacing w:after="0" w:line="240" w:lineRule="auto"/>
              <w:jc w:val="both"/>
              <w:rPr>
                <w:rFonts w:ascii="Times New Roman" w:hAnsi="Times New Roman"/>
                <w:sz w:val="24"/>
                <w:szCs w:val="24"/>
              </w:rPr>
            </w:pPr>
            <w:r w:rsidRPr="00D85523">
              <w:rPr>
                <w:rFonts w:ascii="Times New Roman" w:hAnsi="Times New Roman"/>
                <w:sz w:val="24"/>
                <w:szCs w:val="24"/>
              </w:rPr>
              <w:t>atvieglojot līguma par projekta īstenošanu, kas noslēgts ar Centrālo finanšu un līgumu aģentūru grozījumu kārtību</w:t>
            </w:r>
            <w:r w:rsidR="00D85523">
              <w:rPr>
                <w:rFonts w:ascii="Times New Roman" w:hAnsi="Times New Roman"/>
                <w:sz w:val="24"/>
                <w:szCs w:val="24"/>
              </w:rPr>
              <w:t>;</w:t>
            </w:r>
          </w:p>
          <w:p w:rsidR="00D85523" w:rsidP="00D85523" w14:paraId="06AAE9F6" w14:textId="7C0D422D">
            <w:pPr>
              <w:spacing w:after="0" w:line="240" w:lineRule="auto"/>
              <w:jc w:val="both"/>
              <w:rPr>
                <w:rFonts w:ascii="Times New Roman" w:hAnsi="Times New Roman"/>
                <w:sz w:val="24"/>
                <w:szCs w:val="24"/>
              </w:rPr>
            </w:pPr>
            <w:r>
              <w:rPr>
                <w:rFonts w:ascii="Times New Roman" w:hAnsi="Times New Roman"/>
                <w:sz w:val="24"/>
                <w:szCs w:val="24"/>
              </w:rPr>
              <w:t>Grozījumu mērķis ir veicināt 4.2.1.2.pasākuma ietvaros pieejamā finansējuma apguvi un projektu īstenošanu</w:t>
            </w:r>
            <w:r w:rsidR="0073369E">
              <w:rPr>
                <w:rFonts w:ascii="Times New Roman" w:hAnsi="Times New Roman"/>
                <w:sz w:val="24"/>
                <w:szCs w:val="24"/>
              </w:rPr>
              <w:t xml:space="preserve"> </w:t>
            </w:r>
            <w:r>
              <w:rPr>
                <w:rFonts w:ascii="Times New Roman" w:hAnsi="Times New Roman"/>
                <w:sz w:val="24"/>
                <w:szCs w:val="24"/>
              </w:rPr>
              <w:t>2018.gada būvniecības sezonā.</w:t>
            </w:r>
          </w:p>
          <w:p w:rsidR="00D85523" w:rsidRPr="00D85523" w:rsidP="00D85523" w14:paraId="5533C901" w14:textId="710C08AF">
            <w:pPr>
              <w:spacing w:after="0" w:line="240" w:lineRule="auto"/>
              <w:jc w:val="both"/>
              <w:rPr>
                <w:rFonts w:ascii="Times New Roman" w:hAnsi="Times New Roman"/>
                <w:sz w:val="24"/>
                <w:szCs w:val="24"/>
              </w:rPr>
            </w:pPr>
            <w:r>
              <w:rPr>
                <w:rFonts w:ascii="Times New Roman" w:hAnsi="Times New Roman"/>
                <w:sz w:val="24"/>
                <w:szCs w:val="24"/>
              </w:rPr>
              <w:t xml:space="preserve">Vēlamais grozījumu </w:t>
            </w:r>
            <w:r w:rsidR="0073369E">
              <w:rPr>
                <w:rFonts w:ascii="Times New Roman" w:hAnsi="Times New Roman"/>
                <w:sz w:val="24"/>
                <w:szCs w:val="24"/>
              </w:rPr>
              <w:t xml:space="preserve">spēkā </w:t>
            </w:r>
            <w:r>
              <w:rPr>
                <w:rFonts w:ascii="Times New Roman" w:hAnsi="Times New Roman"/>
                <w:sz w:val="24"/>
                <w:szCs w:val="24"/>
              </w:rPr>
              <w:t>stāšanās laiks ir 2018.ga</w:t>
            </w:r>
            <w:r w:rsidR="00671CDC">
              <w:rPr>
                <w:rFonts w:ascii="Times New Roman" w:hAnsi="Times New Roman"/>
                <w:sz w:val="24"/>
                <w:szCs w:val="24"/>
              </w:rPr>
              <w:t>d</w:t>
            </w:r>
            <w:r>
              <w:rPr>
                <w:rFonts w:ascii="Times New Roman" w:hAnsi="Times New Roman"/>
                <w:sz w:val="24"/>
                <w:szCs w:val="24"/>
              </w:rPr>
              <w:t>a jū</w:t>
            </w:r>
            <w:r w:rsidR="0052696C">
              <w:rPr>
                <w:rFonts w:ascii="Times New Roman" w:hAnsi="Times New Roman"/>
                <w:sz w:val="24"/>
                <w:szCs w:val="24"/>
              </w:rPr>
              <w:t>lijs</w:t>
            </w:r>
            <w:r>
              <w:rPr>
                <w:rFonts w:ascii="Times New Roman" w:hAnsi="Times New Roman"/>
                <w:sz w:val="24"/>
                <w:szCs w:val="24"/>
              </w:rPr>
              <w:t>.</w:t>
            </w:r>
          </w:p>
        </w:tc>
      </w:tr>
    </w:tbl>
    <w:p w:rsidR="00B6430E" w:rsidRPr="000028E2" w:rsidP="00D85523" w14:paraId="11E7A3E5" w14:textId="3F571C02">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
      <w:tblGrid>
        <w:gridCol w:w="2703"/>
        <w:gridCol w:w="6653"/>
      </w:tblGrid>
      <w:tr w14:paraId="1D03D1D7" w14:textId="77777777" w:rsidTr="00E85BF0">
        <w:tblPrEx>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tblPrEx>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A312E" w:rsidRPr="008B78B2" w:rsidP="00E85BF0" w14:paraId="45F32CA0" w14:textId="69769722">
            <w:pPr>
              <w:spacing w:after="0"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sidR="005630E5">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14:paraId="30C2187F" w14:textId="77777777" w:rsidTr="00E85BF0">
        <w:tblPrEx>
          <w:tblW w:w="9356" w:type="dxa"/>
          <w:tblInd w:w="-537" w:type="dxa"/>
          <w:tblCellMar>
            <w:left w:w="0" w:type="dxa"/>
            <w:right w:w="0" w:type="dxa"/>
          </w:tblCellMar>
          <w:tblLook w:val="04A0"/>
        </w:tblPrEx>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3695E52C"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 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6A30B4" w14:paraId="2F858813" w14:textId="6B1898EC">
            <w:pPr>
              <w:spacing w:after="0" w:line="240" w:lineRule="auto"/>
              <w:ind w:left="72"/>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w:t>
            </w:r>
            <w:r w:rsidR="005630E5">
              <w:rPr>
                <w:rFonts w:ascii="Times New Roman" w:hAnsi="Times New Roman"/>
                <w:sz w:val="24"/>
                <w:szCs w:val="24"/>
              </w:rPr>
              <w:t>punkts</w:t>
            </w:r>
            <w:r w:rsidRPr="008B78B2">
              <w:rPr>
                <w:rFonts w:ascii="Times New Roman" w:hAnsi="Times New Roman"/>
                <w:sz w:val="24"/>
                <w:szCs w:val="24"/>
              </w:rPr>
              <w:t>.</w:t>
            </w:r>
          </w:p>
        </w:tc>
      </w:tr>
      <w:tr w14:paraId="4870D352" w14:textId="77777777" w:rsidTr="00E85BF0">
        <w:tblPrEx>
          <w:tblW w:w="9356" w:type="dxa"/>
          <w:tblInd w:w="-537" w:type="dxa"/>
          <w:tblCellMar>
            <w:left w:w="0" w:type="dxa"/>
            <w:right w:w="0" w:type="dxa"/>
          </w:tblCellMar>
          <w:tblLook w:val="04A0"/>
        </w:tblPrEx>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P="00E85BF0" w14:paraId="21328094"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 Pašreizējā situācija un problēmas, kuru risināšanai tiesību akta projekts izstrādāts, tiesiskā regulējuma mērķis un būtība</w:t>
            </w:r>
          </w:p>
          <w:p w:rsidR="009A312E" w:rsidRPr="00274E36" w:rsidP="00E85BF0" w14:paraId="297B6956" w14:textId="77777777">
            <w:pPr>
              <w:rPr>
                <w:rFonts w:ascii="Times New Roman" w:eastAsia="Times New Roman" w:hAnsi="Times New Roman"/>
                <w:sz w:val="24"/>
                <w:szCs w:val="24"/>
                <w:lang w:eastAsia="lv-LV"/>
              </w:rPr>
            </w:pPr>
          </w:p>
          <w:p w:rsidR="009A312E" w:rsidRPr="00274E36" w:rsidP="00E85BF0" w14:paraId="7E84CB39" w14:textId="77777777">
            <w:pPr>
              <w:rPr>
                <w:rFonts w:ascii="Times New Roman" w:eastAsia="Times New Roman" w:hAnsi="Times New Roman"/>
                <w:sz w:val="24"/>
                <w:szCs w:val="24"/>
                <w:lang w:eastAsia="lv-LV"/>
              </w:rPr>
            </w:pPr>
          </w:p>
          <w:p w:rsidR="009A312E" w:rsidRPr="00274E36" w:rsidP="00E85BF0" w14:paraId="477558BF" w14:textId="77777777">
            <w:pPr>
              <w:rPr>
                <w:rFonts w:ascii="Times New Roman" w:eastAsia="Times New Roman" w:hAnsi="Times New Roman"/>
                <w:sz w:val="24"/>
                <w:szCs w:val="24"/>
                <w:lang w:eastAsia="lv-LV"/>
              </w:rPr>
            </w:pPr>
          </w:p>
          <w:p w:rsidR="009A312E" w:rsidRPr="00274E36" w:rsidP="00E85BF0" w14:paraId="7BDA67C8" w14:textId="77777777">
            <w:pPr>
              <w:rPr>
                <w:rFonts w:ascii="Times New Roman" w:eastAsia="Times New Roman" w:hAnsi="Times New Roman"/>
                <w:sz w:val="24"/>
                <w:szCs w:val="24"/>
                <w:lang w:eastAsia="lv-LV"/>
              </w:rPr>
            </w:pPr>
          </w:p>
          <w:p w:rsidR="009A312E" w:rsidRPr="00274E36" w:rsidP="00E85BF0" w14:paraId="04CC600B" w14:textId="77777777">
            <w:pPr>
              <w:rPr>
                <w:rFonts w:ascii="Times New Roman" w:eastAsia="Times New Roman" w:hAnsi="Times New Roman"/>
                <w:sz w:val="24"/>
                <w:szCs w:val="24"/>
                <w:lang w:eastAsia="lv-LV"/>
              </w:rPr>
            </w:pPr>
          </w:p>
          <w:p w:rsidR="009A312E" w:rsidRPr="00274E36" w:rsidP="00E85BF0" w14:paraId="2F8D2731" w14:textId="77777777">
            <w:pPr>
              <w:rPr>
                <w:rFonts w:ascii="Times New Roman" w:eastAsia="Times New Roman" w:hAnsi="Times New Roman"/>
                <w:sz w:val="24"/>
                <w:szCs w:val="24"/>
                <w:lang w:eastAsia="lv-LV"/>
              </w:rPr>
            </w:pPr>
          </w:p>
          <w:p w:rsidR="009A312E" w:rsidRPr="00274E36" w:rsidP="00E85BF0" w14:paraId="5525482F" w14:textId="77777777">
            <w:pPr>
              <w:rPr>
                <w:rFonts w:ascii="Times New Roman" w:eastAsia="Times New Roman" w:hAnsi="Times New Roman"/>
                <w:sz w:val="24"/>
                <w:szCs w:val="24"/>
                <w:lang w:eastAsia="lv-LV"/>
              </w:rPr>
            </w:pPr>
          </w:p>
          <w:p w:rsidR="009A312E" w:rsidRPr="00274E36" w:rsidP="00E85BF0" w14:paraId="124F148F" w14:textId="77777777">
            <w:pPr>
              <w:rPr>
                <w:rFonts w:ascii="Times New Roman" w:eastAsia="Times New Roman" w:hAnsi="Times New Roman"/>
                <w:sz w:val="24"/>
                <w:szCs w:val="24"/>
                <w:lang w:eastAsia="lv-LV"/>
              </w:rPr>
            </w:pPr>
          </w:p>
          <w:p w:rsidR="009A312E" w:rsidRPr="00274E36" w:rsidP="00E85BF0" w14:paraId="7ED4717C" w14:textId="77777777">
            <w:pPr>
              <w:rPr>
                <w:rFonts w:ascii="Times New Roman" w:eastAsia="Times New Roman" w:hAnsi="Times New Roman"/>
                <w:sz w:val="24"/>
                <w:szCs w:val="24"/>
                <w:lang w:eastAsia="lv-LV"/>
              </w:rPr>
            </w:pPr>
          </w:p>
          <w:p w:rsidR="009A312E" w:rsidRPr="00274E36" w:rsidP="00E85BF0" w14:paraId="3712A373" w14:textId="77777777">
            <w:pPr>
              <w:rPr>
                <w:rFonts w:ascii="Times New Roman" w:eastAsia="Times New Roman" w:hAnsi="Times New Roman"/>
                <w:sz w:val="24"/>
                <w:szCs w:val="24"/>
                <w:lang w:eastAsia="lv-LV"/>
              </w:rPr>
            </w:pPr>
          </w:p>
          <w:p w:rsidR="009A312E" w:rsidRPr="00274E36" w:rsidP="00E85BF0" w14:paraId="611540ED" w14:textId="77777777">
            <w:pPr>
              <w:rPr>
                <w:rFonts w:ascii="Times New Roman" w:eastAsia="Times New Roman" w:hAnsi="Times New Roman"/>
                <w:sz w:val="24"/>
                <w:szCs w:val="24"/>
                <w:lang w:eastAsia="lv-LV"/>
              </w:rPr>
            </w:pPr>
          </w:p>
          <w:p w:rsidR="009A312E" w:rsidP="00E85BF0" w14:paraId="0768AF40" w14:textId="77777777">
            <w:pPr>
              <w:rPr>
                <w:rFonts w:ascii="Times New Roman" w:eastAsia="Times New Roman" w:hAnsi="Times New Roman"/>
                <w:sz w:val="24"/>
                <w:szCs w:val="24"/>
                <w:lang w:eastAsia="lv-LV"/>
              </w:rPr>
            </w:pPr>
          </w:p>
          <w:p w:rsidR="009A312E" w:rsidP="00E85BF0" w14:paraId="5617D3FC" w14:textId="77777777">
            <w:pPr>
              <w:rPr>
                <w:rFonts w:ascii="Times New Roman" w:eastAsia="Times New Roman" w:hAnsi="Times New Roman"/>
                <w:sz w:val="24"/>
                <w:szCs w:val="24"/>
                <w:lang w:eastAsia="lv-LV"/>
              </w:rPr>
            </w:pPr>
          </w:p>
          <w:p w:rsidR="001152C0" w:rsidP="00E85BF0" w14:paraId="6B2C4B0D" w14:textId="44A7B083">
            <w:pPr>
              <w:ind w:firstLine="720"/>
              <w:rPr>
                <w:rFonts w:ascii="Times New Roman" w:eastAsia="Times New Roman" w:hAnsi="Times New Roman"/>
                <w:sz w:val="24"/>
                <w:szCs w:val="24"/>
                <w:lang w:eastAsia="lv-LV"/>
              </w:rPr>
            </w:pPr>
          </w:p>
          <w:p w:rsidR="001152C0" w:rsidRPr="001152C0" w:rsidP="00B564F2" w14:paraId="00B20083" w14:textId="77777777">
            <w:pPr>
              <w:rPr>
                <w:rFonts w:ascii="Times New Roman" w:eastAsia="Times New Roman" w:hAnsi="Times New Roman"/>
                <w:sz w:val="24"/>
                <w:szCs w:val="24"/>
                <w:lang w:eastAsia="lv-LV"/>
              </w:rPr>
            </w:pPr>
          </w:p>
          <w:p w:rsidR="001152C0" w:rsidRPr="001152C0" w:rsidP="00B564F2" w14:paraId="39B24D64" w14:textId="77777777">
            <w:pPr>
              <w:rPr>
                <w:rFonts w:ascii="Times New Roman" w:eastAsia="Times New Roman" w:hAnsi="Times New Roman"/>
                <w:sz w:val="24"/>
                <w:szCs w:val="24"/>
                <w:lang w:eastAsia="lv-LV"/>
              </w:rPr>
            </w:pPr>
          </w:p>
          <w:p w:rsidR="001152C0" w:rsidRPr="001152C0" w:rsidP="00B564F2" w14:paraId="778F4484" w14:textId="77777777">
            <w:pPr>
              <w:rPr>
                <w:rFonts w:ascii="Times New Roman" w:eastAsia="Times New Roman" w:hAnsi="Times New Roman"/>
                <w:sz w:val="24"/>
                <w:szCs w:val="24"/>
                <w:lang w:eastAsia="lv-LV"/>
              </w:rPr>
            </w:pPr>
          </w:p>
          <w:p w:rsidR="001152C0" w:rsidRPr="001152C0" w:rsidP="00B564F2" w14:paraId="333C6936" w14:textId="77777777">
            <w:pPr>
              <w:rPr>
                <w:rFonts w:ascii="Times New Roman" w:eastAsia="Times New Roman" w:hAnsi="Times New Roman"/>
                <w:sz w:val="24"/>
                <w:szCs w:val="24"/>
                <w:lang w:eastAsia="lv-LV"/>
              </w:rPr>
            </w:pPr>
          </w:p>
          <w:p w:rsidR="001152C0" w:rsidRPr="001152C0" w:rsidP="00B564F2" w14:paraId="37F1FDFF" w14:textId="77777777">
            <w:pPr>
              <w:rPr>
                <w:rFonts w:ascii="Times New Roman" w:eastAsia="Times New Roman" w:hAnsi="Times New Roman"/>
                <w:sz w:val="24"/>
                <w:szCs w:val="24"/>
                <w:lang w:eastAsia="lv-LV"/>
              </w:rPr>
            </w:pPr>
          </w:p>
          <w:p w:rsidR="001152C0" w:rsidP="001152C0" w14:paraId="702B5DA4" w14:textId="59A9F2A8">
            <w:pPr>
              <w:rPr>
                <w:rFonts w:ascii="Times New Roman" w:eastAsia="Times New Roman" w:hAnsi="Times New Roman"/>
                <w:sz w:val="24"/>
                <w:szCs w:val="24"/>
                <w:lang w:eastAsia="lv-LV"/>
              </w:rPr>
            </w:pPr>
          </w:p>
          <w:p w:rsidR="001152C0" w:rsidP="001152C0" w14:paraId="67CEFAC2" w14:textId="0A76DB9E">
            <w:pPr>
              <w:rPr>
                <w:rFonts w:ascii="Times New Roman" w:eastAsia="Times New Roman" w:hAnsi="Times New Roman"/>
                <w:sz w:val="24"/>
                <w:szCs w:val="24"/>
                <w:lang w:eastAsia="lv-LV"/>
              </w:rPr>
            </w:pPr>
          </w:p>
          <w:p w:rsidR="009A312E" w:rsidRPr="001152C0" w:rsidP="00B564F2" w14:paraId="0CD3E889" w14:textId="77777777">
            <w:pPr>
              <w:jc w:val="center"/>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8C4C6D" w:rsidP="00057209" w14:paraId="4F255714" w14:textId="2E2AAC55">
            <w:pPr>
              <w:spacing w:after="0" w:line="240" w:lineRule="auto"/>
              <w:ind w:left="132" w:right="202"/>
              <w:jc w:val="both"/>
              <w:rPr>
                <w:rFonts w:ascii="Times New Roman" w:hAnsi="Times New Roman"/>
                <w:sz w:val="24"/>
                <w:szCs w:val="24"/>
              </w:rPr>
            </w:pPr>
            <w:r>
              <w:rPr>
                <w:rFonts w:ascii="Times New Roman" w:hAnsi="Times New Roman"/>
                <w:sz w:val="24"/>
                <w:szCs w:val="24"/>
              </w:rPr>
              <w:t>Lai</w:t>
            </w:r>
            <w:r w:rsidR="00057209">
              <w:rPr>
                <w:rFonts w:ascii="Times New Roman" w:hAnsi="Times New Roman"/>
                <w:sz w:val="24"/>
                <w:szCs w:val="24"/>
              </w:rPr>
              <w:t xml:space="preserve"> uzlabotu 4.2.1.2.pasākuma otrās kārtas publiskā finansējuma apguvi, Ekonomikas ministrija (turpmāk – </w:t>
            </w:r>
            <w:r w:rsidRPr="00744E9C">
              <w:rPr>
                <w:rFonts w:ascii="Times New Roman" w:hAnsi="Times New Roman"/>
                <w:sz w:val="24"/>
                <w:szCs w:val="24"/>
              </w:rPr>
              <w:t>E</w:t>
            </w:r>
            <w:r w:rsidR="00057209">
              <w:rPr>
                <w:rFonts w:ascii="Times New Roman" w:hAnsi="Times New Roman"/>
                <w:sz w:val="24"/>
                <w:szCs w:val="24"/>
              </w:rPr>
              <w:t>M)</w:t>
            </w:r>
            <w:r w:rsidRPr="00744E9C">
              <w:rPr>
                <w:rFonts w:ascii="Times New Roman" w:hAnsi="Times New Roman"/>
                <w:sz w:val="24"/>
                <w:szCs w:val="24"/>
              </w:rPr>
              <w:t xml:space="preserve"> ierosina šādas izmaiņas </w:t>
            </w:r>
            <w:r w:rsidRPr="00E77FF3">
              <w:rPr>
                <w:rFonts w:ascii="Times New Roman" w:eastAsia="Times New Roman" w:hAnsi="Times New Roman"/>
                <w:sz w:val="24"/>
                <w:szCs w:val="24"/>
                <w:lang w:eastAsia="lv-LV"/>
              </w:rPr>
              <w:t>201</w:t>
            </w:r>
            <w:r w:rsidR="00770DA9">
              <w:rPr>
                <w:rFonts w:ascii="Times New Roman" w:eastAsia="Times New Roman" w:hAnsi="Times New Roman"/>
                <w:sz w:val="24"/>
                <w:szCs w:val="24"/>
                <w:lang w:eastAsia="lv-LV"/>
              </w:rPr>
              <w:t>8</w:t>
            </w:r>
            <w:r w:rsidRPr="00E77FF3">
              <w:rPr>
                <w:rFonts w:ascii="Times New Roman" w:eastAsia="Times New Roman" w:hAnsi="Times New Roman"/>
                <w:sz w:val="24"/>
                <w:szCs w:val="24"/>
                <w:lang w:eastAsia="lv-LV"/>
              </w:rPr>
              <w:t xml:space="preserve">. gada 4. janvāra noteikumos Nr. 13 </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 xml:space="preserve">Darbības programmas </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Izaugsme un nodarbinātība</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 xml:space="preserve"> 4.2.1. specifiskā atbalsta mērķa </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Veicināt energoefektivitātes paaugstināšanu valsts un dzīvojamās ēkās</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 xml:space="preserve"> 4.2.1.2. pasākuma </w:t>
            </w:r>
            <w:r w:rsidR="003D205C">
              <w:rPr>
                <w:rFonts w:ascii="Times New Roman" w:hAnsi="Times New Roman"/>
                <w:sz w:val="24"/>
                <w:szCs w:val="24"/>
              </w:rPr>
              <w:t>“</w:t>
            </w:r>
            <w:r w:rsidRPr="00960C53" w:rsidR="00B4109B">
              <w:rPr>
                <w:rFonts w:ascii="Times New Roman" w:eastAsia="Times New Roman" w:hAnsi="Times New Roman"/>
                <w:sz w:val="24"/>
                <w:szCs w:val="24"/>
                <w:lang w:eastAsia="lv-LV"/>
              </w:rPr>
              <w:t>Veicināt energoefektivitātes paaugstināšanu</w:t>
            </w:r>
            <w:r w:rsidR="00FD68CD">
              <w:rPr>
                <w:rFonts w:ascii="Times New Roman" w:hAnsi="Times New Roman"/>
                <w:sz w:val="24"/>
                <w:szCs w:val="24"/>
              </w:rPr>
              <w:t>”</w:t>
            </w:r>
            <w:r w:rsidRPr="00960C53" w:rsidR="00B4109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otrās</w:t>
            </w:r>
            <w:r w:rsidRPr="00960C53" w:rsidR="00B4109B">
              <w:rPr>
                <w:rFonts w:ascii="Times New Roman" w:eastAsia="Times New Roman" w:hAnsi="Times New Roman"/>
                <w:sz w:val="24"/>
                <w:szCs w:val="24"/>
                <w:lang w:eastAsia="lv-LV"/>
              </w:rPr>
              <w:t xml:space="preserve"> projektu iesniegumu atlases kārtas īstenošanas noteikumi”</w:t>
            </w:r>
            <w:r w:rsidR="00B4109B">
              <w:rPr>
                <w:rFonts w:ascii="Times New Roman" w:eastAsia="Times New Roman" w:hAnsi="Times New Roman"/>
                <w:sz w:val="24"/>
                <w:szCs w:val="24"/>
                <w:lang w:eastAsia="lv-LV"/>
              </w:rPr>
              <w:t xml:space="preserve"> (turpmāk</w:t>
            </w:r>
            <w:r w:rsidR="0090361D">
              <w:rPr>
                <w:rFonts w:ascii="Times New Roman" w:eastAsia="Times New Roman" w:hAnsi="Times New Roman"/>
                <w:sz w:val="24"/>
                <w:szCs w:val="24"/>
                <w:lang w:eastAsia="lv-LV"/>
              </w:rPr>
              <w:t xml:space="preserve"> – </w:t>
            </w:r>
            <w:r>
              <w:rPr>
                <w:rFonts w:ascii="Times New Roman" w:hAnsi="Times New Roman"/>
                <w:sz w:val="24"/>
                <w:szCs w:val="24"/>
              </w:rPr>
              <w:t xml:space="preserve">MKN </w:t>
            </w:r>
            <w:r w:rsidR="00057209">
              <w:rPr>
                <w:rFonts w:ascii="Times New Roman" w:hAnsi="Times New Roman"/>
                <w:sz w:val="24"/>
                <w:szCs w:val="24"/>
              </w:rPr>
              <w:t>Nr. 13</w:t>
            </w:r>
            <w:r w:rsidR="00B4109B">
              <w:rPr>
                <w:rFonts w:ascii="Times New Roman" w:hAnsi="Times New Roman"/>
                <w:sz w:val="24"/>
                <w:szCs w:val="24"/>
              </w:rPr>
              <w:t>)</w:t>
            </w:r>
            <w:r w:rsidRPr="00744E9C">
              <w:rPr>
                <w:rFonts w:ascii="Times New Roman" w:hAnsi="Times New Roman"/>
                <w:sz w:val="24"/>
                <w:szCs w:val="24"/>
              </w:rPr>
              <w:t>:</w:t>
            </w:r>
          </w:p>
          <w:p w:rsidR="00E77FF3" w:rsidRPr="009867E1" w:rsidP="00E77FF3" w14:paraId="6AE244D0" w14:textId="50F07426">
            <w:pPr>
              <w:numPr>
                <w:ilvl w:val="0"/>
                <w:numId w:val="1"/>
              </w:numPr>
              <w:spacing w:after="0" w:line="240" w:lineRule="auto"/>
              <w:ind w:left="132" w:right="202" w:firstLine="0"/>
              <w:jc w:val="both"/>
              <w:rPr>
                <w:rFonts w:ascii="Times New Roman" w:hAnsi="Times New Roman"/>
                <w:sz w:val="24"/>
                <w:szCs w:val="24"/>
              </w:rPr>
            </w:pPr>
            <w:r>
              <w:rPr>
                <w:rFonts w:ascii="Times New Roman" w:hAnsi="Times New Roman"/>
                <w:b/>
                <w:i/>
                <w:sz w:val="24"/>
                <w:szCs w:val="24"/>
                <w:u w:val="single"/>
              </w:rPr>
              <w:t xml:space="preserve">Papildināt </w:t>
            </w:r>
            <w:r w:rsidR="009867E1">
              <w:rPr>
                <w:rFonts w:ascii="Times New Roman" w:hAnsi="Times New Roman"/>
                <w:b/>
                <w:i/>
                <w:sz w:val="24"/>
                <w:szCs w:val="24"/>
                <w:u w:val="single"/>
              </w:rPr>
              <w:t>MK noteikumu 1.pielikumu ar jaun</w:t>
            </w:r>
            <w:r w:rsidR="00057209">
              <w:rPr>
                <w:rFonts w:ascii="Times New Roman" w:hAnsi="Times New Roman"/>
                <w:b/>
                <w:i/>
                <w:sz w:val="24"/>
                <w:szCs w:val="24"/>
                <w:u w:val="single"/>
              </w:rPr>
              <w:t>u</w:t>
            </w:r>
            <w:r w:rsidR="009867E1">
              <w:rPr>
                <w:rFonts w:ascii="Times New Roman" w:hAnsi="Times New Roman"/>
                <w:b/>
                <w:i/>
                <w:sz w:val="24"/>
                <w:szCs w:val="24"/>
                <w:u w:val="single"/>
              </w:rPr>
              <w:t xml:space="preserve"> finansējuma saņēmēj</w:t>
            </w:r>
            <w:r w:rsidR="00057209">
              <w:rPr>
                <w:rFonts w:ascii="Times New Roman" w:hAnsi="Times New Roman"/>
                <w:b/>
                <w:i/>
                <w:sz w:val="24"/>
                <w:szCs w:val="24"/>
                <w:u w:val="single"/>
              </w:rPr>
              <w:t>u</w:t>
            </w:r>
            <w:r w:rsidR="009F2FA5">
              <w:rPr>
                <w:rFonts w:ascii="Times New Roman" w:hAnsi="Times New Roman"/>
                <w:b/>
                <w:i/>
                <w:sz w:val="24"/>
                <w:szCs w:val="24"/>
                <w:u w:val="single"/>
              </w:rPr>
              <w:t xml:space="preserve"> un precizēt pieejamo publisko finansējumu</w:t>
            </w:r>
          </w:p>
          <w:p w:rsidR="00D95AD8" w:rsidP="00B564F2" w14:paraId="1ACD7A77" w14:textId="1475765F">
            <w:pPr>
              <w:spacing w:after="0" w:line="240" w:lineRule="auto"/>
              <w:ind w:left="132" w:right="202"/>
              <w:jc w:val="both"/>
              <w:rPr>
                <w:rFonts w:ascii="Times New Roman" w:hAnsi="Times New Roman"/>
                <w:sz w:val="24"/>
                <w:szCs w:val="24"/>
              </w:rPr>
            </w:pPr>
            <w:r>
              <w:rPr>
                <w:rFonts w:ascii="Times New Roman" w:hAnsi="Times New Roman"/>
                <w:sz w:val="24"/>
                <w:szCs w:val="24"/>
              </w:rPr>
              <w:t>P</w:t>
            </w:r>
            <w:r w:rsidRPr="009867E1">
              <w:rPr>
                <w:rFonts w:ascii="Times New Roman" w:hAnsi="Times New Roman"/>
                <w:sz w:val="24"/>
                <w:szCs w:val="24"/>
              </w:rPr>
              <w:t>alielināt 4.2.1.2.pasākuma otrās projektu iesniegumu atlases kārtas pieejamo publisko</w:t>
            </w:r>
            <w:r>
              <w:rPr>
                <w:rFonts w:ascii="Times New Roman" w:hAnsi="Times New Roman"/>
                <w:sz w:val="24"/>
                <w:szCs w:val="24"/>
              </w:rPr>
              <w:t xml:space="preserve"> finansējumu par </w:t>
            </w:r>
            <w:r w:rsidR="00057209">
              <w:rPr>
                <w:rFonts w:ascii="Times New Roman" w:hAnsi="Times New Roman"/>
                <w:sz w:val="24"/>
                <w:szCs w:val="24"/>
              </w:rPr>
              <w:t>2 170 416</w:t>
            </w:r>
            <w:r>
              <w:rPr>
                <w:rFonts w:ascii="Times New Roman" w:hAnsi="Times New Roman"/>
                <w:sz w:val="24"/>
                <w:szCs w:val="24"/>
              </w:rPr>
              <w:t xml:space="preserve"> </w:t>
            </w:r>
            <w:r w:rsidR="0069459B">
              <w:rPr>
                <w:rFonts w:ascii="Times New Roman" w:hAnsi="Times New Roman"/>
                <w:i/>
                <w:sz w:val="24"/>
                <w:szCs w:val="24"/>
              </w:rPr>
              <w:t>euro</w:t>
            </w:r>
            <w:r w:rsidRPr="009867E1">
              <w:rPr>
                <w:rFonts w:ascii="Times New Roman" w:hAnsi="Times New Roman"/>
                <w:sz w:val="24"/>
                <w:szCs w:val="24"/>
              </w:rPr>
              <w:t>, iekļaujot finansējuma saņēmēju</w:t>
            </w:r>
            <w:r w:rsidR="00057209">
              <w:rPr>
                <w:rFonts w:ascii="Times New Roman" w:hAnsi="Times New Roman"/>
                <w:sz w:val="24"/>
                <w:szCs w:val="24"/>
              </w:rPr>
              <w:t xml:space="preserve"> v</w:t>
            </w:r>
            <w:r w:rsidR="00AB0D96">
              <w:rPr>
                <w:rFonts w:ascii="Times New Roman" w:hAnsi="Times New Roman"/>
                <w:sz w:val="24"/>
                <w:szCs w:val="24"/>
              </w:rPr>
              <w:t>alsts akciju sabiedrīb</w:t>
            </w:r>
            <w:r w:rsidR="00057209">
              <w:rPr>
                <w:rFonts w:ascii="Times New Roman" w:hAnsi="Times New Roman"/>
                <w:sz w:val="24"/>
                <w:szCs w:val="24"/>
              </w:rPr>
              <w:t>u</w:t>
            </w:r>
            <w:r w:rsidR="00AB0D96">
              <w:rPr>
                <w:rFonts w:ascii="Times New Roman" w:hAnsi="Times New Roman"/>
                <w:sz w:val="24"/>
                <w:szCs w:val="24"/>
              </w:rPr>
              <w:t xml:space="preserve"> "Valsts nekustamie īpašumi"</w:t>
            </w:r>
            <w:r>
              <w:rPr>
                <w:rFonts w:ascii="Times New Roman" w:hAnsi="Times New Roman"/>
                <w:sz w:val="24"/>
                <w:szCs w:val="24"/>
              </w:rPr>
              <w:t xml:space="preserve"> (turpmāk – VNĪ") </w:t>
            </w:r>
            <w:r w:rsidR="00AB0D96">
              <w:rPr>
                <w:rFonts w:ascii="Times New Roman" w:hAnsi="Times New Roman"/>
                <w:sz w:val="24"/>
                <w:szCs w:val="24"/>
              </w:rPr>
              <w:t>par</w:t>
            </w:r>
            <w:r w:rsidRPr="008C12CD" w:rsidR="008C12CD">
              <w:rPr>
                <w:rFonts w:ascii="Times New Roman" w:hAnsi="Times New Roman"/>
                <w:sz w:val="24"/>
                <w:szCs w:val="24"/>
              </w:rPr>
              <w:t xml:space="preserve"> </w:t>
            </w:r>
            <w:r w:rsidRPr="00D95AD8">
              <w:rPr>
                <w:rFonts w:ascii="Times New Roman" w:hAnsi="Times New Roman"/>
                <w:sz w:val="24"/>
                <w:szCs w:val="24"/>
              </w:rPr>
              <w:t>valsts akciju sabi</w:t>
            </w:r>
            <w:r>
              <w:rPr>
                <w:rFonts w:ascii="Times New Roman" w:hAnsi="Times New Roman"/>
                <w:sz w:val="24"/>
                <w:szCs w:val="24"/>
              </w:rPr>
              <w:t>edrības</w:t>
            </w:r>
            <w:r w:rsidRPr="00D95AD8">
              <w:rPr>
                <w:rFonts w:ascii="Times New Roman" w:hAnsi="Times New Roman"/>
                <w:sz w:val="24"/>
                <w:szCs w:val="24"/>
              </w:rPr>
              <w:t xml:space="preserve"> ar ierobežotu atbildību “Jaunais Rīgas teātris”</w:t>
            </w:r>
            <w:r>
              <w:rPr>
                <w:rFonts w:ascii="Times New Roman" w:hAnsi="Times New Roman"/>
                <w:sz w:val="24"/>
                <w:szCs w:val="24"/>
              </w:rPr>
              <w:t xml:space="preserve"> (turpmāk – JRT) projektu</w:t>
            </w:r>
            <w:r w:rsidR="005F470E">
              <w:rPr>
                <w:rFonts w:ascii="Times New Roman" w:hAnsi="Times New Roman"/>
                <w:sz w:val="24"/>
                <w:szCs w:val="24"/>
              </w:rPr>
              <w:t xml:space="preserve"> ar</w:t>
            </w:r>
            <w:r w:rsidRPr="00D95AD8">
              <w:rPr>
                <w:rFonts w:ascii="Times New Roman" w:hAnsi="Times New Roman"/>
                <w:sz w:val="24"/>
                <w:szCs w:val="24"/>
              </w:rPr>
              <w:t xml:space="preserve"> </w:t>
            </w:r>
            <w:r>
              <w:rPr>
                <w:rFonts w:ascii="Times New Roman" w:hAnsi="Times New Roman"/>
                <w:sz w:val="24"/>
                <w:szCs w:val="24"/>
              </w:rPr>
              <w:t>kopējo</w:t>
            </w:r>
            <w:r w:rsidR="00057209">
              <w:rPr>
                <w:rFonts w:ascii="Times New Roman" w:hAnsi="Times New Roman"/>
                <w:sz w:val="24"/>
                <w:szCs w:val="24"/>
              </w:rPr>
              <w:t xml:space="preserve"> publisko</w:t>
            </w:r>
            <w:r>
              <w:rPr>
                <w:rFonts w:ascii="Times New Roman" w:hAnsi="Times New Roman"/>
                <w:sz w:val="24"/>
                <w:szCs w:val="24"/>
              </w:rPr>
              <w:t xml:space="preserve"> finansējumu</w:t>
            </w:r>
            <w:r w:rsidR="00057209">
              <w:rPr>
                <w:rFonts w:ascii="Times New Roman" w:hAnsi="Times New Roman"/>
                <w:sz w:val="24"/>
                <w:szCs w:val="24"/>
              </w:rPr>
              <w:br/>
            </w:r>
            <w:r>
              <w:rPr>
                <w:rFonts w:ascii="Times New Roman" w:hAnsi="Times New Roman"/>
                <w:sz w:val="24"/>
                <w:szCs w:val="24"/>
              </w:rPr>
              <w:t xml:space="preserve">2 170 416 </w:t>
            </w:r>
            <w:r w:rsidR="0069459B">
              <w:rPr>
                <w:rFonts w:ascii="Times New Roman" w:hAnsi="Times New Roman"/>
                <w:i/>
                <w:sz w:val="24"/>
                <w:szCs w:val="24"/>
              </w:rPr>
              <w:t>euro</w:t>
            </w:r>
            <w:r w:rsidR="00DF3623">
              <w:rPr>
                <w:rFonts w:ascii="Times New Roman" w:hAnsi="Times New Roman"/>
                <w:sz w:val="24"/>
                <w:szCs w:val="24"/>
              </w:rPr>
              <w:t>.</w:t>
            </w:r>
          </w:p>
          <w:p w:rsidR="00D95AD8" w:rsidP="00C55E9D" w14:paraId="2AF5BE8E" w14:textId="6462544E">
            <w:pPr>
              <w:spacing w:after="0" w:line="240" w:lineRule="auto"/>
              <w:ind w:left="132" w:right="202"/>
              <w:jc w:val="both"/>
              <w:rPr>
                <w:rFonts w:ascii="Times New Roman" w:hAnsi="Times New Roman"/>
                <w:sz w:val="24"/>
                <w:szCs w:val="24"/>
              </w:rPr>
            </w:pPr>
            <w:r>
              <w:rPr>
                <w:rFonts w:ascii="Times New Roman" w:hAnsi="Times New Roman"/>
                <w:sz w:val="24"/>
                <w:szCs w:val="24"/>
              </w:rPr>
              <w:t xml:space="preserve">Savstarpējas vienošanās rezultātā starp VNĪ, FM un EM 4.2.1.2.pasākuma otrās kārtas ietvaros notiks JRT ēkas atjaunošana. Finansējuma pārdale notiks no 4.2.1.2.pasākuma </w:t>
            </w:r>
            <w:r>
              <w:rPr>
                <w:rFonts w:ascii="Times New Roman" w:hAnsi="Times New Roman"/>
                <w:sz w:val="24"/>
                <w:szCs w:val="24"/>
              </w:rPr>
              <w:t>pirmās kārtas FM kvotas, jo projekts Smilšu ielā 1 netiks realizēts. Lai nodrošinātu kvotu pārdali, VNĪ ir iesniedzis atjaunojamo ēku sarakstu, kuras tiks ieskaitītas valsts ēku 3% atjaunošanas mērķī</w:t>
            </w:r>
            <w:r w:rsidR="00015E22">
              <w:rPr>
                <w:rFonts w:ascii="Times New Roman" w:hAnsi="Times New Roman"/>
                <w:sz w:val="24"/>
                <w:szCs w:val="24"/>
              </w:rPr>
              <w:t xml:space="preserve">, </w:t>
            </w:r>
            <w:r w:rsidRPr="00015E22" w:rsidR="00015E22">
              <w:rPr>
                <w:rFonts w:ascii="Times New Roman" w:hAnsi="Times New Roman"/>
                <w:sz w:val="24"/>
                <w:szCs w:val="24"/>
              </w:rPr>
              <w:t xml:space="preserve">kas noteikts </w:t>
            </w:r>
            <w:r w:rsidRPr="002E7366" w:rsidR="002E7366">
              <w:rPr>
                <w:rFonts w:ascii="Times New Roman" w:hAnsi="Times New Roman"/>
                <w:sz w:val="24"/>
                <w:szCs w:val="24"/>
              </w:rPr>
              <w:t>Eiropas Parlamenta un Padome</w:t>
            </w:r>
            <w:r w:rsidR="002E7366">
              <w:rPr>
                <w:rFonts w:ascii="Times New Roman" w:hAnsi="Times New Roman"/>
                <w:sz w:val="24"/>
                <w:szCs w:val="24"/>
              </w:rPr>
              <w:t>s 2012.gada 25.oktobra Direktīvā</w:t>
            </w:r>
            <w:r w:rsidRPr="002E7366" w:rsidR="002E7366">
              <w:rPr>
                <w:rFonts w:ascii="Times New Roman" w:hAnsi="Times New Roman"/>
                <w:sz w:val="24"/>
                <w:szCs w:val="24"/>
              </w:rPr>
              <w:t xml:space="preserve"> 2012/27/ES par energoefektivitāti, ar ko groza Direktīvas 2009/125/EK un 2010/30/ES, un atceļ Direktīvas 2004/8/EK un 2006/32/EK (turpmāk – Direktīva 2012/27/ES) 5. panta</w:t>
            </w:r>
            <w:r w:rsidRPr="00015E22" w:rsidR="00015E22">
              <w:rPr>
                <w:rFonts w:ascii="Times New Roman" w:hAnsi="Times New Roman"/>
                <w:sz w:val="24"/>
                <w:szCs w:val="24"/>
              </w:rPr>
              <w:t xml:space="preserve"> 1.daļā. Šo ēku atjaunošana notiek bez ES fondu līdzfinansējuma. Tādējādi attiecīgā finansējuma pārvirzīšanai uz otro projektu iesniegumu atlases kārtu nav tiešas ietekmes uz Direktīvā Nr. 2012/27/ES noteiktajiem mērķiem.</w:t>
            </w:r>
          </w:p>
          <w:p w:rsidR="00DF3623" w:rsidP="00C55E9D" w14:paraId="1E67DB7B" w14:textId="292A229B">
            <w:pPr>
              <w:spacing w:after="0" w:line="240" w:lineRule="auto"/>
              <w:ind w:left="132" w:right="202"/>
              <w:jc w:val="both"/>
              <w:rPr>
                <w:rFonts w:ascii="Times New Roman" w:hAnsi="Times New Roman"/>
                <w:sz w:val="24"/>
                <w:szCs w:val="24"/>
              </w:rPr>
            </w:pPr>
            <w:r>
              <w:rPr>
                <w:rFonts w:ascii="Times New Roman" w:hAnsi="Times New Roman"/>
                <w:sz w:val="24"/>
                <w:szCs w:val="24"/>
              </w:rPr>
              <w:t>Savukārt, ņ</w:t>
            </w:r>
            <w:r w:rsidRPr="00DF3623">
              <w:rPr>
                <w:rFonts w:ascii="Times New Roman" w:hAnsi="Times New Roman"/>
                <w:sz w:val="24"/>
                <w:szCs w:val="24"/>
              </w:rPr>
              <w:t>emto vērā nespēju panākt vienošanos</w:t>
            </w:r>
            <w:r>
              <w:rPr>
                <w:rFonts w:ascii="Times New Roman" w:hAnsi="Times New Roman"/>
                <w:sz w:val="24"/>
                <w:szCs w:val="24"/>
              </w:rPr>
              <w:t xml:space="preserve"> par SIA “Vidzemes slimnīca” un </w:t>
            </w:r>
            <w:r w:rsidRPr="00DF3623">
              <w:rPr>
                <w:rFonts w:ascii="Times New Roman" w:hAnsi="Times New Roman"/>
                <w:sz w:val="24"/>
                <w:szCs w:val="24"/>
              </w:rPr>
              <w:t>SIA “</w:t>
            </w:r>
            <w:r w:rsidRPr="00DF3623">
              <w:rPr>
                <w:rFonts w:ascii="Times New Roman" w:hAnsi="Times New Roman"/>
                <w:sz w:val="24"/>
                <w:szCs w:val="24"/>
              </w:rPr>
              <w:t>Cēsu</w:t>
            </w:r>
            <w:r w:rsidRPr="00DF3623">
              <w:rPr>
                <w:rFonts w:ascii="Times New Roman" w:hAnsi="Times New Roman"/>
                <w:sz w:val="24"/>
                <w:szCs w:val="24"/>
              </w:rPr>
              <w:t xml:space="preserve"> klīnika” ēku</w:t>
            </w:r>
            <w:r>
              <w:rPr>
                <w:rFonts w:ascii="Times New Roman" w:hAnsi="Times New Roman"/>
                <w:sz w:val="24"/>
                <w:szCs w:val="24"/>
              </w:rPr>
              <w:t xml:space="preserve"> un </w:t>
            </w:r>
            <w:r w:rsidRPr="00DF3623">
              <w:rPr>
                <w:rFonts w:ascii="Times New Roman" w:hAnsi="Times New Roman"/>
                <w:sz w:val="24"/>
                <w:szCs w:val="24"/>
              </w:rPr>
              <w:t>ēk</w:t>
            </w:r>
            <w:r>
              <w:rPr>
                <w:rFonts w:ascii="Times New Roman" w:hAnsi="Times New Roman"/>
                <w:sz w:val="24"/>
                <w:szCs w:val="24"/>
              </w:rPr>
              <w:t>u</w:t>
            </w:r>
            <w:r w:rsidRPr="00DF3623">
              <w:rPr>
                <w:rFonts w:ascii="Times New Roman" w:hAnsi="Times New Roman"/>
                <w:sz w:val="24"/>
                <w:szCs w:val="24"/>
              </w:rPr>
              <w:t xml:space="preserve"> Pils ielā un Kuģinieku ielā, Ventspilī</w:t>
            </w:r>
            <w:r>
              <w:rPr>
                <w:rFonts w:ascii="Times New Roman" w:hAnsi="Times New Roman"/>
                <w:sz w:val="24"/>
                <w:szCs w:val="24"/>
              </w:rPr>
              <w:t>,</w:t>
            </w:r>
            <w:r w:rsidRPr="00DF3623">
              <w:rPr>
                <w:rFonts w:ascii="Times New Roman" w:hAnsi="Times New Roman"/>
                <w:sz w:val="24"/>
                <w:szCs w:val="24"/>
              </w:rPr>
              <w:t xml:space="preserve"> iekļaušanu 4.2.1.2.pasākuma </w:t>
            </w:r>
            <w:r>
              <w:rPr>
                <w:rFonts w:ascii="Times New Roman" w:hAnsi="Times New Roman"/>
                <w:sz w:val="24"/>
                <w:szCs w:val="24"/>
              </w:rPr>
              <w:t>otrās</w:t>
            </w:r>
            <w:r w:rsidRPr="00DF3623">
              <w:rPr>
                <w:rFonts w:ascii="Times New Roman" w:hAnsi="Times New Roman"/>
                <w:sz w:val="24"/>
                <w:szCs w:val="24"/>
              </w:rPr>
              <w:t xml:space="preserve"> kārtas ietvaros atjaunojamo ēku sarakstā, </w:t>
            </w:r>
            <w:r w:rsidR="00DE2599">
              <w:rPr>
                <w:rFonts w:ascii="Times New Roman" w:hAnsi="Times New Roman"/>
                <w:sz w:val="24"/>
                <w:szCs w:val="24"/>
              </w:rPr>
              <w:t>j</w:t>
            </w:r>
            <w:r w:rsidR="00980182">
              <w:rPr>
                <w:rFonts w:ascii="Times New Roman" w:hAnsi="Times New Roman"/>
                <w:sz w:val="24"/>
                <w:szCs w:val="24"/>
              </w:rPr>
              <w:t xml:space="preserve">auni MK noteikumu Nr.13 </w:t>
            </w:r>
            <w:r w:rsidRPr="00DF3623" w:rsidR="00980182">
              <w:rPr>
                <w:rFonts w:ascii="Times New Roman" w:hAnsi="Times New Roman"/>
                <w:sz w:val="24"/>
                <w:szCs w:val="24"/>
              </w:rPr>
              <w:t>grozījum</w:t>
            </w:r>
            <w:r w:rsidR="00980182">
              <w:rPr>
                <w:rFonts w:ascii="Times New Roman" w:hAnsi="Times New Roman"/>
                <w:sz w:val="24"/>
                <w:szCs w:val="24"/>
              </w:rPr>
              <w:t>i tiks</w:t>
            </w:r>
            <w:r w:rsidRPr="00DF3623" w:rsidR="00980182">
              <w:rPr>
                <w:rFonts w:ascii="Times New Roman" w:hAnsi="Times New Roman"/>
                <w:sz w:val="24"/>
                <w:szCs w:val="24"/>
              </w:rPr>
              <w:t xml:space="preserve"> izstrādāt</w:t>
            </w:r>
            <w:r w:rsidR="00980182">
              <w:rPr>
                <w:rFonts w:ascii="Times New Roman" w:hAnsi="Times New Roman"/>
                <w:sz w:val="24"/>
                <w:szCs w:val="24"/>
              </w:rPr>
              <w:t xml:space="preserve">i </w:t>
            </w:r>
            <w:r w:rsidRPr="00DF3623" w:rsidR="00980182">
              <w:rPr>
                <w:rFonts w:ascii="Times New Roman" w:hAnsi="Times New Roman"/>
                <w:sz w:val="24"/>
                <w:szCs w:val="24"/>
              </w:rPr>
              <w:t>pēc vienošanās panākšanas par attiecīgo ēku atjaunošanu</w:t>
            </w:r>
            <w:r>
              <w:rPr>
                <w:rFonts w:ascii="Times New Roman" w:hAnsi="Times New Roman"/>
                <w:sz w:val="24"/>
                <w:szCs w:val="24"/>
              </w:rPr>
              <w:t>.</w:t>
            </w:r>
          </w:p>
          <w:p w:rsidR="009F2FA5" w:rsidP="009867E1" w14:paraId="2EAE27E1" w14:textId="5D8A674E">
            <w:pPr>
              <w:spacing w:after="0" w:line="240" w:lineRule="auto"/>
              <w:ind w:left="132" w:right="202"/>
              <w:jc w:val="both"/>
              <w:rPr>
                <w:rFonts w:ascii="Times New Roman" w:hAnsi="Times New Roman"/>
                <w:sz w:val="24"/>
                <w:szCs w:val="24"/>
              </w:rPr>
            </w:pPr>
            <w:r>
              <w:rPr>
                <w:rFonts w:ascii="Times New Roman" w:hAnsi="Times New Roman"/>
                <w:sz w:val="24"/>
                <w:szCs w:val="24"/>
              </w:rPr>
              <w:t>4</w:t>
            </w:r>
            <w:r w:rsidRPr="009F2FA5">
              <w:rPr>
                <w:rFonts w:ascii="Times New Roman" w:hAnsi="Times New Roman"/>
                <w:sz w:val="24"/>
                <w:szCs w:val="24"/>
              </w:rPr>
              <w:t xml:space="preserve">.2.1.2.pasākuma kopējais publiskais finansējums ir 115 127 027 </w:t>
            </w:r>
            <w:r w:rsidR="00AB7120">
              <w:rPr>
                <w:rFonts w:ascii="Times New Roman" w:hAnsi="Times New Roman"/>
                <w:i/>
                <w:sz w:val="24"/>
                <w:szCs w:val="24"/>
              </w:rPr>
              <w:t>euro</w:t>
            </w:r>
            <w:r w:rsidRPr="009F2FA5">
              <w:rPr>
                <w:rFonts w:ascii="Times New Roman" w:hAnsi="Times New Roman"/>
                <w:sz w:val="24"/>
                <w:szCs w:val="24"/>
              </w:rPr>
              <w:t xml:space="preserve">, tajā skaitā finanšu rezerve ir 7 022 201 </w:t>
            </w:r>
            <w:r w:rsidR="00AB7120">
              <w:rPr>
                <w:rFonts w:ascii="Times New Roman" w:hAnsi="Times New Roman"/>
                <w:i/>
                <w:sz w:val="24"/>
                <w:szCs w:val="24"/>
              </w:rPr>
              <w:t>euro</w:t>
            </w:r>
            <w:r w:rsidRPr="009F2FA5" w:rsidR="00AB7120">
              <w:rPr>
                <w:rFonts w:ascii="Times New Roman" w:hAnsi="Times New Roman"/>
                <w:sz w:val="24"/>
                <w:szCs w:val="24"/>
              </w:rPr>
              <w:t xml:space="preserve"> </w:t>
            </w:r>
            <w:r w:rsidRPr="009F2FA5">
              <w:rPr>
                <w:rFonts w:ascii="Times New Roman" w:hAnsi="Times New Roman"/>
                <w:sz w:val="24"/>
                <w:szCs w:val="24"/>
              </w:rPr>
              <w:t>apmērā.</w:t>
            </w:r>
            <w:r>
              <w:rPr>
                <w:rFonts w:ascii="Times New Roman" w:hAnsi="Times New Roman"/>
                <w:sz w:val="24"/>
                <w:szCs w:val="24"/>
              </w:rPr>
              <w:t xml:space="preserve"> 4.2.1.2.pasākuma otrās kārtas kopējais publiskais pieejamais finansējums ir 32</w:t>
            </w:r>
            <w:r w:rsidR="003A330D">
              <w:rPr>
                <w:rFonts w:ascii="Times New Roman" w:hAnsi="Times New Roman"/>
                <w:sz w:val="24"/>
                <w:szCs w:val="24"/>
              </w:rPr>
              <w:t xml:space="preserve"> 507 612</w:t>
            </w:r>
            <w:r>
              <w:rPr>
                <w:rFonts w:ascii="Times New Roman" w:hAnsi="Times New Roman"/>
                <w:sz w:val="24"/>
                <w:szCs w:val="24"/>
              </w:rPr>
              <w:t xml:space="preserve"> </w:t>
            </w:r>
            <w:r w:rsidR="00AB7120">
              <w:rPr>
                <w:rFonts w:ascii="Times New Roman" w:hAnsi="Times New Roman"/>
                <w:i/>
                <w:sz w:val="24"/>
                <w:szCs w:val="24"/>
              </w:rPr>
              <w:t>euro</w:t>
            </w:r>
            <w:r w:rsidR="004A0213">
              <w:rPr>
                <w:rFonts w:ascii="Times New Roman" w:hAnsi="Times New Roman"/>
                <w:sz w:val="24"/>
                <w:szCs w:val="24"/>
              </w:rPr>
              <w:t>, tajā skaitā</w:t>
            </w:r>
            <w:r w:rsidR="003A330D">
              <w:rPr>
                <w:rFonts w:ascii="Times New Roman" w:hAnsi="Times New Roman"/>
                <w:sz w:val="24"/>
                <w:szCs w:val="24"/>
              </w:rPr>
              <w:t xml:space="preserve"> </w:t>
            </w:r>
            <w:r w:rsidRPr="003A330D" w:rsidR="003A330D">
              <w:rPr>
                <w:rFonts w:ascii="Times New Roman" w:hAnsi="Times New Roman"/>
                <w:sz w:val="24"/>
                <w:szCs w:val="24"/>
              </w:rPr>
              <w:t xml:space="preserve">Eiropas Reģionālās attīstības fonda finansējums – 27 631 470 </w:t>
            </w:r>
            <w:r w:rsidR="00AB7120">
              <w:rPr>
                <w:rFonts w:ascii="Times New Roman" w:hAnsi="Times New Roman"/>
                <w:i/>
                <w:sz w:val="24"/>
                <w:szCs w:val="24"/>
              </w:rPr>
              <w:t>euro</w:t>
            </w:r>
            <w:r w:rsidRPr="003A330D" w:rsidR="00AB7120">
              <w:rPr>
                <w:rFonts w:ascii="Times New Roman" w:hAnsi="Times New Roman"/>
                <w:sz w:val="24"/>
                <w:szCs w:val="24"/>
              </w:rPr>
              <w:t xml:space="preserve"> </w:t>
            </w:r>
            <w:r w:rsidRPr="003A330D" w:rsidR="003A330D">
              <w:rPr>
                <w:rFonts w:ascii="Times New Roman" w:hAnsi="Times New Roman"/>
                <w:sz w:val="24"/>
                <w:szCs w:val="24"/>
              </w:rPr>
              <w:t xml:space="preserve">un valsts budžeta finansējums – 4 876 142 </w:t>
            </w:r>
            <w:r w:rsidR="00AB7120">
              <w:rPr>
                <w:rFonts w:ascii="Times New Roman" w:hAnsi="Times New Roman"/>
                <w:i/>
                <w:sz w:val="24"/>
                <w:szCs w:val="24"/>
              </w:rPr>
              <w:t>euro</w:t>
            </w:r>
            <w:r>
              <w:rPr>
                <w:rFonts w:ascii="Times New Roman" w:hAnsi="Times New Roman"/>
                <w:sz w:val="24"/>
                <w:szCs w:val="24"/>
              </w:rPr>
              <w:t xml:space="preserve">. Pēc </w:t>
            </w:r>
            <w:r w:rsidR="00475884">
              <w:rPr>
                <w:rFonts w:ascii="Times New Roman" w:hAnsi="Times New Roman"/>
                <w:sz w:val="24"/>
                <w:szCs w:val="24"/>
              </w:rPr>
              <w:t>finansējuma palielināšanas otrās kārtas publiskais pieejamais finansējums būs</w:t>
            </w:r>
            <w:r w:rsidR="00F05A38">
              <w:rPr>
                <w:rFonts w:ascii="Times New Roman" w:hAnsi="Times New Roman"/>
                <w:sz w:val="24"/>
                <w:szCs w:val="24"/>
              </w:rPr>
              <w:t xml:space="preserve"> 34 678 028</w:t>
            </w:r>
            <w:r w:rsidR="00475884">
              <w:rPr>
                <w:rFonts w:ascii="Times New Roman" w:hAnsi="Times New Roman"/>
                <w:sz w:val="24"/>
                <w:szCs w:val="24"/>
              </w:rPr>
              <w:t xml:space="preserve"> </w:t>
            </w:r>
            <w:r w:rsidR="00AB7120">
              <w:rPr>
                <w:rFonts w:ascii="Times New Roman" w:hAnsi="Times New Roman"/>
                <w:i/>
                <w:sz w:val="24"/>
                <w:szCs w:val="24"/>
              </w:rPr>
              <w:t>euro</w:t>
            </w:r>
            <w:r w:rsidR="004A0213">
              <w:rPr>
                <w:rFonts w:ascii="Times New Roman" w:hAnsi="Times New Roman"/>
                <w:sz w:val="24"/>
                <w:szCs w:val="24"/>
              </w:rPr>
              <w:t>, tajā skaitā</w:t>
            </w:r>
            <w:r w:rsidR="003A330D">
              <w:rPr>
                <w:rFonts w:ascii="Times New Roman" w:hAnsi="Times New Roman"/>
                <w:sz w:val="24"/>
                <w:szCs w:val="24"/>
              </w:rPr>
              <w:t xml:space="preserve"> </w:t>
            </w:r>
            <w:r w:rsidRPr="003A330D" w:rsidR="003A330D">
              <w:rPr>
                <w:rFonts w:ascii="Times New Roman" w:hAnsi="Times New Roman"/>
                <w:sz w:val="24"/>
                <w:szCs w:val="24"/>
              </w:rPr>
              <w:t xml:space="preserve">Eiropas Reģionālās attīstības fonda finansējums – </w:t>
            </w:r>
            <w:r w:rsidR="00F05A38">
              <w:rPr>
                <w:rFonts w:ascii="Times New Roman" w:hAnsi="Times New Roman"/>
                <w:sz w:val="24"/>
                <w:szCs w:val="24"/>
              </w:rPr>
              <w:t>29 476 324</w:t>
            </w:r>
            <w:r w:rsidRPr="002D3504" w:rsidR="002D3504">
              <w:rPr>
                <w:rFonts w:ascii="Times New Roman" w:hAnsi="Times New Roman"/>
                <w:sz w:val="24"/>
                <w:szCs w:val="24"/>
              </w:rPr>
              <w:t xml:space="preserve"> </w:t>
            </w:r>
            <w:r w:rsidR="00AB7120">
              <w:rPr>
                <w:rFonts w:ascii="Times New Roman" w:hAnsi="Times New Roman"/>
                <w:i/>
                <w:sz w:val="24"/>
                <w:szCs w:val="24"/>
              </w:rPr>
              <w:t>euro</w:t>
            </w:r>
            <w:r w:rsidRPr="003A330D" w:rsidR="00AB7120">
              <w:rPr>
                <w:rFonts w:ascii="Times New Roman" w:hAnsi="Times New Roman"/>
                <w:sz w:val="24"/>
                <w:szCs w:val="24"/>
              </w:rPr>
              <w:t xml:space="preserve"> </w:t>
            </w:r>
            <w:r w:rsidRPr="003A330D" w:rsidR="003A330D">
              <w:rPr>
                <w:rFonts w:ascii="Times New Roman" w:hAnsi="Times New Roman"/>
                <w:sz w:val="24"/>
                <w:szCs w:val="24"/>
              </w:rPr>
              <w:t>un valsts budžeta finansējums –</w:t>
            </w:r>
            <w:r w:rsidR="00F05A38">
              <w:rPr>
                <w:rFonts w:ascii="Times New Roman" w:hAnsi="Times New Roman"/>
                <w:sz w:val="24"/>
                <w:szCs w:val="24"/>
              </w:rPr>
              <w:t xml:space="preserve"> 5 201 704</w:t>
            </w:r>
            <w:r w:rsidRPr="002D3504" w:rsidR="002D3504">
              <w:rPr>
                <w:rFonts w:ascii="Times New Roman" w:hAnsi="Times New Roman"/>
                <w:sz w:val="24"/>
                <w:szCs w:val="24"/>
              </w:rPr>
              <w:t xml:space="preserve"> </w:t>
            </w:r>
            <w:r w:rsidR="00AB7120">
              <w:rPr>
                <w:rFonts w:ascii="Times New Roman" w:hAnsi="Times New Roman"/>
                <w:i/>
                <w:sz w:val="24"/>
                <w:szCs w:val="24"/>
              </w:rPr>
              <w:t>euro</w:t>
            </w:r>
            <w:r w:rsidR="00475884">
              <w:rPr>
                <w:rFonts w:ascii="Times New Roman" w:hAnsi="Times New Roman"/>
                <w:sz w:val="24"/>
                <w:szCs w:val="24"/>
              </w:rPr>
              <w:t>.</w:t>
            </w:r>
            <w:r w:rsidR="00290ACA">
              <w:rPr>
                <w:rFonts w:ascii="Times New Roman" w:hAnsi="Times New Roman"/>
                <w:sz w:val="24"/>
                <w:szCs w:val="24"/>
              </w:rPr>
              <w:t xml:space="preserve"> </w:t>
            </w:r>
          </w:p>
          <w:p w:rsidR="00475884" w:rsidP="009867E1" w14:paraId="7BB459AB" w14:textId="77777777">
            <w:pPr>
              <w:spacing w:after="0" w:line="240" w:lineRule="auto"/>
              <w:ind w:left="132" w:right="202"/>
              <w:jc w:val="both"/>
              <w:rPr>
                <w:rFonts w:ascii="Times New Roman" w:hAnsi="Times New Roman"/>
                <w:sz w:val="24"/>
                <w:szCs w:val="24"/>
              </w:rPr>
            </w:pPr>
          </w:p>
          <w:p w:rsidR="00475884" w:rsidP="00475884" w14:paraId="62E24F72" w14:textId="2A3039D3">
            <w:pPr>
              <w:numPr>
                <w:ilvl w:val="0"/>
                <w:numId w:val="1"/>
              </w:numPr>
              <w:spacing w:after="0" w:line="240" w:lineRule="auto"/>
              <w:ind w:left="132" w:right="202" w:firstLine="0"/>
              <w:jc w:val="both"/>
              <w:rPr>
                <w:rFonts w:ascii="Times New Roman" w:hAnsi="Times New Roman"/>
                <w:b/>
                <w:i/>
                <w:sz w:val="24"/>
                <w:szCs w:val="24"/>
                <w:u w:val="single"/>
              </w:rPr>
            </w:pPr>
            <w:r w:rsidRPr="00475884">
              <w:rPr>
                <w:rFonts w:ascii="Times New Roman" w:hAnsi="Times New Roman"/>
                <w:b/>
                <w:i/>
                <w:sz w:val="24"/>
                <w:szCs w:val="24"/>
                <w:u w:val="single"/>
              </w:rPr>
              <w:t>Precizēt MK noteikumu anotācijas pielikumu (IPIA tabulu), dzēšot naudas plūsmas prognozes</w:t>
            </w:r>
          </w:p>
          <w:p w:rsidR="00912D79" w:rsidP="00BF6FB6" w14:paraId="33970DBC" w14:textId="2E2478A8">
            <w:pPr>
              <w:spacing w:after="0" w:line="240" w:lineRule="auto"/>
              <w:ind w:left="132" w:right="202"/>
              <w:jc w:val="both"/>
              <w:rPr>
                <w:rFonts w:ascii="Times New Roman" w:hAnsi="Times New Roman"/>
                <w:sz w:val="24"/>
                <w:szCs w:val="24"/>
              </w:rPr>
            </w:pPr>
            <w:r>
              <w:rPr>
                <w:rFonts w:ascii="Times New Roman" w:hAnsi="Times New Roman"/>
                <w:sz w:val="24"/>
                <w:szCs w:val="24"/>
              </w:rPr>
              <w:t>Ņemot vērā esošo situāciju būvniecības nozarē, kad tirgus strauji mainās, un tehniskās dokumentācijas sagatavošanas posmu, kurā bieži atklājas dažādi papildus nepieciešamie pasākumi, kuri pirms tam netika plānoti, tad nav iespējams precīzi plānot projektu naudas plūsmas. Iepriekš minēto iemeslu dēļ naudas plūsmas ir dzēstas no anotācijas pielikuma.</w:t>
            </w:r>
          </w:p>
          <w:p w:rsidR="00BF6FB6" w:rsidP="00BF6FB6" w14:paraId="0FE51BF1" w14:textId="763C856F">
            <w:pPr>
              <w:spacing w:after="0" w:line="240" w:lineRule="auto"/>
              <w:ind w:left="132" w:right="202"/>
              <w:jc w:val="both"/>
              <w:rPr>
                <w:rFonts w:ascii="Times New Roman" w:hAnsi="Times New Roman"/>
                <w:sz w:val="24"/>
                <w:szCs w:val="24"/>
              </w:rPr>
            </w:pPr>
            <w:r w:rsidRPr="00BF6FB6">
              <w:rPr>
                <w:rFonts w:ascii="Times New Roman" w:hAnsi="Times New Roman"/>
                <w:sz w:val="24"/>
                <w:szCs w:val="24"/>
              </w:rPr>
              <w:t xml:space="preserve">Finansējuma plūsmu prognoze tiks iegūta, balstoties uz līgumiem, kas noslēgti ar </w:t>
            </w:r>
            <w:r w:rsidR="00505345">
              <w:rPr>
                <w:rFonts w:ascii="Times New Roman" w:hAnsi="Times New Roman"/>
                <w:sz w:val="24"/>
                <w:szCs w:val="24"/>
              </w:rPr>
              <w:t xml:space="preserve">Centrālo finanšu un līgumu aģentūru (turpmāk – </w:t>
            </w:r>
            <w:r w:rsidRPr="00BF6FB6">
              <w:rPr>
                <w:rFonts w:ascii="Times New Roman" w:hAnsi="Times New Roman"/>
                <w:sz w:val="24"/>
                <w:szCs w:val="24"/>
              </w:rPr>
              <w:t>CFLA</w:t>
            </w:r>
            <w:r w:rsidR="00505345">
              <w:rPr>
                <w:rFonts w:ascii="Times New Roman" w:hAnsi="Times New Roman"/>
                <w:sz w:val="24"/>
                <w:szCs w:val="24"/>
              </w:rPr>
              <w:t>)</w:t>
            </w:r>
            <w:r w:rsidRPr="00BF6FB6">
              <w:rPr>
                <w:rFonts w:ascii="Times New Roman" w:hAnsi="Times New Roman"/>
                <w:sz w:val="24"/>
                <w:szCs w:val="24"/>
              </w:rPr>
              <w:t>, un līgumu ietvaros iesniegtajiem maksājumu pieprasījumu grafikiem.</w:t>
            </w:r>
          </w:p>
          <w:p w:rsidR="00B30348" w:rsidRPr="00BF6FB6" w:rsidP="00BF6FB6" w14:paraId="5B26CB80" w14:textId="11E1A577">
            <w:pPr>
              <w:spacing w:after="0" w:line="240" w:lineRule="auto"/>
              <w:ind w:left="132" w:right="202"/>
              <w:jc w:val="both"/>
              <w:rPr>
                <w:rFonts w:ascii="Times New Roman" w:hAnsi="Times New Roman"/>
                <w:sz w:val="24"/>
                <w:szCs w:val="24"/>
              </w:rPr>
            </w:pPr>
            <w:r>
              <w:rPr>
                <w:rFonts w:ascii="Times New Roman" w:hAnsi="Times New Roman"/>
                <w:sz w:val="24"/>
                <w:szCs w:val="24"/>
              </w:rPr>
              <w:t>Papildus anotācijas pielikumā ir izveidots rezerves ēku saraksts, kurā iek</w:t>
            </w:r>
            <w:r w:rsidR="00C64DFA">
              <w:rPr>
                <w:rFonts w:ascii="Times New Roman" w:hAnsi="Times New Roman"/>
                <w:sz w:val="24"/>
                <w:szCs w:val="24"/>
              </w:rPr>
              <w:t>ļauta</w:t>
            </w:r>
            <w:r>
              <w:rPr>
                <w:rFonts w:ascii="Times New Roman" w:hAnsi="Times New Roman"/>
                <w:sz w:val="24"/>
                <w:szCs w:val="24"/>
              </w:rPr>
              <w:t xml:space="preserve"> ēka Brīvības bulvārī 36, Rīgā, saskaņā ar Finanšu ministrijas 24.05.2018. atzinumu.</w:t>
            </w:r>
          </w:p>
          <w:p w:rsidR="009F2FA5" w:rsidP="009867E1" w14:paraId="36C50F51" w14:textId="77777777">
            <w:pPr>
              <w:spacing w:after="0" w:line="240" w:lineRule="auto"/>
              <w:ind w:left="132" w:right="202"/>
              <w:jc w:val="both"/>
              <w:rPr>
                <w:rFonts w:ascii="Times New Roman" w:hAnsi="Times New Roman"/>
                <w:sz w:val="24"/>
                <w:szCs w:val="24"/>
              </w:rPr>
            </w:pPr>
          </w:p>
          <w:p w:rsidR="00475884" w:rsidRPr="00475884" w:rsidP="00BB0771" w14:paraId="38922E9A" w14:textId="442004D7">
            <w:pPr>
              <w:numPr>
                <w:ilvl w:val="0"/>
                <w:numId w:val="1"/>
              </w:numPr>
              <w:spacing w:after="0" w:line="240" w:lineRule="auto"/>
              <w:ind w:right="202"/>
              <w:jc w:val="both"/>
              <w:rPr>
                <w:rFonts w:ascii="Times New Roman" w:hAnsi="Times New Roman"/>
                <w:b/>
                <w:i/>
                <w:sz w:val="24"/>
                <w:szCs w:val="24"/>
                <w:u w:val="single"/>
              </w:rPr>
            </w:pPr>
            <w:r w:rsidRPr="00475884">
              <w:rPr>
                <w:rFonts w:ascii="Times New Roman" w:hAnsi="Times New Roman"/>
                <w:b/>
                <w:i/>
                <w:sz w:val="24"/>
                <w:szCs w:val="24"/>
                <w:u w:val="single"/>
              </w:rPr>
              <w:t>Noteikt, ka finansējuma saņēmējs var palielināt projekta attiecināmās izmaksas</w:t>
            </w:r>
            <w:r w:rsidR="00BB0771">
              <w:t xml:space="preserve"> </w:t>
            </w:r>
            <w:r w:rsidRPr="00BB0771" w:rsidR="00BB0771">
              <w:rPr>
                <w:rFonts w:ascii="Times New Roman" w:hAnsi="Times New Roman"/>
                <w:b/>
                <w:i/>
                <w:sz w:val="24"/>
                <w:szCs w:val="24"/>
                <w:u w:val="single"/>
              </w:rPr>
              <w:t>pēc projekta iesnieguma iesniegšanas sadarbības iestādē līdz projekta apstiprināšanai nosacījumu izpildes laikā, ja projekts apstiprināts ar nosacīju</w:t>
            </w:r>
            <w:r w:rsidR="00BB0771">
              <w:rPr>
                <w:rFonts w:ascii="Times New Roman" w:hAnsi="Times New Roman"/>
                <w:b/>
                <w:i/>
                <w:sz w:val="24"/>
                <w:szCs w:val="24"/>
                <w:u w:val="single"/>
              </w:rPr>
              <w:t>mu, vai pēc vienošanās vai</w:t>
            </w:r>
            <w:r w:rsidRPr="00475884">
              <w:rPr>
                <w:rFonts w:ascii="Times New Roman" w:hAnsi="Times New Roman"/>
                <w:b/>
                <w:i/>
                <w:sz w:val="24"/>
                <w:szCs w:val="24"/>
                <w:u w:val="single"/>
              </w:rPr>
              <w:t xml:space="preserve"> līguma noslēgšanas ar CFLA.</w:t>
            </w:r>
          </w:p>
          <w:p w:rsidR="005F470E" w:rsidP="004C0C52" w14:paraId="21EAA55B" w14:textId="415C2A3C">
            <w:pPr>
              <w:spacing w:after="0" w:line="240" w:lineRule="auto"/>
              <w:ind w:left="132" w:right="202"/>
              <w:jc w:val="both"/>
              <w:rPr>
                <w:rFonts w:ascii="Times New Roman" w:hAnsi="Times New Roman"/>
                <w:sz w:val="24"/>
                <w:szCs w:val="24"/>
              </w:rPr>
            </w:pPr>
            <w:r w:rsidRPr="00475884">
              <w:rPr>
                <w:rFonts w:ascii="Times New Roman" w:hAnsi="Times New Roman"/>
                <w:sz w:val="24"/>
                <w:szCs w:val="24"/>
              </w:rPr>
              <w:t xml:space="preserve">Lai paātrinātu finansējuma apguvi 4.2.1.2.pasākuma </w:t>
            </w:r>
            <w:r w:rsidR="00C20237">
              <w:rPr>
                <w:rFonts w:ascii="Times New Roman" w:hAnsi="Times New Roman"/>
                <w:sz w:val="24"/>
                <w:szCs w:val="24"/>
              </w:rPr>
              <w:t>otrās</w:t>
            </w:r>
            <w:r w:rsidRPr="00475884">
              <w:rPr>
                <w:rFonts w:ascii="Times New Roman" w:hAnsi="Times New Roman"/>
                <w:sz w:val="24"/>
                <w:szCs w:val="24"/>
              </w:rPr>
              <w:t xml:space="preserve"> projektu iesniegumu atlases kārtas ietvaros, nepieciešams noteikt, ka finansējuma saņēmējs</w:t>
            </w:r>
            <w:r w:rsidR="00B6709C">
              <w:rPr>
                <w:rFonts w:ascii="Times New Roman" w:hAnsi="Times New Roman"/>
                <w:sz w:val="24"/>
                <w:szCs w:val="24"/>
              </w:rPr>
              <w:t>, kas minēts MK</w:t>
            </w:r>
            <w:r w:rsidR="00F1274E">
              <w:rPr>
                <w:rFonts w:ascii="Times New Roman" w:hAnsi="Times New Roman"/>
                <w:sz w:val="24"/>
                <w:szCs w:val="24"/>
              </w:rPr>
              <w:t xml:space="preserve">N </w:t>
            </w:r>
            <w:r w:rsidR="00B6709C">
              <w:rPr>
                <w:rFonts w:ascii="Times New Roman" w:hAnsi="Times New Roman"/>
                <w:sz w:val="24"/>
                <w:szCs w:val="24"/>
              </w:rPr>
              <w:t xml:space="preserve">Nr.13 1.pielikuma </w:t>
            </w:r>
            <w:r w:rsidRPr="00B6709C" w:rsidR="00B6709C">
              <w:rPr>
                <w:rFonts w:ascii="Times New Roman" w:hAnsi="Times New Roman"/>
                <w:sz w:val="24"/>
                <w:szCs w:val="24"/>
              </w:rPr>
              <w:t>1., 2., 3., 4. un 7. punktā</w:t>
            </w:r>
            <w:r w:rsidR="008158F0">
              <w:rPr>
                <w:rFonts w:ascii="Times New Roman" w:hAnsi="Times New Roman"/>
                <w:sz w:val="24"/>
                <w:szCs w:val="24"/>
              </w:rPr>
              <w:t xml:space="preserve"> (</w:t>
            </w:r>
            <w:r w:rsidRPr="00402938" w:rsidR="00402938">
              <w:rPr>
                <w:rFonts w:ascii="Times New Roman" w:hAnsi="Times New Roman"/>
                <w:sz w:val="24"/>
                <w:szCs w:val="24"/>
              </w:rPr>
              <w:t>1.pielikuma 1., 3., 4. un 7.punktā minētajiem finansējuma saņēmējiem valsts atbalsts netiek sniegts, savukārt 1.pielikuma 2.punktā mi</w:t>
            </w:r>
            <w:r w:rsidR="00402938">
              <w:rPr>
                <w:rFonts w:ascii="Times New Roman" w:hAnsi="Times New Roman"/>
                <w:sz w:val="24"/>
                <w:szCs w:val="24"/>
              </w:rPr>
              <w:t>nētajiem finansējuma saņēmējiem</w:t>
            </w:r>
            <w:r w:rsidRPr="00402938" w:rsidR="00402938">
              <w:rPr>
                <w:rFonts w:ascii="Times New Roman" w:hAnsi="Times New Roman"/>
                <w:sz w:val="24"/>
                <w:szCs w:val="24"/>
              </w:rPr>
              <w:t xml:space="preserve"> atbalsts tiek sniegts kā kompensācija par vispārējas nozīmes tautsaimniecības pakalpojumu sniegš</w:t>
            </w:r>
            <w:r w:rsidR="00402938">
              <w:rPr>
                <w:rFonts w:ascii="Times New Roman" w:hAnsi="Times New Roman"/>
                <w:sz w:val="24"/>
                <w:szCs w:val="24"/>
              </w:rPr>
              <w:t>anu</w:t>
            </w:r>
            <w:r w:rsidRPr="00402938" w:rsidR="00402938">
              <w:rPr>
                <w:rFonts w:ascii="Times New Roman" w:hAnsi="Times New Roman"/>
                <w:sz w:val="24"/>
                <w:szCs w:val="24"/>
              </w:rPr>
              <w:t xml:space="preserve"> saskaņā ar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tautsaimniecisku nozīmi</w:t>
            </w:r>
            <w:r w:rsidR="008158F0">
              <w:rPr>
                <w:rFonts w:ascii="Times New Roman" w:hAnsi="Times New Roman"/>
                <w:sz w:val="24"/>
                <w:szCs w:val="24"/>
              </w:rPr>
              <w:t>)</w:t>
            </w:r>
            <w:r w:rsidR="00B6709C">
              <w:rPr>
                <w:rFonts w:ascii="Times New Roman" w:hAnsi="Times New Roman"/>
                <w:sz w:val="24"/>
                <w:szCs w:val="24"/>
              </w:rPr>
              <w:t>,</w:t>
            </w:r>
            <w:r w:rsidRPr="00475884">
              <w:rPr>
                <w:rFonts w:ascii="Times New Roman" w:hAnsi="Times New Roman"/>
                <w:sz w:val="24"/>
                <w:szCs w:val="24"/>
              </w:rPr>
              <w:t xml:space="preserve"> var pa</w:t>
            </w:r>
            <w:r w:rsidR="00C20237">
              <w:rPr>
                <w:rFonts w:ascii="Times New Roman" w:hAnsi="Times New Roman"/>
                <w:sz w:val="24"/>
                <w:szCs w:val="24"/>
              </w:rPr>
              <w:t>lielināt</w:t>
            </w:r>
            <w:r w:rsidRPr="00475884">
              <w:rPr>
                <w:rFonts w:ascii="Times New Roman" w:hAnsi="Times New Roman"/>
                <w:sz w:val="24"/>
                <w:szCs w:val="24"/>
              </w:rPr>
              <w:t xml:space="preserve"> projekta attiecināmās izmaksas </w:t>
            </w:r>
            <w:r w:rsidRPr="000825F6" w:rsidR="000825F6">
              <w:rPr>
                <w:rFonts w:ascii="Times New Roman" w:hAnsi="Times New Roman"/>
                <w:sz w:val="24"/>
                <w:szCs w:val="24"/>
              </w:rPr>
              <w:t>pēc projekta iesnieguma iesniegšanas sadarbības iestādē līdz projekta apstiprināšanai nosacījumu izpildes laikā, ja projekts apstiprināts ar nosacījumu, vai pēc vienošanās vai</w:t>
            </w:r>
            <w:r w:rsidRPr="00475884">
              <w:rPr>
                <w:rFonts w:ascii="Times New Roman" w:hAnsi="Times New Roman"/>
                <w:sz w:val="24"/>
                <w:szCs w:val="24"/>
              </w:rPr>
              <w:t xml:space="preserve"> līguma noslēgšanas ar CFLA.</w:t>
            </w:r>
            <w:r w:rsidR="000708D2">
              <w:rPr>
                <w:rFonts w:ascii="Times New Roman" w:hAnsi="Times New Roman"/>
                <w:sz w:val="24"/>
                <w:szCs w:val="24"/>
              </w:rPr>
              <w:t xml:space="preserve"> MK</w:t>
            </w:r>
            <w:r w:rsidR="00F1274E">
              <w:rPr>
                <w:rFonts w:ascii="Times New Roman" w:hAnsi="Times New Roman"/>
                <w:sz w:val="24"/>
                <w:szCs w:val="24"/>
              </w:rPr>
              <w:t>N</w:t>
            </w:r>
            <w:r w:rsidR="000708D2">
              <w:rPr>
                <w:rFonts w:ascii="Times New Roman" w:hAnsi="Times New Roman"/>
                <w:sz w:val="24"/>
                <w:szCs w:val="24"/>
              </w:rPr>
              <w:t xml:space="preserve"> Nr.13 1.pielikuma 5. un 6.punktā minēto finansējumu saņēmēju p</w:t>
            </w:r>
            <w:r w:rsidRPr="000708D2" w:rsidR="000708D2">
              <w:rPr>
                <w:rFonts w:ascii="Times New Roman" w:hAnsi="Times New Roman"/>
                <w:sz w:val="24"/>
                <w:szCs w:val="24"/>
              </w:rPr>
              <w:t>rojektiem, kas tiek īstenoti saskaņā ar Eiropas Komisijas 2014.gada 17.jūnija Regulas (ES) Nr.651/2014, ar ko noteiktas atbalsta kategorijas atzīst par saderīgām ar iekšējo tirgu, piemērojot Līguma 107. un 108.pantu</w:t>
            </w:r>
            <w:r w:rsidR="000A1B52">
              <w:rPr>
                <w:rFonts w:ascii="Times New Roman" w:hAnsi="Times New Roman"/>
                <w:sz w:val="24"/>
                <w:szCs w:val="24"/>
              </w:rPr>
              <w:t xml:space="preserve"> (turpmāk – Regula Nr.651/2014)</w:t>
            </w:r>
            <w:r w:rsidRPr="000708D2" w:rsidR="000708D2">
              <w:rPr>
                <w:rFonts w:ascii="Times New Roman" w:hAnsi="Times New Roman"/>
                <w:sz w:val="24"/>
                <w:szCs w:val="24"/>
              </w:rPr>
              <w:t>, 55.pantu un kas tiek īstenoti saskaņā ar Eiropas Komisijas lēmumu, nav iespējams palielināt attiecināmās izmaksas pēc līguma slēgšanas ar CFLA</w:t>
            </w:r>
            <w:r w:rsidR="00CC28D4">
              <w:rPr>
                <w:rFonts w:ascii="Times New Roman" w:hAnsi="Times New Roman"/>
                <w:sz w:val="24"/>
                <w:szCs w:val="24"/>
              </w:rPr>
              <w:t>, jo pretējā gadījumā netiks ievēroti stimulējošās ietekmes nosac</w:t>
            </w:r>
            <w:r w:rsidR="00F87140">
              <w:rPr>
                <w:rFonts w:ascii="Times New Roman" w:hAnsi="Times New Roman"/>
                <w:sz w:val="24"/>
                <w:szCs w:val="24"/>
              </w:rPr>
              <w:t xml:space="preserve">ījumi atbilstoši </w:t>
            </w:r>
            <w:r w:rsidR="000A1B52">
              <w:rPr>
                <w:rFonts w:ascii="Times New Roman" w:hAnsi="Times New Roman"/>
                <w:sz w:val="24"/>
                <w:szCs w:val="24"/>
              </w:rPr>
              <w:t>Regulas Nr.651/2014 6.pant</w:t>
            </w:r>
            <w:r w:rsidR="00F87140">
              <w:rPr>
                <w:rFonts w:ascii="Times New Roman" w:hAnsi="Times New Roman"/>
                <w:sz w:val="24"/>
                <w:szCs w:val="24"/>
              </w:rPr>
              <w:t xml:space="preserve">a </w:t>
            </w:r>
            <w:r w:rsidRPr="00F87140" w:rsidR="00F87140">
              <w:rPr>
                <w:rFonts w:ascii="Times New Roman" w:hAnsi="Times New Roman"/>
                <w:sz w:val="24"/>
                <w:szCs w:val="24"/>
              </w:rPr>
              <w:t>2. punkta nosacījumiem</w:t>
            </w:r>
            <w:r w:rsidR="00F87140">
              <w:rPr>
                <w:rFonts w:ascii="Times New Roman" w:hAnsi="Times New Roman"/>
                <w:sz w:val="24"/>
                <w:szCs w:val="24"/>
              </w:rPr>
              <w:t xml:space="preserve"> (finansējuma saņēmējam jāiesniedz</w:t>
            </w:r>
            <w:r w:rsidRPr="00F87140" w:rsidR="00F87140">
              <w:rPr>
                <w:rFonts w:ascii="Times New Roman" w:hAnsi="Times New Roman"/>
                <w:sz w:val="24"/>
                <w:szCs w:val="24"/>
              </w:rPr>
              <w:t xml:space="preserve"> rakstisk</w:t>
            </w:r>
            <w:r w:rsidR="00F87140">
              <w:rPr>
                <w:rFonts w:ascii="Times New Roman" w:hAnsi="Times New Roman"/>
                <w:sz w:val="24"/>
                <w:szCs w:val="24"/>
              </w:rPr>
              <w:t>s</w:t>
            </w:r>
            <w:r w:rsidRPr="00F87140" w:rsidR="00F87140">
              <w:rPr>
                <w:rFonts w:ascii="Times New Roman" w:hAnsi="Times New Roman"/>
                <w:sz w:val="24"/>
                <w:szCs w:val="24"/>
              </w:rPr>
              <w:t xml:space="preserve"> </w:t>
            </w:r>
            <w:r w:rsidR="00F87140">
              <w:rPr>
                <w:rFonts w:ascii="Times New Roman" w:hAnsi="Times New Roman"/>
                <w:sz w:val="24"/>
                <w:szCs w:val="24"/>
              </w:rPr>
              <w:t>projekta iesniegums</w:t>
            </w:r>
            <w:r w:rsidRPr="00F87140" w:rsidR="00F87140">
              <w:rPr>
                <w:rFonts w:ascii="Times New Roman" w:hAnsi="Times New Roman"/>
                <w:sz w:val="24"/>
                <w:szCs w:val="24"/>
              </w:rPr>
              <w:t xml:space="preserve"> pirms projekta īstenošanas uzsākšanas</w:t>
            </w:r>
            <w:r w:rsidR="00F87140">
              <w:rPr>
                <w:rFonts w:ascii="Times New Roman" w:hAnsi="Times New Roman"/>
                <w:sz w:val="24"/>
                <w:szCs w:val="24"/>
              </w:rPr>
              <w:t>)</w:t>
            </w:r>
            <w:r w:rsidRPr="00F87140" w:rsidR="00F87140">
              <w:rPr>
                <w:rFonts w:ascii="Times New Roman" w:hAnsi="Times New Roman"/>
                <w:sz w:val="24"/>
                <w:szCs w:val="24"/>
              </w:rPr>
              <w:t>.</w:t>
            </w:r>
            <w:r w:rsidRPr="000708D2" w:rsidR="000708D2">
              <w:rPr>
                <w:rFonts w:ascii="Times New Roman" w:hAnsi="Times New Roman"/>
                <w:sz w:val="24"/>
                <w:szCs w:val="24"/>
              </w:rPr>
              <w:t xml:space="preserve"> Ja tiek pārsniegta tā summa, kas norādīta, apstiprinot projekta iesniegumu vai noslēdzot līgumu ar atbalsta sniedzēju, piešķirtais papildus finansējums kvalificējas kā jauns atbalsts, un attiecīgi tiks pārkāpti stimulējošās ietekmes nosacījumi.</w:t>
            </w:r>
          </w:p>
          <w:p w:rsidR="004C0C52" w:rsidRPr="004C0C52" w:rsidP="004C0C52" w14:paraId="536E25EE" w14:textId="2A0F5E54">
            <w:pPr>
              <w:spacing w:after="0" w:line="240" w:lineRule="auto"/>
              <w:ind w:left="132" w:right="202"/>
              <w:jc w:val="both"/>
              <w:rPr>
                <w:rFonts w:ascii="Times New Roman" w:hAnsi="Times New Roman"/>
                <w:sz w:val="24"/>
                <w:szCs w:val="24"/>
              </w:rPr>
            </w:pPr>
            <w:r>
              <w:rPr>
                <w:rFonts w:ascii="Times New Roman" w:hAnsi="Times New Roman"/>
                <w:sz w:val="24"/>
                <w:szCs w:val="24"/>
              </w:rPr>
              <w:t>Projektu attiecināmo izmaksu palielināšanas e</w:t>
            </w:r>
            <w:r w:rsidRPr="00475884" w:rsidR="00475884">
              <w:rPr>
                <w:rFonts w:ascii="Times New Roman" w:hAnsi="Times New Roman"/>
                <w:sz w:val="24"/>
                <w:szCs w:val="24"/>
              </w:rPr>
              <w:t xml:space="preserve">sošā kārtība nosaka, ka attiecīgajam resoram ir jāsagatavo informatīvais ziņojums un tas jāiesniedz Ministru </w:t>
            </w:r>
            <w:r w:rsidR="00505345">
              <w:rPr>
                <w:rFonts w:ascii="Times New Roman" w:hAnsi="Times New Roman"/>
                <w:sz w:val="24"/>
                <w:szCs w:val="24"/>
              </w:rPr>
              <w:t>k</w:t>
            </w:r>
            <w:r w:rsidRPr="00475884" w:rsidR="00505345">
              <w:rPr>
                <w:rFonts w:ascii="Times New Roman" w:hAnsi="Times New Roman"/>
                <w:sz w:val="24"/>
                <w:szCs w:val="24"/>
              </w:rPr>
              <w:t>abinetā</w:t>
            </w:r>
            <w:r w:rsidR="00505345">
              <w:rPr>
                <w:rFonts w:ascii="Times New Roman" w:hAnsi="Times New Roman"/>
                <w:sz w:val="24"/>
                <w:szCs w:val="24"/>
              </w:rPr>
              <w:t xml:space="preserve"> (turpmāk – MK)</w:t>
            </w:r>
            <w:r w:rsidRPr="00475884" w:rsidR="00475884">
              <w:rPr>
                <w:rFonts w:ascii="Times New Roman" w:hAnsi="Times New Roman"/>
                <w:sz w:val="24"/>
                <w:szCs w:val="24"/>
              </w:rPr>
              <w:t>, kas ir laikietilpīga procedūra. Jaunā kārtība noteiks, ka finansējuma saņēmēj</w:t>
            </w:r>
            <w:r>
              <w:rPr>
                <w:rFonts w:ascii="Times New Roman" w:hAnsi="Times New Roman"/>
                <w:sz w:val="24"/>
                <w:szCs w:val="24"/>
              </w:rPr>
              <w:t>iem</w:t>
            </w:r>
            <w:r w:rsidRPr="00475884" w:rsidR="00475884">
              <w:rPr>
                <w:rFonts w:ascii="Times New Roman" w:hAnsi="Times New Roman"/>
                <w:sz w:val="24"/>
                <w:szCs w:val="24"/>
              </w:rPr>
              <w:t xml:space="preserve"> CFLA būs jāiesniedz </w:t>
            </w:r>
            <w:r>
              <w:rPr>
                <w:rFonts w:ascii="Times New Roman" w:hAnsi="Times New Roman"/>
                <w:sz w:val="24"/>
                <w:szCs w:val="24"/>
              </w:rPr>
              <w:t>MK</w:t>
            </w:r>
            <w:r w:rsidR="00F1274E">
              <w:rPr>
                <w:rFonts w:ascii="Times New Roman" w:hAnsi="Times New Roman"/>
                <w:sz w:val="24"/>
                <w:szCs w:val="24"/>
              </w:rPr>
              <w:t xml:space="preserve">N </w:t>
            </w:r>
            <w:r>
              <w:rPr>
                <w:rFonts w:ascii="Times New Roman" w:hAnsi="Times New Roman"/>
                <w:sz w:val="24"/>
                <w:szCs w:val="24"/>
              </w:rPr>
              <w:t>Nr.13 17.punktā minētais</w:t>
            </w:r>
            <w:r w:rsidRPr="00475884" w:rsidR="00475884">
              <w:rPr>
                <w:rFonts w:ascii="Times New Roman" w:hAnsi="Times New Roman"/>
                <w:sz w:val="24"/>
                <w:szCs w:val="24"/>
              </w:rPr>
              <w:t xml:space="preserve"> apliecinājums, </w:t>
            </w:r>
            <w:r w:rsidRPr="004C0C52">
              <w:rPr>
                <w:rFonts w:ascii="Times New Roman" w:hAnsi="Times New Roman"/>
                <w:sz w:val="24"/>
                <w:szCs w:val="24"/>
              </w:rPr>
              <w:t>aktualizējot informāciju, ka</w:t>
            </w:r>
            <w:r w:rsidR="00965899">
              <w:rPr>
                <w:rFonts w:ascii="Times New Roman" w:hAnsi="Times New Roman"/>
                <w:sz w:val="24"/>
                <w:szCs w:val="24"/>
              </w:rPr>
              <w:t>s ir noteikta MK</w:t>
            </w:r>
            <w:r w:rsidR="00F1274E">
              <w:rPr>
                <w:rFonts w:ascii="Times New Roman" w:hAnsi="Times New Roman"/>
                <w:sz w:val="24"/>
                <w:szCs w:val="24"/>
              </w:rPr>
              <w:t xml:space="preserve">N </w:t>
            </w:r>
            <w:r w:rsidR="00965899">
              <w:rPr>
                <w:rFonts w:ascii="Times New Roman" w:hAnsi="Times New Roman"/>
                <w:sz w:val="24"/>
                <w:szCs w:val="24"/>
              </w:rPr>
              <w:t>Nr.13</w:t>
            </w:r>
            <w:r w:rsidRPr="004C0C52">
              <w:rPr>
                <w:rFonts w:ascii="Times New Roman" w:hAnsi="Times New Roman"/>
                <w:sz w:val="24"/>
                <w:szCs w:val="24"/>
              </w:rPr>
              <w:t xml:space="preserve"> </w:t>
            </w:r>
            <w:r w:rsidR="00E35A3B">
              <w:rPr>
                <w:rFonts w:ascii="Times New Roman" w:hAnsi="Times New Roman"/>
                <w:sz w:val="24"/>
                <w:szCs w:val="24"/>
              </w:rPr>
              <w:t>17.1., 17.2., 17.3. un 17.4.</w:t>
            </w:r>
            <w:r w:rsidRPr="004C0C52">
              <w:rPr>
                <w:rFonts w:ascii="Times New Roman" w:hAnsi="Times New Roman"/>
                <w:sz w:val="24"/>
                <w:szCs w:val="24"/>
              </w:rPr>
              <w:t>apakšpunktā.</w:t>
            </w:r>
            <w:r w:rsidR="00E961BA">
              <w:rPr>
                <w:rFonts w:ascii="Times New Roman" w:hAnsi="Times New Roman"/>
                <w:sz w:val="24"/>
                <w:szCs w:val="24"/>
              </w:rPr>
              <w:t xml:space="preserve"> </w:t>
            </w:r>
          </w:p>
          <w:p w:rsidR="004C0C52" w:rsidRPr="004C0C52" w:rsidP="004C0C52" w14:paraId="43B1FEBE" w14:textId="0F437FE9">
            <w:pPr>
              <w:spacing w:after="0" w:line="240" w:lineRule="auto"/>
              <w:ind w:left="132" w:right="202"/>
              <w:jc w:val="both"/>
              <w:rPr>
                <w:rFonts w:ascii="Times New Roman" w:hAnsi="Times New Roman"/>
                <w:sz w:val="24"/>
                <w:szCs w:val="24"/>
              </w:rPr>
            </w:pPr>
            <w:r w:rsidRPr="004C0C52">
              <w:rPr>
                <w:rFonts w:ascii="Times New Roman" w:hAnsi="Times New Roman"/>
                <w:sz w:val="24"/>
                <w:szCs w:val="24"/>
              </w:rPr>
              <w:t>Pēc finansējuma saņēmēja iesnieguma saņemšanas par attiecināmo izmaksu palielināšanu sadarbības iestāde veic projekta pārvērtēšanu, kuras ietvaros jāpārliecinās par projektu iesniegumu vērtēšanas kvalitātes kritērija Nr.1 "Ēkas energoefektivitātes paaugstināšanas rezultātā plānotā siltumenerģijas un elektroenerģijas ietaupījuma kopsumma (megavatstundas/gadā) attiecībā pret projekta attieci</w:t>
            </w:r>
            <w:r>
              <w:rPr>
                <w:rFonts w:ascii="Times New Roman" w:hAnsi="Times New Roman"/>
                <w:sz w:val="24"/>
                <w:szCs w:val="24"/>
              </w:rPr>
              <w:t xml:space="preserve">nāmām izmaksām (tūkstošos </w:t>
            </w:r>
            <w:r w:rsidRPr="00AB7120">
              <w:rPr>
                <w:rFonts w:ascii="Times New Roman" w:hAnsi="Times New Roman"/>
                <w:i/>
                <w:sz w:val="24"/>
                <w:szCs w:val="24"/>
              </w:rPr>
              <w:t>euro</w:t>
            </w:r>
            <w:r>
              <w:rPr>
                <w:rFonts w:ascii="Times New Roman" w:hAnsi="Times New Roman"/>
                <w:sz w:val="24"/>
                <w:szCs w:val="24"/>
              </w:rPr>
              <w:t>)</w:t>
            </w:r>
            <w:r w:rsidRPr="004C0C52">
              <w:rPr>
                <w:rFonts w:ascii="Times New Roman" w:hAnsi="Times New Roman"/>
                <w:sz w:val="24"/>
                <w:szCs w:val="24"/>
              </w:rPr>
              <w:t xml:space="preserve">" atbilstību. Projekta iesnieguma vērtēšanas laikā ir iespējams veikt gan projekta datu precizēšanu, gan attiecināmo izmaksu apjomu. </w:t>
            </w:r>
          </w:p>
          <w:p w:rsidR="007456EF" w:rsidP="00475884" w14:paraId="7B91A96A" w14:textId="77777777">
            <w:pPr>
              <w:spacing w:after="0" w:line="240" w:lineRule="auto"/>
              <w:ind w:left="132" w:right="202"/>
              <w:jc w:val="both"/>
              <w:rPr>
                <w:rFonts w:ascii="Times New Roman" w:hAnsi="Times New Roman"/>
                <w:sz w:val="24"/>
                <w:szCs w:val="24"/>
              </w:rPr>
            </w:pPr>
          </w:p>
          <w:p w:rsidR="008069B7" w:rsidRPr="00B564F2" w:rsidP="0073369E" w14:paraId="2854FD68" w14:textId="1A6119A3">
            <w:pPr>
              <w:numPr>
                <w:ilvl w:val="0"/>
                <w:numId w:val="1"/>
              </w:numPr>
              <w:spacing w:after="0" w:line="240" w:lineRule="auto"/>
              <w:ind w:right="202"/>
              <w:jc w:val="both"/>
              <w:rPr>
                <w:rFonts w:ascii="Times New Roman" w:hAnsi="Times New Roman"/>
                <w:b/>
                <w:i/>
                <w:sz w:val="24"/>
                <w:szCs w:val="24"/>
                <w:u w:val="single"/>
              </w:rPr>
            </w:pPr>
            <w:r w:rsidRPr="00B6025E">
              <w:rPr>
                <w:rFonts w:ascii="Times New Roman" w:hAnsi="Times New Roman"/>
                <w:b/>
                <w:i/>
                <w:sz w:val="24"/>
                <w:szCs w:val="24"/>
                <w:u w:val="single"/>
              </w:rPr>
              <w:t xml:space="preserve">Noteikt, ka, ja projekta īstenošanas laikā rodas neattiecināmie izdevumi vai sadārdzinās projekta plānotās attiecināmās izmaksas, kā rezultātā projekta izmaksas neiekļaujas MK noteikumu Nr.13 1. pielikumā  noteiktajā finansējuma saņēmējam </w:t>
            </w:r>
            <w:r w:rsidRPr="00B6025E" w:rsidR="00A9668A">
              <w:rPr>
                <w:rFonts w:ascii="Times New Roman" w:hAnsi="Times New Roman"/>
                <w:b/>
                <w:i/>
                <w:sz w:val="24"/>
                <w:szCs w:val="24"/>
                <w:u w:val="single"/>
              </w:rPr>
              <w:t>pieejam</w:t>
            </w:r>
            <w:r w:rsidRPr="00B6025E">
              <w:rPr>
                <w:rFonts w:ascii="Times New Roman" w:hAnsi="Times New Roman"/>
                <w:b/>
                <w:i/>
                <w:sz w:val="24"/>
                <w:szCs w:val="24"/>
                <w:u w:val="single"/>
              </w:rPr>
              <w:t>ā finansējuma maksimālajā apmērā, finansējuma saņēmējs papildu izmaksas sedz no paša rīcībā esošajiem līdzekļiem.</w:t>
            </w:r>
          </w:p>
          <w:p w:rsidR="008069B7" w:rsidP="00F1274E" w14:paraId="09DE5DD9" w14:textId="25E133BD">
            <w:pPr>
              <w:spacing w:after="0" w:line="240" w:lineRule="auto"/>
              <w:ind w:left="132" w:right="202"/>
              <w:jc w:val="both"/>
              <w:rPr>
                <w:rFonts w:ascii="Times New Roman" w:hAnsi="Times New Roman"/>
                <w:sz w:val="24"/>
                <w:szCs w:val="24"/>
              </w:rPr>
            </w:pPr>
            <w:r>
              <w:rPr>
                <w:rFonts w:ascii="Times New Roman" w:hAnsi="Times New Roman"/>
                <w:sz w:val="24"/>
                <w:szCs w:val="24"/>
              </w:rPr>
              <w:t>Noteikumu projekta 30.</w:t>
            </w:r>
            <w:r w:rsidRPr="00B564F2">
              <w:rPr>
                <w:rFonts w:ascii="Times New Roman" w:hAnsi="Times New Roman"/>
                <w:sz w:val="24"/>
                <w:szCs w:val="24"/>
                <w:vertAlign w:val="superscript"/>
              </w:rPr>
              <w:t>1</w:t>
            </w:r>
            <w:r>
              <w:rPr>
                <w:rFonts w:ascii="Times New Roman" w:hAnsi="Times New Roman"/>
                <w:sz w:val="24"/>
                <w:szCs w:val="24"/>
              </w:rPr>
              <w:t xml:space="preserve"> </w:t>
            </w:r>
            <w:r w:rsidR="00F1274E">
              <w:rPr>
                <w:rFonts w:ascii="Times New Roman" w:hAnsi="Times New Roman"/>
                <w:sz w:val="24"/>
                <w:szCs w:val="24"/>
              </w:rPr>
              <w:t xml:space="preserve">punkts attiecināms uz MKN </w:t>
            </w:r>
            <w:r>
              <w:rPr>
                <w:rFonts w:ascii="Times New Roman" w:hAnsi="Times New Roman"/>
                <w:sz w:val="24"/>
                <w:szCs w:val="24"/>
              </w:rPr>
              <w:t>Nr.13 1.pielikum</w:t>
            </w:r>
            <w:r w:rsidR="00826EB6">
              <w:rPr>
                <w:rFonts w:ascii="Times New Roman" w:hAnsi="Times New Roman"/>
                <w:sz w:val="24"/>
                <w:szCs w:val="24"/>
              </w:rPr>
              <w:t>a</w:t>
            </w:r>
            <w:r w:rsidR="00CF3978">
              <w:rPr>
                <w:rFonts w:ascii="Times New Roman" w:hAnsi="Times New Roman"/>
                <w:sz w:val="24"/>
                <w:szCs w:val="24"/>
              </w:rPr>
              <w:t xml:space="preserve"> </w:t>
            </w:r>
            <w:r w:rsidR="00826EB6">
              <w:rPr>
                <w:rFonts w:ascii="Times New Roman" w:hAnsi="Times New Roman"/>
                <w:sz w:val="24"/>
                <w:szCs w:val="24"/>
              </w:rPr>
              <w:t>1., 2., 3., 4.</w:t>
            </w:r>
            <w:r w:rsidR="00CF3978">
              <w:rPr>
                <w:rFonts w:ascii="Times New Roman" w:hAnsi="Times New Roman"/>
                <w:sz w:val="24"/>
                <w:szCs w:val="24"/>
              </w:rPr>
              <w:t xml:space="preserve"> un</w:t>
            </w:r>
            <w:r w:rsidR="00826EB6">
              <w:rPr>
                <w:rFonts w:ascii="Times New Roman" w:hAnsi="Times New Roman"/>
                <w:sz w:val="24"/>
                <w:szCs w:val="24"/>
              </w:rPr>
              <w:t xml:space="preserve"> 7.</w:t>
            </w:r>
            <w:r w:rsidR="00CF3978">
              <w:rPr>
                <w:rFonts w:ascii="Times New Roman" w:hAnsi="Times New Roman"/>
                <w:sz w:val="24"/>
                <w:szCs w:val="24"/>
              </w:rPr>
              <w:t xml:space="preserve"> punktā</w:t>
            </w:r>
            <w:r>
              <w:rPr>
                <w:rFonts w:ascii="Times New Roman" w:hAnsi="Times New Roman"/>
                <w:sz w:val="24"/>
                <w:szCs w:val="24"/>
              </w:rPr>
              <w:t xml:space="preserve"> minētajiem finansējuma saņēmēj</w:t>
            </w:r>
            <w:r w:rsidR="00F1274E">
              <w:rPr>
                <w:rFonts w:ascii="Times New Roman" w:hAnsi="Times New Roman"/>
                <w:sz w:val="24"/>
                <w:szCs w:val="24"/>
              </w:rPr>
              <w:t xml:space="preserve">iem analoģiski MKN </w:t>
            </w:r>
            <w:r>
              <w:rPr>
                <w:rFonts w:ascii="Times New Roman" w:hAnsi="Times New Roman"/>
                <w:sz w:val="24"/>
                <w:szCs w:val="24"/>
              </w:rPr>
              <w:t>Nr.13 30.2.apakšpunktam. Tas nozīmē, ka, j</w:t>
            </w:r>
            <w:r w:rsidRPr="00F66B7A">
              <w:rPr>
                <w:rFonts w:ascii="Times New Roman" w:hAnsi="Times New Roman"/>
                <w:sz w:val="24"/>
                <w:szCs w:val="24"/>
              </w:rPr>
              <w:t xml:space="preserve">a projekta īstenošanas laikā rodas neattiecināmie izdevumi vai sadārdzinās projekta plānotās attiecināmās izmaksas, kā rezultātā projekta izmaksas neiekļaujas </w:t>
            </w:r>
            <w:r>
              <w:rPr>
                <w:rFonts w:ascii="Times New Roman" w:hAnsi="Times New Roman"/>
                <w:sz w:val="24"/>
                <w:szCs w:val="24"/>
              </w:rPr>
              <w:t>MK noteikumu Nr.13</w:t>
            </w:r>
            <w:r w:rsidR="00D37BA2">
              <w:rPr>
                <w:rFonts w:ascii="Times New Roman" w:hAnsi="Times New Roman"/>
                <w:sz w:val="24"/>
                <w:szCs w:val="24"/>
              </w:rPr>
              <w:t xml:space="preserve"> 1. pielikuma</w:t>
            </w:r>
            <w:r w:rsidRPr="00F66B7A">
              <w:rPr>
                <w:rFonts w:ascii="Times New Roman" w:hAnsi="Times New Roman"/>
                <w:sz w:val="24"/>
                <w:szCs w:val="24"/>
              </w:rPr>
              <w:t xml:space="preserve"> </w:t>
            </w:r>
            <w:r w:rsidRPr="00D37BA2" w:rsidR="00D37BA2">
              <w:rPr>
                <w:rFonts w:ascii="Times New Roman" w:hAnsi="Times New Roman"/>
                <w:sz w:val="24"/>
                <w:szCs w:val="24"/>
              </w:rPr>
              <w:t xml:space="preserve">1., 2., 3., 4. un 7. punktā </w:t>
            </w:r>
            <w:r w:rsidRPr="00F66B7A">
              <w:rPr>
                <w:rFonts w:ascii="Times New Roman" w:hAnsi="Times New Roman"/>
                <w:sz w:val="24"/>
                <w:szCs w:val="24"/>
              </w:rPr>
              <w:t>noteiktā finansējuma saņēmēja pieejamā finansējuma maksimālajā apmērā,</w:t>
            </w:r>
            <w:r>
              <w:rPr>
                <w:rFonts w:ascii="Times New Roman" w:hAnsi="Times New Roman"/>
                <w:sz w:val="24"/>
                <w:szCs w:val="24"/>
              </w:rPr>
              <w:t xml:space="preserve"> finansējuma saņēmēji</w:t>
            </w:r>
            <w:r w:rsidRPr="00F66B7A">
              <w:rPr>
                <w:rFonts w:ascii="Times New Roman" w:hAnsi="Times New Roman"/>
                <w:sz w:val="24"/>
                <w:szCs w:val="24"/>
              </w:rPr>
              <w:t xml:space="preserve"> papildu izmaksas sedz no</w:t>
            </w:r>
            <w:r w:rsidR="00CF3978">
              <w:rPr>
                <w:rFonts w:ascii="Times New Roman" w:hAnsi="Times New Roman"/>
                <w:sz w:val="24"/>
                <w:szCs w:val="24"/>
              </w:rPr>
              <w:t xml:space="preserve"> paša</w:t>
            </w:r>
            <w:r w:rsidRPr="00F66B7A">
              <w:rPr>
                <w:rFonts w:ascii="Times New Roman" w:hAnsi="Times New Roman"/>
                <w:sz w:val="24"/>
                <w:szCs w:val="24"/>
              </w:rPr>
              <w:t xml:space="preserve"> līdzekļiem</w:t>
            </w:r>
            <w:r w:rsidR="00D37BA2">
              <w:rPr>
                <w:rFonts w:ascii="Times New Roman" w:hAnsi="Times New Roman"/>
                <w:sz w:val="24"/>
                <w:szCs w:val="24"/>
              </w:rPr>
              <w:t>.</w:t>
            </w:r>
          </w:p>
          <w:p w:rsidR="00220249" w:rsidP="00F1274E" w14:paraId="689C66EB" w14:textId="77777777">
            <w:pPr>
              <w:spacing w:after="0" w:line="240" w:lineRule="auto"/>
              <w:ind w:left="132" w:right="202"/>
              <w:jc w:val="both"/>
              <w:rPr>
                <w:rFonts w:ascii="Times New Roman" w:hAnsi="Times New Roman"/>
                <w:sz w:val="24"/>
                <w:szCs w:val="24"/>
              </w:rPr>
            </w:pPr>
          </w:p>
          <w:p w:rsidR="003A1611" w:rsidRPr="00554B45" w:rsidP="00B564F2" w14:paraId="02C4F93F" w14:textId="77777777">
            <w:pPr>
              <w:numPr>
                <w:ilvl w:val="0"/>
                <w:numId w:val="1"/>
              </w:numPr>
              <w:spacing w:after="0" w:line="240" w:lineRule="auto"/>
              <w:ind w:right="202"/>
              <w:jc w:val="both"/>
              <w:rPr>
                <w:rFonts w:ascii="Times New Roman" w:hAnsi="Times New Roman"/>
                <w:b/>
                <w:i/>
                <w:sz w:val="24"/>
                <w:szCs w:val="24"/>
                <w:u w:val="single"/>
              </w:rPr>
            </w:pPr>
            <w:r w:rsidRPr="00B564F2">
              <w:rPr>
                <w:rFonts w:ascii="Times New Roman" w:hAnsi="Times New Roman"/>
                <w:b/>
                <w:i/>
                <w:sz w:val="24"/>
                <w:szCs w:val="24"/>
                <w:u w:val="single"/>
              </w:rPr>
              <w:t xml:space="preserve">Svītrot </w:t>
            </w:r>
            <w:r>
              <w:rPr>
                <w:rFonts w:ascii="Times New Roman" w:hAnsi="Times New Roman"/>
                <w:b/>
                <w:i/>
                <w:sz w:val="24"/>
                <w:szCs w:val="24"/>
                <w:u w:val="single"/>
              </w:rPr>
              <w:t>MK noteikumu Nr.13 20.punktu.</w:t>
            </w:r>
          </w:p>
          <w:p w:rsidR="00C64560" w:rsidRPr="00F838D5" w:rsidP="00DC6D09" w14:paraId="2B35C26F" w14:textId="0EAB1D89">
            <w:pPr>
              <w:spacing w:after="0" w:line="240" w:lineRule="auto"/>
              <w:ind w:left="132" w:right="202"/>
              <w:jc w:val="both"/>
              <w:rPr>
                <w:rFonts w:ascii="Times New Roman" w:hAnsi="Times New Roman"/>
                <w:sz w:val="24"/>
                <w:szCs w:val="24"/>
              </w:rPr>
            </w:pPr>
            <w:r>
              <w:rPr>
                <w:rFonts w:ascii="Times New Roman" w:hAnsi="Times New Roman"/>
                <w:sz w:val="24"/>
                <w:szCs w:val="24"/>
              </w:rPr>
              <w:t>Lai CO</w:t>
            </w:r>
            <w:r w:rsidRPr="00B564F2">
              <w:rPr>
                <w:rFonts w:ascii="Times New Roman" w:hAnsi="Times New Roman"/>
                <w:sz w:val="24"/>
                <w:szCs w:val="24"/>
                <w:vertAlign w:val="subscript"/>
              </w:rPr>
              <w:t>2</w:t>
            </w:r>
            <w:r>
              <w:rPr>
                <w:rFonts w:ascii="Times New Roman" w:hAnsi="Times New Roman"/>
                <w:sz w:val="24"/>
                <w:szCs w:val="24"/>
              </w:rPr>
              <w:t xml:space="preserve"> emisiju aprēķins atbilstu spēkā esošajiem normatīvajiem aktiem ēku energoefektivitātes jomā</w:t>
            </w:r>
            <w:r w:rsidR="006A4B12">
              <w:rPr>
                <w:rFonts w:ascii="Times New Roman" w:hAnsi="Times New Roman"/>
                <w:sz w:val="24"/>
                <w:szCs w:val="24"/>
              </w:rPr>
              <w:t>, nepieciešams svītrot attiecīgo punktu. Ja ēkas apkurē izmanto atjaunojamos energoresursus, kas ir CO</w:t>
            </w:r>
            <w:r w:rsidRPr="00B564F2" w:rsidR="006A4B12">
              <w:rPr>
                <w:rFonts w:ascii="Times New Roman" w:hAnsi="Times New Roman"/>
                <w:sz w:val="24"/>
                <w:szCs w:val="24"/>
                <w:vertAlign w:val="subscript"/>
              </w:rPr>
              <w:t>2</w:t>
            </w:r>
            <w:r w:rsidR="006A4B12">
              <w:rPr>
                <w:rFonts w:ascii="Times New Roman" w:hAnsi="Times New Roman"/>
                <w:sz w:val="24"/>
                <w:szCs w:val="24"/>
              </w:rPr>
              <w:t xml:space="preserve"> emisiju neitrāli, tad CO</w:t>
            </w:r>
            <w:r w:rsidRPr="00B564F2" w:rsidR="006A4B12">
              <w:rPr>
                <w:rFonts w:ascii="Times New Roman" w:hAnsi="Times New Roman"/>
                <w:sz w:val="24"/>
                <w:szCs w:val="24"/>
                <w:vertAlign w:val="subscript"/>
              </w:rPr>
              <w:t>2</w:t>
            </w:r>
            <w:r w:rsidR="006A4B12">
              <w:rPr>
                <w:rFonts w:ascii="Times New Roman" w:hAnsi="Times New Roman"/>
                <w:sz w:val="24"/>
                <w:szCs w:val="24"/>
              </w:rPr>
              <w:t xml:space="preserve"> faktors ir nulle.</w:t>
            </w:r>
          </w:p>
        </w:tc>
      </w:tr>
      <w:tr w14:paraId="5FB32C22" w14:textId="77777777" w:rsidTr="00E85BF0">
        <w:tblPrEx>
          <w:tblW w:w="9356" w:type="dxa"/>
          <w:tblInd w:w="-537" w:type="dxa"/>
          <w:tblCellMar>
            <w:left w:w="0" w:type="dxa"/>
            <w:right w:w="0" w:type="dxa"/>
          </w:tblCellMar>
          <w:tblLook w:val="04A0"/>
        </w:tblPrEx>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2B67D711" w14:textId="5151BF44">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9B27EB1" w14:textId="1C62B743">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Ekonomikas ministrija</w:t>
            </w:r>
          </w:p>
        </w:tc>
      </w:tr>
      <w:tr w14:paraId="51FE2A99" w14:textId="77777777" w:rsidTr="00E85BF0">
        <w:tblPrEx>
          <w:tblW w:w="9356" w:type="dxa"/>
          <w:tblInd w:w="-537" w:type="dxa"/>
          <w:tblCellMar>
            <w:left w:w="0" w:type="dxa"/>
            <w:right w:w="0" w:type="dxa"/>
          </w:tblCellMar>
          <w:tblLook w:val="04A0"/>
        </w:tblPrEx>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77B0FA67"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5B832A64" w14:textId="77777777">
            <w:pPr>
              <w:spacing w:after="0" w:line="240" w:lineRule="auto"/>
              <w:ind w:firstLine="567"/>
              <w:jc w:val="both"/>
              <w:rPr>
                <w:rFonts w:ascii="Times New Roman" w:hAnsi="Times New Roman"/>
                <w:sz w:val="24"/>
                <w:szCs w:val="24"/>
              </w:rPr>
            </w:pPr>
            <w:r w:rsidRPr="008B78B2">
              <w:rPr>
                <w:rFonts w:ascii="Times New Roman" w:hAnsi="Times New Roman"/>
                <w:sz w:val="24"/>
                <w:szCs w:val="24"/>
              </w:rPr>
              <w:t>Nav</w:t>
            </w:r>
          </w:p>
        </w:tc>
      </w:tr>
    </w:tbl>
    <w:p w:rsidR="009A312E" w:rsidRPr="00090BDF" w:rsidP="009A312E" w14:paraId="1EB51B7B" w14:textId="77777777">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456"/>
        <w:gridCol w:w="3543"/>
        <w:gridCol w:w="5357"/>
      </w:tblGrid>
      <w:tr w14:paraId="0DCB5E53" w14:textId="77777777" w:rsidTr="00E85BF0">
        <w:tblPrEx>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Ex>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9A312E" w:rsidRPr="008B78B2" w:rsidP="00E85BF0" w14:paraId="24EC06BE" w14:textId="77777777">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14:paraId="16CD9905" w14:textId="77777777" w:rsidTr="00E85BF0">
        <w:tblPrEx>
          <w:tblW w:w="9356" w:type="dxa"/>
          <w:tblCellMar>
            <w:left w:w="0" w:type="dxa"/>
            <w:right w:w="0" w:type="dxa"/>
          </w:tblCellMar>
          <w:tblLook w:val="04A0"/>
        </w:tblPrEx>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DEE4B93"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9D633CC"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r w:rsidRPr="008B78B2">
              <w:rPr>
                <w:rFonts w:ascii="Times New Roman" w:eastAsia="Times New Roman" w:hAnsi="Times New Roman"/>
                <w:sz w:val="24"/>
                <w:szCs w:val="24"/>
                <w:lang w:eastAsia="lv-LV"/>
              </w:rPr>
              <w:t>mērķgrupas</w:t>
            </w:r>
            <w:r w:rsidRPr="008B78B2">
              <w:rPr>
                <w:rFonts w:ascii="Times New Roman" w:eastAsia="Times New Roman" w:hAnsi="Times New Roman"/>
                <w:sz w:val="24"/>
                <w:szCs w:val="24"/>
                <w:lang w:eastAsia="lv-LV"/>
              </w:rPr>
              <w:t>, kuras tiesiskais regulējums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6778EB" w:rsidP="008175E3" w14:paraId="2A4EC3C3" w14:textId="1BC5A9D4">
            <w:pPr>
              <w:spacing w:before="75" w:after="75"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w:t>
            </w:r>
            <w:r w:rsidRPr="006778EB">
              <w:rPr>
                <w:rFonts w:ascii="Times New Roman" w:eastAsia="Times New Roman" w:hAnsi="Times New Roman"/>
                <w:iCs/>
                <w:sz w:val="24"/>
                <w:szCs w:val="24"/>
                <w:lang w:eastAsia="lv-LV"/>
              </w:rPr>
              <w:t>alsts kapitālsabiedrības</w:t>
            </w:r>
            <w:r>
              <w:rPr>
                <w:rFonts w:ascii="Times New Roman" w:eastAsia="Times New Roman" w:hAnsi="Times New Roman"/>
                <w:iCs/>
                <w:sz w:val="24"/>
                <w:szCs w:val="24"/>
                <w:lang w:eastAsia="lv-LV"/>
              </w:rPr>
              <w:t xml:space="preserve"> un kapitālsabiedrības</w:t>
            </w:r>
            <w:r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kurā valsts ir kapitāla daļu turētāja 100% apmērā, un ēka ir valsts vai valsts kapitālsabiedrības īpašumā.</w:t>
            </w:r>
          </w:p>
          <w:p w:rsidR="008175E3" w:rsidRPr="006778EB" w:rsidP="008175E3" w14:paraId="7BDF54E5" w14:textId="350B0D78">
            <w:pPr>
              <w:spacing w:before="75" w:after="75"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Kapitālsabiedrības</w:t>
            </w:r>
            <w:r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ēka ir </w:t>
            </w:r>
            <w:r>
              <w:rPr>
                <w:rFonts w:ascii="Times New Roman" w:eastAsia="Times New Roman" w:hAnsi="Times New Roman"/>
                <w:iCs/>
                <w:sz w:val="24"/>
                <w:szCs w:val="24"/>
                <w:lang w:eastAsia="lv-LV"/>
              </w:rPr>
              <w:t>pašvaldības</w:t>
            </w:r>
            <w:r w:rsidR="00DD1681">
              <w:rPr>
                <w:rFonts w:ascii="Times New Roman" w:eastAsia="Times New Roman" w:hAnsi="Times New Roman"/>
                <w:iCs/>
                <w:sz w:val="24"/>
                <w:szCs w:val="24"/>
                <w:lang w:eastAsia="lv-LV"/>
              </w:rPr>
              <w:t xml:space="preserve"> </w:t>
            </w:r>
            <w:r w:rsidRPr="006778EB">
              <w:rPr>
                <w:rFonts w:ascii="Times New Roman" w:eastAsia="Times New Roman" w:hAnsi="Times New Roman"/>
                <w:iCs/>
                <w:sz w:val="24"/>
                <w:szCs w:val="24"/>
                <w:lang w:eastAsia="lv-LV"/>
              </w:rPr>
              <w:t>īpašumā.</w:t>
            </w:r>
          </w:p>
          <w:p w:rsidR="006778EB" w:rsidRPr="006778EB" w:rsidP="008175E3" w14:paraId="2AB8CEEE" w14:textId="0910FA7E">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kultūras jomā, kas veic valsts deleģētus uzdevumus un kurā valsts ir kapitāla daļu turētāja 100% apmērā, un ēka ir valsts vai valsts kapitālsabiedrības īpašumā.</w:t>
            </w:r>
          </w:p>
          <w:p w:rsidR="006778EB" w:rsidRPr="006778EB" w:rsidP="008175E3" w14:paraId="0EE7580E" w14:textId="6B666A65">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kurās valsts ir kapitāla daļu turētāja 100% apmērā un to īpašumā vai lietojumā ir  nacionālās sporta bāzes.</w:t>
            </w:r>
          </w:p>
          <w:p w:rsidR="006778EB" w:rsidRPr="006778EB" w:rsidP="008175E3" w14:paraId="5C29D186" w14:textId="530C8E7D">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Valsts kapitālsabiedrības izglītības jomā, kuru 100% kapitāldaļas pieder atvasinātai publiskai personai.</w:t>
            </w:r>
          </w:p>
          <w:p w:rsidR="006778EB" w:rsidRPr="006778EB" w:rsidP="008175E3" w14:paraId="4B57E39C" w14:textId="23C33D89">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Biedrības un nodibinājumi, ja ēkā veic valsts pārvaldes deleģētos uzdevumus kultūras un sociālajā jomā.</w:t>
            </w:r>
          </w:p>
          <w:p w:rsidR="009A312E" w:rsidRPr="008B78B2" w:rsidP="008175E3" w14:paraId="398DFA71" w14:textId="141C685F">
            <w:pPr>
              <w:spacing w:before="75" w:after="75" w:line="240" w:lineRule="auto"/>
              <w:jc w:val="both"/>
              <w:rPr>
                <w:rFonts w:ascii="Times New Roman" w:eastAsia="Times New Roman" w:hAnsi="Times New Roman"/>
                <w:iCs/>
                <w:sz w:val="24"/>
                <w:szCs w:val="24"/>
                <w:lang w:eastAsia="lv-LV"/>
              </w:rPr>
            </w:pPr>
            <w:r w:rsidRPr="006778EB">
              <w:rPr>
                <w:rFonts w:ascii="Times New Roman" w:eastAsia="Times New Roman" w:hAnsi="Times New Roman"/>
                <w:iCs/>
                <w:sz w:val="24"/>
                <w:szCs w:val="24"/>
                <w:lang w:eastAsia="lv-LV"/>
              </w:rPr>
              <w:t>Tiešās valsts pārvaldes iestādes vai tās padotības iestādes, vai valsts deleģēto pārvaldes uzdevumu veicošas atvasinātas publiskas personas.</w:t>
            </w:r>
          </w:p>
        </w:tc>
      </w:tr>
      <w:tr w14:paraId="106F4193" w14:textId="77777777" w:rsidTr="00E40776">
        <w:tblPrEx>
          <w:tblW w:w="9356" w:type="dxa"/>
          <w:tblCellMar>
            <w:left w:w="0" w:type="dxa"/>
            <w:right w:w="0" w:type="dxa"/>
          </w:tblCellMar>
          <w:tblLook w:val="04A0"/>
        </w:tblPrEx>
        <w:trPr>
          <w:trHeight w:val="2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687411BB"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7D9269F"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Tiesiskā regulējuma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274E36" w:rsidP="00E85BF0" w14:paraId="70AB8CFB" w14:textId="77777777">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r w:rsidRPr="00274E36">
              <w:rPr>
                <w:rFonts w:ascii="Times New Roman" w:eastAsia="Times New Roman" w:hAnsi="Times New Roman"/>
                <w:iCs/>
                <w:sz w:val="24"/>
                <w:szCs w:val="24"/>
                <w:lang w:eastAsia="lv-LV"/>
              </w:rPr>
              <w:t>.</w:t>
            </w:r>
          </w:p>
          <w:p w:rsidR="009A312E" w:rsidRPr="00A61583" w:rsidP="00E85BF0" w14:paraId="004C769E" w14:textId="77777777">
            <w:pPr>
              <w:spacing w:after="0" w:line="240" w:lineRule="auto"/>
              <w:ind w:firstLine="450"/>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 xml:space="preserve">Noteikumu projekta īstenošanu nodrošinās </w:t>
            </w:r>
            <w:r>
              <w:rPr>
                <w:rFonts w:ascii="Times New Roman" w:eastAsia="Times New Roman" w:hAnsi="Times New Roman"/>
                <w:iCs/>
                <w:sz w:val="24"/>
                <w:szCs w:val="24"/>
                <w:lang w:eastAsia="lv-LV"/>
              </w:rPr>
              <w:t>Centrālā finanšu un līgumu aģentūra</w:t>
            </w:r>
            <w:r w:rsidRPr="00274E36">
              <w:rPr>
                <w:rFonts w:ascii="Times New Roman" w:eastAsia="Times New Roman" w:hAnsi="Times New Roman"/>
                <w:iCs/>
                <w:sz w:val="24"/>
                <w:szCs w:val="24"/>
                <w:lang w:eastAsia="lv-LV"/>
              </w:rPr>
              <w:t>.</w:t>
            </w:r>
          </w:p>
        </w:tc>
      </w:tr>
      <w:tr w14:paraId="214EDD6A" w14:textId="77777777" w:rsidTr="00E85BF0">
        <w:tblPrEx>
          <w:tblW w:w="9356" w:type="dxa"/>
          <w:tblCellMar>
            <w:left w:w="0" w:type="dxa"/>
            <w:right w:w="0" w:type="dxa"/>
          </w:tblCellMar>
          <w:tblLook w:val="04A0"/>
        </w:tblPrEx>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7336465"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299F3D2F"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5CFAEC7A" w14:textId="77777777">
            <w:pPr>
              <w:spacing w:after="0" w:line="240" w:lineRule="auto"/>
              <w:ind w:firstLine="450"/>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Noteikumu 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14:paraId="7C71C3A1" w14:textId="77777777" w:rsidTr="00E85BF0">
        <w:tblPrEx>
          <w:tblW w:w="9356" w:type="dxa"/>
          <w:tblCellMar>
            <w:left w:w="0" w:type="dxa"/>
            <w:right w:w="0" w:type="dxa"/>
          </w:tblCellMar>
          <w:tblLook w:val="04A0"/>
        </w:tblPrEx>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6990DDDB"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759C1D28"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01177861" w14:textId="77777777">
            <w:pPr>
              <w:spacing w:after="0" w:line="240" w:lineRule="auto"/>
              <w:ind w:firstLine="450"/>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Style w:val="TableGrid"/>
        <w:tblW w:w="11205" w:type="dxa"/>
        <w:tblInd w:w="-1433"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tblPr>
      <w:tblGrid>
        <w:gridCol w:w="2054"/>
        <w:gridCol w:w="1349"/>
        <w:gridCol w:w="1276"/>
        <w:gridCol w:w="6"/>
        <w:gridCol w:w="1270"/>
        <w:gridCol w:w="1275"/>
        <w:gridCol w:w="6"/>
        <w:gridCol w:w="1270"/>
        <w:gridCol w:w="1276"/>
        <w:gridCol w:w="6"/>
        <w:gridCol w:w="1411"/>
        <w:gridCol w:w="6"/>
      </w:tblGrid>
      <w:tr w14:paraId="62496AD1" w14:textId="77777777" w:rsidTr="00B249D6">
        <w:tblPrEx>
          <w:tblW w:w="11205" w:type="dxa"/>
          <w:tblInd w:w="-1433" w:type="dxa"/>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tblPrEx>
        <w:tc>
          <w:tcPr>
            <w:tcW w:w="11205" w:type="dxa"/>
            <w:gridSpan w:val="12"/>
          </w:tcPr>
          <w:p w:rsidR="00E40776" w:rsidRPr="00B81DE4" w:rsidP="00E40776" w14:paraId="6006070D" w14:textId="77777777">
            <w:pPr>
              <w:spacing w:before="120" w:after="120"/>
              <w:jc w:val="center"/>
              <w:rPr>
                <w:rFonts w:ascii="Times New Roman" w:hAnsi="Times New Roman"/>
                <w:sz w:val="24"/>
                <w:szCs w:val="24"/>
              </w:rPr>
            </w:pPr>
            <w:r w:rsidRPr="00B81DE4">
              <w:rPr>
                <w:rFonts w:ascii="Times New Roman" w:eastAsia="Times New Roman" w:hAnsi="Times New Roman"/>
                <w:b/>
                <w:sz w:val="24"/>
                <w:szCs w:val="24"/>
              </w:rPr>
              <w:t>III. Tiesību akta projekta ietekme uz valsts budžetu un pašvaldību budžetiem</w:t>
            </w:r>
          </w:p>
        </w:tc>
      </w:tr>
      <w:tr w14:paraId="7A18FEA8" w14:textId="77777777" w:rsidTr="00B249D6">
        <w:tblPrEx>
          <w:tblW w:w="11205" w:type="dxa"/>
          <w:tblInd w:w="-1433" w:type="dxa"/>
          <w:tblLayout w:type="fixed"/>
          <w:tblLook w:val="04A0"/>
        </w:tblPrEx>
        <w:tc>
          <w:tcPr>
            <w:tcW w:w="2054" w:type="dxa"/>
            <w:vMerge w:val="restart"/>
            <w:vAlign w:val="center"/>
          </w:tcPr>
          <w:p w:rsidR="00E40776" w:rsidRPr="00B81DE4" w:rsidP="00E40776" w14:paraId="002FEAD7" w14:textId="58456BD8">
            <w:pPr>
              <w:jc w:val="center"/>
              <w:rPr>
                <w:rFonts w:ascii="Times New Roman" w:eastAsia="Times New Roman" w:hAnsi="Times New Roman"/>
                <w:b/>
                <w:sz w:val="24"/>
                <w:szCs w:val="24"/>
              </w:rPr>
            </w:pPr>
            <w:r w:rsidRPr="00B81DE4">
              <w:rPr>
                <w:rFonts w:ascii="Times New Roman" w:eastAsia="Times New Roman" w:hAnsi="Times New Roman"/>
                <w:b/>
                <w:sz w:val="24"/>
                <w:szCs w:val="24"/>
              </w:rPr>
              <w:t>Rādītāji</w:t>
            </w:r>
          </w:p>
        </w:tc>
        <w:tc>
          <w:tcPr>
            <w:tcW w:w="2631" w:type="dxa"/>
            <w:gridSpan w:val="3"/>
            <w:vMerge w:val="restart"/>
            <w:vAlign w:val="center"/>
          </w:tcPr>
          <w:p w:rsidR="00E40776" w:rsidRPr="00B81DE4" w:rsidP="00E40776" w14:paraId="4950F586" w14:textId="77777777">
            <w:pPr>
              <w:spacing w:before="120" w:after="120"/>
              <w:jc w:val="center"/>
              <w:rPr>
                <w:rFonts w:ascii="Times New Roman" w:hAnsi="Times New Roman"/>
                <w:b/>
                <w:sz w:val="24"/>
                <w:szCs w:val="24"/>
              </w:rPr>
            </w:pPr>
            <w:r w:rsidRPr="00B81DE4">
              <w:rPr>
                <w:rFonts w:ascii="Times New Roman" w:eastAsia="Times New Roman" w:hAnsi="Times New Roman"/>
                <w:b/>
                <w:sz w:val="24"/>
                <w:szCs w:val="24"/>
              </w:rPr>
              <w:t>2018.gads</w:t>
            </w:r>
          </w:p>
        </w:tc>
        <w:tc>
          <w:tcPr>
            <w:tcW w:w="6520" w:type="dxa"/>
            <w:gridSpan w:val="8"/>
            <w:vAlign w:val="center"/>
          </w:tcPr>
          <w:p w:rsidR="00E40776" w:rsidRPr="00B81DE4" w:rsidP="00E40776" w14:paraId="41E7F118" w14:textId="77777777">
            <w:pPr>
              <w:tabs>
                <w:tab w:val="left" w:pos="1792"/>
              </w:tabs>
              <w:spacing w:before="120" w:after="120"/>
              <w:rPr>
                <w:rFonts w:ascii="Times New Roman" w:hAnsi="Times New Roman"/>
                <w:sz w:val="24"/>
                <w:szCs w:val="24"/>
              </w:rPr>
            </w:pPr>
            <w:r w:rsidRPr="00B81DE4">
              <w:rPr>
                <w:rFonts w:ascii="Times New Roman" w:hAnsi="Times New Roman"/>
                <w:sz w:val="24"/>
                <w:szCs w:val="24"/>
              </w:rPr>
              <w:tab/>
            </w:r>
            <w:r w:rsidRPr="00B81DE4">
              <w:rPr>
                <w:rFonts w:ascii="Times New Roman" w:eastAsia="Times New Roman" w:hAnsi="Times New Roman"/>
                <w:b/>
                <w:sz w:val="24"/>
                <w:szCs w:val="24"/>
              </w:rPr>
              <w:t>Turpmākie trīs gadi (</w:t>
            </w:r>
            <w:r w:rsidRPr="00B81DE4">
              <w:rPr>
                <w:rFonts w:ascii="Times New Roman" w:eastAsia="Times New Roman" w:hAnsi="Times New Roman"/>
                <w:b/>
                <w:i/>
                <w:sz w:val="24"/>
                <w:szCs w:val="24"/>
              </w:rPr>
              <w:t>euro</w:t>
            </w:r>
            <w:r w:rsidRPr="00B81DE4">
              <w:rPr>
                <w:rFonts w:ascii="Times New Roman" w:eastAsia="Times New Roman" w:hAnsi="Times New Roman"/>
                <w:b/>
                <w:sz w:val="24"/>
                <w:szCs w:val="24"/>
              </w:rPr>
              <w:t>)</w:t>
            </w:r>
          </w:p>
        </w:tc>
      </w:tr>
      <w:tr w14:paraId="460B8DBF" w14:textId="77777777" w:rsidTr="00B249D6">
        <w:tblPrEx>
          <w:tblW w:w="11205" w:type="dxa"/>
          <w:tblInd w:w="-1433" w:type="dxa"/>
          <w:tblLayout w:type="fixed"/>
          <w:tblLook w:val="04A0"/>
        </w:tblPrEx>
        <w:tc>
          <w:tcPr>
            <w:tcW w:w="2054" w:type="dxa"/>
            <w:vMerge/>
            <w:vAlign w:val="center"/>
          </w:tcPr>
          <w:p w:rsidR="00E40776" w:rsidRPr="00B81DE4" w:rsidP="00E85BF0" w14:paraId="2BEE642D" w14:textId="77777777">
            <w:pPr>
              <w:rPr>
                <w:rFonts w:ascii="Times New Roman" w:hAnsi="Times New Roman"/>
                <w:sz w:val="24"/>
                <w:szCs w:val="24"/>
              </w:rPr>
            </w:pPr>
          </w:p>
        </w:tc>
        <w:tc>
          <w:tcPr>
            <w:tcW w:w="2631" w:type="dxa"/>
            <w:gridSpan w:val="3"/>
            <w:vMerge/>
            <w:vAlign w:val="center"/>
          </w:tcPr>
          <w:p w:rsidR="00E40776" w:rsidRPr="00B81DE4" w:rsidP="00E40776" w14:paraId="7385D09C" w14:textId="77777777">
            <w:pPr>
              <w:spacing w:before="120" w:after="120"/>
              <w:rPr>
                <w:rFonts w:ascii="Times New Roman" w:hAnsi="Times New Roman"/>
                <w:sz w:val="24"/>
                <w:szCs w:val="24"/>
              </w:rPr>
            </w:pPr>
          </w:p>
        </w:tc>
        <w:tc>
          <w:tcPr>
            <w:tcW w:w="2551" w:type="dxa"/>
            <w:gridSpan w:val="3"/>
            <w:vAlign w:val="center"/>
          </w:tcPr>
          <w:p w:rsidR="00E40776" w:rsidRPr="00B81DE4" w:rsidP="00E40776" w14:paraId="6FA0EEB3" w14:textId="77777777">
            <w:pPr>
              <w:spacing w:before="120" w:after="120"/>
              <w:jc w:val="center"/>
              <w:rPr>
                <w:rFonts w:ascii="Times New Roman" w:hAnsi="Times New Roman"/>
                <w:b/>
                <w:sz w:val="24"/>
                <w:szCs w:val="24"/>
              </w:rPr>
            </w:pPr>
            <w:r w:rsidRPr="00B81DE4">
              <w:rPr>
                <w:rFonts w:ascii="Times New Roman" w:hAnsi="Times New Roman"/>
                <w:b/>
                <w:sz w:val="24"/>
                <w:szCs w:val="24"/>
              </w:rPr>
              <w:t>2019.gads</w:t>
            </w:r>
          </w:p>
        </w:tc>
        <w:tc>
          <w:tcPr>
            <w:tcW w:w="2552" w:type="dxa"/>
            <w:gridSpan w:val="3"/>
            <w:vAlign w:val="center"/>
          </w:tcPr>
          <w:p w:rsidR="00E40776" w:rsidRPr="00B81DE4" w:rsidP="00E40776" w14:paraId="0BF236F3" w14:textId="77777777">
            <w:pPr>
              <w:spacing w:before="120" w:after="120"/>
              <w:jc w:val="center"/>
              <w:rPr>
                <w:rFonts w:ascii="Times New Roman" w:hAnsi="Times New Roman"/>
                <w:b/>
                <w:sz w:val="24"/>
                <w:szCs w:val="24"/>
              </w:rPr>
            </w:pPr>
            <w:r w:rsidRPr="00B81DE4">
              <w:rPr>
                <w:rFonts w:ascii="Times New Roman" w:hAnsi="Times New Roman"/>
                <w:b/>
                <w:sz w:val="24"/>
                <w:szCs w:val="24"/>
              </w:rPr>
              <w:t>2020.gads</w:t>
            </w:r>
          </w:p>
        </w:tc>
        <w:tc>
          <w:tcPr>
            <w:tcW w:w="1417" w:type="dxa"/>
            <w:gridSpan w:val="2"/>
            <w:vAlign w:val="center"/>
          </w:tcPr>
          <w:p w:rsidR="00E40776" w:rsidRPr="00B81DE4" w:rsidP="00E40776" w14:paraId="6632CDBC" w14:textId="77777777">
            <w:pPr>
              <w:spacing w:before="120" w:after="120"/>
              <w:jc w:val="center"/>
              <w:rPr>
                <w:rFonts w:ascii="Times New Roman" w:hAnsi="Times New Roman"/>
                <w:b/>
                <w:sz w:val="24"/>
                <w:szCs w:val="24"/>
              </w:rPr>
            </w:pPr>
            <w:r w:rsidRPr="00B81DE4">
              <w:rPr>
                <w:rFonts w:ascii="Times New Roman" w:hAnsi="Times New Roman"/>
                <w:b/>
                <w:sz w:val="24"/>
                <w:szCs w:val="24"/>
              </w:rPr>
              <w:t>2021.gads</w:t>
            </w:r>
          </w:p>
        </w:tc>
      </w:tr>
      <w:tr w14:paraId="2165F19F" w14:textId="77777777" w:rsidTr="00B249D6">
        <w:tblPrEx>
          <w:tblW w:w="11205" w:type="dxa"/>
          <w:tblInd w:w="-1433" w:type="dxa"/>
          <w:tblLayout w:type="fixed"/>
          <w:tblLook w:val="04A0"/>
        </w:tblPrEx>
        <w:trPr>
          <w:gridAfter w:val="1"/>
          <w:wAfter w:w="6" w:type="dxa"/>
        </w:trPr>
        <w:tc>
          <w:tcPr>
            <w:tcW w:w="2054" w:type="dxa"/>
            <w:vMerge/>
            <w:vAlign w:val="center"/>
          </w:tcPr>
          <w:p w:rsidR="00E40776" w:rsidRPr="00B81DE4" w:rsidP="00E85BF0" w14:paraId="4449BA2B" w14:textId="77777777">
            <w:pPr>
              <w:rPr>
                <w:rFonts w:ascii="Times New Roman" w:hAnsi="Times New Roman"/>
                <w:sz w:val="24"/>
                <w:szCs w:val="24"/>
              </w:rPr>
            </w:pPr>
          </w:p>
        </w:tc>
        <w:tc>
          <w:tcPr>
            <w:tcW w:w="1349" w:type="dxa"/>
            <w:vAlign w:val="center"/>
          </w:tcPr>
          <w:p w:rsidR="00E40776" w:rsidRPr="00B81DE4" w:rsidP="00E85BF0" w14:paraId="5B77DF08" w14:textId="77777777">
            <w:pPr>
              <w:jc w:val="center"/>
              <w:rPr>
                <w:rFonts w:ascii="Times New Roman" w:hAnsi="Times New Roman"/>
                <w:sz w:val="24"/>
                <w:szCs w:val="24"/>
              </w:rPr>
            </w:pPr>
            <w:r w:rsidRPr="00B81DE4">
              <w:rPr>
                <w:rFonts w:ascii="Times New Roman" w:eastAsia="Times New Roman" w:hAnsi="Times New Roman"/>
                <w:sz w:val="24"/>
                <w:szCs w:val="24"/>
              </w:rPr>
              <w:t>saskaņā ar valsts budžetu kārtējam gadam</w:t>
            </w:r>
          </w:p>
        </w:tc>
        <w:tc>
          <w:tcPr>
            <w:tcW w:w="1276" w:type="dxa"/>
            <w:vAlign w:val="center"/>
          </w:tcPr>
          <w:p w:rsidR="00E40776" w:rsidRPr="00B81DE4" w:rsidP="00E85BF0" w14:paraId="20B426D3" w14:textId="77777777">
            <w:pPr>
              <w:jc w:val="center"/>
              <w:rPr>
                <w:rFonts w:ascii="Times New Roman" w:hAnsi="Times New Roman"/>
                <w:sz w:val="24"/>
                <w:szCs w:val="24"/>
              </w:rPr>
            </w:pPr>
            <w:r w:rsidRPr="00B81DE4">
              <w:rPr>
                <w:rFonts w:ascii="Times New Roman" w:eastAsia="Times New Roman" w:hAnsi="Times New Roman"/>
                <w:sz w:val="24"/>
                <w:szCs w:val="24"/>
              </w:rPr>
              <w:t>izmaiņas kārtējā gadā, salīdzinot ar valsts budžetu kārtējam gadam</w:t>
            </w:r>
          </w:p>
        </w:tc>
        <w:tc>
          <w:tcPr>
            <w:tcW w:w="1276" w:type="dxa"/>
            <w:gridSpan w:val="2"/>
            <w:vAlign w:val="center"/>
          </w:tcPr>
          <w:p w:rsidR="00E40776" w:rsidRPr="00B81DE4" w:rsidP="00E85BF0" w14:paraId="3A423C3A" w14:textId="77777777">
            <w:pPr>
              <w:jc w:val="center"/>
              <w:rPr>
                <w:rFonts w:ascii="Times New Roman" w:hAnsi="Times New Roman"/>
                <w:sz w:val="24"/>
                <w:szCs w:val="24"/>
              </w:rPr>
            </w:pPr>
            <w:r w:rsidRPr="00B81DE4">
              <w:rPr>
                <w:rFonts w:ascii="Times New Roman" w:eastAsia="Times New Roman" w:hAnsi="Times New Roman"/>
                <w:sz w:val="24"/>
                <w:szCs w:val="24"/>
              </w:rPr>
              <w:t>saskaņā ar vidēja termiņa budžeta ietvaru</w:t>
            </w:r>
          </w:p>
        </w:tc>
        <w:tc>
          <w:tcPr>
            <w:tcW w:w="1275" w:type="dxa"/>
            <w:vAlign w:val="center"/>
          </w:tcPr>
          <w:p w:rsidR="00E40776" w:rsidRPr="00B81DE4" w:rsidP="00E85BF0" w14:paraId="1A0D532A" w14:textId="77777777">
            <w:pPr>
              <w:jc w:val="center"/>
              <w:rPr>
                <w:rFonts w:ascii="Times New Roman" w:hAnsi="Times New Roman"/>
                <w:sz w:val="24"/>
                <w:szCs w:val="24"/>
              </w:rPr>
            </w:pPr>
            <w:r w:rsidRPr="00B81DE4">
              <w:rPr>
                <w:rFonts w:ascii="Times New Roman" w:hAnsi="Times New Roman"/>
                <w:sz w:val="24"/>
                <w:szCs w:val="24"/>
              </w:rPr>
              <w:t>izmaiņas, salīdzinot ar vidēja termiņa budžeta ietvaru 2019. gadam</w:t>
            </w:r>
          </w:p>
        </w:tc>
        <w:tc>
          <w:tcPr>
            <w:tcW w:w="1276" w:type="dxa"/>
            <w:gridSpan w:val="2"/>
            <w:vAlign w:val="center"/>
          </w:tcPr>
          <w:p w:rsidR="00E40776" w:rsidRPr="00B81DE4" w:rsidP="00E85BF0" w14:paraId="0C3C40C9" w14:textId="77777777">
            <w:pPr>
              <w:jc w:val="center"/>
              <w:rPr>
                <w:rFonts w:ascii="Times New Roman" w:hAnsi="Times New Roman"/>
                <w:sz w:val="24"/>
                <w:szCs w:val="24"/>
              </w:rPr>
            </w:pPr>
            <w:r w:rsidRPr="00B81DE4">
              <w:rPr>
                <w:rFonts w:ascii="Times New Roman" w:eastAsia="Times New Roman" w:hAnsi="Times New Roman"/>
                <w:sz w:val="24"/>
                <w:szCs w:val="24"/>
              </w:rPr>
              <w:t>saskaņā ar vidēja termiņa budžeta ietvaru</w:t>
            </w:r>
          </w:p>
        </w:tc>
        <w:tc>
          <w:tcPr>
            <w:tcW w:w="1276" w:type="dxa"/>
            <w:vAlign w:val="center"/>
          </w:tcPr>
          <w:p w:rsidR="00E40776" w:rsidRPr="00B81DE4" w:rsidP="00E85BF0" w14:paraId="7E8E2047" w14:textId="77777777">
            <w:pPr>
              <w:jc w:val="center"/>
              <w:rPr>
                <w:rFonts w:ascii="Times New Roman" w:hAnsi="Times New Roman"/>
                <w:sz w:val="24"/>
                <w:szCs w:val="24"/>
              </w:rPr>
            </w:pPr>
            <w:r w:rsidRPr="00B81DE4">
              <w:rPr>
                <w:rFonts w:ascii="Times New Roman" w:hAnsi="Times New Roman"/>
                <w:sz w:val="24"/>
                <w:szCs w:val="24"/>
              </w:rPr>
              <w:t>izmaiņas, salīdzinot ar vidēja termiņa budžeta ietvaru 2020. gadam</w:t>
            </w:r>
          </w:p>
        </w:tc>
        <w:tc>
          <w:tcPr>
            <w:tcW w:w="1417" w:type="dxa"/>
            <w:gridSpan w:val="2"/>
            <w:vAlign w:val="center"/>
          </w:tcPr>
          <w:p w:rsidR="00E40776" w:rsidRPr="00B81DE4" w:rsidP="00E85BF0" w14:paraId="2D794C04" w14:textId="77777777">
            <w:pPr>
              <w:jc w:val="center"/>
              <w:rPr>
                <w:rFonts w:ascii="Times New Roman" w:hAnsi="Times New Roman"/>
                <w:sz w:val="24"/>
                <w:szCs w:val="24"/>
              </w:rPr>
            </w:pPr>
            <w:r w:rsidRPr="00B81DE4">
              <w:rPr>
                <w:rFonts w:ascii="Times New Roman" w:eastAsia="Times New Roman" w:hAnsi="Times New Roman"/>
                <w:sz w:val="24"/>
                <w:szCs w:val="24"/>
              </w:rPr>
              <w:t>izmaiņas, salīdzinot ar vidēja termiņa budžeta ietvaru 2021. gadam</w:t>
            </w:r>
          </w:p>
        </w:tc>
      </w:tr>
      <w:tr w14:paraId="71810808" w14:textId="77777777" w:rsidTr="00B249D6">
        <w:tblPrEx>
          <w:tblW w:w="11205" w:type="dxa"/>
          <w:tblInd w:w="-1433" w:type="dxa"/>
          <w:tblLayout w:type="fixed"/>
          <w:tblLook w:val="04A0"/>
        </w:tblPrEx>
        <w:trPr>
          <w:gridAfter w:val="1"/>
          <w:wAfter w:w="6" w:type="dxa"/>
        </w:trPr>
        <w:tc>
          <w:tcPr>
            <w:tcW w:w="2054" w:type="dxa"/>
            <w:vAlign w:val="center"/>
          </w:tcPr>
          <w:p w:rsidR="00E40776" w:rsidRPr="00B81DE4" w:rsidP="00B81DE4" w14:paraId="5EF33521" w14:textId="048A66FB">
            <w:pPr>
              <w:spacing w:after="0"/>
              <w:jc w:val="center"/>
              <w:rPr>
                <w:rFonts w:ascii="Times New Roman" w:hAnsi="Times New Roman"/>
                <w:sz w:val="24"/>
                <w:szCs w:val="24"/>
              </w:rPr>
            </w:pPr>
            <w:r w:rsidRPr="00B81DE4">
              <w:rPr>
                <w:rFonts w:ascii="Times New Roman" w:hAnsi="Times New Roman"/>
                <w:sz w:val="24"/>
                <w:szCs w:val="24"/>
              </w:rPr>
              <w:t>1</w:t>
            </w:r>
          </w:p>
        </w:tc>
        <w:tc>
          <w:tcPr>
            <w:tcW w:w="1349" w:type="dxa"/>
            <w:vAlign w:val="center"/>
          </w:tcPr>
          <w:p w:rsidR="00E40776" w:rsidRPr="00B81DE4" w:rsidP="00B81DE4" w14:paraId="334A210F" w14:textId="4C9D5BF6">
            <w:pPr>
              <w:spacing w:after="0"/>
              <w:jc w:val="center"/>
              <w:rPr>
                <w:rFonts w:ascii="Times New Roman" w:hAnsi="Times New Roman"/>
                <w:sz w:val="24"/>
                <w:szCs w:val="24"/>
              </w:rPr>
            </w:pPr>
            <w:r w:rsidRPr="00B81DE4">
              <w:rPr>
                <w:rFonts w:ascii="Times New Roman" w:hAnsi="Times New Roman"/>
                <w:sz w:val="24"/>
                <w:szCs w:val="24"/>
              </w:rPr>
              <w:t>2</w:t>
            </w:r>
          </w:p>
        </w:tc>
        <w:tc>
          <w:tcPr>
            <w:tcW w:w="1276" w:type="dxa"/>
            <w:vAlign w:val="center"/>
          </w:tcPr>
          <w:p w:rsidR="00E40776" w:rsidRPr="00B81DE4" w:rsidP="00B81DE4" w14:paraId="3DE30FC5" w14:textId="4BDDCFB9">
            <w:pPr>
              <w:spacing w:after="0"/>
              <w:jc w:val="center"/>
              <w:rPr>
                <w:rFonts w:ascii="Times New Roman" w:hAnsi="Times New Roman"/>
                <w:sz w:val="24"/>
                <w:szCs w:val="24"/>
              </w:rPr>
            </w:pPr>
            <w:r w:rsidRPr="00B81DE4">
              <w:rPr>
                <w:rFonts w:ascii="Times New Roman" w:hAnsi="Times New Roman"/>
                <w:sz w:val="24"/>
                <w:szCs w:val="24"/>
              </w:rPr>
              <w:t>3</w:t>
            </w:r>
          </w:p>
        </w:tc>
        <w:tc>
          <w:tcPr>
            <w:tcW w:w="1276" w:type="dxa"/>
            <w:gridSpan w:val="2"/>
            <w:vAlign w:val="center"/>
          </w:tcPr>
          <w:p w:rsidR="00E40776" w:rsidRPr="00B81DE4" w:rsidP="00B81DE4" w14:paraId="4AE0D1CE" w14:textId="1776C081">
            <w:pPr>
              <w:spacing w:after="0"/>
              <w:jc w:val="center"/>
              <w:rPr>
                <w:rFonts w:ascii="Times New Roman" w:hAnsi="Times New Roman"/>
                <w:sz w:val="24"/>
                <w:szCs w:val="24"/>
              </w:rPr>
            </w:pPr>
            <w:r w:rsidRPr="00B81DE4">
              <w:rPr>
                <w:rFonts w:ascii="Times New Roman" w:hAnsi="Times New Roman"/>
                <w:sz w:val="24"/>
                <w:szCs w:val="24"/>
              </w:rPr>
              <w:t>4</w:t>
            </w:r>
          </w:p>
        </w:tc>
        <w:tc>
          <w:tcPr>
            <w:tcW w:w="1275" w:type="dxa"/>
            <w:vAlign w:val="center"/>
          </w:tcPr>
          <w:p w:rsidR="00E40776" w:rsidRPr="00B81DE4" w:rsidP="00B81DE4" w14:paraId="2DDDB27D" w14:textId="41C3D59A">
            <w:pPr>
              <w:spacing w:after="0"/>
              <w:jc w:val="center"/>
              <w:rPr>
                <w:rFonts w:ascii="Times New Roman" w:hAnsi="Times New Roman"/>
                <w:sz w:val="24"/>
                <w:szCs w:val="24"/>
              </w:rPr>
            </w:pPr>
            <w:r w:rsidRPr="00B81DE4">
              <w:rPr>
                <w:rFonts w:ascii="Times New Roman" w:hAnsi="Times New Roman"/>
                <w:sz w:val="24"/>
                <w:szCs w:val="24"/>
              </w:rPr>
              <w:t>5</w:t>
            </w:r>
          </w:p>
        </w:tc>
        <w:tc>
          <w:tcPr>
            <w:tcW w:w="1276" w:type="dxa"/>
            <w:gridSpan w:val="2"/>
            <w:vAlign w:val="center"/>
          </w:tcPr>
          <w:p w:rsidR="00E40776" w:rsidRPr="00B81DE4" w:rsidP="00B81DE4" w14:paraId="2D153968" w14:textId="10E64C64">
            <w:pPr>
              <w:spacing w:after="0"/>
              <w:jc w:val="center"/>
              <w:rPr>
                <w:rFonts w:ascii="Times New Roman" w:hAnsi="Times New Roman"/>
                <w:sz w:val="24"/>
                <w:szCs w:val="24"/>
              </w:rPr>
            </w:pPr>
            <w:r w:rsidRPr="00B81DE4">
              <w:rPr>
                <w:rFonts w:ascii="Times New Roman" w:hAnsi="Times New Roman"/>
                <w:sz w:val="24"/>
                <w:szCs w:val="24"/>
              </w:rPr>
              <w:t>6</w:t>
            </w:r>
          </w:p>
        </w:tc>
        <w:tc>
          <w:tcPr>
            <w:tcW w:w="1276" w:type="dxa"/>
            <w:vAlign w:val="center"/>
          </w:tcPr>
          <w:p w:rsidR="00E40776" w:rsidRPr="00B81DE4" w:rsidP="00B81DE4" w14:paraId="22481603" w14:textId="6E0D4AD4">
            <w:pPr>
              <w:spacing w:after="0"/>
              <w:jc w:val="center"/>
              <w:rPr>
                <w:rFonts w:ascii="Times New Roman" w:hAnsi="Times New Roman"/>
                <w:sz w:val="24"/>
                <w:szCs w:val="24"/>
              </w:rPr>
            </w:pPr>
            <w:r w:rsidRPr="00B81DE4">
              <w:rPr>
                <w:rFonts w:ascii="Times New Roman" w:hAnsi="Times New Roman"/>
                <w:sz w:val="24"/>
                <w:szCs w:val="24"/>
              </w:rPr>
              <w:t>7</w:t>
            </w:r>
          </w:p>
        </w:tc>
        <w:tc>
          <w:tcPr>
            <w:tcW w:w="1417" w:type="dxa"/>
            <w:gridSpan w:val="2"/>
            <w:vAlign w:val="center"/>
          </w:tcPr>
          <w:p w:rsidR="00E40776" w:rsidRPr="00B81DE4" w:rsidP="00B81DE4" w14:paraId="428132A7" w14:textId="0EFC9131">
            <w:pPr>
              <w:spacing w:after="0"/>
              <w:jc w:val="center"/>
              <w:rPr>
                <w:rFonts w:ascii="Times New Roman" w:hAnsi="Times New Roman"/>
                <w:sz w:val="24"/>
                <w:szCs w:val="24"/>
              </w:rPr>
            </w:pPr>
            <w:r w:rsidRPr="00B81DE4">
              <w:rPr>
                <w:rFonts w:ascii="Times New Roman" w:hAnsi="Times New Roman"/>
                <w:sz w:val="24"/>
                <w:szCs w:val="24"/>
              </w:rPr>
              <w:t>8</w:t>
            </w:r>
          </w:p>
        </w:tc>
      </w:tr>
      <w:tr w14:paraId="02CF8B54"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7E1E132A" w14:textId="29A89067">
            <w:pPr>
              <w:rPr>
                <w:rFonts w:ascii="Times New Roman" w:hAnsi="Times New Roman"/>
                <w:sz w:val="24"/>
                <w:szCs w:val="24"/>
              </w:rPr>
            </w:pPr>
            <w:r w:rsidRPr="00B81DE4">
              <w:rPr>
                <w:rFonts w:ascii="Times New Roman" w:eastAsia="Times New Roman" w:hAnsi="Times New Roman"/>
                <w:sz w:val="24"/>
                <w:szCs w:val="24"/>
              </w:rPr>
              <w:t>1. Budžeta ieņēmumi:</w:t>
            </w:r>
          </w:p>
        </w:tc>
        <w:tc>
          <w:tcPr>
            <w:tcW w:w="1349" w:type="dxa"/>
            <w:vAlign w:val="center"/>
          </w:tcPr>
          <w:p w:rsidR="00136369" w:rsidRPr="00F52C57" w:rsidP="00136369" w14:paraId="62D220A0" w14:textId="55913D60">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6 375 000</w:t>
            </w:r>
          </w:p>
        </w:tc>
        <w:tc>
          <w:tcPr>
            <w:tcW w:w="1276" w:type="dxa"/>
            <w:vAlign w:val="center"/>
          </w:tcPr>
          <w:p w:rsidR="00136369" w:rsidRPr="00F52C57" w:rsidP="00136369" w14:paraId="323A8965" w14:textId="2AA290F6">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F52C57" w:rsidP="00136369" w14:paraId="0AB5B76B" w14:textId="1003FAEA">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5" w:type="dxa"/>
            <w:vAlign w:val="center"/>
          </w:tcPr>
          <w:p w:rsidR="00136369" w:rsidRPr="00F52C57" w:rsidP="00136369" w14:paraId="784A4189" w14:textId="399FFC0B">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1 844 854</w:t>
            </w:r>
          </w:p>
        </w:tc>
        <w:tc>
          <w:tcPr>
            <w:tcW w:w="1276" w:type="dxa"/>
            <w:gridSpan w:val="2"/>
            <w:vAlign w:val="center"/>
          </w:tcPr>
          <w:p w:rsidR="00136369" w:rsidRPr="00F52C57" w:rsidP="00136369" w14:paraId="53C1116A" w14:textId="111D61AA">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6" w:type="dxa"/>
            <w:vAlign w:val="center"/>
          </w:tcPr>
          <w:p w:rsidR="00136369" w:rsidRPr="00F52C57" w:rsidP="00136369" w14:paraId="30C5F809" w14:textId="49950132">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F52C57" w:rsidP="00136369" w14:paraId="35C933A8" w14:textId="745BB4C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58A5D9EC"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70245F29" w14:textId="42B88088">
            <w:pPr>
              <w:rPr>
                <w:rFonts w:ascii="Times New Roman" w:hAnsi="Times New Roman"/>
                <w:sz w:val="24"/>
                <w:szCs w:val="24"/>
              </w:rPr>
            </w:pPr>
            <w:r w:rsidRPr="00B81DE4">
              <w:rPr>
                <w:rFonts w:ascii="Times New Roman" w:hAnsi="Times New Roman"/>
                <w:sz w:val="24"/>
                <w:szCs w:val="24"/>
              </w:rPr>
              <w:t>1.1. valsts pamatbudžets, tai skaitā ieņēmumi no maksas pakalpojumiem un citi pašu ieņēmumi</w:t>
            </w:r>
          </w:p>
        </w:tc>
        <w:tc>
          <w:tcPr>
            <w:tcW w:w="1349" w:type="dxa"/>
            <w:vAlign w:val="center"/>
          </w:tcPr>
          <w:p w:rsidR="00136369" w:rsidRPr="00F52C57" w:rsidP="00136369" w14:paraId="3E639EF5" w14:textId="2A20C97E">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6 375 000</w:t>
            </w:r>
          </w:p>
        </w:tc>
        <w:tc>
          <w:tcPr>
            <w:tcW w:w="1276" w:type="dxa"/>
            <w:vAlign w:val="center"/>
          </w:tcPr>
          <w:p w:rsidR="00136369" w:rsidRPr="00F52C57" w:rsidP="00136369" w14:paraId="0ED5E89C" w14:textId="7D33196B">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F52C57" w:rsidP="00136369" w14:paraId="3F4966B6" w14:textId="1A516F96">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5" w:type="dxa"/>
            <w:vAlign w:val="center"/>
          </w:tcPr>
          <w:p w:rsidR="00136369" w:rsidRPr="00F52C57" w:rsidP="00136369" w14:paraId="7DF63D3D" w14:textId="2C632A10">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1 844 854</w:t>
            </w:r>
          </w:p>
        </w:tc>
        <w:tc>
          <w:tcPr>
            <w:tcW w:w="1276" w:type="dxa"/>
            <w:gridSpan w:val="2"/>
            <w:vAlign w:val="center"/>
          </w:tcPr>
          <w:p w:rsidR="00136369" w:rsidRPr="00F52C57" w:rsidP="00136369" w14:paraId="6A98474A" w14:textId="499BBAFD">
            <w:pPr>
              <w:spacing w:after="0"/>
              <w:contextualSpacing/>
              <w:jc w:val="center"/>
              <w:rPr>
                <w:rFonts w:ascii="Times New Roman" w:eastAsia="Times New Roman" w:hAnsi="Times New Roman"/>
                <w:sz w:val="24"/>
                <w:szCs w:val="24"/>
              </w:rPr>
            </w:pPr>
            <w:r w:rsidRPr="00F52C57">
              <w:rPr>
                <w:rFonts w:ascii="Times New Roman" w:eastAsia="Times New Roman" w:hAnsi="Times New Roman"/>
                <w:sz w:val="24"/>
                <w:szCs w:val="24"/>
              </w:rPr>
              <w:t>6 375 000</w:t>
            </w:r>
          </w:p>
        </w:tc>
        <w:tc>
          <w:tcPr>
            <w:tcW w:w="1276" w:type="dxa"/>
            <w:vAlign w:val="center"/>
          </w:tcPr>
          <w:p w:rsidR="00136369" w:rsidRPr="00F52C57" w:rsidP="00136369" w14:paraId="6EF3E514" w14:textId="180D3F2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F52C57" w:rsidP="00136369" w14:paraId="1DA8327E" w14:textId="4F3D3474">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14E81B7A"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0962D491" w14:textId="3B27B554">
            <w:pPr>
              <w:rPr>
                <w:rFonts w:ascii="Times New Roman" w:hAnsi="Times New Roman"/>
                <w:sz w:val="24"/>
                <w:szCs w:val="24"/>
              </w:rPr>
            </w:pPr>
            <w:r w:rsidRPr="00B81DE4">
              <w:rPr>
                <w:rFonts w:ascii="Times New Roman" w:hAnsi="Times New Roman"/>
                <w:sz w:val="24"/>
                <w:szCs w:val="24"/>
              </w:rPr>
              <w:t>1.2. valsts speciālais budžets</w:t>
            </w:r>
          </w:p>
        </w:tc>
        <w:tc>
          <w:tcPr>
            <w:tcW w:w="1349" w:type="dxa"/>
            <w:vAlign w:val="center"/>
          </w:tcPr>
          <w:p w:rsidR="00136369" w:rsidRPr="00B81DE4" w:rsidP="00136369" w14:paraId="2F816F3B" w14:textId="1A679DAD">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136369" w:rsidRPr="00136369" w:rsidP="00136369" w14:paraId="1394F8E3" w14:textId="7A122C31">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551CD6C2" w14:textId="1207BC9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5" w:type="dxa"/>
            <w:vAlign w:val="center"/>
          </w:tcPr>
          <w:p w:rsidR="00136369" w:rsidRPr="00136369" w:rsidP="00136369" w14:paraId="4E67B674" w14:textId="26363CC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7BCF6225" w14:textId="76E7223D">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vAlign w:val="center"/>
          </w:tcPr>
          <w:p w:rsidR="00136369" w:rsidRPr="00136369" w:rsidP="00136369" w14:paraId="5DF515C2" w14:textId="09C66434">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1E50981C" w14:textId="1AFEE46D">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4D8B5F87"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0CBC7C15" w14:textId="7D641BC6">
            <w:pPr>
              <w:rPr>
                <w:rFonts w:ascii="Times New Roman" w:hAnsi="Times New Roman"/>
                <w:sz w:val="24"/>
                <w:szCs w:val="24"/>
              </w:rPr>
            </w:pPr>
            <w:r w:rsidRPr="00B81DE4">
              <w:rPr>
                <w:rFonts w:ascii="Times New Roman" w:hAnsi="Times New Roman"/>
                <w:sz w:val="24"/>
                <w:szCs w:val="24"/>
              </w:rPr>
              <w:t>1.3. pašvaldību budžets</w:t>
            </w:r>
          </w:p>
        </w:tc>
        <w:tc>
          <w:tcPr>
            <w:tcW w:w="1349" w:type="dxa"/>
            <w:vAlign w:val="center"/>
          </w:tcPr>
          <w:p w:rsidR="00136369" w:rsidRPr="00B81DE4" w:rsidP="00136369" w14:paraId="35F0F25E" w14:textId="435B0D4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136369" w:rsidRPr="00136369" w:rsidP="00136369" w14:paraId="778ED796" w14:textId="3F8DF2A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3DF194B9" w14:textId="5689D40E">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5" w:type="dxa"/>
            <w:vAlign w:val="center"/>
          </w:tcPr>
          <w:p w:rsidR="00136369" w:rsidRPr="00136369" w:rsidP="00136369" w14:paraId="77E3412A" w14:textId="43A2CE54">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6447DECB" w14:textId="0B67842E">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vAlign w:val="center"/>
          </w:tcPr>
          <w:p w:rsidR="00136369" w:rsidRPr="00136369" w:rsidP="00136369" w14:paraId="343AF95F" w14:textId="57D2484D">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557D935E" w14:textId="392C9F5E">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6A3DEEA5"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18AEEAF6" w14:textId="6BEA705B">
            <w:pPr>
              <w:rPr>
                <w:rFonts w:ascii="Times New Roman" w:hAnsi="Times New Roman"/>
                <w:sz w:val="24"/>
                <w:szCs w:val="24"/>
              </w:rPr>
            </w:pPr>
            <w:r w:rsidRPr="00B81DE4">
              <w:rPr>
                <w:rFonts w:ascii="Times New Roman" w:hAnsi="Times New Roman"/>
                <w:sz w:val="24"/>
                <w:szCs w:val="24"/>
              </w:rPr>
              <w:t>2. Budžeta izdevumi:</w:t>
            </w:r>
          </w:p>
        </w:tc>
        <w:tc>
          <w:tcPr>
            <w:tcW w:w="1349" w:type="dxa"/>
            <w:vAlign w:val="center"/>
          </w:tcPr>
          <w:p w:rsidR="00136369" w:rsidRPr="00B81DE4" w:rsidP="00136369" w14:paraId="097894A5" w14:textId="534F26A1">
            <w:pPr>
              <w:spacing w:after="0"/>
              <w:contextualSpacing/>
              <w:jc w:val="center"/>
              <w:rPr>
                <w:rFonts w:ascii="Times New Roman" w:hAnsi="Times New Roman"/>
                <w:sz w:val="24"/>
                <w:szCs w:val="24"/>
              </w:rPr>
            </w:pPr>
            <w:r>
              <w:rPr>
                <w:rFonts w:ascii="Times New Roman" w:hAnsi="Times New Roman"/>
                <w:sz w:val="24"/>
                <w:szCs w:val="24"/>
              </w:rPr>
              <w:t>7 500 000</w:t>
            </w:r>
          </w:p>
        </w:tc>
        <w:tc>
          <w:tcPr>
            <w:tcW w:w="1276" w:type="dxa"/>
            <w:vAlign w:val="center"/>
          </w:tcPr>
          <w:p w:rsidR="00136369" w:rsidRPr="00136369" w:rsidP="00136369" w14:paraId="71EB3709" w14:textId="7FEABA7A">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67AB3DD7" w14:textId="4DC70D7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7 500 000</w:t>
            </w:r>
          </w:p>
        </w:tc>
        <w:tc>
          <w:tcPr>
            <w:tcW w:w="1275" w:type="dxa"/>
            <w:vAlign w:val="center"/>
          </w:tcPr>
          <w:p w:rsidR="00136369" w:rsidRPr="00136369" w:rsidP="00136369" w14:paraId="2F705EC3" w14:textId="6B00D8A6">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2 170 416</w:t>
            </w:r>
          </w:p>
        </w:tc>
        <w:tc>
          <w:tcPr>
            <w:tcW w:w="1276" w:type="dxa"/>
            <w:gridSpan w:val="2"/>
            <w:vAlign w:val="center"/>
          </w:tcPr>
          <w:p w:rsidR="00136369" w:rsidRPr="00136369" w:rsidP="00136369" w14:paraId="04F029C6" w14:textId="5976B9A2">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7 500 000</w:t>
            </w:r>
          </w:p>
        </w:tc>
        <w:tc>
          <w:tcPr>
            <w:tcW w:w="1276" w:type="dxa"/>
            <w:vAlign w:val="center"/>
          </w:tcPr>
          <w:p w:rsidR="00136369" w:rsidRPr="00136369" w:rsidP="00136369" w14:paraId="0C7F369F" w14:textId="1A843BBD">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075F3341" w14:textId="5DF476A2">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473949D1"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6F20BA14" w14:textId="1BE54627">
            <w:pPr>
              <w:rPr>
                <w:rFonts w:ascii="Times New Roman" w:hAnsi="Times New Roman"/>
                <w:sz w:val="24"/>
                <w:szCs w:val="24"/>
              </w:rPr>
            </w:pPr>
            <w:r w:rsidRPr="00B81DE4">
              <w:rPr>
                <w:rFonts w:ascii="Times New Roman" w:hAnsi="Times New Roman"/>
                <w:sz w:val="24"/>
                <w:szCs w:val="24"/>
              </w:rPr>
              <w:t>2.1. valsts pamatbudžets</w:t>
            </w:r>
          </w:p>
        </w:tc>
        <w:tc>
          <w:tcPr>
            <w:tcW w:w="1349" w:type="dxa"/>
            <w:vAlign w:val="center"/>
          </w:tcPr>
          <w:p w:rsidR="00136369" w:rsidRPr="00B81DE4" w:rsidP="00136369" w14:paraId="558F83AF" w14:textId="0779B370">
            <w:pPr>
              <w:spacing w:after="0"/>
              <w:contextualSpacing/>
              <w:jc w:val="center"/>
              <w:rPr>
                <w:rFonts w:ascii="Times New Roman" w:hAnsi="Times New Roman"/>
                <w:sz w:val="24"/>
                <w:szCs w:val="24"/>
              </w:rPr>
            </w:pPr>
            <w:r>
              <w:rPr>
                <w:rFonts w:ascii="Times New Roman" w:hAnsi="Times New Roman"/>
                <w:sz w:val="24"/>
                <w:szCs w:val="24"/>
              </w:rPr>
              <w:t>7 500 000</w:t>
            </w:r>
          </w:p>
        </w:tc>
        <w:tc>
          <w:tcPr>
            <w:tcW w:w="1276" w:type="dxa"/>
            <w:vAlign w:val="center"/>
          </w:tcPr>
          <w:p w:rsidR="00136369" w:rsidRPr="00136369" w:rsidP="00136369" w14:paraId="7DBBA910" w14:textId="46DCA22B">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2351B882" w14:textId="0B59BEB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7 500 000</w:t>
            </w:r>
          </w:p>
        </w:tc>
        <w:tc>
          <w:tcPr>
            <w:tcW w:w="1275" w:type="dxa"/>
            <w:vAlign w:val="center"/>
          </w:tcPr>
          <w:p w:rsidR="00136369" w:rsidRPr="00136369" w:rsidP="00136369" w14:paraId="11202A12" w14:textId="1946215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2 170 416</w:t>
            </w:r>
          </w:p>
        </w:tc>
        <w:tc>
          <w:tcPr>
            <w:tcW w:w="1276" w:type="dxa"/>
            <w:gridSpan w:val="2"/>
            <w:vAlign w:val="center"/>
          </w:tcPr>
          <w:p w:rsidR="00136369" w:rsidRPr="00136369" w:rsidP="00136369" w14:paraId="19FABC06" w14:textId="6A8B86CB">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7 500 000</w:t>
            </w:r>
          </w:p>
        </w:tc>
        <w:tc>
          <w:tcPr>
            <w:tcW w:w="1276" w:type="dxa"/>
            <w:vAlign w:val="center"/>
          </w:tcPr>
          <w:p w:rsidR="00136369" w:rsidRPr="00136369" w:rsidP="00136369" w14:paraId="430BF098" w14:textId="3279D8A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3C19DCD2" w14:textId="0779548A">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2FC9ECDB"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1AFB0C0D" w14:textId="45C0F9A5">
            <w:pPr>
              <w:rPr>
                <w:rFonts w:ascii="Times New Roman" w:hAnsi="Times New Roman"/>
                <w:sz w:val="24"/>
                <w:szCs w:val="24"/>
              </w:rPr>
            </w:pPr>
            <w:r w:rsidRPr="00B81DE4">
              <w:rPr>
                <w:rFonts w:ascii="Times New Roman" w:hAnsi="Times New Roman"/>
                <w:sz w:val="24"/>
                <w:szCs w:val="24"/>
              </w:rPr>
              <w:t>2.2. valsts speciālais budžets</w:t>
            </w:r>
          </w:p>
        </w:tc>
        <w:tc>
          <w:tcPr>
            <w:tcW w:w="1349" w:type="dxa"/>
            <w:vAlign w:val="center"/>
          </w:tcPr>
          <w:p w:rsidR="00136369" w:rsidRPr="00B81DE4" w:rsidP="00136369" w14:paraId="2C0A1E26" w14:textId="350EA1B3">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136369" w:rsidRPr="00136369" w:rsidP="00136369" w14:paraId="1B335FF7" w14:textId="54ACEBC0">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1CF53723" w14:textId="3D1BE7AD">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5" w:type="dxa"/>
            <w:vAlign w:val="center"/>
          </w:tcPr>
          <w:p w:rsidR="00136369" w:rsidRPr="00136369" w:rsidP="00136369" w14:paraId="0650FA3B" w14:textId="08DD18BE">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6B9C6BF8" w14:textId="259ECF6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vAlign w:val="center"/>
          </w:tcPr>
          <w:p w:rsidR="00136369" w:rsidRPr="00136369" w:rsidP="00136369" w14:paraId="6AE6EE52" w14:textId="250AEB65">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3851A8EA" w14:textId="2EF54846">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17F16096"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5655B8D4" w14:textId="1736009E">
            <w:pPr>
              <w:rPr>
                <w:rFonts w:ascii="Times New Roman" w:hAnsi="Times New Roman"/>
                <w:sz w:val="24"/>
                <w:szCs w:val="24"/>
              </w:rPr>
            </w:pPr>
            <w:r w:rsidRPr="00B81DE4">
              <w:rPr>
                <w:rFonts w:ascii="Times New Roman" w:hAnsi="Times New Roman"/>
                <w:sz w:val="24"/>
                <w:szCs w:val="24"/>
              </w:rPr>
              <w:t>2.3. pašvaldību budžets</w:t>
            </w:r>
          </w:p>
        </w:tc>
        <w:tc>
          <w:tcPr>
            <w:tcW w:w="1349" w:type="dxa"/>
            <w:vAlign w:val="center"/>
          </w:tcPr>
          <w:p w:rsidR="00136369" w:rsidRPr="00B81DE4" w:rsidP="00136369" w14:paraId="31A0743C" w14:textId="6F50E8A3">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136369" w:rsidRPr="00136369" w:rsidP="00136369" w14:paraId="7397E5C1" w14:textId="12E28351">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255613A7" w14:textId="5529A2A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5" w:type="dxa"/>
            <w:vAlign w:val="center"/>
          </w:tcPr>
          <w:p w:rsidR="00136369" w:rsidRPr="00136369" w:rsidP="00136369" w14:paraId="723CAEEE" w14:textId="16D484C2">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1D0FC252" w14:textId="6C87AE39">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vAlign w:val="center"/>
          </w:tcPr>
          <w:p w:rsidR="00136369" w:rsidRPr="00136369" w:rsidP="00136369" w14:paraId="009E7FF6" w14:textId="71F5C125">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5B9FAE5F" w14:textId="7BFF8AE5">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0FA3EC9F"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5E4A8967" w14:textId="27EC405F">
            <w:pPr>
              <w:rPr>
                <w:rFonts w:ascii="Times New Roman" w:hAnsi="Times New Roman"/>
                <w:sz w:val="24"/>
                <w:szCs w:val="24"/>
              </w:rPr>
            </w:pPr>
            <w:r w:rsidRPr="00B81DE4">
              <w:rPr>
                <w:rFonts w:ascii="Times New Roman" w:hAnsi="Times New Roman"/>
                <w:sz w:val="24"/>
                <w:szCs w:val="24"/>
              </w:rPr>
              <w:t>3. Finansiālā ietekme:</w:t>
            </w:r>
          </w:p>
        </w:tc>
        <w:tc>
          <w:tcPr>
            <w:tcW w:w="1349" w:type="dxa"/>
            <w:vAlign w:val="center"/>
          </w:tcPr>
          <w:p w:rsidR="00136369" w:rsidRPr="00B81DE4" w:rsidP="00136369" w14:paraId="6C861573" w14:textId="0458D0EB">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rsidR="00136369" w:rsidRPr="00136369" w:rsidP="00136369" w14:paraId="6EF1BF3B" w14:textId="1580671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4B422E59" w14:textId="54E05AE7">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-1 125 000</w:t>
            </w:r>
          </w:p>
        </w:tc>
        <w:tc>
          <w:tcPr>
            <w:tcW w:w="1275" w:type="dxa"/>
            <w:vAlign w:val="center"/>
          </w:tcPr>
          <w:p w:rsidR="00136369" w:rsidRPr="00136369" w:rsidP="00136369" w14:paraId="44F8E62C" w14:textId="7A0050A5">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-325 562</w:t>
            </w:r>
          </w:p>
        </w:tc>
        <w:tc>
          <w:tcPr>
            <w:tcW w:w="1276" w:type="dxa"/>
            <w:gridSpan w:val="2"/>
            <w:vAlign w:val="center"/>
          </w:tcPr>
          <w:p w:rsidR="00136369" w:rsidRPr="00136369" w:rsidP="00136369" w14:paraId="1BA2F7A9" w14:textId="1F26A18F">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-1 125 000</w:t>
            </w:r>
          </w:p>
        </w:tc>
        <w:tc>
          <w:tcPr>
            <w:tcW w:w="1276" w:type="dxa"/>
            <w:vAlign w:val="center"/>
          </w:tcPr>
          <w:p w:rsidR="00136369" w:rsidRPr="00136369" w:rsidP="00136369" w14:paraId="5603C16B" w14:textId="7922C1F9">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69201A75" w14:textId="45786D5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62E391C0" w14:textId="77777777" w:rsidTr="00B564F2">
        <w:tblPrEx>
          <w:tblW w:w="11205" w:type="dxa"/>
          <w:tblInd w:w="-1433" w:type="dxa"/>
          <w:tblLayout w:type="fixed"/>
          <w:tblLook w:val="04A0"/>
        </w:tblPrEx>
        <w:trPr>
          <w:gridAfter w:val="1"/>
          <w:wAfter w:w="6" w:type="dxa"/>
        </w:trPr>
        <w:tc>
          <w:tcPr>
            <w:tcW w:w="2054" w:type="dxa"/>
          </w:tcPr>
          <w:p w:rsidR="00136369" w:rsidRPr="00B81DE4" w:rsidP="00136369" w14:paraId="20021EC5" w14:textId="2D6E4079">
            <w:pPr>
              <w:rPr>
                <w:rFonts w:ascii="Times New Roman" w:hAnsi="Times New Roman"/>
                <w:sz w:val="24"/>
                <w:szCs w:val="24"/>
              </w:rPr>
            </w:pPr>
            <w:r w:rsidRPr="00B81DE4">
              <w:rPr>
                <w:rFonts w:ascii="Times New Roman" w:hAnsi="Times New Roman"/>
                <w:sz w:val="24"/>
                <w:szCs w:val="24"/>
              </w:rPr>
              <w:t>3.1. valsts pamatbudžets</w:t>
            </w:r>
          </w:p>
        </w:tc>
        <w:tc>
          <w:tcPr>
            <w:tcW w:w="1349" w:type="dxa"/>
            <w:vAlign w:val="center"/>
          </w:tcPr>
          <w:p w:rsidR="00136369" w:rsidRPr="00B81DE4" w:rsidP="00136369" w14:paraId="0C633E84" w14:textId="2DBB7FB4">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rsidR="00136369" w:rsidRPr="00136369" w:rsidP="00136369" w14:paraId="5662045A" w14:textId="38083EA9">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276" w:type="dxa"/>
            <w:gridSpan w:val="2"/>
            <w:vAlign w:val="center"/>
          </w:tcPr>
          <w:p w:rsidR="00136369" w:rsidRPr="00136369" w:rsidP="00136369" w14:paraId="094DC598" w14:textId="76D8448C">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-1 125 000</w:t>
            </w:r>
          </w:p>
        </w:tc>
        <w:tc>
          <w:tcPr>
            <w:tcW w:w="1275" w:type="dxa"/>
            <w:vAlign w:val="center"/>
          </w:tcPr>
          <w:p w:rsidR="00136369" w:rsidRPr="00136369" w:rsidP="00136369" w14:paraId="07A203FB" w14:textId="2F58A3E0">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-325 562</w:t>
            </w:r>
          </w:p>
        </w:tc>
        <w:tc>
          <w:tcPr>
            <w:tcW w:w="1276" w:type="dxa"/>
            <w:gridSpan w:val="2"/>
            <w:vAlign w:val="center"/>
          </w:tcPr>
          <w:p w:rsidR="00136369" w:rsidRPr="00136369" w:rsidP="00136369" w14:paraId="6D7F6AA7" w14:textId="25ADD2D1">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-1 125 000</w:t>
            </w:r>
          </w:p>
        </w:tc>
        <w:tc>
          <w:tcPr>
            <w:tcW w:w="1276" w:type="dxa"/>
            <w:vAlign w:val="center"/>
          </w:tcPr>
          <w:p w:rsidR="00136369" w:rsidRPr="00136369" w:rsidP="00136369" w14:paraId="4C2B8AE5" w14:textId="769390FA">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c>
          <w:tcPr>
            <w:tcW w:w="1417" w:type="dxa"/>
            <w:gridSpan w:val="2"/>
            <w:vAlign w:val="center"/>
          </w:tcPr>
          <w:p w:rsidR="00136369" w:rsidRPr="00136369" w:rsidP="00136369" w14:paraId="3D7C4158" w14:textId="162DC766">
            <w:pPr>
              <w:spacing w:after="0"/>
              <w:contextualSpacing/>
              <w:jc w:val="center"/>
              <w:rPr>
                <w:rFonts w:ascii="Times New Roman" w:eastAsia="Times New Roman" w:hAnsi="Times New Roman"/>
                <w:sz w:val="24"/>
                <w:szCs w:val="24"/>
              </w:rPr>
            </w:pPr>
            <w:r w:rsidRPr="00136369">
              <w:rPr>
                <w:rFonts w:ascii="Times New Roman" w:eastAsia="Times New Roman" w:hAnsi="Times New Roman"/>
                <w:sz w:val="24"/>
                <w:szCs w:val="24"/>
              </w:rPr>
              <w:t>0</w:t>
            </w:r>
          </w:p>
        </w:tc>
      </w:tr>
      <w:tr w14:paraId="3294AED1" w14:textId="77777777" w:rsidTr="00B249D6">
        <w:tblPrEx>
          <w:tblW w:w="11205" w:type="dxa"/>
          <w:tblInd w:w="-1433" w:type="dxa"/>
          <w:tblLayout w:type="fixed"/>
          <w:tblLook w:val="04A0"/>
        </w:tblPrEx>
        <w:trPr>
          <w:gridAfter w:val="1"/>
          <w:wAfter w:w="6" w:type="dxa"/>
        </w:trPr>
        <w:tc>
          <w:tcPr>
            <w:tcW w:w="2054" w:type="dxa"/>
          </w:tcPr>
          <w:p w:rsidR="005136D7" w:rsidRPr="00B81DE4" w:rsidP="005136D7" w14:paraId="5945A602" w14:textId="79AC3221">
            <w:pPr>
              <w:rPr>
                <w:rFonts w:ascii="Times New Roman" w:hAnsi="Times New Roman"/>
                <w:sz w:val="24"/>
                <w:szCs w:val="24"/>
              </w:rPr>
            </w:pPr>
            <w:r w:rsidRPr="00B81DE4">
              <w:rPr>
                <w:rFonts w:ascii="Times New Roman" w:hAnsi="Times New Roman"/>
                <w:sz w:val="24"/>
                <w:szCs w:val="24"/>
              </w:rPr>
              <w:t>3.2. speciālais budžets</w:t>
            </w:r>
          </w:p>
        </w:tc>
        <w:tc>
          <w:tcPr>
            <w:tcW w:w="1349" w:type="dxa"/>
            <w:vAlign w:val="center"/>
          </w:tcPr>
          <w:p w:rsidR="005136D7" w:rsidRPr="00B81DE4" w:rsidP="005136D7" w14:paraId="5FFE8965" w14:textId="12DBB599">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5136D7" w:rsidRPr="00B81DE4" w:rsidP="005136D7" w14:paraId="42E9CC65" w14:textId="11D2704C">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5136D7" w:rsidRPr="00B81DE4" w:rsidP="005136D7" w14:paraId="1E531D54" w14:textId="512AD28C">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rsidR="005136D7" w:rsidRPr="00B81DE4" w:rsidP="005136D7" w14:paraId="7598E2CC" w14:textId="72DC34E0">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5136D7" w:rsidRPr="00B81DE4" w:rsidP="005136D7" w14:paraId="0541B0A9" w14:textId="04E5646C">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5136D7" w:rsidRPr="00B81DE4" w:rsidP="005136D7" w14:paraId="4423034F" w14:textId="6F4A3E33">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5136D7" w:rsidRPr="00B81DE4" w:rsidP="005136D7" w14:paraId="0E42C538" w14:textId="0E4128DC">
            <w:pPr>
              <w:spacing w:after="0"/>
              <w:contextualSpacing/>
              <w:jc w:val="center"/>
              <w:rPr>
                <w:rFonts w:ascii="Times New Roman" w:hAnsi="Times New Roman"/>
                <w:sz w:val="24"/>
                <w:szCs w:val="24"/>
              </w:rPr>
            </w:pPr>
            <w:r>
              <w:rPr>
                <w:rFonts w:ascii="Times New Roman" w:hAnsi="Times New Roman"/>
                <w:sz w:val="24"/>
                <w:szCs w:val="24"/>
              </w:rPr>
              <w:t>0</w:t>
            </w:r>
          </w:p>
        </w:tc>
      </w:tr>
      <w:tr w14:paraId="16A9DC1C" w14:textId="77777777" w:rsidTr="00B249D6">
        <w:tblPrEx>
          <w:tblW w:w="11205" w:type="dxa"/>
          <w:tblInd w:w="-1433" w:type="dxa"/>
          <w:tblLayout w:type="fixed"/>
          <w:tblLook w:val="04A0"/>
        </w:tblPrEx>
        <w:trPr>
          <w:gridAfter w:val="1"/>
          <w:wAfter w:w="6" w:type="dxa"/>
        </w:trPr>
        <w:tc>
          <w:tcPr>
            <w:tcW w:w="2054" w:type="dxa"/>
          </w:tcPr>
          <w:p w:rsidR="005136D7" w:rsidRPr="00B81DE4" w:rsidP="005136D7" w14:paraId="621BFE7C" w14:textId="5E0C0376">
            <w:pPr>
              <w:rPr>
                <w:rFonts w:ascii="Times New Roman" w:hAnsi="Times New Roman"/>
                <w:sz w:val="24"/>
                <w:szCs w:val="24"/>
              </w:rPr>
            </w:pPr>
            <w:r w:rsidRPr="00B81DE4">
              <w:rPr>
                <w:rFonts w:ascii="Times New Roman" w:hAnsi="Times New Roman"/>
                <w:sz w:val="24"/>
                <w:szCs w:val="24"/>
              </w:rPr>
              <w:t>3.3. pašvaldību budžets</w:t>
            </w:r>
          </w:p>
        </w:tc>
        <w:tc>
          <w:tcPr>
            <w:tcW w:w="1349" w:type="dxa"/>
            <w:vAlign w:val="center"/>
          </w:tcPr>
          <w:p w:rsidR="005136D7" w:rsidRPr="00B81DE4" w:rsidP="005136D7" w14:paraId="66FEBBA1" w14:textId="74C93CFC">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5136D7" w:rsidRPr="00B81DE4" w:rsidP="005136D7" w14:paraId="5570EE7F" w14:textId="6735912C">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5136D7" w:rsidRPr="00B81DE4" w:rsidP="005136D7" w14:paraId="687A6443" w14:textId="0D0F281E">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rsidR="005136D7" w:rsidRPr="00B81DE4" w:rsidP="005136D7" w14:paraId="3A654E49" w14:textId="1982C64A">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5136D7" w:rsidRPr="00B81DE4" w:rsidP="005136D7" w14:paraId="5B79083B" w14:textId="48FDD1FC">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5136D7" w:rsidRPr="00B81DE4" w:rsidP="005136D7" w14:paraId="4D3DA4BC" w14:textId="4C6D86DD">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5136D7" w:rsidRPr="00B81DE4" w:rsidP="005136D7" w14:paraId="50E5B050" w14:textId="20DBAFB8">
            <w:pPr>
              <w:spacing w:after="0"/>
              <w:contextualSpacing/>
              <w:jc w:val="center"/>
              <w:rPr>
                <w:rFonts w:ascii="Times New Roman" w:hAnsi="Times New Roman"/>
                <w:sz w:val="24"/>
                <w:szCs w:val="24"/>
              </w:rPr>
            </w:pPr>
            <w:r>
              <w:rPr>
                <w:rFonts w:ascii="Times New Roman" w:hAnsi="Times New Roman"/>
                <w:sz w:val="24"/>
                <w:szCs w:val="24"/>
              </w:rPr>
              <w:t>0</w:t>
            </w:r>
          </w:p>
        </w:tc>
      </w:tr>
      <w:tr w14:paraId="7723E22B" w14:textId="77777777" w:rsidTr="00B249D6">
        <w:tblPrEx>
          <w:tblW w:w="11205" w:type="dxa"/>
          <w:tblInd w:w="-1433" w:type="dxa"/>
          <w:tblLayout w:type="fixed"/>
          <w:tblLook w:val="04A0"/>
        </w:tblPrEx>
        <w:trPr>
          <w:gridAfter w:val="1"/>
          <w:wAfter w:w="6" w:type="dxa"/>
        </w:trPr>
        <w:tc>
          <w:tcPr>
            <w:tcW w:w="2054" w:type="dxa"/>
          </w:tcPr>
          <w:p w:rsidR="00727F3A" w:rsidRPr="00B81DE4" w:rsidP="00727F3A" w14:paraId="3E16ED65" w14:textId="6EC39F6F">
            <w:pPr>
              <w:rPr>
                <w:rFonts w:ascii="Times New Roman" w:hAnsi="Times New Roman"/>
                <w:sz w:val="24"/>
                <w:szCs w:val="24"/>
              </w:rPr>
            </w:pPr>
            <w:r w:rsidRPr="00B81DE4">
              <w:rPr>
                <w:rFonts w:ascii="Times New Roman" w:hAnsi="Times New Roman"/>
                <w:sz w:val="24"/>
                <w:szCs w:val="24"/>
              </w:rPr>
              <w:t>4. Finanšu līdzekļi papildu izdevumu finansēšanai (kompensējošu izdevumu samazinājumu norāda ar "+" zīmi)</w:t>
            </w:r>
          </w:p>
        </w:tc>
        <w:tc>
          <w:tcPr>
            <w:tcW w:w="1349" w:type="dxa"/>
            <w:vAlign w:val="center"/>
          </w:tcPr>
          <w:p w:rsidR="00727F3A" w:rsidRPr="00B81DE4" w:rsidP="00727F3A" w14:paraId="109E0174" w14:textId="0B86E42B">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727F3A" w:rsidRPr="00B81DE4" w:rsidP="00727F3A" w14:paraId="18AA76BD" w14:textId="060279CE">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727F3A" w:rsidRPr="00B81DE4" w:rsidP="00727F3A" w14:paraId="5E9A01F5" w14:textId="41CB11A9">
            <w:pPr>
              <w:spacing w:after="0"/>
              <w:contextualSpacing/>
              <w:jc w:val="center"/>
              <w:rPr>
                <w:rFonts w:ascii="Times New Roman" w:hAnsi="Times New Roman"/>
                <w:sz w:val="24"/>
                <w:szCs w:val="24"/>
              </w:rPr>
            </w:pPr>
            <w:r>
              <w:rPr>
                <w:rFonts w:ascii="Times New Roman" w:hAnsi="Times New Roman"/>
                <w:sz w:val="24"/>
                <w:szCs w:val="24"/>
              </w:rPr>
              <w:t>0</w:t>
            </w:r>
          </w:p>
        </w:tc>
        <w:tc>
          <w:tcPr>
            <w:tcW w:w="1275" w:type="dxa"/>
            <w:vAlign w:val="center"/>
          </w:tcPr>
          <w:p w:rsidR="00727F3A" w:rsidRPr="00B81DE4" w:rsidP="00727F3A" w14:paraId="5549F0EA" w14:textId="64D36AA6">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727F3A" w:rsidRPr="00B81DE4" w:rsidP="00727F3A" w14:paraId="10AC23D7" w14:textId="6A2CA060">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vAlign w:val="center"/>
          </w:tcPr>
          <w:p w:rsidR="00727F3A" w:rsidRPr="00B81DE4" w:rsidP="00727F3A" w14:paraId="36E7B8FC" w14:textId="2EFC0032">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727F3A" w:rsidRPr="00B81DE4" w:rsidP="00727F3A" w14:paraId="72B07921" w14:textId="64BC22C9">
            <w:pPr>
              <w:spacing w:after="0"/>
              <w:contextualSpacing/>
              <w:jc w:val="center"/>
              <w:rPr>
                <w:rFonts w:ascii="Times New Roman" w:hAnsi="Times New Roman"/>
                <w:sz w:val="24"/>
                <w:szCs w:val="24"/>
              </w:rPr>
            </w:pPr>
            <w:r>
              <w:rPr>
                <w:rFonts w:ascii="Times New Roman" w:hAnsi="Times New Roman"/>
                <w:sz w:val="24"/>
                <w:szCs w:val="24"/>
              </w:rPr>
              <w:t>0</w:t>
            </w:r>
          </w:p>
        </w:tc>
      </w:tr>
      <w:tr w14:paraId="4D67EA76" w14:textId="77777777" w:rsidTr="00B249D6">
        <w:tblPrEx>
          <w:tblW w:w="11205" w:type="dxa"/>
          <w:tblInd w:w="-1433" w:type="dxa"/>
          <w:tblLayout w:type="fixed"/>
          <w:tblLook w:val="04A0"/>
        </w:tblPrEx>
        <w:trPr>
          <w:gridAfter w:val="1"/>
          <w:wAfter w:w="6" w:type="dxa"/>
        </w:trPr>
        <w:tc>
          <w:tcPr>
            <w:tcW w:w="2054" w:type="dxa"/>
          </w:tcPr>
          <w:p w:rsidR="00960C4F" w:rsidRPr="00B81DE4" w:rsidP="00960C4F" w14:paraId="15B50304" w14:textId="61C85D95">
            <w:pPr>
              <w:rPr>
                <w:rFonts w:ascii="Times New Roman" w:hAnsi="Times New Roman"/>
                <w:sz w:val="24"/>
                <w:szCs w:val="24"/>
              </w:rPr>
            </w:pPr>
            <w:r w:rsidRPr="00B81DE4">
              <w:rPr>
                <w:rFonts w:ascii="Times New Roman" w:hAnsi="Times New Roman"/>
                <w:sz w:val="24"/>
                <w:szCs w:val="24"/>
              </w:rPr>
              <w:t>5. Precizēta finansiālā ietekme:</w:t>
            </w:r>
          </w:p>
        </w:tc>
        <w:tc>
          <w:tcPr>
            <w:tcW w:w="1349" w:type="dxa"/>
            <w:vAlign w:val="center"/>
          </w:tcPr>
          <w:p w:rsidR="00960C4F" w:rsidRPr="00B81DE4" w:rsidP="00960C4F" w14:paraId="5C416520" w14:textId="6A811CE0">
            <w:pPr>
              <w:spacing w:after="0"/>
              <w:contextualSpacing/>
              <w:jc w:val="center"/>
              <w:rPr>
                <w:rFonts w:ascii="Times New Roman" w:hAnsi="Times New Roman"/>
                <w:sz w:val="24"/>
                <w:szCs w:val="24"/>
              </w:rPr>
            </w:pPr>
            <w:r>
              <w:rPr>
                <w:rFonts w:ascii="Times New Roman" w:hAnsi="Times New Roman"/>
                <w:sz w:val="24"/>
                <w:szCs w:val="24"/>
              </w:rPr>
              <w:t>-1 125 000</w:t>
            </w:r>
          </w:p>
        </w:tc>
        <w:tc>
          <w:tcPr>
            <w:tcW w:w="1276" w:type="dxa"/>
            <w:vAlign w:val="center"/>
          </w:tcPr>
          <w:p w:rsidR="00960C4F" w:rsidRPr="00B81DE4" w:rsidP="00960C4F" w14:paraId="53D17110" w14:textId="75476234">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Align w:val="center"/>
          </w:tcPr>
          <w:p w:rsidR="00960C4F" w:rsidRPr="00B81DE4" w:rsidP="00960C4F" w14:paraId="24EB56FE" w14:textId="359996BD">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5" w:type="dxa"/>
            <w:vAlign w:val="center"/>
          </w:tcPr>
          <w:p w:rsidR="00960C4F" w:rsidRPr="00B81DE4" w:rsidP="00960C4F" w14:paraId="7375227D" w14:textId="4E8F500A">
            <w:pPr>
              <w:spacing w:after="0"/>
              <w:contextualSpacing/>
              <w:jc w:val="center"/>
              <w:rPr>
                <w:rFonts w:ascii="Times New Roman" w:hAnsi="Times New Roman"/>
                <w:sz w:val="24"/>
                <w:szCs w:val="24"/>
              </w:rPr>
            </w:pPr>
            <w:r w:rsidRPr="00136369">
              <w:rPr>
                <w:rFonts w:ascii="Times New Roman" w:eastAsia="Times New Roman" w:hAnsi="Times New Roman"/>
                <w:sz w:val="24"/>
                <w:szCs w:val="24"/>
              </w:rPr>
              <w:t>-325 562</w:t>
            </w:r>
          </w:p>
        </w:tc>
        <w:tc>
          <w:tcPr>
            <w:tcW w:w="1276" w:type="dxa"/>
            <w:gridSpan w:val="2"/>
            <w:vAlign w:val="center"/>
          </w:tcPr>
          <w:p w:rsidR="00960C4F" w:rsidRPr="00B81DE4" w:rsidP="00960C4F" w14:paraId="6FB91BE7" w14:textId="75C166E6">
            <w:pPr>
              <w:spacing w:after="0"/>
              <w:contextualSpacing/>
              <w:jc w:val="center"/>
              <w:rPr>
                <w:rFonts w:ascii="Times New Roman" w:hAnsi="Times New Roman"/>
                <w:sz w:val="24"/>
                <w:szCs w:val="24"/>
              </w:rPr>
            </w:pPr>
            <w:r w:rsidRPr="00F52C57">
              <w:rPr>
                <w:rFonts w:ascii="Times New Roman" w:hAnsi="Times New Roman"/>
                <w:sz w:val="24"/>
                <w:szCs w:val="24"/>
              </w:rPr>
              <w:t>-1 125 000</w:t>
            </w:r>
          </w:p>
        </w:tc>
        <w:tc>
          <w:tcPr>
            <w:tcW w:w="1276" w:type="dxa"/>
            <w:vAlign w:val="center"/>
          </w:tcPr>
          <w:p w:rsidR="00960C4F" w:rsidRPr="00B81DE4" w:rsidP="00960C4F" w14:paraId="2B706EEC" w14:textId="6AFE5FE1">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960C4F" w:rsidRPr="00B81DE4" w:rsidP="00960C4F" w14:paraId="135C0CE8" w14:textId="3BB1292F">
            <w:pPr>
              <w:spacing w:after="0"/>
              <w:contextualSpacing/>
              <w:jc w:val="center"/>
              <w:rPr>
                <w:rFonts w:ascii="Times New Roman" w:hAnsi="Times New Roman"/>
                <w:sz w:val="24"/>
                <w:szCs w:val="24"/>
              </w:rPr>
            </w:pPr>
            <w:r>
              <w:rPr>
                <w:rFonts w:ascii="Times New Roman" w:hAnsi="Times New Roman"/>
                <w:sz w:val="24"/>
                <w:szCs w:val="24"/>
              </w:rPr>
              <w:t>0</w:t>
            </w:r>
          </w:p>
        </w:tc>
      </w:tr>
      <w:tr w14:paraId="7E019415" w14:textId="77777777" w:rsidTr="00B249D6">
        <w:tblPrEx>
          <w:tblW w:w="11205" w:type="dxa"/>
          <w:tblInd w:w="-1433" w:type="dxa"/>
          <w:tblLayout w:type="fixed"/>
          <w:tblLook w:val="04A0"/>
        </w:tblPrEx>
        <w:trPr>
          <w:gridAfter w:val="1"/>
          <w:wAfter w:w="6" w:type="dxa"/>
        </w:trPr>
        <w:tc>
          <w:tcPr>
            <w:tcW w:w="2054" w:type="dxa"/>
          </w:tcPr>
          <w:p w:rsidR="00573D7B" w:rsidRPr="00B81DE4" w:rsidP="00573D7B" w14:paraId="6735CD98" w14:textId="5EBB0B7F">
            <w:pPr>
              <w:rPr>
                <w:rFonts w:ascii="Times New Roman" w:hAnsi="Times New Roman"/>
                <w:sz w:val="24"/>
                <w:szCs w:val="24"/>
              </w:rPr>
            </w:pPr>
            <w:r w:rsidRPr="00B81DE4">
              <w:rPr>
                <w:rFonts w:ascii="Times New Roman" w:hAnsi="Times New Roman"/>
                <w:sz w:val="24"/>
                <w:szCs w:val="24"/>
              </w:rPr>
              <w:t>5.1. valsts pamatbudžets</w:t>
            </w:r>
          </w:p>
        </w:tc>
        <w:tc>
          <w:tcPr>
            <w:tcW w:w="1349" w:type="dxa"/>
            <w:vMerge w:val="restart"/>
            <w:vAlign w:val="center"/>
          </w:tcPr>
          <w:p w:rsidR="00573D7B" w:rsidRPr="00B81DE4" w:rsidP="00573D7B" w14:paraId="161D20CE" w14:textId="686EA5A8">
            <w:pPr>
              <w:spacing w:after="0"/>
              <w:contextualSpacing/>
              <w:jc w:val="center"/>
              <w:rPr>
                <w:rFonts w:ascii="Times New Roman" w:hAnsi="Times New Roman"/>
                <w:sz w:val="24"/>
                <w:szCs w:val="24"/>
              </w:rPr>
            </w:pPr>
            <w:r>
              <w:rPr>
                <w:rFonts w:ascii="Times New Roman" w:hAnsi="Times New Roman"/>
                <w:sz w:val="24"/>
                <w:szCs w:val="24"/>
              </w:rPr>
              <w:t>X</w:t>
            </w:r>
          </w:p>
        </w:tc>
        <w:tc>
          <w:tcPr>
            <w:tcW w:w="1276" w:type="dxa"/>
            <w:vAlign w:val="center"/>
          </w:tcPr>
          <w:p w:rsidR="00573D7B" w:rsidRPr="00B81DE4" w:rsidP="00573D7B" w14:paraId="7680377B" w14:textId="1685C007">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restart"/>
            <w:vAlign w:val="center"/>
          </w:tcPr>
          <w:p w:rsidR="00573D7B" w:rsidRPr="00B81DE4" w:rsidP="00573D7B" w14:paraId="2FDD4FD0" w14:textId="77D605A7">
            <w:pPr>
              <w:spacing w:after="0"/>
              <w:contextualSpacing/>
              <w:jc w:val="center"/>
              <w:rPr>
                <w:rFonts w:ascii="Times New Roman" w:hAnsi="Times New Roman"/>
                <w:sz w:val="24"/>
                <w:szCs w:val="24"/>
              </w:rPr>
            </w:pPr>
            <w:r>
              <w:rPr>
                <w:rFonts w:ascii="Times New Roman" w:hAnsi="Times New Roman"/>
                <w:sz w:val="24"/>
                <w:szCs w:val="24"/>
              </w:rPr>
              <w:t>X</w:t>
            </w:r>
          </w:p>
        </w:tc>
        <w:tc>
          <w:tcPr>
            <w:tcW w:w="1275" w:type="dxa"/>
            <w:vAlign w:val="center"/>
          </w:tcPr>
          <w:p w:rsidR="00573D7B" w:rsidRPr="00B81DE4" w:rsidP="00573D7B" w14:paraId="584BA837" w14:textId="242478C1">
            <w:pPr>
              <w:spacing w:after="0"/>
              <w:contextualSpacing/>
              <w:jc w:val="center"/>
              <w:rPr>
                <w:rFonts w:ascii="Times New Roman" w:hAnsi="Times New Roman"/>
                <w:sz w:val="24"/>
                <w:szCs w:val="24"/>
              </w:rPr>
            </w:pPr>
            <w:r w:rsidRPr="00136369">
              <w:rPr>
                <w:rFonts w:ascii="Times New Roman" w:eastAsia="Times New Roman" w:hAnsi="Times New Roman"/>
                <w:sz w:val="24"/>
                <w:szCs w:val="24"/>
              </w:rPr>
              <w:t>-325 562</w:t>
            </w:r>
          </w:p>
        </w:tc>
        <w:tc>
          <w:tcPr>
            <w:tcW w:w="1276" w:type="dxa"/>
            <w:gridSpan w:val="2"/>
            <w:vMerge w:val="restart"/>
            <w:vAlign w:val="center"/>
          </w:tcPr>
          <w:p w:rsidR="00573D7B" w:rsidRPr="00B81DE4" w:rsidP="00573D7B" w14:paraId="69813506" w14:textId="68A3DFE3">
            <w:pPr>
              <w:spacing w:after="0"/>
              <w:contextualSpacing/>
              <w:jc w:val="center"/>
              <w:rPr>
                <w:rFonts w:ascii="Times New Roman" w:hAnsi="Times New Roman"/>
                <w:sz w:val="24"/>
                <w:szCs w:val="24"/>
              </w:rPr>
            </w:pPr>
            <w:r>
              <w:rPr>
                <w:rFonts w:ascii="Times New Roman" w:hAnsi="Times New Roman"/>
                <w:sz w:val="24"/>
                <w:szCs w:val="24"/>
              </w:rPr>
              <w:t>X</w:t>
            </w:r>
          </w:p>
        </w:tc>
        <w:tc>
          <w:tcPr>
            <w:tcW w:w="1276" w:type="dxa"/>
            <w:vAlign w:val="center"/>
          </w:tcPr>
          <w:p w:rsidR="00573D7B" w:rsidRPr="00B81DE4" w:rsidP="00573D7B" w14:paraId="1CDC085D" w14:textId="26393E09">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573D7B" w:rsidRPr="00B81DE4" w:rsidP="00573D7B" w14:paraId="4039A1D1" w14:textId="7D0DA267">
            <w:pPr>
              <w:spacing w:after="0"/>
              <w:contextualSpacing/>
              <w:jc w:val="center"/>
              <w:rPr>
                <w:rFonts w:ascii="Times New Roman" w:hAnsi="Times New Roman"/>
                <w:sz w:val="24"/>
                <w:szCs w:val="24"/>
              </w:rPr>
            </w:pPr>
            <w:r>
              <w:rPr>
                <w:rFonts w:ascii="Times New Roman" w:hAnsi="Times New Roman"/>
                <w:sz w:val="24"/>
                <w:szCs w:val="24"/>
              </w:rPr>
              <w:t>0</w:t>
            </w:r>
          </w:p>
        </w:tc>
      </w:tr>
      <w:tr w14:paraId="25BD9BCA" w14:textId="77777777" w:rsidTr="00B249D6">
        <w:tblPrEx>
          <w:tblW w:w="11205" w:type="dxa"/>
          <w:tblInd w:w="-1433" w:type="dxa"/>
          <w:tblLayout w:type="fixed"/>
          <w:tblLook w:val="04A0"/>
        </w:tblPrEx>
        <w:trPr>
          <w:gridAfter w:val="1"/>
          <w:wAfter w:w="6" w:type="dxa"/>
        </w:trPr>
        <w:tc>
          <w:tcPr>
            <w:tcW w:w="2054" w:type="dxa"/>
          </w:tcPr>
          <w:p w:rsidR="00573D7B" w:rsidRPr="00B81DE4" w:rsidP="00573D7B" w14:paraId="3AFD4878" w14:textId="48B4F655">
            <w:pPr>
              <w:rPr>
                <w:rFonts w:ascii="Times New Roman" w:hAnsi="Times New Roman"/>
                <w:sz w:val="24"/>
                <w:szCs w:val="24"/>
              </w:rPr>
            </w:pPr>
            <w:r w:rsidRPr="00B81DE4">
              <w:rPr>
                <w:rFonts w:ascii="Times New Roman" w:hAnsi="Times New Roman"/>
                <w:sz w:val="24"/>
                <w:szCs w:val="24"/>
              </w:rPr>
              <w:t>5.2. speciālais budžets</w:t>
            </w:r>
          </w:p>
        </w:tc>
        <w:tc>
          <w:tcPr>
            <w:tcW w:w="1349" w:type="dxa"/>
            <w:vMerge/>
            <w:vAlign w:val="center"/>
          </w:tcPr>
          <w:p w:rsidR="00573D7B" w:rsidRPr="00B81DE4" w:rsidP="00573D7B" w14:paraId="21D1F591" w14:textId="77777777">
            <w:pPr>
              <w:spacing w:after="0"/>
              <w:contextualSpacing/>
              <w:jc w:val="center"/>
              <w:rPr>
                <w:rFonts w:ascii="Times New Roman" w:hAnsi="Times New Roman"/>
                <w:sz w:val="24"/>
                <w:szCs w:val="24"/>
              </w:rPr>
            </w:pPr>
          </w:p>
        </w:tc>
        <w:tc>
          <w:tcPr>
            <w:tcW w:w="1276" w:type="dxa"/>
            <w:vAlign w:val="center"/>
          </w:tcPr>
          <w:p w:rsidR="00573D7B" w:rsidRPr="00B81DE4" w:rsidP="00573D7B" w14:paraId="0EC68A94" w14:textId="1DD6CA46">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rsidR="00573D7B" w:rsidRPr="00B81DE4" w:rsidP="00573D7B" w14:paraId="71BF0D81" w14:textId="77777777">
            <w:pPr>
              <w:spacing w:after="0"/>
              <w:contextualSpacing/>
              <w:jc w:val="center"/>
              <w:rPr>
                <w:rFonts w:ascii="Times New Roman" w:hAnsi="Times New Roman"/>
                <w:sz w:val="24"/>
                <w:szCs w:val="24"/>
              </w:rPr>
            </w:pPr>
          </w:p>
        </w:tc>
        <w:tc>
          <w:tcPr>
            <w:tcW w:w="1275" w:type="dxa"/>
            <w:vAlign w:val="center"/>
          </w:tcPr>
          <w:p w:rsidR="00573D7B" w:rsidRPr="00B81DE4" w:rsidP="00573D7B" w14:paraId="4976017A" w14:textId="476038F9">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rsidR="00573D7B" w:rsidRPr="00B81DE4" w:rsidP="00573D7B" w14:paraId="4F2389A6" w14:textId="77777777">
            <w:pPr>
              <w:spacing w:after="0"/>
              <w:contextualSpacing/>
              <w:jc w:val="center"/>
              <w:rPr>
                <w:rFonts w:ascii="Times New Roman" w:hAnsi="Times New Roman"/>
                <w:sz w:val="24"/>
                <w:szCs w:val="24"/>
              </w:rPr>
            </w:pPr>
          </w:p>
        </w:tc>
        <w:tc>
          <w:tcPr>
            <w:tcW w:w="1276" w:type="dxa"/>
            <w:vAlign w:val="center"/>
          </w:tcPr>
          <w:p w:rsidR="00573D7B" w:rsidRPr="00B81DE4" w:rsidP="00573D7B" w14:paraId="21648777" w14:textId="53BFDC2A">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573D7B" w:rsidRPr="00B81DE4" w:rsidP="00573D7B" w14:paraId="28AD91C3" w14:textId="33CEC5F5">
            <w:pPr>
              <w:spacing w:after="0"/>
              <w:contextualSpacing/>
              <w:jc w:val="center"/>
              <w:rPr>
                <w:rFonts w:ascii="Times New Roman" w:hAnsi="Times New Roman"/>
                <w:sz w:val="24"/>
                <w:szCs w:val="24"/>
              </w:rPr>
            </w:pPr>
            <w:r>
              <w:rPr>
                <w:rFonts w:ascii="Times New Roman" w:hAnsi="Times New Roman"/>
                <w:sz w:val="24"/>
                <w:szCs w:val="24"/>
              </w:rPr>
              <w:t>0</w:t>
            </w:r>
          </w:p>
        </w:tc>
      </w:tr>
      <w:tr w14:paraId="3F698C4A" w14:textId="77777777" w:rsidTr="00B249D6">
        <w:tblPrEx>
          <w:tblW w:w="11205" w:type="dxa"/>
          <w:tblInd w:w="-1433" w:type="dxa"/>
          <w:tblLayout w:type="fixed"/>
          <w:tblLook w:val="04A0"/>
        </w:tblPrEx>
        <w:trPr>
          <w:gridAfter w:val="1"/>
          <w:wAfter w:w="6" w:type="dxa"/>
        </w:trPr>
        <w:tc>
          <w:tcPr>
            <w:tcW w:w="2054" w:type="dxa"/>
          </w:tcPr>
          <w:p w:rsidR="00573D7B" w:rsidRPr="00B81DE4" w:rsidP="00573D7B" w14:paraId="1E262292" w14:textId="615AE3A2">
            <w:pPr>
              <w:rPr>
                <w:rFonts w:ascii="Times New Roman" w:hAnsi="Times New Roman"/>
                <w:sz w:val="24"/>
                <w:szCs w:val="24"/>
              </w:rPr>
            </w:pPr>
            <w:r w:rsidRPr="00B81DE4">
              <w:rPr>
                <w:rFonts w:ascii="Times New Roman" w:hAnsi="Times New Roman"/>
                <w:sz w:val="24"/>
                <w:szCs w:val="24"/>
              </w:rPr>
              <w:t>5.3. pašvaldību budžets</w:t>
            </w:r>
          </w:p>
        </w:tc>
        <w:tc>
          <w:tcPr>
            <w:tcW w:w="1349" w:type="dxa"/>
            <w:vMerge/>
            <w:vAlign w:val="center"/>
          </w:tcPr>
          <w:p w:rsidR="00573D7B" w:rsidRPr="00B81DE4" w:rsidP="00573D7B" w14:paraId="3809031F" w14:textId="77777777">
            <w:pPr>
              <w:spacing w:after="0"/>
              <w:contextualSpacing/>
              <w:jc w:val="center"/>
              <w:rPr>
                <w:rFonts w:ascii="Times New Roman" w:hAnsi="Times New Roman"/>
                <w:sz w:val="24"/>
                <w:szCs w:val="24"/>
              </w:rPr>
            </w:pPr>
          </w:p>
        </w:tc>
        <w:tc>
          <w:tcPr>
            <w:tcW w:w="1276" w:type="dxa"/>
            <w:vAlign w:val="center"/>
          </w:tcPr>
          <w:p w:rsidR="00573D7B" w:rsidRPr="00B81DE4" w:rsidP="00573D7B" w14:paraId="4CC98C0F" w14:textId="4CEF9292">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rsidR="00573D7B" w:rsidRPr="00B81DE4" w:rsidP="00573D7B" w14:paraId="6B0F0672" w14:textId="77777777">
            <w:pPr>
              <w:spacing w:after="0"/>
              <w:contextualSpacing/>
              <w:jc w:val="center"/>
              <w:rPr>
                <w:rFonts w:ascii="Times New Roman" w:hAnsi="Times New Roman"/>
                <w:sz w:val="24"/>
                <w:szCs w:val="24"/>
              </w:rPr>
            </w:pPr>
          </w:p>
        </w:tc>
        <w:tc>
          <w:tcPr>
            <w:tcW w:w="1275" w:type="dxa"/>
            <w:vAlign w:val="center"/>
          </w:tcPr>
          <w:p w:rsidR="00573D7B" w:rsidRPr="00B81DE4" w:rsidP="00573D7B" w14:paraId="3A772BF1" w14:textId="517692EE">
            <w:pPr>
              <w:spacing w:after="0"/>
              <w:contextualSpacing/>
              <w:jc w:val="center"/>
              <w:rPr>
                <w:rFonts w:ascii="Times New Roman" w:hAnsi="Times New Roman"/>
                <w:sz w:val="24"/>
                <w:szCs w:val="24"/>
              </w:rPr>
            </w:pPr>
            <w:r>
              <w:rPr>
                <w:rFonts w:ascii="Times New Roman" w:hAnsi="Times New Roman"/>
                <w:sz w:val="24"/>
                <w:szCs w:val="24"/>
              </w:rPr>
              <w:t>0</w:t>
            </w:r>
          </w:p>
        </w:tc>
        <w:tc>
          <w:tcPr>
            <w:tcW w:w="1276" w:type="dxa"/>
            <w:gridSpan w:val="2"/>
            <w:vMerge/>
            <w:vAlign w:val="center"/>
          </w:tcPr>
          <w:p w:rsidR="00573D7B" w:rsidRPr="00B81DE4" w:rsidP="00573D7B" w14:paraId="08DD7F04" w14:textId="77777777">
            <w:pPr>
              <w:spacing w:after="0"/>
              <w:contextualSpacing/>
              <w:jc w:val="center"/>
              <w:rPr>
                <w:rFonts w:ascii="Times New Roman" w:hAnsi="Times New Roman"/>
                <w:sz w:val="24"/>
                <w:szCs w:val="24"/>
              </w:rPr>
            </w:pPr>
          </w:p>
        </w:tc>
        <w:tc>
          <w:tcPr>
            <w:tcW w:w="1276" w:type="dxa"/>
            <w:vAlign w:val="center"/>
          </w:tcPr>
          <w:p w:rsidR="00573D7B" w:rsidRPr="00B81DE4" w:rsidP="00573D7B" w14:paraId="345E745A" w14:textId="256CA342">
            <w:pPr>
              <w:spacing w:after="0"/>
              <w:contextualSpacing/>
              <w:jc w:val="center"/>
              <w:rPr>
                <w:rFonts w:ascii="Times New Roman" w:hAnsi="Times New Roman"/>
                <w:sz w:val="24"/>
                <w:szCs w:val="24"/>
              </w:rPr>
            </w:pPr>
            <w:r>
              <w:rPr>
                <w:rFonts w:ascii="Times New Roman" w:hAnsi="Times New Roman"/>
                <w:sz w:val="24"/>
                <w:szCs w:val="24"/>
              </w:rPr>
              <w:t>0</w:t>
            </w:r>
          </w:p>
        </w:tc>
        <w:tc>
          <w:tcPr>
            <w:tcW w:w="1417" w:type="dxa"/>
            <w:gridSpan w:val="2"/>
            <w:vAlign w:val="center"/>
          </w:tcPr>
          <w:p w:rsidR="00573D7B" w:rsidRPr="00B81DE4" w:rsidP="00573D7B" w14:paraId="26A26781" w14:textId="1E8D1508">
            <w:pPr>
              <w:spacing w:after="0"/>
              <w:contextualSpacing/>
              <w:jc w:val="center"/>
              <w:rPr>
                <w:rFonts w:ascii="Times New Roman" w:hAnsi="Times New Roman"/>
                <w:sz w:val="24"/>
                <w:szCs w:val="24"/>
              </w:rPr>
            </w:pPr>
            <w:r>
              <w:rPr>
                <w:rFonts w:ascii="Times New Roman" w:hAnsi="Times New Roman"/>
                <w:sz w:val="24"/>
                <w:szCs w:val="24"/>
              </w:rPr>
              <w:t>0</w:t>
            </w:r>
          </w:p>
        </w:tc>
      </w:tr>
      <w:tr w14:paraId="49558438" w14:textId="77777777" w:rsidTr="00B249D6">
        <w:tblPrEx>
          <w:tblW w:w="11205" w:type="dxa"/>
          <w:tblInd w:w="-1433" w:type="dxa"/>
          <w:tblLayout w:type="fixed"/>
          <w:tblLook w:val="04A0"/>
        </w:tblPrEx>
        <w:tc>
          <w:tcPr>
            <w:tcW w:w="2054" w:type="dxa"/>
          </w:tcPr>
          <w:p w:rsidR="00573D7B" w:rsidRPr="00B81DE4" w:rsidP="00573D7B" w14:paraId="4F975D52" w14:textId="76DBA600">
            <w:pPr>
              <w:rPr>
                <w:rFonts w:ascii="Times New Roman" w:hAnsi="Times New Roman"/>
                <w:sz w:val="24"/>
                <w:szCs w:val="24"/>
              </w:rPr>
            </w:pPr>
            <w:r w:rsidRPr="00B81DE4">
              <w:rPr>
                <w:rFonts w:ascii="Times New Roman" w:hAnsi="Times New Roman"/>
                <w:sz w:val="24"/>
                <w:szCs w:val="24"/>
              </w:rPr>
              <w:t>6. Detalizēts ieņēmumu un izdevumu aprēķins (ja nepie</w:t>
            </w:r>
            <w:r w:rsidRPr="00B81DE4">
              <w:rPr>
                <w:rFonts w:ascii="Times New Roman" w:hAnsi="Times New Roman"/>
                <w:sz w:val="24"/>
                <w:szCs w:val="24"/>
              </w:rPr>
              <w:softHyphen/>
              <w:t>ciešams, detalizētu ieņēmumu un izdevumu aprēķinu var pie</w:t>
            </w:r>
            <w:r w:rsidRPr="00B81DE4">
              <w:rPr>
                <w:rFonts w:ascii="Times New Roman" w:hAnsi="Times New Roman"/>
                <w:sz w:val="24"/>
                <w:szCs w:val="24"/>
              </w:rPr>
              <w:softHyphen/>
              <w:t>vienot anotācijas pielikumā):</w:t>
            </w:r>
          </w:p>
        </w:tc>
        <w:tc>
          <w:tcPr>
            <w:tcW w:w="9151" w:type="dxa"/>
            <w:gridSpan w:val="11"/>
            <w:vMerge w:val="restart"/>
          </w:tcPr>
          <w:p w:rsidR="00573D7B" w:rsidRPr="001C5253" w:rsidP="00573D7B" w14:paraId="74C0E7CC" w14:textId="764C038D">
            <w:pPr>
              <w:ind w:firstLine="18"/>
              <w:jc w:val="both"/>
              <w:rPr>
                <w:rFonts w:ascii="Times New Roman" w:hAnsi="Times New Roman"/>
                <w:bCs/>
                <w:sz w:val="24"/>
                <w:szCs w:val="24"/>
              </w:rPr>
            </w:pPr>
            <w:r w:rsidRPr="001C5253">
              <w:rPr>
                <w:rFonts w:ascii="Times New Roman" w:hAnsi="Times New Roman"/>
                <w:bCs/>
                <w:sz w:val="24"/>
                <w:szCs w:val="24"/>
              </w:rPr>
              <w:t>Otrās projektu iesniegumu atlases kārtas īstenošanai</w:t>
            </w:r>
            <w:r>
              <w:rPr>
                <w:rFonts w:ascii="Times New Roman" w:hAnsi="Times New Roman"/>
                <w:bCs/>
                <w:sz w:val="24"/>
                <w:szCs w:val="24"/>
              </w:rPr>
              <w:t xml:space="preserve"> sākotnējais</w:t>
            </w:r>
            <w:r w:rsidRPr="001C5253">
              <w:rPr>
                <w:rFonts w:ascii="Times New Roman" w:hAnsi="Times New Roman"/>
                <w:bCs/>
                <w:sz w:val="24"/>
                <w:szCs w:val="24"/>
              </w:rPr>
              <w:t xml:space="preserve"> kop</w:t>
            </w:r>
            <w:r>
              <w:rPr>
                <w:rFonts w:ascii="Times New Roman" w:hAnsi="Times New Roman"/>
                <w:bCs/>
                <w:sz w:val="24"/>
                <w:szCs w:val="24"/>
              </w:rPr>
              <w:t xml:space="preserve">ējais pieejamais finansējums bija </w:t>
            </w:r>
            <w:r w:rsidRPr="001C5253">
              <w:rPr>
                <w:rFonts w:ascii="Times New Roman" w:hAnsi="Times New Roman"/>
                <w:sz w:val="24"/>
                <w:szCs w:val="24"/>
              </w:rPr>
              <w:t xml:space="preserve">32 507 612 </w:t>
            </w:r>
            <w:r w:rsidRPr="001C5253">
              <w:rPr>
                <w:rFonts w:ascii="Times New Roman" w:hAnsi="Times New Roman"/>
                <w:bCs/>
                <w:i/>
                <w:sz w:val="24"/>
                <w:szCs w:val="24"/>
              </w:rPr>
              <w:t>euro</w:t>
            </w:r>
            <w:r w:rsidRPr="001C5253">
              <w:rPr>
                <w:rFonts w:ascii="Times New Roman" w:hAnsi="Times New Roman"/>
                <w:bCs/>
                <w:i/>
                <w:sz w:val="24"/>
                <w:szCs w:val="24"/>
              </w:rPr>
              <w:t>,</w:t>
            </w:r>
            <w:r w:rsidRPr="001C5253">
              <w:rPr>
                <w:rFonts w:ascii="Times New Roman" w:hAnsi="Times New Roman"/>
                <w:bCs/>
                <w:sz w:val="24"/>
                <w:szCs w:val="24"/>
              </w:rPr>
              <w:t xml:space="preserve"> tajā skaitā ERAF  finansējums </w:t>
            </w:r>
            <w:r w:rsidRPr="001C5253">
              <w:rPr>
                <w:rFonts w:ascii="Times New Roman" w:hAnsi="Times New Roman"/>
                <w:sz w:val="24"/>
                <w:szCs w:val="24"/>
              </w:rPr>
              <w:t xml:space="preserve">27 631 470 </w:t>
            </w:r>
            <w:r w:rsidRPr="001C5253">
              <w:rPr>
                <w:rFonts w:ascii="Times New Roman" w:hAnsi="Times New Roman"/>
                <w:bCs/>
                <w:i/>
                <w:sz w:val="24"/>
                <w:szCs w:val="24"/>
              </w:rPr>
              <w:t>euro</w:t>
            </w:r>
            <w:r w:rsidRPr="001C5253">
              <w:rPr>
                <w:rFonts w:ascii="Times New Roman" w:hAnsi="Times New Roman"/>
                <w:bCs/>
                <w:sz w:val="24"/>
                <w:szCs w:val="24"/>
              </w:rPr>
              <w:t xml:space="preserve"> un valsts budžeta finansējums </w:t>
            </w:r>
            <w:r w:rsidRPr="001C5253">
              <w:rPr>
                <w:rFonts w:ascii="Times New Roman" w:hAnsi="Times New Roman"/>
                <w:sz w:val="24"/>
                <w:szCs w:val="24"/>
              </w:rPr>
              <w:t xml:space="preserve">4 876 142 </w:t>
            </w:r>
            <w:r w:rsidRPr="001C5253">
              <w:rPr>
                <w:rFonts w:ascii="Times New Roman" w:hAnsi="Times New Roman"/>
                <w:bCs/>
                <w:i/>
                <w:sz w:val="24"/>
                <w:szCs w:val="24"/>
              </w:rPr>
              <w:t>euro</w:t>
            </w:r>
            <w:r w:rsidRPr="001C5253">
              <w:rPr>
                <w:rFonts w:ascii="Times New Roman" w:hAnsi="Times New Roman"/>
                <w:bCs/>
                <w:sz w:val="24"/>
                <w:szCs w:val="24"/>
              </w:rPr>
              <w:t>.</w:t>
            </w:r>
            <w:r>
              <w:rPr>
                <w:rFonts w:ascii="Times New Roman" w:hAnsi="Times New Roman"/>
                <w:bCs/>
                <w:sz w:val="24"/>
                <w:szCs w:val="24"/>
              </w:rPr>
              <w:t xml:space="preserve"> Papildus piešķirtais finansējums ir</w:t>
            </w:r>
            <w:r w:rsidR="00EF5819">
              <w:rPr>
                <w:rFonts w:ascii="Times New Roman" w:hAnsi="Times New Roman"/>
                <w:bCs/>
                <w:sz w:val="24"/>
                <w:szCs w:val="24"/>
              </w:rPr>
              <w:t xml:space="preserve"> </w:t>
            </w:r>
            <w:r w:rsidRPr="00EF5819" w:rsidR="00EF5819">
              <w:rPr>
                <w:rFonts w:ascii="Times New Roman" w:hAnsi="Times New Roman"/>
                <w:bCs/>
                <w:sz w:val="24"/>
                <w:szCs w:val="24"/>
              </w:rPr>
              <w:t>2 170 416</w:t>
            </w:r>
            <w:r>
              <w:rPr>
                <w:rFonts w:ascii="Times New Roman" w:hAnsi="Times New Roman"/>
                <w:bCs/>
                <w:sz w:val="24"/>
                <w:szCs w:val="24"/>
              </w:rPr>
              <w:t xml:space="preserve"> </w:t>
            </w:r>
            <w:r w:rsidRPr="00A47456">
              <w:rPr>
                <w:rFonts w:ascii="Times New Roman" w:hAnsi="Times New Roman"/>
                <w:bCs/>
                <w:i/>
                <w:sz w:val="24"/>
                <w:szCs w:val="24"/>
              </w:rPr>
              <w:t>euro</w:t>
            </w:r>
            <w:r w:rsidRPr="00A47456">
              <w:rPr>
                <w:rFonts w:ascii="Times New Roman" w:hAnsi="Times New Roman"/>
                <w:bCs/>
                <w:sz w:val="24"/>
                <w:szCs w:val="24"/>
              </w:rPr>
              <w:t>, tajā skaitā Eiropas Reģionālās attīstības fonda finansējums</w:t>
            </w:r>
            <w:r w:rsidR="00EF5819">
              <w:rPr>
                <w:rFonts w:ascii="Times New Roman" w:hAnsi="Times New Roman"/>
                <w:bCs/>
                <w:sz w:val="24"/>
                <w:szCs w:val="24"/>
              </w:rPr>
              <w:t xml:space="preserve"> </w:t>
            </w:r>
            <w:r w:rsidRPr="00EF5819" w:rsidR="00EF5819">
              <w:rPr>
                <w:rFonts w:ascii="Times New Roman" w:hAnsi="Times New Roman"/>
                <w:bCs/>
                <w:sz w:val="24"/>
                <w:szCs w:val="24"/>
              </w:rPr>
              <w:t>1 844 854</w:t>
            </w:r>
            <w:r w:rsidRPr="00A47456">
              <w:rPr>
                <w:rFonts w:ascii="Times New Roman" w:hAnsi="Times New Roman"/>
                <w:bCs/>
                <w:sz w:val="24"/>
                <w:szCs w:val="24"/>
              </w:rPr>
              <w:t xml:space="preserve"> </w:t>
            </w:r>
            <w:r w:rsidRPr="00A47456">
              <w:rPr>
                <w:rFonts w:ascii="Times New Roman" w:hAnsi="Times New Roman"/>
                <w:bCs/>
                <w:i/>
                <w:sz w:val="24"/>
                <w:szCs w:val="24"/>
              </w:rPr>
              <w:t>euro</w:t>
            </w:r>
            <w:r w:rsidRPr="00A47456">
              <w:rPr>
                <w:rFonts w:ascii="Times New Roman" w:hAnsi="Times New Roman"/>
                <w:bCs/>
                <w:sz w:val="24"/>
                <w:szCs w:val="24"/>
              </w:rPr>
              <w:t xml:space="preserve"> un valsts budžeta finansējums </w:t>
            </w:r>
            <w:r w:rsidRPr="00EF5819" w:rsidR="00EF5819">
              <w:rPr>
                <w:rFonts w:ascii="Times New Roman" w:hAnsi="Times New Roman"/>
                <w:bCs/>
                <w:sz w:val="24"/>
                <w:szCs w:val="24"/>
              </w:rPr>
              <w:t>325 562</w:t>
            </w:r>
            <w:r w:rsidRPr="00A47456">
              <w:rPr>
                <w:rFonts w:ascii="Times New Roman" w:hAnsi="Times New Roman"/>
                <w:bCs/>
                <w:sz w:val="24"/>
                <w:szCs w:val="24"/>
              </w:rPr>
              <w:t xml:space="preserve"> </w:t>
            </w:r>
            <w:r w:rsidRPr="00A47456">
              <w:rPr>
                <w:rFonts w:ascii="Times New Roman" w:hAnsi="Times New Roman"/>
                <w:bCs/>
                <w:i/>
                <w:sz w:val="24"/>
                <w:szCs w:val="24"/>
              </w:rPr>
              <w:t>euro</w:t>
            </w:r>
            <w:r>
              <w:rPr>
                <w:rFonts w:ascii="Times New Roman" w:hAnsi="Times New Roman"/>
                <w:bCs/>
                <w:i/>
                <w:sz w:val="24"/>
                <w:szCs w:val="24"/>
              </w:rPr>
              <w:t>.</w:t>
            </w:r>
          </w:p>
          <w:p w:rsidR="00573D7B" w:rsidRPr="001C5253" w:rsidP="00573D7B" w14:paraId="278973B9" w14:textId="77777777">
            <w:pPr>
              <w:jc w:val="both"/>
              <w:rPr>
                <w:rFonts w:ascii="Times New Roman" w:hAnsi="Times New Roman"/>
                <w:sz w:val="24"/>
                <w:szCs w:val="24"/>
              </w:rPr>
            </w:pPr>
            <w:r w:rsidRPr="001C5253">
              <w:rPr>
                <w:rFonts w:ascii="Times New Roman" w:hAnsi="Times New Roman"/>
                <w:sz w:val="24"/>
                <w:szCs w:val="24"/>
              </w:rPr>
              <w:t>Budžeta izdevumi ir kopējie projekta ieviešanai nepieciešamie publiskā finansējuma līdzekļi projektu īstenošanai 100% apmērā (ERAF 85% un valsts budžets 15%) no projekta attiecināmajām izmaksām.</w:t>
            </w:r>
          </w:p>
          <w:p w:rsidR="00573D7B" w:rsidRPr="00C557CA" w:rsidP="00573D7B" w14:paraId="5F29485D" w14:textId="1176B1A7">
            <w:pPr>
              <w:jc w:val="both"/>
              <w:rPr>
                <w:rFonts w:ascii="Times New Roman" w:hAnsi="Times New Roman"/>
                <w:sz w:val="24"/>
                <w:szCs w:val="24"/>
              </w:rPr>
            </w:pPr>
            <w:r>
              <w:rPr>
                <w:rFonts w:ascii="Times New Roman" w:hAnsi="Times New Roman"/>
                <w:sz w:val="24"/>
                <w:szCs w:val="24"/>
              </w:rPr>
              <w:t xml:space="preserve">Plānots, ka viss papildu finansējums tiks apgūts </w:t>
            </w:r>
            <w:r>
              <w:rPr>
                <w:rFonts w:ascii="Times New Roman" w:hAnsi="Times New Roman"/>
                <w:sz w:val="24"/>
                <w:szCs w:val="24"/>
              </w:rPr>
              <w:t>201</w:t>
            </w:r>
            <w:r>
              <w:rPr>
                <w:rFonts w:ascii="Times New Roman" w:hAnsi="Times New Roman"/>
                <w:sz w:val="24"/>
                <w:szCs w:val="24"/>
              </w:rPr>
              <w:t>9</w:t>
            </w:r>
            <w:r>
              <w:rPr>
                <w:rFonts w:ascii="Times New Roman" w:hAnsi="Times New Roman"/>
                <w:sz w:val="24"/>
                <w:szCs w:val="24"/>
              </w:rPr>
              <w:t>.gadā</w:t>
            </w:r>
            <w:r w:rsidRPr="00C557CA">
              <w:rPr>
                <w:rFonts w:ascii="Times New Roman" w:hAnsi="Times New Roman"/>
                <w:sz w:val="24"/>
                <w:szCs w:val="24"/>
              </w:rPr>
              <w:t>.</w:t>
            </w:r>
          </w:p>
          <w:p w:rsidR="00573D7B" w:rsidRPr="00B81DE4" w:rsidP="0073369E" w14:paraId="7DDAAE16" w14:textId="56D17E19">
            <w:pPr>
              <w:jc w:val="both"/>
              <w:rPr>
                <w:rFonts w:ascii="Times New Roman" w:hAnsi="Times New Roman"/>
                <w:sz w:val="24"/>
                <w:szCs w:val="24"/>
              </w:rPr>
            </w:pPr>
            <w:r w:rsidRPr="001C5253">
              <w:rPr>
                <w:rFonts w:ascii="Times New Roman" w:hAnsi="Times New Roman"/>
                <w:sz w:val="24"/>
                <w:szCs w:val="24"/>
              </w:rPr>
              <w:t xml:space="preserve">Jāņem vērā, ka jau no 2017. gada maija ir pieejami atlases kritēriji un kritēriju piemērošanas metodika 4.2.1.2.pasākuma otrās atlases kārtas ietvaros, tādējādi ir paredzams, ka darbs pie tehniskās dokumentācijas izstrādes tiks nodrošināts jau laicīgi </w:t>
            </w:r>
            <w:r>
              <w:rPr>
                <w:rFonts w:ascii="Times New Roman" w:hAnsi="Times New Roman"/>
                <w:sz w:val="24"/>
                <w:szCs w:val="24"/>
              </w:rPr>
              <w:t>un ka būvdarbi tiks uzsākti 2019</w:t>
            </w:r>
            <w:r w:rsidRPr="001C5253">
              <w:rPr>
                <w:rFonts w:ascii="Times New Roman" w:hAnsi="Times New Roman"/>
                <w:sz w:val="24"/>
                <w:szCs w:val="24"/>
              </w:rPr>
              <w:t>.gada sezonā.</w:t>
            </w:r>
          </w:p>
        </w:tc>
      </w:tr>
      <w:tr w14:paraId="5ED77447" w14:textId="77777777" w:rsidTr="00B249D6">
        <w:tblPrEx>
          <w:tblW w:w="11205" w:type="dxa"/>
          <w:tblInd w:w="-1433" w:type="dxa"/>
          <w:tblLayout w:type="fixed"/>
          <w:tblLook w:val="04A0"/>
        </w:tblPrEx>
        <w:tc>
          <w:tcPr>
            <w:tcW w:w="2054" w:type="dxa"/>
          </w:tcPr>
          <w:p w:rsidR="00573D7B" w:rsidRPr="00B81DE4" w:rsidP="00573D7B" w14:paraId="55DB3432" w14:textId="59D2E5BB">
            <w:pPr>
              <w:rPr>
                <w:rFonts w:ascii="Times New Roman" w:hAnsi="Times New Roman"/>
                <w:sz w:val="24"/>
                <w:szCs w:val="24"/>
              </w:rPr>
            </w:pPr>
            <w:r w:rsidRPr="008F1B50">
              <w:rPr>
                <w:rFonts w:ascii="Times New Roman" w:hAnsi="Times New Roman"/>
                <w:sz w:val="24"/>
                <w:szCs w:val="24"/>
              </w:rPr>
              <w:t>6.1. detalizēts ieņēmumu aprēķins</w:t>
            </w:r>
          </w:p>
        </w:tc>
        <w:tc>
          <w:tcPr>
            <w:tcW w:w="9151" w:type="dxa"/>
            <w:gridSpan w:val="11"/>
            <w:vMerge/>
          </w:tcPr>
          <w:p w:rsidR="00573D7B" w:rsidRPr="00B81DE4" w:rsidP="00573D7B" w14:paraId="2E53C5C9" w14:textId="77777777">
            <w:pPr>
              <w:rPr>
                <w:rFonts w:ascii="Times New Roman" w:hAnsi="Times New Roman"/>
                <w:sz w:val="24"/>
                <w:szCs w:val="24"/>
              </w:rPr>
            </w:pPr>
          </w:p>
        </w:tc>
      </w:tr>
      <w:tr w14:paraId="7267F7C0" w14:textId="77777777" w:rsidTr="00B249D6">
        <w:tblPrEx>
          <w:tblW w:w="11205" w:type="dxa"/>
          <w:tblInd w:w="-1433" w:type="dxa"/>
          <w:tblLayout w:type="fixed"/>
          <w:tblLook w:val="04A0"/>
        </w:tblPrEx>
        <w:tc>
          <w:tcPr>
            <w:tcW w:w="2054" w:type="dxa"/>
          </w:tcPr>
          <w:p w:rsidR="00573D7B" w:rsidRPr="00B81DE4" w:rsidP="00573D7B" w14:paraId="3AE02FE5" w14:textId="67815408">
            <w:pPr>
              <w:rPr>
                <w:rFonts w:ascii="Times New Roman" w:hAnsi="Times New Roman"/>
                <w:sz w:val="24"/>
                <w:szCs w:val="24"/>
              </w:rPr>
            </w:pPr>
            <w:r w:rsidRPr="008F1B50">
              <w:rPr>
                <w:rFonts w:ascii="Times New Roman" w:hAnsi="Times New Roman"/>
                <w:sz w:val="24"/>
                <w:szCs w:val="24"/>
              </w:rPr>
              <w:t>6.2. detalizēts izdevumu aprēķins</w:t>
            </w:r>
          </w:p>
        </w:tc>
        <w:tc>
          <w:tcPr>
            <w:tcW w:w="9151" w:type="dxa"/>
            <w:gridSpan w:val="11"/>
            <w:vMerge/>
          </w:tcPr>
          <w:p w:rsidR="00573D7B" w:rsidRPr="00B81DE4" w:rsidP="00573D7B" w14:paraId="10644998" w14:textId="77777777">
            <w:pPr>
              <w:rPr>
                <w:rFonts w:ascii="Times New Roman" w:hAnsi="Times New Roman"/>
                <w:sz w:val="24"/>
                <w:szCs w:val="24"/>
              </w:rPr>
            </w:pPr>
          </w:p>
        </w:tc>
      </w:tr>
      <w:tr w14:paraId="78F4E90A" w14:textId="77777777" w:rsidTr="00B249D6">
        <w:tblPrEx>
          <w:tblW w:w="11205" w:type="dxa"/>
          <w:tblInd w:w="-1433" w:type="dxa"/>
          <w:tblLayout w:type="fixed"/>
          <w:tblLook w:val="04A0"/>
        </w:tblPrEx>
        <w:tc>
          <w:tcPr>
            <w:tcW w:w="2054" w:type="dxa"/>
          </w:tcPr>
          <w:p w:rsidR="00573D7B" w:rsidRPr="00B81DE4" w:rsidP="00573D7B" w14:paraId="1A574F61" w14:textId="513D4398">
            <w:pPr>
              <w:rPr>
                <w:rFonts w:ascii="Times New Roman" w:hAnsi="Times New Roman"/>
                <w:sz w:val="24"/>
                <w:szCs w:val="24"/>
              </w:rPr>
            </w:pPr>
            <w:r w:rsidRPr="008F1B50">
              <w:rPr>
                <w:rFonts w:ascii="Times New Roman" w:hAnsi="Times New Roman"/>
                <w:sz w:val="24"/>
                <w:szCs w:val="24"/>
              </w:rPr>
              <w:t>7. Amata vietu skaita izmaiņas</w:t>
            </w:r>
          </w:p>
        </w:tc>
        <w:tc>
          <w:tcPr>
            <w:tcW w:w="9151" w:type="dxa"/>
            <w:gridSpan w:val="11"/>
          </w:tcPr>
          <w:p w:rsidR="00573D7B" w:rsidRPr="00B81DE4" w:rsidP="00573D7B" w14:paraId="15806023" w14:textId="23A59077">
            <w:pPr>
              <w:rPr>
                <w:rFonts w:ascii="Times New Roman" w:hAnsi="Times New Roman"/>
                <w:sz w:val="24"/>
                <w:szCs w:val="24"/>
              </w:rPr>
            </w:pPr>
            <w:r>
              <w:rPr>
                <w:rFonts w:ascii="Times New Roman" w:hAnsi="Times New Roman"/>
                <w:sz w:val="24"/>
                <w:szCs w:val="24"/>
              </w:rPr>
              <w:t>Nav plānotas amata vietu skaita izmaiņas</w:t>
            </w:r>
            <w:r w:rsidR="00576086">
              <w:rPr>
                <w:rFonts w:ascii="Times New Roman" w:hAnsi="Times New Roman"/>
                <w:sz w:val="24"/>
                <w:szCs w:val="24"/>
              </w:rPr>
              <w:t>.</w:t>
            </w:r>
          </w:p>
        </w:tc>
      </w:tr>
      <w:tr w14:paraId="09978A79" w14:textId="77777777" w:rsidTr="00B249D6">
        <w:tblPrEx>
          <w:tblW w:w="11205" w:type="dxa"/>
          <w:tblInd w:w="-1433" w:type="dxa"/>
          <w:tblLayout w:type="fixed"/>
          <w:tblLook w:val="04A0"/>
        </w:tblPrEx>
        <w:tc>
          <w:tcPr>
            <w:tcW w:w="2054" w:type="dxa"/>
          </w:tcPr>
          <w:p w:rsidR="00573D7B" w:rsidRPr="00B81DE4" w:rsidP="00573D7B" w14:paraId="55129603" w14:textId="0C48B17C">
            <w:pPr>
              <w:rPr>
                <w:rFonts w:ascii="Times New Roman" w:hAnsi="Times New Roman"/>
                <w:sz w:val="24"/>
                <w:szCs w:val="24"/>
              </w:rPr>
            </w:pPr>
            <w:r w:rsidRPr="008F1B50">
              <w:rPr>
                <w:rFonts w:ascii="Times New Roman" w:hAnsi="Times New Roman"/>
                <w:sz w:val="24"/>
                <w:szCs w:val="24"/>
              </w:rPr>
              <w:t>8. Cita informācija</w:t>
            </w:r>
          </w:p>
        </w:tc>
        <w:tc>
          <w:tcPr>
            <w:tcW w:w="9151" w:type="dxa"/>
            <w:gridSpan w:val="11"/>
          </w:tcPr>
          <w:p w:rsidR="00573D7B" w:rsidRPr="00B81DE4" w:rsidP="0073369E" w14:paraId="1785F869" w14:textId="3458BE7C">
            <w:pPr>
              <w:jc w:val="both"/>
              <w:rPr>
                <w:rFonts w:ascii="Times New Roman" w:hAnsi="Times New Roman"/>
                <w:sz w:val="24"/>
                <w:szCs w:val="24"/>
              </w:rPr>
            </w:pPr>
            <w:r>
              <w:rPr>
                <w:rFonts w:ascii="Times New Roman" w:hAnsi="Times New Roman"/>
                <w:sz w:val="24"/>
                <w:szCs w:val="24"/>
              </w:rPr>
              <w:t>P</w:t>
            </w:r>
            <w:r w:rsidRPr="00D95AD8">
              <w:rPr>
                <w:rFonts w:ascii="Times New Roman" w:hAnsi="Times New Roman"/>
                <w:sz w:val="24"/>
                <w:szCs w:val="24"/>
              </w:rPr>
              <w:t>rojektu īstenošanai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p>
        </w:tc>
      </w:tr>
    </w:tbl>
    <w:p w:rsidR="00E5753A" w:rsidP="00D85523" w14:paraId="5DF18994" w14:textId="1899E3B1">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2127"/>
        <w:gridCol w:w="6819"/>
      </w:tblGrid>
      <w:tr w14:paraId="762702AD" w14:textId="77777777" w:rsidTr="00D85523">
        <w:tblPrEx>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37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rsidR="00E5753A" w:rsidRPr="00E5753A" w:rsidP="00E5753A" w14:paraId="1637CFAE" w14:textId="02D44E77">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14:paraId="4EEB6917" w14:textId="77777777" w:rsidTr="005C307E">
        <w:tblPrEx>
          <w:tblW w:w="9371" w:type="dxa"/>
          <w:tblInd w:w="-597" w:type="dxa"/>
          <w:tblLayout w:type="fixed"/>
          <w:tblCellMar>
            <w:left w:w="0" w:type="dxa"/>
            <w:right w:w="0" w:type="dxa"/>
          </w:tblCellMar>
          <w:tblLook w:val="04A0"/>
        </w:tblPrEx>
        <w:tc>
          <w:tcPr>
            <w:tcW w:w="42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rsidR="005C307E" w:rsidRPr="005C307E" w:rsidP="005C307E" w14:paraId="28B0B05C" w14:textId="51299CDB">
            <w:pPr>
              <w:rPr>
                <w:rFonts w:ascii="Times New Roman" w:hAnsi="Times New Roman"/>
                <w:sz w:val="24"/>
                <w:szCs w:val="24"/>
              </w:rPr>
            </w:pPr>
            <w:r w:rsidRPr="005C307E">
              <w:rPr>
                <w:rFonts w:ascii="Times New Roman" w:hAnsi="Times New Roman"/>
                <w:sz w:val="24"/>
                <w:szCs w:val="24"/>
              </w:rPr>
              <w:t>1.</w:t>
            </w:r>
          </w:p>
        </w:tc>
        <w:tc>
          <w:tcPr>
            <w:tcW w:w="2127"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rsidR="005C307E" w:rsidRPr="005C307E" w:rsidP="005C307E" w14:paraId="1D6A8135" w14:textId="44735C0B">
            <w:pPr>
              <w:rPr>
                <w:rFonts w:ascii="Times New Roman" w:hAnsi="Times New Roman"/>
                <w:sz w:val="24"/>
                <w:szCs w:val="24"/>
              </w:rPr>
            </w:pPr>
            <w:r w:rsidRPr="005C307E">
              <w:rPr>
                <w:rFonts w:ascii="Times New Roman" w:hAnsi="Times New Roman"/>
                <w:sz w:val="24"/>
                <w:szCs w:val="24"/>
              </w:rPr>
              <w:t>Saistītie tiesību aktu projekti</w:t>
            </w:r>
          </w:p>
        </w:tc>
        <w:tc>
          <w:tcPr>
            <w:tcW w:w="681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rsidR="005C307E" w:rsidRPr="005C307E" w:rsidP="0073369E" w14:paraId="27C1BFE5" w14:textId="37BAFDAA">
            <w:pPr>
              <w:jc w:val="both"/>
              <w:rPr>
                <w:rFonts w:ascii="Times New Roman" w:hAnsi="Times New Roman"/>
                <w:sz w:val="24"/>
                <w:szCs w:val="24"/>
              </w:rPr>
            </w:pPr>
            <w:r w:rsidRPr="005C307E">
              <w:rPr>
                <w:rFonts w:ascii="Times New Roman" w:hAnsi="Times New Roman"/>
                <w:sz w:val="24"/>
                <w:szCs w:val="24"/>
              </w:rPr>
              <w:t>Noteikumu projektam ir ietekme uz plānotajiem grozījumiem Ministru kabineta 201</w:t>
            </w:r>
            <w:r>
              <w:rPr>
                <w:rFonts w:ascii="Times New Roman" w:hAnsi="Times New Roman"/>
                <w:sz w:val="24"/>
                <w:szCs w:val="24"/>
              </w:rPr>
              <w:t>6</w:t>
            </w:r>
            <w:r w:rsidRPr="005C307E">
              <w:rPr>
                <w:rFonts w:ascii="Times New Roman" w:hAnsi="Times New Roman"/>
                <w:sz w:val="24"/>
                <w:szCs w:val="24"/>
              </w:rPr>
              <w:t xml:space="preserve">. gada </w:t>
            </w:r>
            <w:r>
              <w:rPr>
                <w:rFonts w:ascii="Times New Roman" w:hAnsi="Times New Roman"/>
                <w:sz w:val="24"/>
                <w:szCs w:val="24"/>
              </w:rPr>
              <w:t>9.augusta noteikumiem Nr.534 "</w:t>
            </w:r>
            <w:r w:rsidRPr="005C307E">
              <w:rPr>
                <w:rFonts w:ascii="Times New Roman" w:hAnsi="Times New Roman"/>
                <w:sz w:val="24"/>
                <w:szCs w:val="24"/>
              </w:rPr>
              <w:t>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tc>
      </w:tr>
      <w:tr w14:paraId="4913D5F3" w14:textId="77777777" w:rsidTr="005C307E">
        <w:tblPrEx>
          <w:tblW w:w="9371" w:type="dxa"/>
          <w:tblInd w:w="-597" w:type="dxa"/>
          <w:tblLayout w:type="fixed"/>
          <w:tblCellMar>
            <w:left w:w="0" w:type="dxa"/>
            <w:right w:w="0" w:type="dxa"/>
          </w:tblCellMar>
          <w:tblLook w:val="04A0"/>
        </w:tblPrEx>
        <w:tc>
          <w:tcPr>
            <w:tcW w:w="42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01F575A6" w14:textId="24121F2F">
            <w:pPr>
              <w:rPr>
                <w:rFonts w:ascii="Times New Roman" w:hAnsi="Times New Roman"/>
                <w:sz w:val="24"/>
                <w:szCs w:val="24"/>
              </w:rPr>
            </w:pPr>
            <w:r w:rsidRPr="005C307E">
              <w:rPr>
                <w:rFonts w:ascii="Times New Roman" w:hAnsi="Times New Roman"/>
                <w:sz w:val="24"/>
                <w:szCs w:val="24"/>
              </w:rPr>
              <w:t>2.</w:t>
            </w:r>
          </w:p>
        </w:tc>
        <w:tc>
          <w:tcPr>
            <w:tcW w:w="2127"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40AF0D37" w14:textId="66430D29">
            <w:pPr>
              <w:rPr>
                <w:rFonts w:ascii="Times New Roman" w:hAnsi="Times New Roman"/>
                <w:sz w:val="24"/>
                <w:szCs w:val="24"/>
              </w:rPr>
            </w:pPr>
            <w:r w:rsidRPr="005C307E">
              <w:rPr>
                <w:rFonts w:ascii="Times New Roman" w:hAnsi="Times New Roman"/>
                <w:sz w:val="24"/>
                <w:szCs w:val="24"/>
              </w:rPr>
              <w:t>Atbildīgā institūcija</w:t>
            </w:r>
          </w:p>
        </w:tc>
        <w:tc>
          <w:tcPr>
            <w:tcW w:w="681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169ABB65" w14:textId="541D00E1">
            <w:pPr>
              <w:rPr>
                <w:rFonts w:ascii="Times New Roman" w:hAnsi="Times New Roman"/>
                <w:sz w:val="24"/>
                <w:szCs w:val="24"/>
              </w:rPr>
            </w:pPr>
            <w:r>
              <w:rPr>
                <w:rFonts w:ascii="Times New Roman" w:hAnsi="Times New Roman"/>
                <w:sz w:val="24"/>
                <w:szCs w:val="24"/>
              </w:rPr>
              <w:t>Ekonomikas</w:t>
            </w:r>
            <w:r w:rsidRPr="005C307E">
              <w:rPr>
                <w:rFonts w:ascii="Times New Roman" w:hAnsi="Times New Roman"/>
                <w:sz w:val="24"/>
                <w:szCs w:val="24"/>
              </w:rPr>
              <w:t xml:space="preserve"> ministrija</w:t>
            </w:r>
          </w:p>
        </w:tc>
      </w:tr>
      <w:tr w14:paraId="2E2B91A4" w14:textId="77777777" w:rsidTr="005C307E">
        <w:tblPrEx>
          <w:tblW w:w="9371" w:type="dxa"/>
          <w:tblInd w:w="-597" w:type="dxa"/>
          <w:tblLayout w:type="fixed"/>
          <w:tblCellMar>
            <w:left w:w="0" w:type="dxa"/>
            <w:right w:w="0" w:type="dxa"/>
          </w:tblCellMar>
          <w:tblLook w:val="04A0"/>
        </w:tblPrEx>
        <w:tc>
          <w:tcPr>
            <w:tcW w:w="42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3BC7B819" w14:textId="466AFAA2">
            <w:pPr>
              <w:rPr>
                <w:rFonts w:ascii="Times New Roman" w:hAnsi="Times New Roman"/>
                <w:sz w:val="24"/>
                <w:szCs w:val="24"/>
              </w:rPr>
            </w:pPr>
            <w:r w:rsidRPr="005C307E">
              <w:rPr>
                <w:rFonts w:ascii="Times New Roman" w:hAnsi="Times New Roman"/>
                <w:sz w:val="24"/>
                <w:szCs w:val="24"/>
              </w:rPr>
              <w:t>3.</w:t>
            </w:r>
          </w:p>
        </w:tc>
        <w:tc>
          <w:tcPr>
            <w:tcW w:w="2127"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77EE7830" w14:textId="111DFAC9">
            <w:pPr>
              <w:rPr>
                <w:rFonts w:ascii="Times New Roman" w:hAnsi="Times New Roman"/>
                <w:sz w:val="24"/>
                <w:szCs w:val="24"/>
              </w:rPr>
            </w:pPr>
            <w:r w:rsidRPr="005C307E">
              <w:rPr>
                <w:rFonts w:ascii="Times New Roman" w:hAnsi="Times New Roman"/>
                <w:sz w:val="24"/>
                <w:szCs w:val="24"/>
              </w:rPr>
              <w:t>Cita informācija</w:t>
            </w:r>
            <w:r w:rsidRPr="005C307E">
              <w:rPr>
                <w:rFonts w:ascii="Times New Roman" w:hAnsi="Times New Roman"/>
                <w:sz w:val="24"/>
                <w:szCs w:val="24"/>
              </w:rPr>
              <w:tab/>
            </w:r>
          </w:p>
        </w:tc>
        <w:tc>
          <w:tcPr>
            <w:tcW w:w="681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5C307E" w:rsidRPr="005C307E" w:rsidP="005C307E" w14:paraId="1285B2DD" w14:textId="462AB401">
            <w:pPr>
              <w:rPr>
                <w:rFonts w:ascii="Times New Roman" w:hAnsi="Times New Roman"/>
                <w:sz w:val="24"/>
                <w:szCs w:val="24"/>
              </w:rPr>
            </w:pPr>
            <w:r w:rsidRPr="005C307E">
              <w:rPr>
                <w:rFonts w:ascii="Times New Roman" w:hAnsi="Times New Roman"/>
                <w:sz w:val="24"/>
                <w:szCs w:val="24"/>
              </w:rPr>
              <w:t>Nav</w:t>
            </w:r>
          </w:p>
        </w:tc>
      </w:tr>
    </w:tbl>
    <w:p w:rsidR="00E5753A" w:rsidP="00D85523" w14:paraId="2FDCF41D" w14:textId="77777777">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9326"/>
      </w:tblGrid>
      <w:tr w14:paraId="3AF65A1F" w14:textId="77777777" w:rsidTr="00E5753A">
        <w:tblPrEx>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rsidR="00E5753A" w:rsidRPr="00E5753A" w:rsidP="00E5753A" w14:paraId="4A8DBF72" w14:textId="47D474B3">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14:paraId="0B34062D" w14:textId="77777777" w:rsidTr="00E85BF0">
        <w:tblPrEx>
          <w:tblW w:w="9326" w:type="dxa"/>
          <w:tblInd w:w="-552" w:type="dxa"/>
          <w:tblLayout w:type="fixed"/>
          <w:tblCellMar>
            <w:left w:w="0" w:type="dxa"/>
            <w:right w:w="0" w:type="dxa"/>
          </w:tblCellMar>
          <w:tblLook w:val="04A0"/>
        </w:tblPrEx>
        <w:tc>
          <w:tcPr>
            <w:tcW w:w="9326"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rsidR="00E5753A" w:rsidP="00E5753A" w14:paraId="256ABF27" w14:textId="1A3B2C7E">
            <w:pPr>
              <w:spacing w:before="120" w:after="120" w:line="240" w:lineRule="auto"/>
              <w:jc w:val="center"/>
              <w:rPr>
                <w:rFonts w:ascii="Times New Roman" w:hAnsi="Times New Roman"/>
                <w:b/>
                <w:bCs/>
                <w:sz w:val="24"/>
                <w:szCs w:val="24"/>
              </w:rPr>
            </w:pPr>
            <w:r w:rsidRPr="00E5753A">
              <w:rPr>
                <w:rFonts w:ascii="Times New Roman" w:hAnsi="Times New Roman"/>
                <w:b/>
                <w:bCs/>
                <w:sz w:val="24"/>
                <w:szCs w:val="24"/>
              </w:rPr>
              <w:t>Projekts šo jomu neskar</w:t>
            </w:r>
          </w:p>
        </w:tc>
      </w:tr>
    </w:tbl>
    <w:p w:rsidR="001C5253" w:rsidP="00D85523" w14:paraId="6954F00A" w14:textId="1F1F842A">
      <w:pPr>
        <w:spacing w:after="0" w:line="240" w:lineRule="auto"/>
      </w:pPr>
    </w:p>
    <w:p w:rsidR="009A312E" w:rsidRPr="001C5253" w:rsidP="009A312E" w14:paraId="336ADFA4" w14:textId="77777777">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95"/>
        <w:gridCol w:w="3686"/>
        <w:gridCol w:w="5245"/>
      </w:tblGrid>
      <w:tr w14:paraId="051EE9BB" w14:textId="77777777" w:rsidTr="001C5253">
        <w:tblPrEx>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rsidR="009A312E" w:rsidRPr="008B78B2" w:rsidP="00E85BF0" w14:paraId="372AEEFB" w14:textId="77777777">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14:paraId="500C365C" w14:textId="77777777" w:rsidTr="001C5253">
        <w:tblPrEx>
          <w:tblW w:w="9326" w:type="dxa"/>
          <w:tblInd w:w="-552" w:type="dxa"/>
          <w:tblLayout w:type="fixed"/>
          <w:tblCellMar>
            <w:left w:w="0" w:type="dxa"/>
            <w:right w:w="0" w:type="dxa"/>
          </w:tblCellMar>
          <w:tblLook w:val="04A0"/>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0DF9568C" w14:textId="77777777">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3179E166" w14:textId="77777777">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2BC8C3CC" w14:textId="4C1813A5">
            <w:pPr>
              <w:spacing w:after="0" w:line="240" w:lineRule="auto"/>
              <w:ind w:left="124" w:right="142" w:firstLine="301"/>
              <w:jc w:val="both"/>
              <w:rPr>
                <w:rFonts w:ascii="Times New Roman" w:eastAsia="Times New Roman" w:hAnsi="Times New Roman"/>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oteiku</w:t>
            </w:r>
            <w:r w:rsidR="002919BA">
              <w:rPr>
                <w:rFonts w:ascii="Times New Roman" w:eastAsia="Times New Roman" w:hAnsi="Times New Roman"/>
                <w:iCs/>
                <w:sz w:val="24"/>
                <w:szCs w:val="24"/>
                <w:lang w:eastAsia="lv-LV"/>
              </w:rPr>
              <w:t>mu projekts un tā anotācija tiks</w:t>
            </w:r>
            <w:r w:rsidRPr="008B78B2">
              <w:rPr>
                <w:rFonts w:ascii="Times New Roman" w:eastAsia="Times New Roman" w:hAnsi="Times New Roman"/>
                <w:iCs/>
                <w:sz w:val="24"/>
                <w:szCs w:val="24"/>
                <w:lang w:eastAsia="lv-LV"/>
              </w:rPr>
              <w:t xml:space="preserve"> ievietota </w:t>
            </w:r>
            <w:r>
              <w:rPr>
                <w:rFonts w:ascii="Times New Roman" w:eastAsia="Times New Roman" w:hAnsi="Times New Roman"/>
                <w:iCs/>
                <w:sz w:val="24"/>
                <w:szCs w:val="24"/>
                <w:lang w:eastAsia="lv-LV"/>
              </w:rPr>
              <w:t>EM</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14:paraId="2F9C45F7" w14:textId="77777777" w:rsidTr="001C5253">
        <w:tblPrEx>
          <w:tblW w:w="9326" w:type="dxa"/>
          <w:tblInd w:w="-552" w:type="dxa"/>
          <w:tblLayout w:type="fixed"/>
          <w:tblCellMar>
            <w:left w:w="0" w:type="dxa"/>
            <w:right w:w="0" w:type="dxa"/>
          </w:tblCellMar>
          <w:tblLook w:val="04A0"/>
        </w:tblPrEx>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7F8E4BAC" w14:textId="77777777">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0FA070A" w14:textId="77777777">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62ECC05B" w14:textId="5791F8C1">
            <w:pPr>
              <w:spacing w:after="0" w:line="240" w:lineRule="auto"/>
              <w:ind w:left="124" w:right="142" w:firstLine="301"/>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Sadarbība ar pašvaldībām un nevalstisko sektoru.</w:t>
            </w:r>
          </w:p>
        </w:tc>
      </w:tr>
      <w:tr w14:paraId="1D285C1F" w14:textId="77777777" w:rsidTr="001C5253">
        <w:tblPrEx>
          <w:tblW w:w="9326" w:type="dxa"/>
          <w:tblInd w:w="-552" w:type="dxa"/>
          <w:tblLayout w:type="fixed"/>
          <w:tblCellMar>
            <w:left w:w="0" w:type="dxa"/>
            <w:right w:w="0" w:type="dxa"/>
          </w:tblCellMar>
          <w:tblLook w:val="04A0"/>
        </w:tblPrEx>
        <w:trPr>
          <w:trHeight w:val="72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934E595" w14:textId="77777777">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D58383C" w14:textId="77777777">
            <w:pPr>
              <w:spacing w:line="240" w:lineRule="auto"/>
              <w:rPr>
                <w:rFonts w:ascii="Times New Roman" w:eastAsia="Times New Roman" w:hAnsi="Times New Roman"/>
                <w:sz w:val="24"/>
                <w:szCs w:val="24"/>
                <w:lang w:eastAsia="lv-LV"/>
              </w:rPr>
            </w:pPr>
            <w:r w:rsidRPr="008B78B2">
              <w:rPr>
                <w:rFonts w:ascii="Times New Roman" w:hAnsi="Times New Roman"/>
                <w:sz w:val="24"/>
                <w:szCs w:val="24"/>
              </w:rPr>
              <w:t>Sabiedrības līdzdalības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5753A" w14:paraId="5C7204A0" w14:textId="219F72DD">
            <w:pPr>
              <w:spacing w:after="0" w:line="240" w:lineRule="auto"/>
              <w:ind w:left="124" w:right="142" w:firstLine="301"/>
              <w:jc w:val="both"/>
              <w:rPr>
                <w:rFonts w:ascii="Times New Roman" w:eastAsia="Times New Roman" w:hAnsi="Times New Roman"/>
                <w:b/>
                <w:sz w:val="24"/>
                <w:szCs w:val="24"/>
                <w:lang w:eastAsia="lv-LV"/>
              </w:rPr>
            </w:pPr>
            <w:r w:rsidRPr="00E5753A">
              <w:rPr>
                <w:rFonts w:ascii="Times New Roman" w:eastAsia="Times New Roman" w:hAnsi="Times New Roman"/>
                <w:iCs/>
                <w:sz w:val="24"/>
                <w:szCs w:val="24"/>
                <w:lang w:eastAsia="lv-LV"/>
              </w:rPr>
              <w:t>Izstrādāts Noteikumu projekts, kas tiks nosūtīts saskaņošanai sadarbības partneriem.</w:t>
            </w:r>
          </w:p>
        </w:tc>
      </w:tr>
      <w:tr w14:paraId="3C8DBE9C" w14:textId="77777777" w:rsidTr="001C5253">
        <w:tblPrEx>
          <w:tblW w:w="9326" w:type="dxa"/>
          <w:tblInd w:w="-552" w:type="dxa"/>
          <w:tblLayout w:type="fixed"/>
          <w:tblCellMar>
            <w:left w:w="0" w:type="dxa"/>
            <w:right w:w="0" w:type="dxa"/>
          </w:tblCellMar>
          <w:tblLook w:val="04A0"/>
        </w:tblPrEx>
        <w:trPr>
          <w:trHeight w:val="366"/>
        </w:trPr>
        <w:tc>
          <w:tcPr>
            <w:tcW w:w="39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3062DD9D"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5BDCAD65" w14:textId="77777777">
            <w:pPr>
              <w:spacing w:after="0" w:line="240" w:lineRule="auto"/>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3BF4E1F8" w14:textId="77777777">
            <w:pPr>
              <w:spacing w:after="0" w:line="240" w:lineRule="auto"/>
              <w:ind w:left="143" w:firstLine="282"/>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rsidR="009A312E" w:rsidRPr="00090BDF" w:rsidP="009A312E" w14:paraId="24D64682" w14:textId="77777777">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25"/>
        <w:gridCol w:w="3686"/>
        <w:gridCol w:w="5185"/>
      </w:tblGrid>
      <w:tr w14:paraId="166C01FC" w14:textId="77777777" w:rsidTr="00E85BF0">
        <w:tblPrEx>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B5BA8EA" w14:textId="77777777">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14:paraId="37B4D165" w14:textId="77777777" w:rsidTr="00E85BF0">
        <w:tblPrEx>
          <w:tblW w:w="9296" w:type="dxa"/>
          <w:tblInd w:w="-537" w:type="dxa"/>
          <w:tblLayout w:type="fixed"/>
          <w:tblCellMar>
            <w:left w:w="0" w:type="dxa"/>
            <w:right w:w="0" w:type="dxa"/>
          </w:tblCellMar>
          <w:tblLook w:val="04A0"/>
        </w:tblPrEx>
        <w:trPr>
          <w:trHeight w:val="558"/>
        </w:trPr>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894E661"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356FC2B"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0B14CACD" w14:textId="77777777">
            <w:pPr>
              <w:spacing w:after="0" w:line="240" w:lineRule="auto"/>
              <w:ind w:left="142" w:firstLine="283"/>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iestāde, 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C53EF">
              <w:rPr>
                <w:rFonts w:ascii="Times New Roman" w:hAnsi="Times New Roman"/>
                <w:sz w:val="24"/>
                <w:szCs w:val="24"/>
              </w:rPr>
              <w:t xml:space="preserve"> kā sadarbības iestāde</w:t>
            </w:r>
            <w:r>
              <w:rPr>
                <w:rFonts w:ascii="Times New Roman" w:hAnsi="Times New Roman"/>
                <w:sz w:val="24"/>
                <w:szCs w:val="24"/>
              </w:rPr>
              <w:t>.</w:t>
            </w:r>
          </w:p>
        </w:tc>
      </w:tr>
      <w:tr w14:paraId="678718AA" w14:textId="77777777" w:rsidTr="00E85BF0">
        <w:tblPrEx>
          <w:tblW w:w="9296" w:type="dxa"/>
          <w:tblInd w:w="-537" w:type="dxa"/>
          <w:tblLayout w:type="fixed"/>
          <w:tblCellMar>
            <w:left w:w="0" w:type="dxa"/>
            <w:right w:w="0" w:type="dxa"/>
          </w:tblCellMar>
          <w:tblLook w:val="04A0"/>
        </w:tblPrEx>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2ED1EF00" w14:textId="77777777">
            <w:pPr>
              <w:spacing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6CAAEA3"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rsidR="009A312E" w:rsidRPr="008B78B2" w:rsidP="00E85BF0" w14:paraId="689A82AC"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0A93EA10" w14:textId="79224664">
            <w:pPr>
              <w:spacing w:line="240" w:lineRule="auto"/>
              <w:ind w:left="142" w:firstLine="283"/>
              <w:jc w:val="both"/>
              <w:rPr>
                <w:rFonts w:ascii="Times New Roman" w:hAnsi="Times New Roman"/>
                <w:sz w:val="24"/>
                <w:szCs w:val="24"/>
              </w:rPr>
            </w:pPr>
            <w:r w:rsidRPr="008B78B2">
              <w:rPr>
                <w:rFonts w:ascii="Times New Roman" w:hAnsi="Times New Roman"/>
                <w:sz w:val="24"/>
                <w:szCs w:val="24"/>
              </w:rPr>
              <w:t xml:space="preserve">Noteikumu projekta izpildi nodrošinās </w:t>
            </w:r>
            <w:r w:rsidRPr="008C53EF">
              <w:rPr>
                <w:rFonts w:ascii="Times New Roman" w:hAnsi="Times New Roman"/>
                <w:sz w:val="24"/>
                <w:szCs w:val="24"/>
              </w:rPr>
              <w:t>Ce</w:t>
            </w:r>
            <w:r>
              <w:rPr>
                <w:rFonts w:ascii="Times New Roman" w:hAnsi="Times New Roman"/>
                <w:sz w:val="24"/>
                <w:szCs w:val="24"/>
              </w:rPr>
              <w:t>ntrālā</w:t>
            </w:r>
            <w:r w:rsidRPr="008C53EF">
              <w:rPr>
                <w:rFonts w:ascii="Times New Roman" w:hAnsi="Times New Roman"/>
                <w:sz w:val="24"/>
                <w:szCs w:val="24"/>
              </w:rPr>
              <w:t xml:space="preserve"> finanšu un līgumu aģentūr</w:t>
            </w:r>
            <w:r>
              <w:rPr>
                <w:rFonts w:ascii="Times New Roman" w:hAnsi="Times New Roman"/>
                <w:sz w:val="24"/>
                <w:szCs w:val="24"/>
              </w:rPr>
              <w:t>a</w:t>
            </w:r>
            <w:r w:rsidRPr="008B78B2">
              <w:rPr>
                <w:rFonts w:ascii="Times New Roman" w:hAnsi="Times New Roman"/>
                <w:sz w:val="24"/>
                <w:szCs w:val="24"/>
              </w:rPr>
              <w:t xml:space="preserve"> </w:t>
            </w:r>
            <w:r w:rsidR="00D61012">
              <w:rPr>
                <w:rFonts w:ascii="Times New Roman" w:hAnsi="Times New Roman"/>
                <w:sz w:val="24"/>
                <w:szCs w:val="24"/>
              </w:rPr>
              <w:t xml:space="preserve">savas </w:t>
            </w:r>
            <w:r w:rsidRPr="008B78B2">
              <w:rPr>
                <w:rFonts w:ascii="Times New Roman" w:hAnsi="Times New Roman"/>
                <w:sz w:val="24"/>
                <w:szCs w:val="24"/>
              </w:rPr>
              <w:t>darbības ietvaros.</w:t>
            </w:r>
          </w:p>
        </w:tc>
      </w:tr>
      <w:tr w14:paraId="17DEEA33" w14:textId="77777777" w:rsidTr="00E85BF0">
        <w:tblPrEx>
          <w:tblW w:w="9296" w:type="dxa"/>
          <w:tblInd w:w="-537" w:type="dxa"/>
          <w:tblLayout w:type="fixed"/>
          <w:tblCellMar>
            <w:left w:w="0" w:type="dxa"/>
            <w:right w:w="0" w:type="dxa"/>
          </w:tblCellMar>
          <w:tblLook w:val="04A0"/>
        </w:tblPrEx>
        <w:tc>
          <w:tcPr>
            <w:tcW w:w="42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44CA1C15"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86"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18A421CE" w14:textId="77777777">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rsidR="009A312E" w:rsidRPr="008B78B2" w:rsidP="00E85BF0" w14:paraId="6BB19CF2" w14:textId="77777777">
            <w:pPr>
              <w:spacing w:after="0" w:line="240" w:lineRule="auto"/>
              <w:ind w:firstLine="425"/>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rsidR="009A312E" w:rsidP="009A312E" w14:paraId="5FCC8D11" w14:textId="77777777">
      <w:pPr>
        <w:tabs>
          <w:tab w:val="right" w:pos="9071"/>
        </w:tabs>
        <w:spacing w:after="0" w:line="240" w:lineRule="auto"/>
        <w:jc w:val="both"/>
        <w:rPr>
          <w:rFonts w:ascii="Times New Roman" w:eastAsia="Times New Roman" w:hAnsi="Times New Roman"/>
          <w:sz w:val="16"/>
          <w:szCs w:val="16"/>
          <w:lang w:eastAsia="lv-LV"/>
        </w:rPr>
      </w:pPr>
    </w:p>
    <w:p w:rsidR="005630E5" w:rsidP="009A312E" w14:paraId="6FC9D794" w14:textId="77777777">
      <w:pPr>
        <w:tabs>
          <w:tab w:val="right" w:pos="9071"/>
        </w:tabs>
        <w:spacing w:after="0" w:line="240" w:lineRule="auto"/>
        <w:jc w:val="both"/>
        <w:rPr>
          <w:rFonts w:ascii="Times New Roman" w:eastAsia="Times New Roman" w:hAnsi="Times New Roman"/>
          <w:sz w:val="16"/>
          <w:szCs w:val="16"/>
          <w:lang w:eastAsia="lv-LV"/>
        </w:rPr>
      </w:pPr>
    </w:p>
    <w:p w:rsidR="005630E5" w:rsidRPr="00245AE4" w:rsidP="009A312E" w14:paraId="2D604021" w14:textId="77777777">
      <w:pPr>
        <w:tabs>
          <w:tab w:val="right" w:pos="9071"/>
        </w:tabs>
        <w:spacing w:after="0" w:line="240" w:lineRule="auto"/>
        <w:jc w:val="both"/>
        <w:rPr>
          <w:rFonts w:ascii="Times New Roman" w:eastAsia="Times New Roman" w:hAnsi="Times New Roman"/>
          <w:sz w:val="16"/>
          <w:szCs w:val="16"/>
          <w:lang w:eastAsia="lv-LV"/>
        </w:rPr>
      </w:pPr>
    </w:p>
    <w:p w:rsidR="009A312E" w:rsidRPr="005630E5" w:rsidP="009A312E" w14:paraId="454C9C2B" w14:textId="77777777">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 xml:space="preserve">Ministru prezidenta biedrs, </w:t>
      </w:r>
    </w:p>
    <w:p w:rsidR="009A312E" w:rsidRPr="005630E5" w:rsidP="009A312E" w14:paraId="270FF30B" w14:textId="77777777">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ekonomikas ministrs</w:t>
      </w:r>
      <w:r w:rsidRPr="005630E5">
        <w:rPr>
          <w:b/>
        </w:rPr>
        <w:t xml:space="preserve"> </w:t>
      </w:r>
      <w:r w:rsidRPr="005630E5">
        <w:rPr>
          <w:b/>
        </w:rPr>
        <w:tab/>
      </w:r>
      <w:r w:rsidRPr="005630E5">
        <w:rPr>
          <w:rFonts w:ascii="Times New Roman" w:hAnsi="Times New Roman"/>
          <w:b/>
          <w:color w:val="000000"/>
          <w:sz w:val="24"/>
          <w:szCs w:val="24"/>
        </w:rPr>
        <w:t>A. Ašeradens</w:t>
      </w:r>
    </w:p>
    <w:p w:rsidR="009A312E" w:rsidRPr="005630E5" w:rsidP="009A312E" w14:paraId="29EBA32C" w14:textId="77777777">
      <w:pPr>
        <w:tabs>
          <w:tab w:val="right" w:pos="9071"/>
        </w:tabs>
        <w:spacing w:after="0" w:line="240" w:lineRule="auto"/>
        <w:jc w:val="both"/>
        <w:rPr>
          <w:rFonts w:ascii="Times New Roman" w:hAnsi="Times New Roman"/>
          <w:b/>
          <w:color w:val="000000"/>
          <w:sz w:val="16"/>
          <w:szCs w:val="16"/>
        </w:rPr>
      </w:pPr>
    </w:p>
    <w:p w:rsidR="009A312E" w:rsidRPr="005630E5" w:rsidP="009A312E" w14:paraId="4FDF8EF9" w14:textId="0A80FB76">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r w:rsidR="00E2719F">
        <w:rPr>
          <w:rFonts w:ascii="Times New Roman" w:hAnsi="Times New Roman"/>
          <w:b/>
          <w:color w:val="000000"/>
          <w:sz w:val="24"/>
          <w:szCs w:val="24"/>
        </w:rPr>
        <w:t>Ē.Eglītis</w:t>
      </w:r>
    </w:p>
    <w:p w:rsidR="00CC6E1B" w:rsidP="009A312E" w14:paraId="4E7CC4F1" w14:textId="4F1A6AB6">
      <w:pPr>
        <w:tabs>
          <w:tab w:val="right" w:pos="9071"/>
        </w:tabs>
        <w:spacing w:after="0" w:line="240" w:lineRule="auto"/>
        <w:jc w:val="both"/>
        <w:rPr>
          <w:rFonts w:ascii="Times New Roman" w:hAnsi="Times New Roman"/>
          <w:color w:val="000000"/>
          <w:sz w:val="24"/>
          <w:szCs w:val="24"/>
        </w:rPr>
      </w:pPr>
    </w:p>
    <w:p w:rsidR="009A2938" w:rsidP="009A312E" w14:paraId="437CA3D4" w14:textId="4AF3C25B">
      <w:pPr>
        <w:tabs>
          <w:tab w:val="right" w:pos="9071"/>
        </w:tabs>
        <w:spacing w:after="0" w:line="240" w:lineRule="auto"/>
        <w:jc w:val="both"/>
        <w:rPr>
          <w:rFonts w:ascii="Times New Roman" w:hAnsi="Times New Roman"/>
          <w:color w:val="000000"/>
          <w:sz w:val="24"/>
          <w:szCs w:val="24"/>
        </w:rPr>
      </w:pPr>
    </w:p>
    <w:p w:rsidR="00D85523" w:rsidP="009A312E" w14:paraId="04740656" w14:textId="77777777">
      <w:pPr>
        <w:tabs>
          <w:tab w:val="right" w:pos="9071"/>
        </w:tabs>
        <w:spacing w:after="0" w:line="240" w:lineRule="auto"/>
        <w:jc w:val="both"/>
        <w:rPr>
          <w:rFonts w:ascii="Times New Roman" w:hAnsi="Times New Roman"/>
          <w:color w:val="000000"/>
          <w:sz w:val="24"/>
          <w:szCs w:val="24"/>
        </w:rPr>
      </w:pPr>
    </w:p>
    <w:p w:rsidR="005630E5" w:rsidP="009A312E" w14:paraId="47AE922F" w14:textId="146825CA">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Zvaigznītis</w:t>
      </w:r>
    </w:p>
    <w:p w:rsidR="009A312E" w:rsidRPr="0057709B" w:rsidP="009A312E" w14:paraId="2FF7C9A8" w14:textId="0F2AE89F">
      <w:pPr>
        <w:widowControl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670131</w:t>
      </w:r>
      <w:r w:rsidR="003D3BB6">
        <w:rPr>
          <w:rFonts w:ascii="Times New Roman" w:eastAsia="Times New Roman" w:hAnsi="Times New Roman"/>
          <w:sz w:val="20"/>
          <w:szCs w:val="20"/>
        </w:rPr>
        <w:t>7</w:t>
      </w:r>
      <w:r w:rsidRPr="0057709B">
        <w:rPr>
          <w:rFonts w:ascii="Times New Roman" w:eastAsia="Times New Roman" w:hAnsi="Times New Roman"/>
          <w:sz w:val="20"/>
          <w:szCs w:val="20"/>
        </w:rPr>
        <w:t>1</w:t>
      </w:r>
    </w:p>
    <w:p w:rsidR="002319EF" w:rsidRPr="002319EF" w:rsidP="00E5753A" w14:paraId="4F503A51" w14:textId="1B55F063">
      <w:pPr>
        <w:widowControl w:val="0"/>
        <w:spacing w:after="0" w:line="240" w:lineRule="auto"/>
        <w:jc w:val="both"/>
      </w:pPr>
      <w:r>
        <w:fldChar w:fldCharType="begin"/>
      </w:r>
      <w:r>
        <w:instrText xml:space="preserve"> HYPERLINK "mailto:Kristaps.Zvaigznitis@em.gov.lv" </w:instrText>
      </w:r>
      <w:r>
        <w:fldChar w:fldCharType="separate"/>
      </w:r>
      <w:r w:rsidRPr="00221A69" w:rsidR="00D85523">
        <w:rPr>
          <w:rStyle w:val="Hyperlink"/>
          <w:rFonts w:ascii="Times New Roman" w:eastAsia="Times New Roman" w:hAnsi="Times New Roman"/>
          <w:sz w:val="20"/>
          <w:szCs w:val="20"/>
        </w:rPr>
        <w:t>Kristaps.Zvaigznitis@em.gov.lv</w:t>
      </w:r>
      <w:r>
        <w:fldChar w:fldCharType="end"/>
      </w:r>
      <w:r w:rsidR="00D85523">
        <w:rPr>
          <w:rFonts w:ascii="Times New Roman" w:eastAsia="Times New Roman" w:hAnsi="Times New Roman"/>
          <w:sz w:val="20"/>
          <w:szCs w:val="20"/>
        </w:rPr>
        <w:t xml:space="preserve"> </w:t>
      </w:r>
    </w:p>
    <w:p w:rsidR="0073369E" w:rsidP="002319EF" w14:paraId="2D8F2238" w14:textId="53D8C33E">
      <w:pPr>
        <w:tabs>
          <w:tab w:val="left" w:pos="3315"/>
        </w:tabs>
      </w:pPr>
      <w:r>
        <w:tab/>
      </w:r>
    </w:p>
    <w:p w:rsidR="000F72AE" w:rsidRPr="0073369E" w:rsidP="0073369E" w14:paraId="27AFE42A" w14:textId="21D0ED8F">
      <w:pPr>
        <w:tabs>
          <w:tab w:val="left" w:pos="2520"/>
        </w:tabs>
      </w:pPr>
      <w:bookmarkStart w:id="0" w:name="_GoBack"/>
      <w:bookmarkEnd w:id="0"/>
      <w:r>
        <w:tab/>
      </w:r>
    </w:p>
    <w:sectPr w:rsidSect="00E85BF0">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38B" w14:paraId="22552D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BF0" w:rsidRPr="00B61820" w:rsidP="00B61820" w14:paraId="2287D7E3" w14:textId="39DA444D">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A2538B">
      <w:rPr>
        <w:rFonts w:ascii="Times New Roman" w:eastAsia="Times New Roman" w:hAnsi="Times New Roman"/>
        <w:sz w:val="20"/>
        <w:szCs w:val="20"/>
        <w:lang w:eastAsia="lv-LV"/>
      </w:rPr>
      <w:t>0108</w:t>
    </w:r>
    <w:r w:rsidR="00706ABD">
      <w:rPr>
        <w:rFonts w:ascii="Times New Roman" w:eastAsia="Times New Roman" w:hAnsi="Times New Roman"/>
        <w:sz w:val="20"/>
        <w:szCs w:val="20"/>
        <w:lang w:eastAsia="lv-LV"/>
      </w:rPr>
      <w:t>2018</w:t>
    </w:r>
    <w:r>
      <w:rPr>
        <w:rFonts w:ascii="Times New Roman" w:eastAsia="Times New Roman" w:hAnsi="Times New Roman"/>
        <w:sz w:val="20"/>
        <w:szCs w:val="20"/>
        <w:lang w:eastAsia="lv-LV"/>
      </w:rPr>
      <w:t>_</w:t>
    </w:r>
    <w:r w:rsidR="00E97AEE">
      <w:rPr>
        <w:rFonts w:ascii="Times New Roman" w:eastAsia="Times New Roman" w:hAnsi="Times New Roman"/>
        <w:sz w:val="20"/>
        <w:szCs w:val="20"/>
        <w:lang w:eastAsia="lv-LV"/>
      </w:rPr>
      <w:t>g</w:t>
    </w:r>
    <w:r>
      <w:rPr>
        <w:rFonts w:ascii="Times New Roman" w:eastAsia="Times New Roman" w:hAnsi="Times New Roman"/>
        <w:sz w:val="20"/>
        <w:szCs w:val="20"/>
        <w:lang w:eastAsia="lv-LV"/>
      </w:rPr>
      <w:t>roz13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BF0" w:rsidRPr="002973CD" w:rsidP="00E85BF0" w14:paraId="3F257AA1" w14:textId="53BFE237">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A2538B">
      <w:rPr>
        <w:rFonts w:ascii="Times New Roman" w:eastAsia="Times New Roman" w:hAnsi="Times New Roman"/>
        <w:sz w:val="20"/>
        <w:szCs w:val="20"/>
        <w:lang w:eastAsia="lv-LV"/>
      </w:rPr>
      <w:t>0108</w:t>
    </w:r>
    <w:r w:rsidR="00E35A87">
      <w:rPr>
        <w:rFonts w:ascii="Times New Roman" w:eastAsia="Times New Roman" w:hAnsi="Times New Roman"/>
        <w:sz w:val="20"/>
        <w:szCs w:val="20"/>
        <w:lang w:eastAsia="lv-LV"/>
      </w:rPr>
      <w:t>20</w:t>
    </w:r>
    <w:r w:rsidR="00B61820">
      <w:rPr>
        <w:rFonts w:ascii="Times New Roman" w:eastAsia="Times New Roman" w:hAnsi="Times New Roman"/>
        <w:sz w:val="20"/>
        <w:szCs w:val="20"/>
        <w:lang w:eastAsia="lv-LV"/>
      </w:rPr>
      <w:t>18_</w:t>
    </w:r>
    <w:r w:rsidR="00E97AEE">
      <w:rPr>
        <w:rFonts w:ascii="Times New Roman" w:eastAsia="Times New Roman" w:hAnsi="Times New Roman"/>
        <w:sz w:val="20"/>
        <w:szCs w:val="20"/>
        <w:lang w:eastAsia="lv-LV"/>
      </w:rPr>
      <w:t>g</w:t>
    </w:r>
    <w:r w:rsidR="00B61820">
      <w:rPr>
        <w:rFonts w:ascii="Times New Roman" w:eastAsia="Times New Roman" w:hAnsi="Times New Roman"/>
        <w:sz w:val="20"/>
        <w:szCs w:val="20"/>
        <w:lang w:eastAsia="lv-LV"/>
      </w:rPr>
      <w:t>roz13</w:t>
    </w:r>
    <w:r w:rsidRPr="002973CD" w:rsidR="00B61820">
      <w:rPr>
        <w:rFonts w:ascii="Times New Roman" w:eastAsia="Times New Roman" w:hAnsi="Times New Roman"/>
        <w:sz w:val="20"/>
        <w:szCs w:val="20"/>
        <w:lang w:eastAsia="lv-LV"/>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38B" w14:paraId="13CCAF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BF0" w14:paraId="25A67713" w14:textId="690D4711">
    <w:pPr>
      <w:pStyle w:val="Header"/>
      <w:jc w:val="center"/>
    </w:pPr>
    <w:r>
      <w:fldChar w:fldCharType="begin"/>
    </w:r>
    <w:r>
      <w:instrText xml:space="preserve"> PAGE   \* MERGEFORMAT </w:instrText>
    </w:r>
    <w:r>
      <w:fldChar w:fldCharType="separate"/>
    </w:r>
    <w:r w:rsidR="003D0AA2">
      <w:rPr>
        <w:noProof/>
      </w:rPr>
      <w:t>8</w:t>
    </w:r>
    <w:r>
      <w:rPr>
        <w:noProof/>
      </w:rPr>
      <w:fldChar w:fldCharType="end"/>
    </w:r>
  </w:p>
  <w:p w:rsidR="00E85BF0" w14:paraId="7E32D8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38B" w14:paraId="64E2C1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1E7F98"/>
    <w:multiLevelType w:val="hybridMultilevel"/>
    <w:tmpl w:val="2CFC372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15:restartNumberingAfterBreak="1">
    <w:nsid w:val="12FE537E"/>
    <w:multiLevelType w:val="hybridMultilevel"/>
    <w:tmpl w:val="AB8EF3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64583E24"/>
    <w:multiLevelType w:val="hybridMultilevel"/>
    <w:tmpl w:val="E5D82616"/>
    <w:lvl w:ilvl="0">
      <w:start w:val="1"/>
      <w:numFmt w:val="decimal"/>
      <w:lvlText w:val="%1)"/>
      <w:lvlJc w:val="left"/>
      <w:pPr>
        <w:ind w:left="432" w:hanging="360"/>
      </w:pPr>
      <w:rPr>
        <w:rFonts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3" w15:restartNumberingAfterBreak="1">
    <w:nsid w:val="664B2B4F"/>
    <w:multiLevelType w:val="hybridMultilevel"/>
    <w:tmpl w:val="091CCBEE"/>
    <w:lvl w:ilvl="0">
      <w:start w:val="1"/>
      <w:numFmt w:val="decimal"/>
      <w:lvlText w:val="%1."/>
      <w:lvlJc w:val="left"/>
      <w:pPr>
        <w:ind w:left="432" w:hanging="360"/>
      </w:pPr>
      <w:rPr>
        <w:rFonts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4" w15:restartNumberingAfterBreak="1">
    <w:nsid w:val="69996C18"/>
    <w:multiLevelType w:val="hybridMultilevel"/>
    <w:tmpl w:val="E1D8D80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5" w15:restartNumberingAfterBreak="1">
    <w:nsid w:val="72087BA2"/>
    <w:multiLevelType w:val="hybridMultilevel"/>
    <w:tmpl w:val="6EC6128C"/>
    <w:lvl w:ilvl="0">
      <w:start w:val="1"/>
      <w:numFmt w:val="bullet"/>
      <w:lvlText w:val=""/>
      <w:lvlJc w:val="left"/>
      <w:pPr>
        <w:ind w:left="852" w:hanging="360"/>
      </w:pPr>
      <w:rPr>
        <w:rFonts w:ascii="Symbol" w:hAnsi="Symbol" w:hint="default"/>
      </w:rPr>
    </w:lvl>
    <w:lvl w:ilvl="1" w:tentative="1">
      <w:start w:val="1"/>
      <w:numFmt w:val="bullet"/>
      <w:lvlText w:val="o"/>
      <w:lvlJc w:val="left"/>
      <w:pPr>
        <w:ind w:left="1572" w:hanging="360"/>
      </w:pPr>
      <w:rPr>
        <w:rFonts w:ascii="Courier New" w:hAnsi="Courier New" w:cs="Courier New" w:hint="default"/>
      </w:rPr>
    </w:lvl>
    <w:lvl w:ilvl="2" w:tentative="1">
      <w:start w:val="1"/>
      <w:numFmt w:val="bullet"/>
      <w:lvlText w:val=""/>
      <w:lvlJc w:val="left"/>
      <w:pPr>
        <w:ind w:left="2292" w:hanging="360"/>
      </w:pPr>
      <w:rPr>
        <w:rFonts w:ascii="Wingdings" w:hAnsi="Wingdings" w:hint="default"/>
      </w:rPr>
    </w:lvl>
    <w:lvl w:ilvl="3" w:tentative="1">
      <w:start w:val="1"/>
      <w:numFmt w:val="bullet"/>
      <w:lvlText w:val=""/>
      <w:lvlJc w:val="left"/>
      <w:pPr>
        <w:ind w:left="3012" w:hanging="360"/>
      </w:pPr>
      <w:rPr>
        <w:rFonts w:ascii="Symbol" w:hAnsi="Symbol" w:hint="default"/>
      </w:rPr>
    </w:lvl>
    <w:lvl w:ilvl="4" w:tentative="1">
      <w:start w:val="1"/>
      <w:numFmt w:val="bullet"/>
      <w:lvlText w:val="o"/>
      <w:lvlJc w:val="left"/>
      <w:pPr>
        <w:ind w:left="3732" w:hanging="360"/>
      </w:pPr>
      <w:rPr>
        <w:rFonts w:ascii="Courier New" w:hAnsi="Courier New" w:cs="Courier New" w:hint="default"/>
      </w:rPr>
    </w:lvl>
    <w:lvl w:ilvl="5" w:tentative="1">
      <w:start w:val="1"/>
      <w:numFmt w:val="bullet"/>
      <w:lvlText w:val=""/>
      <w:lvlJc w:val="left"/>
      <w:pPr>
        <w:ind w:left="4452" w:hanging="360"/>
      </w:pPr>
      <w:rPr>
        <w:rFonts w:ascii="Wingdings" w:hAnsi="Wingdings" w:hint="default"/>
      </w:rPr>
    </w:lvl>
    <w:lvl w:ilvl="6" w:tentative="1">
      <w:start w:val="1"/>
      <w:numFmt w:val="bullet"/>
      <w:lvlText w:val=""/>
      <w:lvlJc w:val="left"/>
      <w:pPr>
        <w:ind w:left="5172" w:hanging="360"/>
      </w:pPr>
      <w:rPr>
        <w:rFonts w:ascii="Symbol" w:hAnsi="Symbol" w:hint="default"/>
      </w:rPr>
    </w:lvl>
    <w:lvl w:ilvl="7" w:tentative="1">
      <w:start w:val="1"/>
      <w:numFmt w:val="bullet"/>
      <w:lvlText w:val="o"/>
      <w:lvlJc w:val="left"/>
      <w:pPr>
        <w:ind w:left="5892" w:hanging="360"/>
      </w:pPr>
      <w:rPr>
        <w:rFonts w:ascii="Courier New" w:hAnsi="Courier New" w:cs="Courier New" w:hint="default"/>
      </w:rPr>
    </w:lvl>
    <w:lvl w:ilvl="8" w:tentative="1">
      <w:start w:val="1"/>
      <w:numFmt w:val="bullet"/>
      <w:lvlText w:val=""/>
      <w:lvlJc w:val="left"/>
      <w:pPr>
        <w:ind w:left="6612" w:hanging="360"/>
      </w:pPr>
      <w:rPr>
        <w:rFonts w:ascii="Wingdings" w:hAnsi="Wingdings" w:hint="default"/>
      </w:rPr>
    </w:lvl>
  </w:abstractNum>
  <w:abstractNum w:abstractNumId="6" w15:restartNumberingAfterBreak="1">
    <w:nsid w:val="739575DE"/>
    <w:multiLevelType w:val="hybridMultilevel"/>
    <w:tmpl w:val="D342239A"/>
    <w:lvl w:ilvl="0">
      <w:start w:val="1"/>
      <w:numFmt w:val="decimal"/>
      <w:lvlText w:val="%1."/>
      <w:lvlJc w:val="left"/>
      <w:pPr>
        <w:ind w:left="502" w:hanging="360"/>
      </w:pPr>
      <w:rPr>
        <w:rFonts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15:restartNumberingAfterBreak="1">
    <w:nsid w:val="7B3F653F"/>
    <w:multiLevelType w:val="hybridMultilevel"/>
    <w:tmpl w:val="C13EEA84"/>
    <w:lvl w:ilvl="0">
      <w:start w:val="1"/>
      <w:numFmt w:val="bullet"/>
      <w:lvlText w:val=""/>
      <w:lvlJc w:val="left"/>
      <w:pPr>
        <w:ind w:left="852" w:hanging="360"/>
      </w:pPr>
      <w:rPr>
        <w:rFonts w:ascii="Symbol" w:hAnsi="Symbol" w:hint="default"/>
      </w:rPr>
    </w:lvl>
    <w:lvl w:ilvl="1" w:tentative="1">
      <w:start w:val="1"/>
      <w:numFmt w:val="bullet"/>
      <w:lvlText w:val="o"/>
      <w:lvlJc w:val="left"/>
      <w:pPr>
        <w:ind w:left="1572" w:hanging="360"/>
      </w:pPr>
      <w:rPr>
        <w:rFonts w:ascii="Courier New" w:hAnsi="Courier New" w:cs="Courier New" w:hint="default"/>
      </w:rPr>
    </w:lvl>
    <w:lvl w:ilvl="2" w:tentative="1">
      <w:start w:val="1"/>
      <w:numFmt w:val="bullet"/>
      <w:lvlText w:val=""/>
      <w:lvlJc w:val="left"/>
      <w:pPr>
        <w:ind w:left="2292" w:hanging="360"/>
      </w:pPr>
      <w:rPr>
        <w:rFonts w:ascii="Wingdings" w:hAnsi="Wingdings" w:hint="default"/>
      </w:rPr>
    </w:lvl>
    <w:lvl w:ilvl="3" w:tentative="1">
      <w:start w:val="1"/>
      <w:numFmt w:val="bullet"/>
      <w:lvlText w:val=""/>
      <w:lvlJc w:val="left"/>
      <w:pPr>
        <w:ind w:left="3012" w:hanging="360"/>
      </w:pPr>
      <w:rPr>
        <w:rFonts w:ascii="Symbol" w:hAnsi="Symbol" w:hint="default"/>
      </w:rPr>
    </w:lvl>
    <w:lvl w:ilvl="4" w:tentative="1">
      <w:start w:val="1"/>
      <w:numFmt w:val="bullet"/>
      <w:lvlText w:val="o"/>
      <w:lvlJc w:val="left"/>
      <w:pPr>
        <w:ind w:left="3732" w:hanging="360"/>
      </w:pPr>
      <w:rPr>
        <w:rFonts w:ascii="Courier New" w:hAnsi="Courier New" w:cs="Courier New" w:hint="default"/>
      </w:rPr>
    </w:lvl>
    <w:lvl w:ilvl="5" w:tentative="1">
      <w:start w:val="1"/>
      <w:numFmt w:val="bullet"/>
      <w:lvlText w:val=""/>
      <w:lvlJc w:val="left"/>
      <w:pPr>
        <w:ind w:left="4452" w:hanging="360"/>
      </w:pPr>
      <w:rPr>
        <w:rFonts w:ascii="Wingdings" w:hAnsi="Wingdings" w:hint="default"/>
      </w:rPr>
    </w:lvl>
    <w:lvl w:ilvl="6" w:tentative="1">
      <w:start w:val="1"/>
      <w:numFmt w:val="bullet"/>
      <w:lvlText w:val=""/>
      <w:lvlJc w:val="left"/>
      <w:pPr>
        <w:ind w:left="5172" w:hanging="360"/>
      </w:pPr>
      <w:rPr>
        <w:rFonts w:ascii="Symbol" w:hAnsi="Symbol" w:hint="default"/>
      </w:rPr>
    </w:lvl>
    <w:lvl w:ilvl="7" w:tentative="1">
      <w:start w:val="1"/>
      <w:numFmt w:val="bullet"/>
      <w:lvlText w:val="o"/>
      <w:lvlJc w:val="left"/>
      <w:pPr>
        <w:ind w:left="5892" w:hanging="360"/>
      </w:pPr>
      <w:rPr>
        <w:rFonts w:ascii="Courier New" w:hAnsi="Courier New" w:cs="Courier New" w:hint="default"/>
      </w:rPr>
    </w:lvl>
    <w:lvl w:ilvl="8" w:tentative="1">
      <w:start w:val="1"/>
      <w:numFmt w:val="bullet"/>
      <w:lvlText w:val=""/>
      <w:lvlJc w:val="left"/>
      <w:pPr>
        <w:ind w:left="6612"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E"/>
    <w:rsid w:val="000028E2"/>
    <w:rsid w:val="00003AF3"/>
    <w:rsid w:val="000053C9"/>
    <w:rsid w:val="00006DC5"/>
    <w:rsid w:val="00015E22"/>
    <w:rsid w:val="00024CCD"/>
    <w:rsid w:val="00031648"/>
    <w:rsid w:val="000318AE"/>
    <w:rsid w:val="00033B2E"/>
    <w:rsid w:val="0004420B"/>
    <w:rsid w:val="000471F2"/>
    <w:rsid w:val="00057209"/>
    <w:rsid w:val="00064581"/>
    <w:rsid w:val="000708D2"/>
    <w:rsid w:val="000825F6"/>
    <w:rsid w:val="00090BDF"/>
    <w:rsid w:val="00090FC4"/>
    <w:rsid w:val="000A1B52"/>
    <w:rsid w:val="000A2B6C"/>
    <w:rsid w:val="000A5B3A"/>
    <w:rsid w:val="000B4FA8"/>
    <w:rsid w:val="000D4151"/>
    <w:rsid w:val="000D6578"/>
    <w:rsid w:val="000E5AA6"/>
    <w:rsid w:val="000F72AE"/>
    <w:rsid w:val="00100B78"/>
    <w:rsid w:val="00101DB2"/>
    <w:rsid w:val="0010387F"/>
    <w:rsid w:val="00103DF6"/>
    <w:rsid w:val="0010496B"/>
    <w:rsid w:val="001152C0"/>
    <w:rsid w:val="00115BD6"/>
    <w:rsid w:val="001243B9"/>
    <w:rsid w:val="001305B9"/>
    <w:rsid w:val="001312A1"/>
    <w:rsid w:val="00136369"/>
    <w:rsid w:val="0015517D"/>
    <w:rsid w:val="001609E2"/>
    <w:rsid w:val="00161E65"/>
    <w:rsid w:val="00164527"/>
    <w:rsid w:val="00164AB1"/>
    <w:rsid w:val="00164E69"/>
    <w:rsid w:val="00176C49"/>
    <w:rsid w:val="00196785"/>
    <w:rsid w:val="001A67CD"/>
    <w:rsid w:val="001A6DE0"/>
    <w:rsid w:val="001B7DBC"/>
    <w:rsid w:val="001C3799"/>
    <w:rsid w:val="001C4BBF"/>
    <w:rsid w:val="001C5253"/>
    <w:rsid w:val="001D209B"/>
    <w:rsid w:val="001D2D8E"/>
    <w:rsid w:val="001E1D46"/>
    <w:rsid w:val="001F1B7D"/>
    <w:rsid w:val="001F44B8"/>
    <w:rsid w:val="00210CCC"/>
    <w:rsid w:val="002171C9"/>
    <w:rsid w:val="00220249"/>
    <w:rsid w:val="00221A69"/>
    <w:rsid w:val="002319EF"/>
    <w:rsid w:val="00244FFB"/>
    <w:rsid w:val="00245A19"/>
    <w:rsid w:val="00245AE4"/>
    <w:rsid w:val="00245EF5"/>
    <w:rsid w:val="00271BB2"/>
    <w:rsid w:val="002733DE"/>
    <w:rsid w:val="00274E36"/>
    <w:rsid w:val="00276DA9"/>
    <w:rsid w:val="00287BA3"/>
    <w:rsid w:val="00290ACA"/>
    <w:rsid w:val="002919BA"/>
    <w:rsid w:val="002973CD"/>
    <w:rsid w:val="002A0AF5"/>
    <w:rsid w:val="002A1C23"/>
    <w:rsid w:val="002B28B8"/>
    <w:rsid w:val="002B4E1B"/>
    <w:rsid w:val="002B76F3"/>
    <w:rsid w:val="002D19C0"/>
    <w:rsid w:val="002D3504"/>
    <w:rsid w:val="002E1F44"/>
    <w:rsid w:val="002E7366"/>
    <w:rsid w:val="002F10D3"/>
    <w:rsid w:val="0030292E"/>
    <w:rsid w:val="0031180C"/>
    <w:rsid w:val="003123AC"/>
    <w:rsid w:val="00321E69"/>
    <w:rsid w:val="0033091B"/>
    <w:rsid w:val="00336B4E"/>
    <w:rsid w:val="00376E1A"/>
    <w:rsid w:val="00390E8D"/>
    <w:rsid w:val="003937F2"/>
    <w:rsid w:val="00397AC2"/>
    <w:rsid w:val="003A1611"/>
    <w:rsid w:val="003A330D"/>
    <w:rsid w:val="003D0AA2"/>
    <w:rsid w:val="003D205C"/>
    <w:rsid w:val="003D3BB6"/>
    <w:rsid w:val="003E1F77"/>
    <w:rsid w:val="00402938"/>
    <w:rsid w:val="00405E29"/>
    <w:rsid w:val="0041103E"/>
    <w:rsid w:val="00424910"/>
    <w:rsid w:val="0042491D"/>
    <w:rsid w:val="00435A14"/>
    <w:rsid w:val="00446511"/>
    <w:rsid w:val="004607C7"/>
    <w:rsid w:val="00460FE5"/>
    <w:rsid w:val="00475884"/>
    <w:rsid w:val="004763A8"/>
    <w:rsid w:val="0049163F"/>
    <w:rsid w:val="0049449C"/>
    <w:rsid w:val="0049516E"/>
    <w:rsid w:val="004A0213"/>
    <w:rsid w:val="004A2782"/>
    <w:rsid w:val="004B11BD"/>
    <w:rsid w:val="004C0A86"/>
    <w:rsid w:val="004C0C52"/>
    <w:rsid w:val="004C44CD"/>
    <w:rsid w:val="004C4CA9"/>
    <w:rsid w:val="004E0FE2"/>
    <w:rsid w:val="0050427E"/>
    <w:rsid w:val="00505345"/>
    <w:rsid w:val="005136D7"/>
    <w:rsid w:val="0051409A"/>
    <w:rsid w:val="0052696C"/>
    <w:rsid w:val="00534EE8"/>
    <w:rsid w:val="00536750"/>
    <w:rsid w:val="00536D5A"/>
    <w:rsid w:val="005439AB"/>
    <w:rsid w:val="00550D86"/>
    <w:rsid w:val="0055121D"/>
    <w:rsid w:val="00551783"/>
    <w:rsid w:val="00554B45"/>
    <w:rsid w:val="00560866"/>
    <w:rsid w:val="005630E5"/>
    <w:rsid w:val="005639BB"/>
    <w:rsid w:val="0056492C"/>
    <w:rsid w:val="00573D7B"/>
    <w:rsid w:val="00576086"/>
    <w:rsid w:val="0057709B"/>
    <w:rsid w:val="00577A22"/>
    <w:rsid w:val="00581DBC"/>
    <w:rsid w:val="00587678"/>
    <w:rsid w:val="0059104A"/>
    <w:rsid w:val="005A0A82"/>
    <w:rsid w:val="005A1673"/>
    <w:rsid w:val="005B5BEB"/>
    <w:rsid w:val="005C184F"/>
    <w:rsid w:val="005C1C05"/>
    <w:rsid w:val="005C307E"/>
    <w:rsid w:val="005E0F99"/>
    <w:rsid w:val="005E1B08"/>
    <w:rsid w:val="005E272D"/>
    <w:rsid w:val="005F470E"/>
    <w:rsid w:val="00605F9E"/>
    <w:rsid w:val="00606264"/>
    <w:rsid w:val="00611285"/>
    <w:rsid w:val="006272F2"/>
    <w:rsid w:val="006407BA"/>
    <w:rsid w:val="006460D7"/>
    <w:rsid w:val="00646875"/>
    <w:rsid w:val="00666251"/>
    <w:rsid w:val="00667785"/>
    <w:rsid w:val="00671CDC"/>
    <w:rsid w:val="00674365"/>
    <w:rsid w:val="00676665"/>
    <w:rsid w:val="006778EB"/>
    <w:rsid w:val="006810E0"/>
    <w:rsid w:val="006876EB"/>
    <w:rsid w:val="0069459B"/>
    <w:rsid w:val="00694AA8"/>
    <w:rsid w:val="006971DC"/>
    <w:rsid w:val="00697558"/>
    <w:rsid w:val="006A30B4"/>
    <w:rsid w:val="006A4B12"/>
    <w:rsid w:val="006B3E89"/>
    <w:rsid w:val="006B739A"/>
    <w:rsid w:val="006D3730"/>
    <w:rsid w:val="006D5F4A"/>
    <w:rsid w:val="006D7ED9"/>
    <w:rsid w:val="006E1CC9"/>
    <w:rsid w:val="006F21EF"/>
    <w:rsid w:val="006F7762"/>
    <w:rsid w:val="007009AA"/>
    <w:rsid w:val="0070163B"/>
    <w:rsid w:val="00702B4B"/>
    <w:rsid w:val="00706ABD"/>
    <w:rsid w:val="00727F3A"/>
    <w:rsid w:val="0073369E"/>
    <w:rsid w:val="0074295E"/>
    <w:rsid w:val="00744E9C"/>
    <w:rsid w:val="007456EF"/>
    <w:rsid w:val="00770DA9"/>
    <w:rsid w:val="00777603"/>
    <w:rsid w:val="007A0278"/>
    <w:rsid w:val="007A108E"/>
    <w:rsid w:val="007B3495"/>
    <w:rsid w:val="007B41BF"/>
    <w:rsid w:val="007C3465"/>
    <w:rsid w:val="007D7F36"/>
    <w:rsid w:val="007E400F"/>
    <w:rsid w:val="007E7107"/>
    <w:rsid w:val="008069B7"/>
    <w:rsid w:val="00807543"/>
    <w:rsid w:val="00807582"/>
    <w:rsid w:val="008158F0"/>
    <w:rsid w:val="008175E3"/>
    <w:rsid w:val="00817E08"/>
    <w:rsid w:val="00826EB6"/>
    <w:rsid w:val="00843637"/>
    <w:rsid w:val="00845DF7"/>
    <w:rsid w:val="00850193"/>
    <w:rsid w:val="0085251D"/>
    <w:rsid w:val="00853512"/>
    <w:rsid w:val="00861701"/>
    <w:rsid w:val="0087065C"/>
    <w:rsid w:val="00870CEC"/>
    <w:rsid w:val="00894D2B"/>
    <w:rsid w:val="008B23A8"/>
    <w:rsid w:val="008B3ACF"/>
    <w:rsid w:val="008B5ED6"/>
    <w:rsid w:val="008B78B2"/>
    <w:rsid w:val="008C12CD"/>
    <w:rsid w:val="008C4C6D"/>
    <w:rsid w:val="008C53EF"/>
    <w:rsid w:val="008F1587"/>
    <w:rsid w:val="008F1B50"/>
    <w:rsid w:val="008F257A"/>
    <w:rsid w:val="008F7393"/>
    <w:rsid w:val="0090361D"/>
    <w:rsid w:val="0091195B"/>
    <w:rsid w:val="00912D79"/>
    <w:rsid w:val="00915852"/>
    <w:rsid w:val="00927E8B"/>
    <w:rsid w:val="009440D7"/>
    <w:rsid w:val="00960C4F"/>
    <w:rsid w:val="00960C53"/>
    <w:rsid w:val="00965899"/>
    <w:rsid w:val="00966B6C"/>
    <w:rsid w:val="00980182"/>
    <w:rsid w:val="009867E1"/>
    <w:rsid w:val="00994063"/>
    <w:rsid w:val="009A00C6"/>
    <w:rsid w:val="009A2938"/>
    <w:rsid w:val="009A312E"/>
    <w:rsid w:val="009B68F6"/>
    <w:rsid w:val="009F13DA"/>
    <w:rsid w:val="009F2FA5"/>
    <w:rsid w:val="009F5B84"/>
    <w:rsid w:val="00A01391"/>
    <w:rsid w:val="00A02AEB"/>
    <w:rsid w:val="00A112EB"/>
    <w:rsid w:val="00A133DF"/>
    <w:rsid w:val="00A1429A"/>
    <w:rsid w:val="00A2193A"/>
    <w:rsid w:val="00A23EAD"/>
    <w:rsid w:val="00A2526D"/>
    <w:rsid w:val="00A2538B"/>
    <w:rsid w:val="00A44DBD"/>
    <w:rsid w:val="00A47456"/>
    <w:rsid w:val="00A57869"/>
    <w:rsid w:val="00A61583"/>
    <w:rsid w:val="00A6259F"/>
    <w:rsid w:val="00A67844"/>
    <w:rsid w:val="00A67EE3"/>
    <w:rsid w:val="00A74A3F"/>
    <w:rsid w:val="00A9644F"/>
    <w:rsid w:val="00A9668A"/>
    <w:rsid w:val="00AA10EA"/>
    <w:rsid w:val="00AA7956"/>
    <w:rsid w:val="00AB0B37"/>
    <w:rsid w:val="00AB0D96"/>
    <w:rsid w:val="00AB2C1B"/>
    <w:rsid w:val="00AB40C4"/>
    <w:rsid w:val="00AB7120"/>
    <w:rsid w:val="00AC0047"/>
    <w:rsid w:val="00AC20DC"/>
    <w:rsid w:val="00AC3BF5"/>
    <w:rsid w:val="00AD2A19"/>
    <w:rsid w:val="00AD772E"/>
    <w:rsid w:val="00AE10A7"/>
    <w:rsid w:val="00AE3271"/>
    <w:rsid w:val="00AE6E05"/>
    <w:rsid w:val="00B01EFC"/>
    <w:rsid w:val="00B07BB3"/>
    <w:rsid w:val="00B2343F"/>
    <w:rsid w:val="00B249D6"/>
    <w:rsid w:val="00B27579"/>
    <w:rsid w:val="00B30348"/>
    <w:rsid w:val="00B32CA1"/>
    <w:rsid w:val="00B33F0A"/>
    <w:rsid w:val="00B4109B"/>
    <w:rsid w:val="00B43025"/>
    <w:rsid w:val="00B564F2"/>
    <w:rsid w:val="00B57DDB"/>
    <w:rsid w:val="00B6025E"/>
    <w:rsid w:val="00B61820"/>
    <w:rsid w:val="00B6430E"/>
    <w:rsid w:val="00B6709C"/>
    <w:rsid w:val="00B7178A"/>
    <w:rsid w:val="00B7203B"/>
    <w:rsid w:val="00B742CC"/>
    <w:rsid w:val="00B7667A"/>
    <w:rsid w:val="00B7752B"/>
    <w:rsid w:val="00B8037C"/>
    <w:rsid w:val="00B81DE4"/>
    <w:rsid w:val="00B931B2"/>
    <w:rsid w:val="00B94698"/>
    <w:rsid w:val="00BA075C"/>
    <w:rsid w:val="00BB0771"/>
    <w:rsid w:val="00BB3056"/>
    <w:rsid w:val="00BC1915"/>
    <w:rsid w:val="00BC5AB9"/>
    <w:rsid w:val="00BE4388"/>
    <w:rsid w:val="00BF332A"/>
    <w:rsid w:val="00BF6FB6"/>
    <w:rsid w:val="00C03A89"/>
    <w:rsid w:val="00C074FB"/>
    <w:rsid w:val="00C1009E"/>
    <w:rsid w:val="00C113C2"/>
    <w:rsid w:val="00C20237"/>
    <w:rsid w:val="00C3388D"/>
    <w:rsid w:val="00C4560B"/>
    <w:rsid w:val="00C557CA"/>
    <w:rsid w:val="00C55E9D"/>
    <w:rsid w:val="00C6181C"/>
    <w:rsid w:val="00C64560"/>
    <w:rsid w:val="00C64DFA"/>
    <w:rsid w:val="00C67E4B"/>
    <w:rsid w:val="00C707E2"/>
    <w:rsid w:val="00C96EA1"/>
    <w:rsid w:val="00CA115C"/>
    <w:rsid w:val="00CA6220"/>
    <w:rsid w:val="00CA7A80"/>
    <w:rsid w:val="00CB166C"/>
    <w:rsid w:val="00CB2925"/>
    <w:rsid w:val="00CC0471"/>
    <w:rsid w:val="00CC28D4"/>
    <w:rsid w:val="00CC46D3"/>
    <w:rsid w:val="00CC6E1B"/>
    <w:rsid w:val="00CD38CB"/>
    <w:rsid w:val="00CD6674"/>
    <w:rsid w:val="00CE1E1D"/>
    <w:rsid w:val="00CE3D70"/>
    <w:rsid w:val="00CF2E14"/>
    <w:rsid w:val="00CF3978"/>
    <w:rsid w:val="00D31E6F"/>
    <w:rsid w:val="00D37BA2"/>
    <w:rsid w:val="00D61012"/>
    <w:rsid w:val="00D644C0"/>
    <w:rsid w:val="00D67976"/>
    <w:rsid w:val="00D71954"/>
    <w:rsid w:val="00D747D8"/>
    <w:rsid w:val="00D85523"/>
    <w:rsid w:val="00D95AD8"/>
    <w:rsid w:val="00DA38B4"/>
    <w:rsid w:val="00DC6D09"/>
    <w:rsid w:val="00DD11B5"/>
    <w:rsid w:val="00DD1681"/>
    <w:rsid w:val="00DD2519"/>
    <w:rsid w:val="00DD365A"/>
    <w:rsid w:val="00DD7C9C"/>
    <w:rsid w:val="00DE2599"/>
    <w:rsid w:val="00DE57A6"/>
    <w:rsid w:val="00DF1FB1"/>
    <w:rsid w:val="00DF3623"/>
    <w:rsid w:val="00DF62F1"/>
    <w:rsid w:val="00DF7F03"/>
    <w:rsid w:val="00E04395"/>
    <w:rsid w:val="00E2719F"/>
    <w:rsid w:val="00E3578E"/>
    <w:rsid w:val="00E35A3B"/>
    <w:rsid w:val="00E35A87"/>
    <w:rsid w:val="00E40776"/>
    <w:rsid w:val="00E4106B"/>
    <w:rsid w:val="00E42C2F"/>
    <w:rsid w:val="00E46679"/>
    <w:rsid w:val="00E5753A"/>
    <w:rsid w:val="00E66395"/>
    <w:rsid w:val="00E6704D"/>
    <w:rsid w:val="00E77FF3"/>
    <w:rsid w:val="00E85BF0"/>
    <w:rsid w:val="00E86AA4"/>
    <w:rsid w:val="00E8770C"/>
    <w:rsid w:val="00E961BA"/>
    <w:rsid w:val="00E96710"/>
    <w:rsid w:val="00E97AEE"/>
    <w:rsid w:val="00EB67CA"/>
    <w:rsid w:val="00EB7215"/>
    <w:rsid w:val="00EC103F"/>
    <w:rsid w:val="00EC7210"/>
    <w:rsid w:val="00EE7C8B"/>
    <w:rsid w:val="00EF5819"/>
    <w:rsid w:val="00EF7009"/>
    <w:rsid w:val="00F05A38"/>
    <w:rsid w:val="00F11E6B"/>
    <w:rsid w:val="00F1274E"/>
    <w:rsid w:val="00F211FB"/>
    <w:rsid w:val="00F214BB"/>
    <w:rsid w:val="00F21A78"/>
    <w:rsid w:val="00F3186F"/>
    <w:rsid w:val="00F40204"/>
    <w:rsid w:val="00F528C9"/>
    <w:rsid w:val="00F52C57"/>
    <w:rsid w:val="00F55331"/>
    <w:rsid w:val="00F628CC"/>
    <w:rsid w:val="00F648C4"/>
    <w:rsid w:val="00F66B7A"/>
    <w:rsid w:val="00F76002"/>
    <w:rsid w:val="00F838D5"/>
    <w:rsid w:val="00F845E2"/>
    <w:rsid w:val="00F8547F"/>
    <w:rsid w:val="00F87140"/>
    <w:rsid w:val="00FA07A3"/>
    <w:rsid w:val="00FA328A"/>
    <w:rsid w:val="00FA4B15"/>
    <w:rsid w:val="00FB6F01"/>
    <w:rsid w:val="00FC293B"/>
    <w:rsid w:val="00FC7E42"/>
    <w:rsid w:val="00FD5F60"/>
    <w:rsid w:val="00FD68CD"/>
    <w:rsid w:val="00FD7112"/>
    <w:rsid w:val="00FE068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5FF7A4D-B008-45AC-A516-5CA42A7B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H&amp;P List Paragraph,List Paragraph1,Strip"/>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List Paragraph1 Char,Strip Char"/>
    <w:link w:val="ListParagraph"/>
    <w:uiPriority w:val="34"/>
    <w:rsid w:val="001C5253"/>
    <w:rPr>
      <w:rFonts w:ascii="Calibri" w:eastAsia="Calibri" w:hAnsi="Calibri" w:cs="Times New Roman"/>
    </w:rPr>
  </w:style>
  <w:style w:type="character" w:customStyle="1" w:styleId="UnresolvedMention2">
    <w:name w:val="Unresolved Mention2"/>
    <w:basedOn w:val="DefaultParagraphFont"/>
    <w:uiPriority w:val="99"/>
    <w:semiHidden/>
    <w:unhideWhenUsed/>
    <w:rsid w:val="00D855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10519</Words>
  <Characters>5997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4. janvāra noteikumos Nr. 13 "Darbības programmas "Izaugsme un nodarbinātība" 4.2.1. specifiskā atbalsta mērķa "Veicināt energoefektivitātes paaugstināšanu valsts un dzīvojamās ē</vt:lpstr>
    </vt:vector>
  </TitlesOfParts>
  <Company>Ekonomikas ministrija</Company>
  <LinksUpToDate>false</LinksUpToDate>
  <CharactersWithSpaces>16484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sākotnējās ietekmes novērtējuma ziņojums (anotācija)</dc:title>
  <dc:subject>Anotācija</dc:subject>
  <dc:creator>Kristaps Zvaigznītis</dc:creator>
  <dc:description>67013171, Kristaps.Zvaigznitis@em.gov.lv</dc:description>
  <cp:lastModifiedBy>Kristaps Zvaigznītis</cp:lastModifiedBy>
  <cp:revision>100</cp:revision>
  <dcterms:created xsi:type="dcterms:W3CDTF">2018-05-30T10:42:00Z</dcterms:created>
  <dcterms:modified xsi:type="dcterms:W3CDTF">2018-08-01T09:02:00Z</dcterms:modified>
</cp:coreProperties>
</file>