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E386" w14:textId="77777777" w:rsidR="009A1EC6" w:rsidRDefault="009A1EC6" w:rsidP="009A1EC6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lang w:eastAsia="ru-RU"/>
        </w:rPr>
      </w:pPr>
      <w:r w:rsidRPr="009A1EC6">
        <w:rPr>
          <w:b/>
          <w:bCs/>
          <w:color w:val="000000" w:themeColor="text1"/>
        </w:rPr>
        <w:t xml:space="preserve">Likumprojekts “Grozījumi likumā “Par Latvijas Banku”” </w:t>
      </w:r>
      <w:r w:rsidRPr="009A1EC6">
        <w:rPr>
          <w:b/>
          <w:bCs/>
          <w:lang w:eastAsia="ru-RU"/>
        </w:rPr>
        <w:t>sākotnējās ietekmes novērtējuma ziņojums (anotācija)</w:t>
      </w:r>
      <w:bookmarkStart w:id="0" w:name="_GoBack"/>
      <w:bookmarkEnd w:id="0"/>
    </w:p>
    <w:p w14:paraId="59B06345" w14:textId="77777777" w:rsidR="009A1EC6" w:rsidRPr="009A1EC6" w:rsidRDefault="009A1EC6" w:rsidP="009A1EC6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lang w:eastAsia="ru-RU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8"/>
        <w:gridCol w:w="5773"/>
      </w:tblGrid>
      <w:tr w:rsidR="009A1EC6" w:rsidRPr="008C64EE" w14:paraId="67420A94" w14:textId="77777777" w:rsidTr="00D8771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D34DE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A1EC6" w:rsidRPr="008C64EE" w14:paraId="39A1C604" w14:textId="77777777" w:rsidTr="00D8771B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CB91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67635" w14:textId="1CC8545E" w:rsidR="009A1EC6" w:rsidRPr="008C64EE" w:rsidRDefault="000142F7" w:rsidP="00D12526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“Par Latvijas Banku”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nepieciešams precizēt atbilstoši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 Uzņēmumu ienākuma nodokļa likumam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 izstrādāts l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>ikumprojekt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C6"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“Grozījumi likumā “Par Latvijas Banku””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(turpmāk – Likumprojekts). 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Likumā “Par Latvijas Banku” ir ietverta norma, kas paredz Latvijas Bankai pienākumu valsts budžetā iemaksāt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peļņas daļu, kura aprēķināta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piemērojot likumā “Par uzņēmumu ienākuma nodokli” noteikto likmi.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Minētā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 kārtība arī turpmāk netiek mainīta, vienīgi tiek mainīta atsauce uz Uzņēmumu ienākuma nodokļa likumā noteikto likmi.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Likumprojektā paredzēts, ka likuma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grozījumi būs attiecināmi uz peļņ</w:t>
            </w:r>
            <w:r w:rsidR="00F66B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, kas gūta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sākot ar 2018.gada 1.janvāri.</w:t>
            </w:r>
          </w:p>
        </w:tc>
      </w:tr>
    </w:tbl>
    <w:p w14:paraId="0E365D8D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3229"/>
        <w:gridCol w:w="5730"/>
      </w:tblGrid>
      <w:tr w:rsidR="009A1EC6" w:rsidRPr="008C64EE" w14:paraId="288FA13B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F9262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A1EC6" w:rsidRPr="008C64EE" w14:paraId="0418F0DA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90FEE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4D97B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80A1D" w14:textId="3623A4C5" w:rsidR="009A1EC6" w:rsidRPr="008C64EE" w:rsidRDefault="009A1EC6" w:rsidP="009A1EC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2018.gada 1.janvār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Uzņēmumu ienākuma nodokļa likums, kas aizstāj likumu “Par uzņēmumu ienākuma nodokli”. Ņemot vērā, ka likumā “Par Latvijas Banku” ir atsauce uz likumu “Par uzņēmumu ienākuma nodokli”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izstrādāts l</w:t>
            </w:r>
            <w:r w:rsidRPr="008C64EE">
              <w:rPr>
                <w:rFonts w:ascii="Times New Roman" w:hAnsi="Times New Roman" w:cs="Times New Roman"/>
                <w:sz w:val="24"/>
                <w:szCs w:val="24"/>
              </w:rPr>
              <w:t>ikumprojekt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lai sakārtotu minētā likuma normas atbilstību Uzņēmumu ienākuma nodokļa likumam. </w:t>
            </w:r>
          </w:p>
        </w:tc>
      </w:tr>
      <w:tr w:rsidR="009A1EC6" w:rsidRPr="008C64EE" w14:paraId="4FDCA837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C877A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63A9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1D86B" w14:textId="77777777" w:rsidR="0068147B" w:rsidRDefault="00D12526" w:rsidP="009A1EC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8147B" w:rsidRPr="009A1EC6">
              <w:rPr>
                <w:rFonts w:ascii="Times New Roman" w:hAnsi="Times New Roman" w:cs="Times New Roman"/>
                <w:sz w:val="24"/>
                <w:szCs w:val="24"/>
              </w:rPr>
              <w:t>ikuma “Par Latvijas Banku” 18.</w:t>
            </w:r>
            <w:r w:rsidR="0068147B" w:rsidRPr="00B5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8147B" w:rsidRPr="009A1EC6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68147B">
              <w:rPr>
                <w:rFonts w:ascii="Times New Roman" w:hAnsi="Times New Roman" w:cs="Times New Roman"/>
                <w:sz w:val="24"/>
                <w:szCs w:val="24"/>
              </w:rPr>
              <w:t>ā Latvijas Bankai ir noteikts</w:t>
            </w:r>
            <w:r w:rsidR="008A700A">
              <w:rPr>
                <w:rFonts w:ascii="Times New Roman" w:hAnsi="Times New Roman" w:cs="Times New Roman"/>
                <w:sz w:val="24"/>
                <w:szCs w:val="24"/>
              </w:rPr>
              <w:t xml:space="preserve"> pienākums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budžetā iemaksāt peļņas daļu, kura aprēķināta piemērojot likumā “Par uzņēmumu ienākuma nodokli” noteikto likmi.</w:t>
            </w:r>
          </w:p>
          <w:p w14:paraId="0C18517F" w14:textId="39ED705C" w:rsidR="00C86B9C" w:rsidRDefault="009A1EC6" w:rsidP="00C86B9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2018.ga</w:t>
            </w:r>
            <w:r w:rsidR="000A0A0D">
              <w:rPr>
                <w:rFonts w:ascii="Times New Roman" w:hAnsi="Times New Roman" w:cs="Times New Roman"/>
                <w:sz w:val="24"/>
                <w:szCs w:val="24"/>
              </w:rPr>
              <w:t>da 1.janvār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0A0A0D"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zņēmumu ienākuma nodokļa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, kas aizstāj likumu “Par uzņēmumu ienākuma nodokli”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. Līdz ar to l</w:t>
            </w:r>
            <w:r w:rsidR="00C86B9C" w:rsidRPr="009A1EC6">
              <w:rPr>
                <w:rFonts w:ascii="Times New Roman" w:hAnsi="Times New Roman" w:cs="Times New Roman"/>
                <w:sz w:val="24"/>
                <w:szCs w:val="24"/>
              </w:rPr>
              <w:t>ikuma “Par Latvijas Banku” 18.</w:t>
            </w:r>
            <w:r w:rsidR="00C86B9C" w:rsidRPr="00B5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86B9C" w:rsidRPr="009A1EC6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ā tiek precizēta atsauce uz Uzņēmumu ienākuma nodokļa likumu. </w:t>
            </w:r>
          </w:p>
          <w:p w14:paraId="1BFB39B3" w14:textId="3EFC040C" w:rsidR="0095522A" w:rsidRDefault="0095522A" w:rsidP="00C86B9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Papildus minētajam no </w:t>
            </w:r>
            <w:r w:rsidR="008426D9" w:rsidRPr="008426D9">
              <w:rPr>
                <w:rFonts w:ascii="Times New Roman" w:hAnsi="Times New Roman" w:cs="Times New Roman"/>
                <w:sz w:val="24"/>
                <w:szCs w:val="24"/>
              </w:rPr>
              <w:t>likuma “Par Latvijas Banku” 18.</w:t>
            </w:r>
            <w:r w:rsidR="008426D9" w:rsidRPr="00842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426D9" w:rsidRPr="008426D9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26D9" w:rsidRPr="0084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izslēgts nosacījums, ka peļņas sadali aprēķina </w:t>
            </w:r>
            <w:r w:rsidRPr="0095522A">
              <w:rPr>
                <w:rFonts w:ascii="Times New Roman" w:hAnsi="Times New Roman" w:cs="Times New Roman"/>
                <w:sz w:val="24"/>
                <w:szCs w:val="24"/>
              </w:rPr>
              <w:t>pēc iepriekšējos gados uzkrāto zaudējumu segšanas, ja tādi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Savukārt </w:t>
            </w:r>
            <w:r w:rsidR="008426D9" w:rsidRPr="008426D9">
              <w:rPr>
                <w:rFonts w:ascii="Times New Roman" w:hAnsi="Times New Roman" w:cs="Times New Roman"/>
                <w:sz w:val="24"/>
                <w:szCs w:val="24"/>
              </w:rPr>
              <w:t xml:space="preserve">likuma “Par Latvijas Banku” 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2A">
              <w:rPr>
                <w:rFonts w:ascii="Times New Roman" w:hAnsi="Times New Roman" w:cs="Times New Roman"/>
                <w:sz w:val="24"/>
                <w:szCs w:val="24"/>
              </w:rPr>
              <w:t>19.pants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 paredz,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ka zaudējumi, kas radušies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Latvijas Bankai par pārskata gadu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 jāsedz no izveidotajām rezervēm, 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2A">
              <w:rPr>
                <w:rFonts w:ascii="Times New Roman" w:hAnsi="Times New Roman" w:cs="Times New Roman"/>
                <w:sz w:val="24"/>
                <w:szCs w:val="24"/>
              </w:rPr>
              <w:t>zaudējumu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522A">
              <w:rPr>
                <w:rFonts w:ascii="Times New Roman" w:hAnsi="Times New Roman" w:cs="Times New Roman"/>
                <w:sz w:val="24"/>
                <w:szCs w:val="24"/>
              </w:rPr>
              <w:t xml:space="preserve">, kuras segšanai rezerves kapitāla nepietiek,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95522A">
              <w:rPr>
                <w:rFonts w:ascii="Times New Roman" w:hAnsi="Times New Roman" w:cs="Times New Roman"/>
                <w:sz w:val="24"/>
                <w:szCs w:val="24"/>
              </w:rPr>
              <w:t>sedz no pamatkapitāla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. Līdz ar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būtības nav pamata </w:t>
            </w:r>
            <w:r w:rsidR="008F7664">
              <w:rPr>
                <w:rFonts w:ascii="Times New Roman" w:hAnsi="Times New Roman" w:cs="Times New Roman"/>
                <w:sz w:val="24"/>
                <w:szCs w:val="24"/>
              </w:rPr>
              <w:t xml:space="preserve">par uzkrāto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zaudējumu</w:t>
            </w:r>
            <w:r w:rsidR="008F7664">
              <w:rPr>
                <w:rFonts w:ascii="Times New Roman" w:hAnsi="Times New Roman" w:cs="Times New Roman"/>
                <w:sz w:val="24"/>
                <w:szCs w:val="24"/>
              </w:rPr>
              <w:t xml:space="preserve"> summu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kuriem bija jābūt segtiem</w:t>
            </w:r>
            <w:r w:rsidR="008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D9">
              <w:rPr>
                <w:rFonts w:ascii="Times New Roman" w:hAnsi="Times New Roman" w:cs="Times New Roman"/>
                <w:sz w:val="24"/>
                <w:szCs w:val="24"/>
              </w:rPr>
              <w:t xml:space="preserve">minētā </w:t>
            </w:r>
            <w:r w:rsidR="008F7664">
              <w:rPr>
                <w:rFonts w:ascii="Times New Roman" w:hAnsi="Times New Roman" w:cs="Times New Roman"/>
                <w:sz w:val="24"/>
                <w:szCs w:val="24"/>
              </w:rPr>
              <w:t xml:space="preserve">likuma 19.pantā noteiktajā kārtībā, samazināt pārskata gada sadalāmās peļņas apmēru.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14339" w14:textId="77777777" w:rsidR="00D43BE4" w:rsidRPr="008C64EE" w:rsidRDefault="000A0A0D" w:rsidP="00D1252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Latvijas Bankai 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par peļņu, kas gūta 2017.gadā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minētais maksājuma apmērs jāaprēķina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iesniedzot gada pārskatu 2018.gadā, savukārt par peļņu, kas gūta 2018.gadā, iesniedzot gada pārskatu 2019.gadā.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Latvijas Bankai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arī  turpmāk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nebūs saistošas citas Uzņēmumu ienākuma nodokļa likumā noteiktās normas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 izņemot likmes apmēru, t.i.,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0A7">
              <w:rPr>
                <w:rFonts w:ascii="Times New Roman" w:hAnsi="Times New Roman" w:cs="Times New Roman"/>
                <w:sz w:val="24"/>
                <w:szCs w:val="24"/>
              </w:rPr>
              <w:t xml:space="preserve"> nepiemērojot apliekamās bāzes palielinošo koeficientu 0,8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A1EC6" w:rsidRPr="008C64EE" w14:paraId="4C65B2CB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E1CE5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7720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D7106" w14:textId="77777777" w:rsidR="009A1EC6" w:rsidRPr="008C64EE" w:rsidRDefault="009A1EC6" w:rsidP="00D43BE4">
            <w:pPr>
              <w:pStyle w:val="CommentText"/>
              <w:jc w:val="both"/>
              <w:rPr>
                <w:sz w:val="24"/>
                <w:szCs w:val="24"/>
              </w:rPr>
            </w:pPr>
            <w:r w:rsidRPr="008C64EE">
              <w:rPr>
                <w:sz w:val="24"/>
                <w:szCs w:val="24"/>
              </w:rPr>
              <w:t xml:space="preserve">Finanšu ministrija, </w:t>
            </w:r>
            <w:r w:rsidR="00D43BE4">
              <w:rPr>
                <w:sz w:val="24"/>
                <w:szCs w:val="24"/>
              </w:rPr>
              <w:t>Latvijas Banka.</w:t>
            </w:r>
          </w:p>
        </w:tc>
      </w:tr>
      <w:tr w:rsidR="009A1EC6" w:rsidRPr="008C64EE" w14:paraId="002A1F82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8F7C0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57111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F7DCF" w14:textId="77777777" w:rsidR="009A1EC6" w:rsidRPr="008C64EE" w:rsidRDefault="009A1EC6" w:rsidP="00D8771B">
            <w:pPr>
              <w:pStyle w:val="CommentText"/>
              <w:jc w:val="both"/>
              <w:rPr>
                <w:sz w:val="24"/>
                <w:szCs w:val="24"/>
              </w:rPr>
            </w:pPr>
            <w:r w:rsidRPr="008C64EE">
              <w:rPr>
                <w:sz w:val="24"/>
                <w:szCs w:val="24"/>
              </w:rPr>
              <w:t>Nav.</w:t>
            </w:r>
          </w:p>
        </w:tc>
      </w:tr>
    </w:tbl>
    <w:p w14:paraId="6B075F45" w14:textId="205FFCD6" w:rsidR="009A1EC6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7366CD" w14:textId="77777777" w:rsidR="005D3487" w:rsidRPr="008C64EE" w:rsidRDefault="005D3487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3229"/>
        <w:gridCol w:w="5730"/>
      </w:tblGrid>
      <w:tr w:rsidR="009A1EC6" w:rsidRPr="008C64EE" w14:paraId="3F41047C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DEB7E2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A1EC6" w:rsidRPr="008C64EE" w14:paraId="612443AC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5E968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804E3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04497" w14:textId="62E98198" w:rsidR="009A1EC6" w:rsidRPr="008C64EE" w:rsidRDefault="0033310C" w:rsidP="003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sabiedrību.</w:t>
            </w:r>
          </w:p>
        </w:tc>
      </w:tr>
      <w:tr w:rsidR="009A1EC6" w:rsidRPr="008C64EE" w14:paraId="1CD39B57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51020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8720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AEDD9" w14:textId="77777777" w:rsidR="009A1EC6" w:rsidRPr="008C64EE" w:rsidRDefault="00D43BE4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tautsaimniecību.</w:t>
            </w:r>
          </w:p>
        </w:tc>
      </w:tr>
      <w:tr w:rsidR="009A1EC6" w:rsidRPr="008C64EE" w14:paraId="0001B9B6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B15AB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B42BF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C7C84" w14:textId="77777777" w:rsidR="009A1EC6" w:rsidRPr="008C64EE" w:rsidRDefault="007210A7" w:rsidP="0072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mainās tikai atsauce uz jauno Uzņēmumu ienākuma nodokļa likumu un likmes apmērs, tad netiek radīts papildus administratīvais slogs</w:t>
            </w:r>
            <w:r w:rsidR="002E6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A1EC6" w:rsidRPr="008C64EE" w14:paraId="15796A2D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E21DB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5A4E1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316AA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9A1EC6" w:rsidRPr="008C64EE" w14:paraId="513A7CA8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B01E8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1F0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38824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CD1FFB" w14:textId="77777777" w:rsidR="009A1EC6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" w:tblpY="1"/>
        <w:tblOverlap w:val="never"/>
        <w:tblW w:w="50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8"/>
        <w:gridCol w:w="1595"/>
        <w:gridCol w:w="1456"/>
        <w:gridCol w:w="1358"/>
        <w:gridCol w:w="1346"/>
        <w:gridCol w:w="1038"/>
      </w:tblGrid>
      <w:tr w:rsidR="009A1EC6" w:rsidRPr="0004175B" w14:paraId="124A63D5" w14:textId="77777777" w:rsidTr="00D8771B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0D00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0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9A1EC6" w:rsidRPr="0004175B" w14:paraId="57396B0D" w14:textId="77777777" w:rsidTr="00D8771B">
        <w:tc>
          <w:tcPr>
            <w:tcW w:w="14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4A570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Rādītāji</w:t>
            </w:r>
          </w:p>
        </w:tc>
        <w:tc>
          <w:tcPr>
            <w:tcW w:w="158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ABA955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2018.</w:t>
            </w:r>
          </w:p>
        </w:tc>
        <w:tc>
          <w:tcPr>
            <w:tcW w:w="19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BEE15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Turpmākie trīs gadi (</w:t>
            </w:r>
            <w:r w:rsidRPr="00664087">
              <w:rPr>
                <w:rFonts w:ascii="Times New Roman" w:hAnsi="Times New Roman" w:cs="Times New Roman"/>
                <w:i/>
              </w:rPr>
              <w:t>euro</w:t>
            </w:r>
            <w:r w:rsidRPr="00664087">
              <w:rPr>
                <w:rFonts w:ascii="Times New Roman" w:hAnsi="Times New Roman" w:cs="Times New Roman"/>
              </w:rPr>
              <w:t>)</w:t>
            </w:r>
          </w:p>
        </w:tc>
      </w:tr>
      <w:tr w:rsidR="009A1EC6" w:rsidRPr="0004175B" w14:paraId="32F4AB7F" w14:textId="77777777" w:rsidTr="00D8771B">
        <w:tc>
          <w:tcPr>
            <w:tcW w:w="14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CC03E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7E14A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ABAC3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2019.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B8D61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2020.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B811A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9A1EC6" w:rsidRPr="0004175B" w14:paraId="5F2C85A7" w14:textId="77777777" w:rsidTr="00D8771B">
        <w:tc>
          <w:tcPr>
            <w:tcW w:w="14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3F3F0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21EF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saskaņā ar valsts budžetu kārtējam gadam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BEA30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 kārtējā gadā, salīdzinot ar budžetu kārtējam gadam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40D33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E98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2FAC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</w:tr>
      <w:tr w:rsidR="009A1EC6" w:rsidRPr="0004175B" w14:paraId="5114FF0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0492F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47107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11B66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4C349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4C04D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242AF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</w:t>
            </w:r>
          </w:p>
        </w:tc>
      </w:tr>
      <w:tr w:rsidR="009A1EC6" w:rsidRPr="0004175B" w14:paraId="5152B5C1" w14:textId="77777777" w:rsidTr="00D8771B">
        <w:trPr>
          <w:trHeight w:val="514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8860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 Budžeta ieņēmumi: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89EC1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3327B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886164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0D0A2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4C39D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89436FF" w14:textId="77777777" w:rsidTr="00D8771B">
        <w:trPr>
          <w:trHeight w:val="381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D139B1B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324D8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8D4EB1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4CA4C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5A600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23B2E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527A5A56" w14:textId="77777777" w:rsidTr="00D8771B">
        <w:trPr>
          <w:trHeight w:val="380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7CD552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1.2. valsts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47EB3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1886F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FE524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A634A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3E7E2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EFDA44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E8699D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2873B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ED135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0BF03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E0B136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F45F6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0F8A065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3FCCE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 Budžeta izdevumi: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56297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82017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7F0B7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E7E13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B901E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14997B6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1AC71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2.1. valsts pamatbudžets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FE1426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BDD4C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098518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7B5D5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B985A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DBDB62F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DE980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2.2. valsts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0398D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0A17B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3C8B24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B2BEB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4C509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7F361A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2FB6B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74299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6D3B8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91C5E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61B4D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635CF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1C8474D" w14:textId="77777777" w:rsidTr="00D8771B">
        <w:trPr>
          <w:trHeight w:val="363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6145D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 Finansiālā ietekme: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7825A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94A3B4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D1267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BDF0A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C745A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EFA8806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6425D2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3.1. valsts pamatbudžets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0BC2C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A3B3B4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F0D5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28F423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CECAEC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DC9BBF2" w14:textId="77777777" w:rsidTr="00D8771B">
        <w:tc>
          <w:tcPr>
            <w:tcW w:w="14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125B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3.2.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4FFD7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BCD7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98356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45E95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15938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99C51DA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C103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4653D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0B146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19ACB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031263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E545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FA1ACC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CE526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4. Finanšu līdzekļi papildu izdevumu finansēšanai (kompensējošu izdevumu samazinājumu norāda ar “+” zīmi)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CEFAB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8715C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5A1AE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C6D39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AFBAE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A92A2B2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DE9A5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 Precizēta finansiālā ietekme:</w:t>
            </w:r>
          </w:p>
        </w:tc>
        <w:tc>
          <w:tcPr>
            <w:tcW w:w="828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A91DE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EC30C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174B3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ADFE9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0C868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C1911B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847A0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5.1. valsts pamatbudžets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F60B178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853B7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46E2C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77B08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BB437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73810C34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9644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5.2. speciālais 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1181C7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087E3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DF937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928597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FD67B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D7C462B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E2B97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5.3. pašvaldību 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B0DB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69A80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FF54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516B6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911FC3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CE5287" w14:paraId="183FFE0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CC0A8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 Detalizēts ieņēmumu un izdevu</w:t>
            </w:r>
            <w:r w:rsidRPr="00664087">
              <w:rPr>
                <w:rFonts w:ascii="Times New Roman" w:hAnsi="Times New Roman" w:cs="Times New Roman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27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7A920" w14:textId="77777777" w:rsidR="009A1EC6" w:rsidRPr="008121DC" w:rsidRDefault="009A1EC6" w:rsidP="00D8771B">
            <w:pPr>
              <w:pStyle w:val="ListParagraph"/>
              <w:tabs>
                <w:tab w:val="left" w:pos="268"/>
              </w:tabs>
              <w:ind w:left="0"/>
              <w:jc w:val="both"/>
            </w:pPr>
            <w:r w:rsidRPr="008121DC">
              <w:t>Projekts šo jomu neskar.</w:t>
            </w:r>
          </w:p>
        </w:tc>
      </w:tr>
      <w:tr w:rsidR="009A1EC6" w:rsidRPr="0004175B" w14:paraId="68336643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11E5E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6.1. detalizēts ieņēmumu aprēķins</w:t>
            </w:r>
          </w:p>
        </w:tc>
        <w:tc>
          <w:tcPr>
            <w:tcW w:w="352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6F575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</w:tr>
      <w:tr w:rsidR="009A1EC6" w:rsidRPr="0004175B" w14:paraId="06F3243B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7139A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6.2. detalizēts izdevumu aprēķins</w:t>
            </w:r>
          </w:p>
        </w:tc>
        <w:tc>
          <w:tcPr>
            <w:tcW w:w="352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7A6B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</w:tr>
      <w:tr w:rsidR="009A1EC6" w:rsidRPr="0004175B" w14:paraId="167081DE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1A0EF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921473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443870">
              <w:rPr>
                <w:rFonts w:ascii="Times New Roman" w:hAnsi="Times New Roman" w:cs="Times New Roman"/>
              </w:rPr>
              <w:t xml:space="preserve"> Amata vietu skaita izmaiņas</w:t>
            </w:r>
          </w:p>
        </w:tc>
        <w:tc>
          <w:tcPr>
            <w:tcW w:w="35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BED2" w14:textId="77777777" w:rsidR="009A1EC6" w:rsidRPr="00664087" w:rsidRDefault="009A1EC6" w:rsidP="00D8771B">
            <w:pPr>
              <w:jc w:val="both"/>
              <w:rPr>
                <w:rFonts w:ascii="Times New Roman" w:hAnsi="Times New Roman" w:cs="Times New Roman"/>
              </w:rPr>
            </w:pPr>
            <w:r w:rsidRPr="008121D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9A1EC6" w:rsidRPr="00CE5287" w14:paraId="67763D5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2D39F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8. Cita informācija</w:t>
            </w:r>
          </w:p>
        </w:tc>
        <w:tc>
          <w:tcPr>
            <w:tcW w:w="35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7E971" w14:textId="77777777" w:rsidR="005D3487" w:rsidRDefault="005D3487" w:rsidP="005D3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budžeta ieņēmumu palielinājumu varētu ietekmēt uzņēmumu ienākuma nodokļa likmju apmēru atšķirība, t.i., līdz 2017.gada 31.decembrim 15%, bet par peļņu, kas gūta sākot ar 2018.gada 1.janvāri un turpmāk – 20%. </w:t>
            </w:r>
          </w:p>
          <w:p w14:paraId="39ED80E2" w14:textId="09C38845" w:rsidR="009A1EC6" w:rsidRPr="008121DC" w:rsidRDefault="005D3487" w:rsidP="005D3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vērā, ka Latvijas Banka peļņas prognozes par taksācijas gadu precizē tam sekojošā gada sākumā, precīza fiskālā ietekme šobrīd nav nosakāma.</w:t>
            </w:r>
          </w:p>
        </w:tc>
      </w:tr>
    </w:tbl>
    <w:p w14:paraId="3E1BE0E9" w14:textId="77777777" w:rsidR="009A1EC6" w:rsidRPr="008C64EE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6"/>
      </w:tblGrid>
      <w:tr w:rsidR="009A1EC6" w:rsidRPr="008C64EE" w14:paraId="0C4A29E9" w14:textId="77777777" w:rsidTr="00D8771B">
        <w:trPr>
          <w:trHeight w:val="30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902E39" w14:textId="77777777" w:rsidR="009A1EC6" w:rsidRPr="008C64EE" w:rsidRDefault="009A1EC6" w:rsidP="00D8771B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8C64EE">
              <w:rPr>
                <w:b/>
                <w:bCs/>
              </w:rPr>
              <w:t xml:space="preserve">IV. </w:t>
            </w:r>
            <w:r w:rsidRPr="008C64EE">
              <w:rPr>
                <w:b/>
              </w:rPr>
              <w:t>Tiesību aktu projekta ietekme uz spēkā esošo tiesību normu sistēmu</w:t>
            </w:r>
          </w:p>
        </w:tc>
      </w:tr>
      <w:tr w:rsidR="009A1EC6" w:rsidRPr="008C64EE" w14:paraId="0A738C63" w14:textId="77777777" w:rsidTr="00D8771B">
        <w:trPr>
          <w:trHeight w:val="30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368406" w14:textId="77777777" w:rsidR="009A1EC6" w:rsidRPr="008C64EE" w:rsidRDefault="009A1EC6" w:rsidP="00D8771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C64EE">
              <w:rPr>
                <w:bCs/>
              </w:rPr>
              <w:t>Projekts šo jomu neskar</w:t>
            </w:r>
          </w:p>
        </w:tc>
      </w:tr>
    </w:tbl>
    <w:p w14:paraId="0DDD59E8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9"/>
      </w:tblGrid>
      <w:tr w:rsidR="009A1EC6" w:rsidRPr="008C64EE" w14:paraId="3A80EC6F" w14:textId="77777777" w:rsidTr="00D8771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EC5A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A1EC6" w:rsidRPr="008C64EE" w14:paraId="07C5E800" w14:textId="77777777" w:rsidTr="00D8771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FB3FA7" w14:textId="77777777" w:rsidR="009A1EC6" w:rsidRPr="008C64EE" w:rsidRDefault="009A1EC6" w:rsidP="00D8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4E620511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271"/>
        <w:gridCol w:w="5773"/>
      </w:tblGrid>
      <w:tr w:rsidR="009A1EC6" w:rsidRPr="008C64EE" w14:paraId="5CA703AB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93871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A1EC6" w:rsidRPr="008C64EE" w14:paraId="5879CB14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48EF1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C6287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CD0F9" w14:textId="0E831BB1" w:rsidR="009A1EC6" w:rsidRPr="008C64EE" w:rsidRDefault="0033310C" w:rsidP="0033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sabiedrību, līdz ar to nav nepieciešama sabiedrības līdzdalība un komunikācijas aktivitātes saistībā ar likumprojektu.</w:t>
            </w:r>
          </w:p>
        </w:tc>
      </w:tr>
      <w:tr w:rsidR="009A1EC6" w:rsidRPr="008C64EE" w14:paraId="3532BD9A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0AA6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575E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9D666" w14:textId="77777777" w:rsidR="009A1EC6" w:rsidRPr="008C64EE" w:rsidRDefault="006C56D0" w:rsidP="00D8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sabiedrības līdzdalība projekta izstrādē.</w:t>
            </w:r>
          </w:p>
        </w:tc>
      </w:tr>
      <w:tr w:rsidR="009A1EC6" w:rsidRPr="008C64EE" w14:paraId="5C938D99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09FC6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E5F2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5F8B9" w14:textId="77777777" w:rsidR="009A1EC6" w:rsidRPr="008C64EE" w:rsidRDefault="006C56D0" w:rsidP="006C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A1EC6" w:rsidRPr="008C64EE" w14:paraId="794A277A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C0FD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9264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DD32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CD96909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9F3F89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271"/>
        <w:gridCol w:w="5773"/>
      </w:tblGrid>
      <w:tr w:rsidR="009A1EC6" w:rsidRPr="008C64EE" w14:paraId="38A9BAB9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2644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A1EC6" w:rsidRPr="008C64EE" w14:paraId="49EF3051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D11A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A9088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75D9E" w14:textId="77777777" w:rsidR="009A1EC6" w:rsidRPr="008C64EE" w:rsidRDefault="006C56D0" w:rsidP="00D8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Banka.</w:t>
            </w:r>
          </w:p>
        </w:tc>
      </w:tr>
      <w:tr w:rsidR="009A1EC6" w:rsidRPr="008C64EE" w14:paraId="048C4195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D7CE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E6BD0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ACAA0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A1EC6" w:rsidRPr="008C64EE" w14:paraId="2645248C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CA25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D63DC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CD0DB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597D12C" w14:textId="77777777" w:rsidR="009A1EC6" w:rsidRPr="008C64EE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p w14:paraId="6C40554E" w14:textId="77777777" w:rsidR="009A1EC6" w:rsidRPr="003E375C" w:rsidRDefault="009A1EC6" w:rsidP="009A1EC6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3E375C">
        <w:rPr>
          <w:rFonts w:ascii="Times New Roman" w:hAnsi="Times New Roman" w:cs="Times New Roman"/>
          <w:sz w:val="28"/>
          <w:szCs w:val="28"/>
        </w:rPr>
        <w:t>Finanšu ministre</w:t>
      </w:r>
      <w:r w:rsidRPr="003E375C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p w14:paraId="2CCD23A7" w14:textId="77777777" w:rsidR="005D3487" w:rsidRDefault="005D3487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03DF3F82" w14:textId="50B78DF0" w:rsidR="00AE5C99" w:rsidRPr="00845776" w:rsidRDefault="009A1EC6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Mačivka</w:t>
      </w:r>
      <w:r w:rsidRPr="006E7FA9">
        <w:rPr>
          <w:rFonts w:ascii="Times New Roman" w:hAnsi="Times New Roman" w:cs="Times New Roman"/>
          <w:spacing w:val="-2"/>
          <w:sz w:val="20"/>
          <w:szCs w:val="20"/>
        </w:rPr>
        <w:t>, 67095</w:t>
      </w:r>
      <w:r>
        <w:rPr>
          <w:rFonts w:ascii="Times New Roman" w:hAnsi="Times New Roman" w:cs="Times New Roman"/>
          <w:spacing w:val="-2"/>
          <w:sz w:val="20"/>
          <w:szCs w:val="20"/>
        </w:rPr>
        <w:t>630</w:t>
      </w:r>
      <w:r w:rsidR="008426D9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Sandra.Macivka@fm.gov.lv</w:t>
        </w:r>
      </w:hyperlink>
    </w:p>
    <w:sectPr w:rsidR="00AE5C99" w:rsidRPr="00845776" w:rsidSect="001417DE">
      <w:headerReference w:type="default" r:id="rId10"/>
      <w:footerReference w:type="default" r:id="rId11"/>
      <w:footerReference w:type="first" r:id="rId12"/>
      <w:pgSz w:w="11906" w:h="16838"/>
      <w:pgMar w:top="1440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E1FC" w14:textId="77777777" w:rsidR="00CD008B" w:rsidRDefault="00CD008B" w:rsidP="006C56D0">
      <w:pPr>
        <w:spacing w:after="0" w:line="240" w:lineRule="auto"/>
      </w:pPr>
      <w:r>
        <w:separator/>
      </w:r>
    </w:p>
  </w:endnote>
  <w:endnote w:type="continuationSeparator" w:id="0">
    <w:p w14:paraId="5B120186" w14:textId="77777777" w:rsidR="00CD008B" w:rsidRDefault="00CD008B" w:rsidP="006C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9355" w14:textId="4EA0FD40" w:rsidR="000B11AF" w:rsidRPr="009F6531" w:rsidRDefault="007B22EE" w:rsidP="000B11AF">
    <w:pPr>
      <w:tabs>
        <w:tab w:val="center" w:pos="4153"/>
        <w:tab w:val="right" w:pos="8306"/>
      </w:tabs>
      <w:spacing w:after="0" w:line="240" w:lineRule="auto"/>
      <w:rPr>
        <w:lang w:val="en-US"/>
      </w:rPr>
    </w:pPr>
    <w:r w:rsidRPr="009F6531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9F6531">
      <w:rPr>
        <w:rFonts w:ascii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9F6531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342AE6">
      <w:rPr>
        <w:rFonts w:ascii="Times New Roman" w:hAnsi="Times New Roman" w:cs="Times New Roman"/>
        <w:noProof/>
        <w:sz w:val="20"/>
        <w:szCs w:val="20"/>
        <w:lang w:val="en-US"/>
      </w:rPr>
      <w:t>FMAnot_01.08.2018_LBUIN.docx</w:t>
    </w:r>
    <w:r w:rsidRPr="009F6531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  <w:p w14:paraId="64BA1385" w14:textId="77777777" w:rsidR="000B11AF" w:rsidRPr="009F6531" w:rsidRDefault="00CD008B" w:rsidP="000B11AF">
    <w:pPr>
      <w:pStyle w:val="Footer"/>
    </w:pPr>
  </w:p>
  <w:p w14:paraId="518BC808" w14:textId="77777777" w:rsidR="00C03D37" w:rsidRDefault="00CD0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3BF6" w14:textId="7796A758" w:rsidR="00D45904" w:rsidRPr="009F6531" w:rsidRDefault="00D45904" w:rsidP="00D45904">
    <w:pPr>
      <w:tabs>
        <w:tab w:val="center" w:pos="4153"/>
        <w:tab w:val="right" w:pos="8306"/>
      </w:tabs>
      <w:spacing w:after="0" w:line="240" w:lineRule="auto"/>
      <w:rPr>
        <w:lang w:val="en-US"/>
      </w:rPr>
    </w:pPr>
    <w:r w:rsidRPr="009F6531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9F6531">
      <w:rPr>
        <w:rFonts w:ascii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9F6531">
      <w:rPr>
        <w:rFonts w:ascii="Times New Roman" w:hAnsi="Times New Roman" w:cs="Times New Roman"/>
        <w:sz w:val="20"/>
        <w:szCs w:val="20"/>
        <w:lang w:val="en-US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en-US"/>
      </w:rPr>
      <w:t>FMAnot_01.08.2018_LBUIN.docx</w:t>
    </w:r>
    <w:r w:rsidRPr="009F6531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  <w:p w14:paraId="04AC4701" w14:textId="0C85A4DD" w:rsidR="00342AE6" w:rsidRDefault="00D45904" w:rsidP="00D45904">
    <w:pPr>
      <w:pStyle w:val="Footer"/>
      <w:tabs>
        <w:tab w:val="clear" w:pos="4153"/>
        <w:tab w:val="clear" w:pos="8306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DF84" w14:textId="77777777" w:rsidR="00CD008B" w:rsidRDefault="00CD008B" w:rsidP="006C56D0">
      <w:pPr>
        <w:spacing w:after="0" w:line="240" w:lineRule="auto"/>
      </w:pPr>
      <w:r>
        <w:separator/>
      </w:r>
    </w:p>
  </w:footnote>
  <w:footnote w:type="continuationSeparator" w:id="0">
    <w:p w14:paraId="331534EB" w14:textId="77777777" w:rsidR="00CD008B" w:rsidRDefault="00CD008B" w:rsidP="006C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770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E75F7" w14:textId="6A5D02C5" w:rsidR="001417DE" w:rsidRDefault="007B22EE">
        <w:pPr>
          <w:pStyle w:val="Header"/>
          <w:jc w:val="center"/>
        </w:pPr>
        <w:r w:rsidRPr="001417DE">
          <w:rPr>
            <w:rFonts w:ascii="Times New Roman" w:hAnsi="Times New Roman" w:cs="Times New Roman"/>
          </w:rPr>
          <w:fldChar w:fldCharType="begin"/>
        </w:r>
        <w:r w:rsidRPr="001417DE">
          <w:rPr>
            <w:rFonts w:ascii="Times New Roman" w:hAnsi="Times New Roman" w:cs="Times New Roman"/>
          </w:rPr>
          <w:instrText xml:space="preserve"> PAGE   \* MERGEFORMAT </w:instrText>
        </w:r>
        <w:r w:rsidRPr="001417DE">
          <w:rPr>
            <w:rFonts w:ascii="Times New Roman" w:hAnsi="Times New Roman" w:cs="Times New Roman"/>
          </w:rPr>
          <w:fldChar w:fldCharType="separate"/>
        </w:r>
        <w:r w:rsidR="00D56F6C">
          <w:rPr>
            <w:rFonts w:ascii="Times New Roman" w:hAnsi="Times New Roman" w:cs="Times New Roman"/>
            <w:noProof/>
          </w:rPr>
          <w:t>4</w:t>
        </w:r>
        <w:r w:rsidRPr="001417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706C5B" w14:textId="77777777" w:rsidR="001417DE" w:rsidRDefault="00CD0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C6"/>
    <w:rsid w:val="000142F7"/>
    <w:rsid w:val="000A0A0D"/>
    <w:rsid w:val="000D223F"/>
    <w:rsid w:val="000F037D"/>
    <w:rsid w:val="00196196"/>
    <w:rsid w:val="001D6198"/>
    <w:rsid w:val="00245B4A"/>
    <w:rsid w:val="002E6620"/>
    <w:rsid w:val="0033310C"/>
    <w:rsid w:val="00342AE6"/>
    <w:rsid w:val="003E375C"/>
    <w:rsid w:val="004D2499"/>
    <w:rsid w:val="00572C37"/>
    <w:rsid w:val="005D3487"/>
    <w:rsid w:val="0068147B"/>
    <w:rsid w:val="006C56D0"/>
    <w:rsid w:val="007210A7"/>
    <w:rsid w:val="00736362"/>
    <w:rsid w:val="007B22EE"/>
    <w:rsid w:val="007E54A2"/>
    <w:rsid w:val="008426D9"/>
    <w:rsid w:val="00845776"/>
    <w:rsid w:val="0087486A"/>
    <w:rsid w:val="008A700A"/>
    <w:rsid w:val="008F7664"/>
    <w:rsid w:val="0095522A"/>
    <w:rsid w:val="009A1EC6"/>
    <w:rsid w:val="009C5BBC"/>
    <w:rsid w:val="00AE5C99"/>
    <w:rsid w:val="00B554A8"/>
    <w:rsid w:val="00BB21D2"/>
    <w:rsid w:val="00C86B9C"/>
    <w:rsid w:val="00CD008B"/>
    <w:rsid w:val="00D12526"/>
    <w:rsid w:val="00D32BED"/>
    <w:rsid w:val="00D43BE4"/>
    <w:rsid w:val="00D45904"/>
    <w:rsid w:val="00D56F6C"/>
    <w:rsid w:val="00D81DF9"/>
    <w:rsid w:val="00F52EED"/>
    <w:rsid w:val="00F6252A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94CF"/>
  <w15:chartTrackingRefBased/>
  <w15:docId w15:val="{C364DC0F-BD90-4425-8D47-2BEFD0B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EC6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A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C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9A1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9A1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A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C6"/>
    <w:rPr>
      <w:lang w:val="lv-LV"/>
    </w:rPr>
  </w:style>
  <w:style w:type="paragraph" w:customStyle="1" w:styleId="tvhtml">
    <w:name w:val="tv_html"/>
    <w:basedOn w:val="Normal"/>
    <w:rsid w:val="009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6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142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F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F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ga.avotina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Anotācija</Kategorija>
    <TAP xmlns="1c33a644-f6cf-45d4-832d-e32e0e370d68">118</TAP>
  </documentManagement>
</p:properties>
</file>

<file path=customXml/itemProps1.xml><?xml version="1.0" encoding="utf-8"?>
<ds:datastoreItem xmlns:ds="http://schemas.openxmlformats.org/officeDocument/2006/customXml" ds:itemID="{9758CEEF-40A4-4707-AAA7-8608857D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0A787-42C1-4BF1-9D41-A7589C6C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0E388-C984-4183-8C9D-D5582F4485C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Latvijas Banku"" sākotnējās ietekmes novērtējuma ziņojums (anotācija)</vt:lpstr>
    </vt:vector>
  </TitlesOfParts>
  <Company>Finanšu Ministrija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Banku"" sākotnējās ietekmes novērtējuma ziņojums (anotācija)</dc:title>
  <dc:subject/>
  <dc:creator>S.Mačivka</dc:creator>
  <cp:keywords/>
  <dc:description/>
  <cp:lastModifiedBy>Jekaterina Borovika</cp:lastModifiedBy>
  <cp:revision>2</cp:revision>
  <cp:lastPrinted>2018-07-16T10:23:00Z</cp:lastPrinted>
  <dcterms:created xsi:type="dcterms:W3CDTF">2018-08-07T09:26:00Z</dcterms:created>
  <dcterms:modified xsi:type="dcterms:W3CDTF">2018-08-07T09:26:00Z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