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44C46" w14:textId="77777777" w:rsidR="00C717BB" w:rsidRPr="00925500" w:rsidRDefault="004D0850" w:rsidP="00C717BB">
      <w:pPr>
        <w:jc w:val="center"/>
        <w:rPr>
          <w:rFonts w:ascii="Times New Roman" w:hAnsi="Times New Roman" w:cs="Times New Roman"/>
          <w:b/>
          <w:sz w:val="28"/>
          <w:szCs w:val="28"/>
          <w:lang w:val="lv-LV"/>
        </w:rPr>
      </w:pPr>
      <w:bookmarkStart w:id="0" w:name="_GoBack"/>
      <w:bookmarkEnd w:id="0"/>
      <w:r w:rsidRPr="00925500">
        <w:rPr>
          <w:rFonts w:ascii="Times New Roman" w:hAnsi="Times New Roman" w:cs="Times New Roman"/>
          <w:b/>
          <w:sz w:val="28"/>
          <w:szCs w:val="28"/>
          <w:lang w:val="lv-LV"/>
        </w:rPr>
        <w:t xml:space="preserve">Informatīvais ziņojums </w:t>
      </w:r>
    </w:p>
    <w:p w14:paraId="23CF19A2" w14:textId="77777777" w:rsidR="00AE5C99" w:rsidRPr="00925500" w:rsidRDefault="00C717BB" w:rsidP="00C717BB">
      <w:pPr>
        <w:jc w:val="center"/>
        <w:rPr>
          <w:rFonts w:ascii="Times New Roman" w:hAnsi="Times New Roman" w:cs="Times New Roman"/>
          <w:b/>
          <w:sz w:val="28"/>
          <w:szCs w:val="28"/>
          <w:lang w:val="lv-LV"/>
        </w:rPr>
      </w:pPr>
      <w:r w:rsidRPr="00925500">
        <w:rPr>
          <w:rFonts w:ascii="Times New Roman" w:hAnsi="Times New Roman" w:cs="Times New Roman"/>
          <w:b/>
          <w:sz w:val="28"/>
          <w:szCs w:val="28"/>
          <w:lang w:val="lv-LV"/>
        </w:rPr>
        <w:t>“P</w:t>
      </w:r>
      <w:r w:rsidR="004D0850" w:rsidRPr="00925500">
        <w:rPr>
          <w:rFonts w:ascii="Times New Roman" w:hAnsi="Times New Roman" w:cs="Times New Roman"/>
          <w:b/>
          <w:sz w:val="28"/>
          <w:szCs w:val="28"/>
          <w:lang w:val="lv-LV"/>
        </w:rPr>
        <w:t xml:space="preserve">ar </w:t>
      </w:r>
      <w:r w:rsidRPr="00925500">
        <w:rPr>
          <w:rFonts w:ascii="Times New Roman" w:hAnsi="Times New Roman" w:cs="Times New Roman"/>
          <w:b/>
          <w:sz w:val="28"/>
          <w:szCs w:val="28"/>
          <w:lang w:val="lv-LV"/>
        </w:rPr>
        <w:t>virtuālo valūtu izmantošanas ieguvumiem un riskiem</w:t>
      </w:r>
      <w:r w:rsidR="00925500" w:rsidRPr="00925500">
        <w:rPr>
          <w:rFonts w:ascii="Times New Roman" w:hAnsi="Times New Roman" w:cs="Times New Roman"/>
          <w:b/>
          <w:sz w:val="28"/>
          <w:szCs w:val="28"/>
          <w:lang w:val="lv-LV"/>
        </w:rPr>
        <w:t>,</w:t>
      </w:r>
      <w:r w:rsidRPr="00925500">
        <w:rPr>
          <w:rFonts w:ascii="Times New Roman" w:hAnsi="Times New Roman" w:cs="Times New Roman"/>
          <w:b/>
          <w:sz w:val="28"/>
          <w:szCs w:val="28"/>
          <w:lang w:val="lv-LV"/>
        </w:rPr>
        <w:t xml:space="preserve"> un tālāko rīcību</w:t>
      </w:r>
      <w:r w:rsidR="00925500" w:rsidRPr="00925500">
        <w:rPr>
          <w:rFonts w:ascii="Times New Roman" w:hAnsi="Times New Roman" w:cs="Times New Roman"/>
          <w:b/>
          <w:sz w:val="28"/>
          <w:szCs w:val="28"/>
          <w:lang w:val="lv-LV"/>
        </w:rPr>
        <w:t xml:space="preserve"> jomas attīstības veicināšanai un identificēto risku mazināšanai</w:t>
      </w:r>
      <w:r w:rsidRPr="00925500">
        <w:rPr>
          <w:rFonts w:ascii="Times New Roman" w:hAnsi="Times New Roman" w:cs="Times New Roman"/>
          <w:b/>
          <w:sz w:val="28"/>
          <w:szCs w:val="28"/>
          <w:lang w:val="lv-LV"/>
        </w:rPr>
        <w:t>”</w:t>
      </w:r>
    </w:p>
    <w:p w14:paraId="5B172D99" w14:textId="77777777" w:rsidR="004D0850" w:rsidRPr="00C717BB" w:rsidRDefault="004D0850" w:rsidP="00C717BB">
      <w:pPr>
        <w:jc w:val="both"/>
        <w:rPr>
          <w:rFonts w:ascii="Times New Roman" w:hAnsi="Times New Roman" w:cs="Times New Roman"/>
          <w:sz w:val="24"/>
          <w:lang w:val="lv-LV"/>
        </w:rPr>
      </w:pPr>
    </w:p>
    <w:p w14:paraId="233D26F1" w14:textId="77777777" w:rsidR="004D0850" w:rsidRPr="00FA6DEE" w:rsidRDefault="004D0850" w:rsidP="00C717BB">
      <w:pPr>
        <w:jc w:val="center"/>
        <w:rPr>
          <w:rFonts w:ascii="Times New Roman" w:hAnsi="Times New Roman" w:cs="Times New Roman"/>
          <w:b/>
          <w:i/>
          <w:sz w:val="24"/>
          <w:lang w:val="lv-LV"/>
        </w:rPr>
      </w:pPr>
      <w:r w:rsidRPr="00FA6DEE">
        <w:rPr>
          <w:rFonts w:ascii="Times New Roman" w:hAnsi="Times New Roman" w:cs="Times New Roman"/>
          <w:b/>
          <w:i/>
          <w:sz w:val="24"/>
          <w:lang w:val="lv-LV"/>
        </w:rPr>
        <w:t>Ievads</w:t>
      </w:r>
    </w:p>
    <w:p w14:paraId="7C0BB5A7" w14:textId="77777777" w:rsidR="004D0850" w:rsidRPr="00C717BB" w:rsidRDefault="004D0850" w:rsidP="00C717BB">
      <w:pPr>
        <w:jc w:val="both"/>
        <w:rPr>
          <w:rFonts w:ascii="Times New Roman" w:hAnsi="Times New Roman" w:cs="Times New Roman"/>
          <w:sz w:val="24"/>
          <w:lang w:val="lv-LV"/>
        </w:rPr>
      </w:pPr>
    </w:p>
    <w:p w14:paraId="6844BA28" w14:textId="77777777" w:rsidR="004D0850" w:rsidRPr="00C717BB" w:rsidRDefault="004D0850" w:rsidP="00C717BB">
      <w:pPr>
        <w:ind w:firstLine="720"/>
        <w:jc w:val="both"/>
        <w:rPr>
          <w:rFonts w:ascii="Times New Roman" w:hAnsi="Times New Roman" w:cs="Times New Roman"/>
          <w:sz w:val="24"/>
          <w:lang w:val="lv-LV"/>
        </w:rPr>
      </w:pPr>
      <w:r w:rsidRPr="00C717BB">
        <w:rPr>
          <w:rFonts w:ascii="Times New Roman" w:hAnsi="Times New Roman" w:cs="Times New Roman"/>
          <w:sz w:val="24"/>
          <w:lang w:val="lv-LV"/>
        </w:rPr>
        <w:t xml:space="preserve">Lai padziļināti izvērtētu virtuālo valūtu izmantošanas potenciālos ieguvumus un riskus, apmaiņu platformu un digitālo maku pakalpojumu sniedzēju juridisko statusu Latvijas un Eiropas Savienības finanšu sistēmas ietvaros un ar virtuālajām valūtām saistītos juridiskos un tehnoloģiskos aspektus ar Ministru prezidenta 2018.gada 29.marta rīkojumu Nr.88 tika izveidota darba grupa. </w:t>
      </w:r>
      <w:r w:rsidR="00C717BB">
        <w:rPr>
          <w:rFonts w:ascii="Times New Roman" w:hAnsi="Times New Roman" w:cs="Times New Roman"/>
          <w:sz w:val="24"/>
          <w:lang w:val="lv-LV"/>
        </w:rPr>
        <w:t>Darba grupai uzdots</w:t>
      </w:r>
      <w:r w:rsidRPr="00C717BB">
        <w:rPr>
          <w:rFonts w:ascii="Times New Roman" w:hAnsi="Times New Roman" w:cs="Times New Roman"/>
          <w:sz w:val="24"/>
          <w:lang w:val="lv-LV"/>
        </w:rPr>
        <w:t xml:space="preserve"> izstrādāt un līdz 1.jūlijam iesniegt izskatīšanai Ministru kabinetā informatīvo ziņojumu, kurā ietverti darba grupas izstrādātie priekšlikumi un izvērtējums par virtuālo valūtu darījumu finanšu, juridiskajiem</w:t>
      </w:r>
      <w:r w:rsidR="00C9721E">
        <w:rPr>
          <w:rFonts w:ascii="Times New Roman" w:hAnsi="Times New Roman" w:cs="Times New Roman"/>
          <w:sz w:val="24"/>
          <w:lang w:val="lv-LV"/>
        </w:rPr>
        <w:t>,</w:t>
      </w:r>
      <w:r w:rsidRPr="00C717BB">
        <w:rPr>
          <w:rFonts w:ascii="Times New Roman" w:hAnsi="Times New Roman" w:cs="Times New Roman"/>
          <w:sz w:val="24"/>
          <w:lang w:val="lv-LV"/>
        </w:rPr>
        <w:t xml:space="preserve"> drošības </w:t>
      </w:r>
      <w:r w:rsidR="00C9721E">
        <w:rPr>
          <w:rFonts w:ascii="Times New Roman" w:hAnsi="Times New Roman" w:cs="Times New Roman"/>
          <w:sz w:val="24"/>
          <w:lang w:val="lv-LV"/>
        </w:rPr>
        <w:t xml:space="preserve"> un tehnoloģiskajiem </w:t>
      </w:r>
      <w:r w:rsidRPr="00C717BB">
        <w:rPr>
          <w:rFonts w:ascii="Times New Roman" w:hAnsi="Times New Roman" w:cs="Times New Roman"/>
          <w:sz w:val="24"/>
          <w:lang w:val="lv-LV"/>
        </w:rPr>
        <w:t>aspektiem.</w:t>
      </w:r>
    </w:p>
    <w:p w14:paraId="2FA67F5A" w14:textId="77777777" w:rsidR="004D0850" w:rsidRDefault="007B2DCE" w:rsidP="00C717BB">
      <w:pPr>
        <w:ind w:firstLine="720"/>
        <w:jc w:val="both"/>
        <w:rPr>
          <w:rFonts w:ascii="Times New Roman" w:hAnsi="Times New Roman" w:cs="Times New Roman"/>
          <w:sz w:val="24"/>
          <w:lang w:val="lv-LV"/>
        </w:rPr>
      </w:pPr>
      <w:r w:rsidRPr="00C717BB">
        <w:rPr>
          <w:rFonts w:ascii="Times New Roman" w:hAnsi="Times New Roman" w:cs="Times New Roman"/>
          <w:sz w:val="24"/>
          <w:lang w:val="lv-LV"/>
        </w:rPr>
        <w:t>Saeimas Budžeta un finanšu (nodokļu) komisija šā gada 11.aprīļa s</w:t>
      </w:r>
      <w:r w:rsidR="006637A9">
        <w:rPr>
          <w:rFonts w:ascii="Times New Roman" w:hAnsi="Times New Roman" w:cs="Times New Roman"/>
          <w:sz w:val="24"/>
          <w:lang w:val="lv-LV"/>
        </w:rPr>
        <w:t xml:space="preserve">ēdē izskatīja jautājumu par virtuālajām </w:t>
      </w:r>
      <w:r w:rsidRPr="00C717BB">
        <w:rPr>
          <w:rFonts w:ascii="Times New Roman" w:hAnsi="Times New Roman" w:cs="Times New Roman"/>
          <w:sz w:val="24"/>
          <w:lang w:val="lv-LV"/>
        </w:rPr>
        <w:t>valūtām un to tiesisko regulējumu. Minētajā sēdē deputāti tika informēti, ka ir</w:t>
      </w:r>
      <w:r w:rsidR="006637A9">
        <w:rPr>
          <w:rFonts w:ascii="Times New Roman" w:hAnsi="Times New Roman" w:cs="Times New Roman"/>
          <w:sz w:val="24"/>
          <w:lang w:val="lv-LV"/>
        </w:rPr>
        <w:t xml:space="preserve"> izveidota ekspertu darba grupa, lai izvērtētu ar virtuālo valūtu izmantošanu saistītos juridiskos un tehnoloģiskos aspektus</w:t>
      </w:r>
      <w:r w:rsidRPr="00C717BB">
        <w:rPr>
          <w:rFonts w:ascii="Times New Roman" w:hAnsi="Times New Roman" w:cs="Times New Roman"/>
          <w:sz w:val="24"/>
          <w:lang w:val="lv-LV"/>
        </w:rPr>
        <w:t xml:space="preserve">. Minētajā </w:t>
      </w:r>
      <w:r w:rsidR="006637A9">
        <w:rPr>
          <w:rFonts w:ascii="Times New Roman" w:hAnsi="Times New Roman" w:cs="Times New Roman"/>
          <w:sz w:val="24"/>
          <w:lang w:val="lv-LV"/>
        </w:rPr>
        <w:t xml:space="preserve">komisijas </w:t>
      </w:r>
      <w:r w:rsidR="00D563EC" w:rsidRPr="00C717BB">
        <w:rPr>
          <w:rFonts w:ascii="Times New Roman" w:hAnsi="Times New Roman" w:cs="Times New Roman"/>
          <w:sz w:val="24"/>
          <w:lang w:val="lv-LV"/>
        </w:rPr>
        <w:t>sēdē V</w:t>
      </w:r>
      <w:r w:rsidRPr="00C717BB">
        <w:rPr>
          <w:rFonts w:ascii="Times New Roman" w:hAnsi="Times New Roman" w:cs="Times New Roman"/>
          <w:sz w:val="24"/>
          <w:lang w:val="lv-LV"/>
        </w:rPr>
        <w:t xml:space="preserve">alsts ieņēmumu dienesta pārstāvji informēja par vairākiem aktuāliem jautājumiem, kur nepieciešama skaidrība saistībā ar virtuālo valūtu </w:t>
      </w:r>
      <w:r w:rsidR="00D563EC" w:rsidRPr="00C717BB">
        <w:rPr>
          <w:rFonts w:ascii="Times New Roman" w:hAnsi="Times New Roman" w:cs="Times New Roman"/>
          <w:sz w:val="24"/>
          <w:lang w:val="lv-LV"/>
        </w:rPr>
        <w:t>izmantošanu</w:t>
      </w:r>
      <w:r w:rsidR="00C717BB" w:rsidRPr="00C717BB">
        <w:rPr>
          <w:rFonts w:ascii="Times New Roman" w:hAnsi="Times New Roman" w:cs="Times New Roman"/>
          <w:sz w:val="24"/>
          <w:lang w:val="lv-LV"/>
        </w:rPr>
        <w:t xml:space="preserve"> saimnieciskajā darbībā un </w:t>
      </w:r>
      <w:r w:rsidRPr="00C717BB">
        <w:rPr>
          <w:rFonts w:ascii="Times New Roman" w:hAnsi="Times New Roman" w:cs="Times New Roman"/>
          <w:sz w:val="24"/>
          <w:lang w:val="lv-LV"/>
        </w:rPr>
        <w:t>uz to attiecināmo nodokļu normatīvo regulējumu. Pēc minētās sēdēs Saeimas Budžeta un finanšu (nodokļu) komisija, aicināja izveidoto ekspertu komisiju izstrādājamā zi</w:t>
      </w:r>
      <w:r w:rsidR="00D563EC" w:rsidRPr="00C717BB">
        <w:rPr>
          <w:rFonts w:ascii="Times New Roman" w:hAnsi="Times New Roman" w:cs="Times New Roman"/>
          <w:sz w:val="24"/>
          <w:lang w:val="lv-LV"/>
        </w:rPr>
        <w:t>ņ</w:t>
      </w:r>
      <w:r w:rsidRPr="00C717BB">
        <w:rPr>
          <w:rFonts w:ascii="Times New Roman" w:hAnsi="Times New Roman" w:cs="Times New Roman"/>
          <w:sz w:val="24"/>
          <w:lang w:val="lv-LV"/>
        </w:rPr>
        <w:t xml:space="preserve">ojumā iekļaut minētajā komisijas sēdē </w:t>
      </w:r>
      <w:r w:rsidR="00D563EC" w:rsidRPr="00C717BB">
        <w:rPr>
          <w:rFonts w:ascii="Times New Roman" w:hAnsi="Times New Roman" w:cs="Times New Roman"/>
          <w:sz w:val="24"/>
          <w:lang w:val="lv-LV"/>
        </w:rPr>
        <w:t>identificētos jautājumus</w:t>
      </w:r>
      <w:r w:rsidR="007D2E38">
        <w:rPr>
          <w:rFonts w:ascii="Times New Roman" w:hAnsi="Times New Roman" w:cs="Times New Roman"/>
          <w:sz w:val="24"/>
          <w:lang w:val="lv-LV"/>
        </w:rPr>
        <w:t>, kurus ir iekļāvusi 2018.gada 24.aprīļa vēstulē Nr.142.9/2-4-12/18.</w:t>
      </w:r>
    </w:p>
    <w:p w14:paraId="21706BF9" w14:textId="72618D18" w:rsidR="00FA6DEE" w:rsidRDefault="00FA6DEE" w:rsidP="00C717BB">
      <w:pPr>
        <w:ind w:firstLine="720"/>
        <w:jc w:val="both"/>
        <w:rPr>
          <w:rFonts w:ascii="Times New Roman" w:hAnsi="Times New Roman" w:cs="Times New Roman"/>
          <w:sz w:val="24"/>
          <w:lang w:val="lv-LV"/>
        </w:rPr>
      </w:pPr>
      <w:r>
        <w:rPr>
          <w:rFonts w:ascii="Times New Roman" w:hAnsi="Times New Roman" w:cs="Times New Roman"/>
          <w:sz w:val="24"/>
          <w:lang w:val="lv-LV"/>
        </w:rPr>
        <w:t>Vadoties no minētā</w:t>
      </w:r>
      <w:r w:rsidR="006637A9">
        <w:rPr>
          <w:rFonts w:ascii="Times New Roman" w:hAnsi="Times New Roman" w:cs="Times New Roman"/>
          <w:sz w:val="24"/>
          <w:lang w:val="lv-LV"/>
        </w:rPr>
        <w:t>,</w:t>
      </w:r>
      <w:r>
        <w:rPr>
          <w:rFonts w:ascii="Times New Roman" w:hAnsi="Times New Roman" w:cs="Times New Roman"/>
          <w:sz w:val="24"/>
          <w:lang w:val="lv-LV"/>
        </w:rPr>
        <w:t xml:space="preserve"> ar Ministru prezidenta rīkojumu izveidotā darba grupa</w:t>
      </w:r>
      <w:r w:rsidR="006637A9">
        <w:rPr>
          <w:rFonts w:ascii="Times New Roman" w:hAnsi="Times New Roman" w:cs="Times New Roman"/>
          <w:sz w:val="24"/>
          <w:lang w:val="lv-LV"/>
        </w:rPr>
        <w:t>, kurā ir ietverti eksperti no Finanšu ministrijas, Latvijas Bankas, Finanšu un kapitāla tirgus komisijas, Tieslietu ministrijas, Latvijas Komercbanku asociācijas</w:t>
      </w:r>
      <w:r w:rsidR="007D2E38">
        <w:rPr>
          <w:rFonts w:ascii="Times New Roman" w:hAnsi="Times New Roman" w:cs="Times New Roman"/>
          <w:sz w:val="24"/>
          <w:lang w:val="lv-LV"/>
        </w:rPr>
        <w:t xml:space="preserve">, Latvijas Maksājumu pakalpojumu un elektroniskās naudas iestāžu asociācijas, Latvijas Universitātes, Rīgas Tehniskās universitātes, Banku </w:t>
      </w:r>
      <w:r w:rsidR="001356C3">
        <w:rPr>
          <w:rFonts w:ascii="Times New Roman" w:hAnsi="Times New Roman" w:cs="Times New Roman"/>
          <w:sz w:val="24"/>
          <w:lang w:val="lv-LV"/>
        </w:rPr>
        <w:t>augstskolas</w:t>
      </w:r>
      <w:r w:rsidR="00B03B6F">
        <w:rPr>
          <w:rFonts w:ascii="Times New Roman" w:hAnsi="Times New Roman" w:cs="Times New Roman"/>
          <w:sz w:val="24"/>
          <w:lang w:val="lv-LV"/>
        </w:rPr>
        <w:t xml:space="preserve">, </w:t>
      </w:r>
      <w:r w:rsidR="001356C3">
        <w:rPr>
          <w:rFonts w:ascii="Times New Roman" w:hAnsi="Times New Roman" w:cs="Times New Roman"/>
          <w:sz w:val="24"/>
          <w:lang w:val="lv-LV"/>
        </w:rPr>
        <w:t xml:space="preserve">Latvijas </w:t>
      </w:r>
      <w:r w:rsidR="001356C3" w:rsidRPr="00931D14">
        <w:rPr>
          <w:rFonts w:ascii="Times New Roman" w:hAnsi="Times New Roman" w:cs="Times New Roman"/>
          <w:i/>
          <w:sz w:val="24"/>
          <w:lang w:val="lv-LV"/>
        </w:rPr>
        <w:t>Blockchain</w:t>
      </w:r>
      <w:r w:rsidR="001356C3">
        <w:rPr>
          <w:rFonts w:ascii="Times New Roman" w:hAnsi="Times New Roman" w:cs="Times New Roman"/>
          <w:sz w:val="24"/>
          <w:lang w:val="lv-LV"/>
        </w:rPr>
        <w:t xml:space="preserve"> Asociācijas, </w:t>
      </w:r>
      <w:r w:rsidR="00F97AC2">
        <w:rPr>
          <w:rFonts w:ascii="Times New Roman" w:hAnsi="Times New Roman" w:cs="Times New Roman"/>
          <w:sz w:val="24"/>
          <w:lang w:val="lv-LV"/>
        </w:rPr>
        <w:t xml:space="preserve">Latvijas atvērto tehnoloģiju asociācijas, </w:t>
      </w:r>
      <w:r w:rsidR="00B03B6F">
        <w:rPr>
          <w:rFonts w:ascii="Times New Roman" w:hAnsi="Times New Roman" w:cs="Times New Roman"/>
          <w:sz w:val="24"/>
          <w:lang w:val="lv-LV"/>
        </w:rPr>
        <w:t>pieaicinot pārstāvjus no Valsts ieņēmumu dienesta,</w:t>
      </w:r>
      <w:r>
        <w:rPr>
          <w:rFonts w:ascii="Times New Roman" w:hAnsi="Times New Roman" w:cs="Times New Roman"/>
          <w:sz w:val="24"/>
          <w:lang w:val="lv-LV"/>
        </w:rPr>
        <w:t xml:space="preserve"> ir izvērtējusi gan Ministru prezidenta rīkojumā, gan Saeimas Budžeta un finanšu (nodokļu) komisijas vēstulē minētos aspektus un iesniedz šādu informatīvo ziņojumu</w:t>
      </w:r>
      <w:r w:rsidR="00C9721E">
        <w:rPr>
          <w:rFonts w:ascii="Times New Roman" w:hAnsi="Times New Roman" w:cs="Times New Roman"/>
          <w:sz w:val="24"/>
          <w:lang w:val="lv-LV"/>
        </w:rPr>
        <w:t xml:space="preserve"> un priekšlikumus tālākai rīcībai saistībā ar virtuālo valūtu finanšu, noziedzīgi iegūtu līdzekļu legalizācijas un terorisma finansēšanas novēršanas, nodokļu un grāmatvedības jomas normatīvā regulējuma piemērošanas aspektiem un pilnveidošanas nepieciešamību, kā arī blokķēdes tehnoloģiju plašākas izmantošanas iespējām</w:t>
      </w:r>
      <w:r>
        <w:rPr>
          <w:rFonts w:ascii="Times New Roman" w:hAnsi="Times New Roman" w:cs="Times New Roman"/>
          <w:sz w:val="24"/>
          <w:lang w:val="lv-LV"/>
        </w:rPr>
        <w:t>.</w:t>
      </w:r>
    </w:p>
    <w:p w14:paraId="236EC257" w14:textId="4825C0B1" w:rsidR="00587E22" w:rsidRPr="00C717BB" w:rsidRDefault="00587E22" w:rsidP="00C717BB">
      <w:pPr>
        <w:ind w:firstLine="720"/>
        <w:jc w:val="both"/>
        <w:rPr>
          <w:rFonts w:ascii="Times New Roman" w:hAnsi="Times New Roman" w:cs="Times New Roman"/>
          <w:sz w:val="24"/>
          <w:lang w:val="lv-LV"/>
        </w:rPr>
      </w:pPr>
      <w:r w:rsidRPr="00587E22">
        <w:rPr>
          <w:rFonts w:ascii="Times New Roman" w:hAnsi="Times New Roman" w:cs="Times New Roman"/>
          <w:sz w:val="24"/>
          <w:lang w:val="lv-LV"/>
        </w:rPr>
        <w:t>Vienlaikus jāatzīmē, ka, ņemot vērā virtuālo valūtu jautājuma straujo un šobrīd pilnībā vēl neprognozējamo attīstību, šobrīd nav iespējams sniegt visaptverošu analīzi par virtuālajām valūtām un to ietekmi uz sabiedrību. Tādēļ šajā informatīvajā ziņojumā sniegts vērtējums par pašu nepieciešamāko kontekstā ar Latvijas normatīvajos aktos jau iekļauto tiesisko regulējumu, vienlaikus paredzot turpmākās darbības tālākas izpētes veikšanai.</w:t>
      </w:r>
    </w:p>
    <w:p w14:paraId="70EB05D9" w14:textId="77777777" w:rsidR="00C717BB" w:rsidRPr="00C717BB" w:rsidRDefault="00C717BB" w:rsidP="00C717BB">
      <w:pPr>
        <w:ind w:firstLine="720"/>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Precīzi dati par virtuālo valūtu izmantošanu Eiropas Savienības iedzīvotāju vidū nav pieejami, tomēr virtuālo valūtu maiņas platformu aktivitātes apsekojuma dati ļauj novērtēt, ka virtuālo valūtu izmantošanas apjomi Eiropā un, īpaši Latvijā, ir nebūtiski, salīdzinot ar maksājumu skaitu un apjomu EUR valūtā. Tādējādi balstoties uz pašlaik pieejamo informāciju, virtuālās valūtas šobrīd neveido sistēmiskus riskus Latvijas maksājumu sistēmai un finanšu stabilitātei.</w:t>
      </w:r>
    </w:p>
    <w:p w14:paraId="034C403C" w14:textId="0669585D" w:rsidR="00C717BB" w:rsidRPr="00C717BB" w:rsidRDefault="00C717BB" w:rsidP="00C717BB">
      <w:pPr>
        <w:ind w:firstLine="720"/>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 xml:space="preserve">Dažās trešās pasaules valstīs vērojamie mēģinājumi izolēt virtuālo valūtu jomu no tradicionālās finanšu jomas, aizliedzot virtuālo valūtu iegādi, izmantojot bezskaidro naudu, piemēram, ar norēķinu kartēm, var stimulēt dažādu necaurspīdīgu e-komercijas shēmu rašanos, lai </w:t>
      </w:r>
      <w:r w:rsidRPr="00C717BB">
        <w:rPr>
          <w:rFonts w:ascii="Times New Roman" w:hAnsi="Times New Roman" w:cs="Times New Roman"/>
          <w:sz w:val="24"/>
          <w:szCs w:val="24"/>
          <w:lang w:val="lv-LV"/>
        </w:rPr>
        <w:lastRenderedPageBreak/>
        <w:t xml:space="preserve">šos ierobežojumus apietu. Rietumeiropa šobrīd neplāno aizliegt virtuālo valūtu izmantošanu un seko līdzi attīstības tendencēm šajā jomā. Papildus jāņem vērā, ka virtuālo valūtu fenomenam ir globāls mērogs, bāzēts interneta vidē, tādējādi efektīvām darbībām un pretreakcijām ir nepieciešama </w:t>
      </w:r>
      <w:r w:rsidR="004D424F" w:rsidRPr="004D424F">
        <w:rPr>
          <w:rFonts w:ascii="Times New Roman" w:hAnsi="Times New Roman" w:cs="Times New Roman"/>
          <w:sz w:val="24"/>
          <w:szCs w:val="24"/>
          <w:lang w:val="lv-LV"/>
        </w:rPr>
        <w:t xml:space="preserve">gan efektīva katras valsts individuālā, gan arī </w:t>
      </w:r>
      <w:r w:rsidRPr="00C717BB">
        <w:rPr>
          <w:rFonts w:ascii="Times New Roman" w:hAnsi="Times New Roman" w:cs="Times New Roman"/>
          <w:sz w:val="24"/>
          <w:szCs w:val="24"/>
          <w:lang w:val="lv-LV"/>
        </w:rPr>
        <w:t>globāla, kā minimums G20 kopīga pieeja.</w:t>
      </w:r>
      <w:r w:rsidR="00B635EC">
        <w:rPr>
          <w:rFonts w:ascii="Times New Roman" w:hAnsi="Times New Roman" w:cs="Times New Roman"/>
          <w:sz w:val="24"/>
          <w:szCs w:val="24"/>
          <w:lang w:val="lv-LV"/>
        </w:rPr>
        <w:t xml:space="preserve"> Šā </w:t>
      </w:r>
      <w:r w:rsidR="001710C3">
        <w:rPr>
          <w:rFonts w:ascii="Times New Roman" w:hAnsi="Times New Roman" w:cs="Times New Roman"/>
          <w:sz w:val="24"/>
          <w:szCs w:val="24"/>
          <w:lang w:val="lv-LV"/>
        </w:rPr>
        <w:t>gada martā</w:t>
      </w:r>
      <w:r w:rsidR="00B635EC">
        <w:rPr>
          <w:rFonts w:ascii="Times New Roman" w:hAnsi="Times New Roman" w:cs="Times New Roman"/>
          <w:sz w:val="24"/>
          <w:szCs w:val="24"/>
          <w:lang w:val="lv-LV"/>
        </w:rPr>
        <w:t xml:space="preserve"> G20 finanšu ministru un centrālo banku </w:t>
      </w:r>
      <w:r w:rsidR="001710C3">
        <w:rPr>
          <w:rFonts w:ascii="Times New Roman" w:hAnsi="Times New Roman" w:cs="Times New Roman"/>
          <w:sz w:val="24"/>
          <w:szCs w:val="24"/>
          <w:lang w:val="lv-LV"/>
        </w:rPr>
        <w:t xml:space="preserve">prezidentu sanāksmes laikā, tika panākta vienošanās turpināt uzraudzīt virtuālo valūtu </w:t>
      </w:r>
      <w:r w:rsidR="00CF58EC">
        <w:rPr>
          <w:rFonts w:ascii="Times New Roman" w:hAnsi="Times New Roman" w:cs="Times New Roman"/>
          <w:sz w:val="24"/>
          <w:szCs w:val="24"/>
          <w:lang w:val="lv-LV"/>
        </w:rPr>
        <w:t xml:space="preserve">industrijas </w:t>
      </w:r>
      <w:r w:rsidR="001710C3">
        <w:rPr>
          <w:rFonts w:ascii="Times New Roman" w:hAnsi="Times New Roman" w:cs="Times New Roman"/>
          <w:sz w:val="24"/>
          <w:szCs w:val="24"/>
          <w:lang w:val="lv-LV"/>
        </w:rPr>
        <w:t>attīstību, vienlaikus nolemjot pie konkrētiem ar regulējumu saistītiem lēmumiem atgriezties vēlākā posmā.</w:t>
      </w:r>
      <w:r w:rsidR="001710C3">
        <w:rPr>
          <w:rStyle w:val="FootnoteReference"/>
          <w:rFonts w:ascii="Times New Roman" w:hAnsi="Times New Roman" w:cs="Times New Roman"/>
          <w:sz w:val="24"/>
          <w:szCs w:val="24"/>
          <w:lang w:val="lv-LV"/>
        </w:rPr>
        <w:footnoteReference w:id="1"/>
      </w:r>
      <w:r w:rsidR="00C34488">
        <w:rPr>
          <w:rFonts w:ascii="Times New Roman" w:hAnsi="Times New Roman" w:cs="Times New Roman"/>
          <w:sz w:val="24"/>
          <w:szCs w:val="24"/>
          <w:lang w:val="lv-LV"/>
        </w:rPr>
        <w:t xml:space="preserve"> </w:t>
      </w:r>
      <w:r w:rsidR="00CF58EC">
        <w:rPr>
          <w:rFonts w:ascii="Times New Roman" w:hAnsi="Times New Roman" w:cs="Times New Roman"/>
          <w:sz w:val="24"/>
          <w:szCs w:val="24"/>
          <w:lang w:val="lv-LV"/>
        </w:rPr>
        <w:t xml:space="preserve">Vienlaikus </w:t>
      </w:r>
      <w:r w:rsidR="00ED5F4C">
        <w:rPr>
          <w:rFonts w:ascii="Times New Roman" w:hAnsi="Times New Roman" w:cs="Times New Roman"/>
          <w:sz w:val="24"/>
          <w:szCs w:val="24"/>
          <w:lang w:val="lv-LV"/>
        </w:rPr>
        <w:t xml:space="preserve">G20 ietvaros tika panākta vienošanās </w:t>
      </w:r>
      <w:r w:rsidR="00CF58EC">
        <w:rPr>
          <w:rFonts w:ascii="Times New Roman" w:hAnsi="Times New Roman" w:cs="Times New Roman"/>
          <w:sz w:val="24"/>
          <w:szCs w:val="24"/>
          <w:lang w:val="lv-LV"/>
        </w:rPr>
        <w:t>piemērot FATF standartus virtuālo valūtu jomai, nepieciešamības gadījumā veicot nepieciešamus uzlabojumus, lai nodrošinātu sekmīgāku cīņu ar nelegāli iegūtu līdzekļu legalizāciju un terorisma finansēšanu</w:t>
      </w:r>
      <w:r w:rsidR="00ED5F4C">
        <w:rPr>
          <w:rFonts w:ascii="Times New Roman" w:hAnsi="Times New Roman" w:cs="Times New Roman"/>
          <w:sz w:val="24"/>
          <w:szCs w:val="24"/>
          <w:lang w:val="lv-LV"/>
        </w:rPr>
        <w:t>.</w:t>
      </w:r>
      <w:r w:rsidR="00CF58EC">
        <w:rPr>
          <w:rFonts w:ascii="Times New Roman" w:hAnsi="Times New Roman" w:cs="Times New Roman"/>
          <w:sz w:val="24"/>
          <w:szCs w:val="24"/>
          <w:lang w:val="lv-LV"/>
        </w:rPr>
        <w:t xml:space="preserve"> </w:t>
      </w:r>
      <w:r w:rsidR="00C34488">
        <w:rPr>
          <w:rFonts w:ascii="Times New Roman" w:hAnsi="Times New Roman" w:cs="Times New Roman"/>
          <w:sz w:val="24"/>
          <w:szCs w:val="24"/>
          <w:lang w:val="lv-LV"/>
        </w:rPr>
        <w:t>Jau šā gada jūlijā G20 ietvaros varētu tikt izlemts par tālākām rekomendācijām</w:t>
      </w:r>
      <w:r w:rsidR="00CF58EC">
        <w:rPr>
          <w:rFonts w:ascii="Times New Roman" w:hAnsi="Times New Roman" w:cs="Times New Roman"/>
          <w:sz w:val="24"/>
          <w:szCs w:val="24"/>
          <w:lang w:val="lv-LV"/>
        </w:rPr>
        <w:t xml:space="preserve"> virtuālo valūtu regulējuma jomā.</w:t>
      </w:r>
    </w:p>
    <w:p w14:paraId="1F48EE94" w14:textId="62846C18" w:rsidR="00C717BB" w:rsidRDefault="00C717BB" w:rsidP="00C717BB">
      <w:pPr>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ab/>
        <w:t xml:space="preserve">Neskatoties uz to, ka pirmās, 2008. gadā radītās, virtuālās valūtas </w:t>
      </w:r>
      <w:r w:rsidRPr="00C717BB">
        <w:rPr>
          <w:rFonts w:ascii="Times New Roman" w:hAnsi="Times New Roman" w:cs="Times New Roman"/>
          <w:i/>
          <w:sz w:val="24"/>
          <w:szCs w:val="24"/>
          <w:lang w:val="lv-LV"/>
        </w:rPr>
        <w:t>Bitcoin</w:t>
      </w:r>
      <w:r w:rsidRPr="00C717BB">
        <w:rPr>
          <w:rFonts w:ascii="Times New Roman" w:hAnsi="Times New Roman" w:cs="Times New Roman"/>
          <w:sz w:val="24"/>
          <w:szCs w:val="24"/>
          <w:lang w:val="lv-LV"/>
        </w:rPr>
        <w:t xml:space="preserve"> </w:t>
      </w:r>
      <w:r w:rsidR="00587E22">
        <w:rPr>
          <w:rFonts w:ascii="Times New Roman" w:hAnsi="Times New Roman" w:cs="Times New Roman"/>
          <w:sz w:val="24"/>
          <w:szCs w:val="24"/>
          <w:lang w:val="lv-LV"/>
        </w:rPr>
        <w:t xml:space="preserve">(Bitmonētas) </w:t>
      </w:r>
      <w:r w:rsidRPr="00C717BB">
        <w:rPr>
          <w:rFonts w:ascii="Times New Roman" w:hAnsi="Times New Roman" w:cs="Times New Roman"/>
          <w:sz w:val="24"/>
          <w:szCs w:val="24"/>
          <w:lang w:val="lv-LV"/>
        </w:rPr>
        <w:t xml:space="preserve">ideja bija kļūt par globālu un efektīvu maksāšanas līdzekli, šis mērķis līdz šim nav sasniegts. </w:t>
      </w:r>
      <w:r w:rsidR="00587E22" w:rsidRPr="00587E22">
        <w:rPr>
          <w:rFonts w:ascii="Times New Roman" w:hAnsi="Times New Roman" w:cs="Times New Roman"/>
          <w:sz w:val="24"/>
          <w:szCs w:val="24"/>
          <w:lang w:val="lv-LV"/>
        </w:rPr>
        <w:t xml:space="preserve">Vienlaikus attiecībā uz </w:t>
      </w:r>
      <w:r w:rsidR="00587E22" w:rsidRPr="00587E22">
        <w:rPr>
          <w:rFonts w:ascii="Times New Roman" w:hAnsi="Times New Roman" w:cs="Times New Roman"/>
          <w:i/>
          <w:sz w:val="24"/>
          <w:szCs w:val="24"/>
          <w:lang w:val="lv-LV"/>
        </w:rPr>
        <w:t>Bitcoin</w:t>
      </w:r>
      <w:r w:rsidR="00587E22" w:rsidRPr="00587E22">
        <w:rPr>
          <w:rFonts w:ascii="Times New Roman" w:hAnsi="Times New Roman" w:cs="Times New Roman"/>
          <w:sz w:val="24"/>
          <w:szCs w:val="24"/>
          <w:lang w:val="lv-LV"/>
        </w:rPr>
        <w:t xml:space="preserve"> būtu jānodala divi jēdzieni – </w:t>
      </w:r>
      <w:r w:rsidR="00587E22" w:rsidRPr="00587E22">
        <w:rPr>
          <w:rFonts w:ascii="Times New Roman" w:hAnsi="Times New Roman" w:cs="Times New Roman"/>
          <w:i/>
          <w:sz w:val="24"/>
          <w:szCs w:val="24"/>
          <w:lang w:val="lv-LV"/>
        </w:rPr>
        <w:t>Bitcoin</w:t>
      </w:r>
      <w:r w:rsidR="00587E22" w:rsidRPr="00587E22">
        <w:rPr>
          <w:rFonts w:ascii="Times New Roman" w:hAnsi="Times New Roman" w:cs="Times New Roman"/>
          <w:sz w:val="24"/>
          <w:szCs w:val="24"/>
          <w:lang w:val="lv-LV"/>
        </w:rPr>
        <w:t xml:space="preserve"> kā norēķin</w:t>
      </w:r>
      <w:r w:rsidR="00587E22">
        <w:rPr>
          <w:rFonts w:ascii="Times New Roman" w:hAnsi="Times New Roman" w:cs="Times New Roman"/>
          <w:sz w:val="24"/>
          <w:szCs w:val="24"/>
          <w:lang w:val="lv-LV"/>
        </w:rPr>
        <w:t xml:space="preserve">u sistēma un </w:t>
      </w:r>
      <w:r w:rsidR="00587E22" w:rsidRPr="00587E22">
        <w:rPr>
          <w:rFonts w:ascii="Times New Roman" w:hAnsi="Times New Roman" w:cs="Times New Roman"/>
          <w:i/>
          <w:sz w:val="24"/>
          <w:szCs w:val="24"/>
          <w:lang w:val="lv-LV"/>
        </w:rPr>
        <w:t>Bitcoin</w:t>
      </w:r>
      <w:r w:rsidR="00587E22">
        <w:rPr>
          <w:rFonts w:ascii="Times New Roman" w:hAnsi="Times New Roman" w:cs="Times New Roman"/>
          <w:sz w:val="24"/>
          <w:szCs w:val="24"/>
          <w:lang w:val="lv-LV"/>
        </w:rPr>
        <w:t xml:space="preserve"> </w:t>
      </w:r>
      <w:r w:rsidR="00587E22" w:rsidRPr="00587E22">
        <w:rPr>
          <w:rFonts w:ascii="Times New Roman" w:hAnsi="Times New Roman" w:cs="Times New Roman"/>
          <w:sz w:val="24"/>
          <w:szCs w:val="24"/>
          <w:lang w:val="lv-LV"/>
        </w:rPr>
        <w:t xml:space="preserve">kā digitālās zīmes. </w:t>
      </w:r>
      <w:r w:rsidRPr="00C717BB">
        <w:rPr>
          <w:rFonts w:ascii="Times New Roman" w:hAnsi="Times New Roman" w:cs="Times New Roman"/>
          <w:sz w:val="24"/>
          <w:szCs w:val="24"/>
          <w:lang w:val="lv-LV"/>
        </w:rPr>
        <w:t xml:space="preserve">Šobrīd </w:t>
      </w:r>
      <w:r w:rsidRPr="00C717BB">
        <w:rPr>
          <w:rFonts w:ascii="Times New Roman" w:hAnsi="Times New Roman" w:cs="Times New Roman"/>
          <w:i/>
          <w:sz w:val="24"/>
          <w:szCs w:val="24"/>
          <w:lang w:val="lv-LV"/>
        </w:rPr>
        <w:t>Bitcoin</w:t>
      </w:r>
      <w:r w:rsidRPr="00C717BB">
        <w:rPr>
          <w:rFonts w:ascii="Times New Roman" w:hAnsi="Times New Roman" w:cs="Times New Roman"/>
          <w:sz w:val="24"/>
          <w:szCs w:val="24"/>
          <w:lang w:val="lv-LV"/>
        </w:rPr>
        <w:t xml:space="preserve"> un virkne citu virtuālo valūtu kļuvušas par augsta riska spekulāciju objektu, kuru izmanto vieglas peļņas tīkotāji, tostarp, daudzi nepieredzējuši investori, ar gaidām par pastāvīgu virtuālās valūtas vērtības pieaugumu. Šādas gaidas nav pamatotas, jo virtuālajām valūtām nav materiāla seguma, to neemitē un negarantē valstu centrālās bankas un to cenu pret reālo naudu nosaka tikai investoru vēlme tās iegādāties un pārdot, proti, virtuālo valūtu t.s. maiņas kurss ir ļoti svārstīgs. Vienlaikus jāņem vērā, ka ar virtuālo valūtu nevar sniegt </w:t>
      </w:r>
      <w:r w:rsidR="00587E22">
        <w:rPr>
          <w:rFonts w:ascii="Times New Roman" w:hAnsi="Times New Roman" w:cs="Times New Roman"/>
          <w:sz w:val="24"/>
          <w:szCs w:val="24"/>
          <w:lang w:val="lv-LV"/>
        </w:rPr>
        <w:t xml:space="preserve">tradicionālos </w:t>
      </w:r>
      <w:r w:rsidRPr="00C717BB">
        <w:rPr>
          <w:rFonts w:ascii="Times New Roman" w:hAnsi="Times New Roman" w:cs="Times New Roman"/>
          <w:sz w:val="24"/>
          <w:szCs w:val="24"/>
          <w:lang w:val="lv-LV"/>
        </w:rPr>
        <w:t>maksājumu un elektroniskās naudas pakalpojumus, tajā skaitā, šie maksājumi netiek aizsargāti un regulēti ar vienotām Eiropas Savienības prasībām maksājumu jomā. Papildus arī valsts fondēto pensiju shēmas līdzekļu ieguldījumu plānu līdzekļus aizliegts ieguldīt virtuālās valūtās.</w:t>
      </w:r>
    </w:p>
    <w:p w14:paraId="4BF560C2" w14:textId="77777777" w:rsidR="00C717BB" w:rsidRDefault="00C717BB" w:rsidP="00C717BB">
      <w:pPr>
        <w:jc w:val="both"/>
        <w:rPr>
          <w:rFonts w:ascii="Times New Roman" w:hAnsi="Times New Roman" w:cs="Times New Roman"/>
          <w:sz w:val="24"/>
          <w:szCs w:val="24"/>
          <w:lang w:val="lv-LV"/>
        </w:rPr>
      </w:pPr>
    </w:p>
    <w:p w14:paraId="1F8DDDC7" w14:textId="77777777" w:rsidR="00C717BB" w:rsidRPr="00FA6DEE" w:rsidRDefault="0060794B" w:rsidP="00C717BB">
      <w:pPr>
        <w:jc w:val="center"/>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1. </w:t>
      </w:r>
      <w:r w:rsidR="00C717BB" w:rsidRPr="00FA6DEE">
        <w:rPr>
          <w:rFonts w:ascii="Times New Roman" w:hAnsi="Times New Roman" w:cs="Times New Roman"/>
          <w:b/>
          <w:i/>
          <w:sz w:val="24"/>
          <w:szCs w:val="24"/>
          <w:lang w:val="lv-LV"/>
        </w:rPr>
        <w:t>Virtuālo valūtu juridiskais statuss</w:t>
      </w:r>
    </w:p>
    <w:p w14:paraId="2081D2F8" w14:textId="77777777" w:rsidR="00C717BB" w:rsidRPr="00C717BB" w:rsidRDefault="00C717BB" w:rsidP="00C717BB">
      <w:pPr>
        <w:jc w:val="both"/>
        <w:rPr>
          <w:rFonts w:ascii="Times New Roman" w:hAnsi="Times New Roman" w:cs="Times New Roman"/>
          <w:lang w:val="lv-LV"/>
        </w:rPr>
      </w:pPr>
    </w:p>
    <w:p w14:paraId="2F8725FF" w14:textId="77777777" w:rsidR="00C717BB" w:rsidRPr="00C717BB" w:rsidRDefault="00C717BB" w:rsidP="00C717BB">
      <w:pPr>
        <w:ind w:firstLine="360"/>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Virtuālo valūtu juridisko statusu pašlaik nosaka divi aspekti:</w:t>
      </w:r>
    </w:p>
    <w:p w14:paraId="6EC9806D" w14:textId="77777777" w:rsidR="00C717BB" w:rsidRPr="00C717BB" w:rsidRDefault="00C717BB" w:rsidP="00C717BB">
      <w:pPr>
        <w:numPr>
          <w:ilvl w:val="0"/>
          <w:numId w:val="4"/>
        </w:numPr>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Eiropa</w:t>
      </w:r>
      <w:r w:rsidR="00A2179E">
        <w:rPr>
          <w:rFonts w:ascii="Times New Roman" w:hAnsi="Times New Roman" w:cs="Times New Roman"/>
          <w:sz w:val="24"/>
          <w:szCs w:val="24"/>
          <w:lang w:val="lv-LV"/>
        </w:rPr>
        <w:t xml:space="preserve">s Savienības Tiesas (EST) </w:t>
      </w:r>
      <w:r w:rsidRPr="00C717BB">
        <w:rPr>
          <w:rFonts w:ascii="Times New Roman" w:hAnsi="Times New Roman" w:cs="Times New Roman"/>
          <w:sz w:val="24"/>
          <w:szCs w:val="24"/>
          <w:lang w:val="lv-LV"/>
        </w:rPr>
        <w:t>2015.</w:t>
      </w:r>
      <w:r w:rsidR="00A2179E">
        <w:rPr>
          <w:rFonts w:ascii="Times New Roman" w:hAnsi="Times New Roman" w:cs="Times New Roman"/>
          <w:sz w:val="24"/>
          <w:szCs w:val="24"/>
          <w:lang w:val="lv-LV"/>
        </w:rPr>
        <w:t>gada 22.oktobra</w:t>
      </w:r>
      <w:r w:rsidRPr="00C717BB">
        <w:rPr>
          <w:rFonts w:ascii="Times New Roman" w:hAnsi="Times New Roman" w:cs="Times New Roman"/>
          <w:sz w:val="24"/>
          <w:szCs w:val="24"/>
          <w:lang w:val="lv-LV"/>
        </w:rPr>
        <w:t xml:space="preserve"> spriedums C-264/14, kurā, pirmkārt, noteikts, ka "[..] virtuālā valūta “bitcoin” ir </w:t>
      </w:r>
      <w:r w:rsidRPr="00C717BB">
        <w:rPr>
          <w:rFonts w:ascii="Times New Roman" w:hAnsi="Times New Roman" w:cs="Times New Roman"/>
          <w:b/>
          <w:bCs/>
          <w:sz w:val="24"/>
          <w:szCs w:val="24"/>
          <w:lang w:val="lv-LV"/>
        </w:rPr>
        <w:t>līgumisks maksāšanas līdzeklis</w:t>
      </w:r>
      <w:r w:rsidRPr="00C717BB">
        <w:rPr>
          <w:rFonts w:ascii="Times New Roman" w:hAnsi="Times New Roman" w:cs="Times New Roman"/>
          <w:sz w:val="24"/>
          <w:szCs w:val="24"/>
          <w:lang w:val="lv-LV"/>
        </w:rPr>
        <w:t>, to nevar, pirmkārt, uzskatīt ne par norēķinu kontu, ne par noguldījumu, maksājumu vai pārskaitījumu. Otrkārt, [..] t</w:t>
      </w:r>
      <w:r w:rsidR="00B81022">
        <w:rPr>
          <w:rFonts w:ascii="Times New Roman" w:hAnsi="Times New Roman" w:cs="Times New Roman"/>
          <w:sz w:val="24"/>
          <w:szCs w:val="24"/>
          <w:lang w:val="lv-LV"/>
        </w:rPr>
        <w:t>as</w:t>
      </w:r>
      <w:r w:rsidRPr="00C717BB">
        <w:rPr>
          <w:rFonts w:ascii="Times New Roman" w:hAnsi="Times New Roman" w:cs="Times New Roman"/>
          <w:sz w:val="24"/>
          <w:szCs w:val="24"/>
          <w:lang w:val="lv-LV"/>
        </w:rPr>
        <w:t xml:space="preserve"> ir tiešs maksāšanas līdzeklis to uzņēmumu starpā, kas to akceptē".</w:t>
      </w:r>
    </w:p>
    <w:p w14:paraId="4350B8CE" w14:textId="66A6D57F" w:rsidR="00C717BB" w:rsidRPr="00B227AA" w:rsidRDefault="00C717BB" w:rsidP="00B227AA">
      <w:pPr>
        <w:numPr>
          <w:ilvl w:val="0"/>
          <w:numId w:val="5"/>
        </w:numPr>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Ar 2017.</w:t>
      </w:r>
      <w:r w:rsidR="000F7BF8">
        <w:rPr>
          <w:rFonts w:ascii="Times New Roman" w:hAnsi="Times New Roman" w:cs="Times New Roman"/>
          <w:sz w:val="24"/>
          <w:szCs w:val="24"/>
          <w:lang w:val="lv-LV"/>
        </w:rPr>
        <w:t>gada 26.oktobra</w:t>
      </w:r>
      <w:r w:rsidRPr="00C717BB">
        <w:rPr>
          <w:rFonts w:ascii="Times New Roman" w:hAnsi="Times New Roman" w:cs="Times New Roman"/>
          <w:sz w:val="24"/>
          <w:szCs w:val="24"/>
          <w:lang w:val="lv-LV"/>
        </w:rPr>
        <w:t xml:space="preserve"> grozījumiem Noziedzīgi iegūtu līdzekļu legalizācijas un terorisma finansēšanas novēršanas likuma (NILLTFNL) 1.panta </w:t>
      </w:r>
      <w:r w:rsidRPr="00931D14">
        <w:rPr>
          <w:rFonts w:ascii="Times New Roman" w:hAnsi="Times New Roman" w:cs="Times New Roman"/>
          <w:bCs/>
          <w:sz w:val="24"/>
          <w:szCs w:val="24"/>
          <w:lang w:val="lv-LV"/>
        </w:rPr>
        <w:t>2</w:t>
      </w:r>
      <w:r w:rsidR="00095E82">
        <w:rPr>
          <w:rFonts w:ascii="Times New Roman" w:hAnsi="Times New Roman" w:cs="Times New Roman"/>
          <w:bCs/>
          <w:sz w:val="24"/>
          <w:szCs w:val="24"/>
          <w:lang w:val="lv-LV"/>
        </w:rPr>
        <w:t>.</w:t>
      </w:r>
      <w:r w:rsidRPr="00931D14">
        <w:rPr>
          <w:rFonts w:ascii="Times New Roman" w:hAnsi="Times New Roman" w:cs="Times New Roman"/>
          <w:bCs/>
          <w:sz w:val="24"/>
          <w:szCs w:val="24"/>
          <w:vertAlign w:val="superscript"/>
          <w:lang w:val="lv-LV"/>
        </w:rPr>
        <w:t>2</w:t>
      </w:r>
      <w:r w:rsidRPr="00C717BB">
        <w:rPr>
          <w:rFonts w:ascii="Times New Roman" w:hAnsi="Times New Roman" w:cs="Times New Roman"/>
          <w:sz w:val="24"/>
          <w:szCs w:val="24"/>
          <w:lang w:val="lv-LV"/>
        </w:rPr>
        <w:t xml:space="preserve"> punktā tika definēta virtuālā valūta, nosakot, ka </w:t>
      </w:r>
      <w:r w:rsidRPr="000841DB">
        <w:rPr>
          <w:rFonts w:ascii="Times New Roman" w:hAnsi="Times New Roman" w:cs="Times New Roman"/>
          <w:bCs/>
          <w:sz w:val="24"/>
          <w:szCs w:val="24"/>
          <w:lang w:val="lv-LV"/>
        </w:rPr>
        <w:t>"</w:t>
      </w:r>
      <w:r w:rsidRPr="00C717BB">
        <w:rPr>
          <w:rFonts w:ascii="Times New Roman" w:hAnsi="Times New Roman" w:cs="Times New Roman"/>
          <w:b/>
          <w:bCs/>
          <w:sz w:val="24"/>
          <w:szCs w:val="24"/>
          <w:lang w:val="lv-LV"/>
        </w:rPr>
        <w:t>virtuālā valūta</w:t>
      </w:r>
      <w:r w:rsidRPr="00C717BB">
        <w:rPr>
          <w:rFonts w:ascii="Times New Roman" w:hAnsi="Times New Roman" w:cs="Times New Roman"/>
          <w:sz w:val="24"/>
          <w:szCs w:val="24"/>
          <w:lang w:val="lv-LV"/>
        </w:rPr>
        <w:t> </w:t>
      </w:r>
      <w:r w:rsidR="00B227AA">
        <w:rPr>
          <w:rFonts w:ascii="Times New Roman" w:hAnsi="Times New Roman" w:cs="Times New Roman"/>
          <w:sz w:val="24"/>
          <w:szCs w:val="24"/>
          <w:lang w:val="lv-LV"/>
        </w:rPr>
        <w:t>–</w:t>
      </w:r>
      <w:r w:rsidRPr="00B227AA">
        <w:rPr>
          <w:rFonts w:ascii="Times New Roman" w:hAnsi="Times New Roman" w:cs="Times New Roman"/>
          <w:sz w:val="24"/>
          <w:szCs w:val="24"/>
          <w:lang w:val="lv-LV"/>
        </w:rPr>
        <w:t xml:space="preserve"> vērtības digitālais atspoguļojums, kas var būt digitāli nosūtīts, glabāts vai tirgots un </w:t>
      </w:r>
      <w:r w:rsidRPr="00B227AA">
        <w:rPr>
          <w:rFonts w:ascii="Times New Roman" w:hAnsi="Times New Roman" w:cs="Times New Roman"/>
          <w:b/>
          <w:bCs/>
          <w:sz w:val="24"/>
          <w:szCs w:val="24"/>
          <w:lang w:val="lv-LV"/>
        </w:rPr>
        <w:t>funkcionēt kā apmaiņas līdzeklis, bet nav atzīts par likumīgu maksāšanas līdzekli</w:t>
      </w:r>
      <w:r w:rsidRPr="00B227AA">
        <w:rPr>
          <w:rFonts w:ascii="Times New Roman" w:hAnsi="Times New Roman" w:cs="Times New Roman"/>
          <w:sz w:val="24"/>
          <w:szCs w:val="24"/>
          <w:lang w:val="lv-LV"/>
        </w:rPr>
        <w:t>, nav uzskatāms par banknoti un monētu, bezskaidru naudu un elektronisko naudu, kā arī nav monetārā vērtība, kura uzkrāta maksājuma instrumentā, kas tiek izmantots Maksājumu pakalpojumu un elektroniskās naudas likuma 3. panta 10. un 11. punktā minētajos gadījumos.</w:t>
      </w:r>
      <w:r w:rsidR="000F7BF8" w:rsidRPr="00B227AA">
        <w:rPr>
          <w:rFonts w:ascii="Times New Roman" w:hAnsi="Times New Roman" w:cs="Times New Roman"/>
          <w:sz w:val="24"/>
          <w:szCs w:val="24"/>
          <w:lang w:val="lv-LV"/>
        </w:rPr>
        <w:t xml:space="preserve"> Vienlaikus minētā likuma 1.panta 2</w:t>
      </w:r>
      <w:r w:rsidR="001243BC">
        <w:rPr>
          <w:rFonts w:ascii="Times New Roman" w:hAnsi="Times New Roman" w:cs="Times New Roman"/>
          <w:sz w:val="24"/>
          <w:szCs w:val="24"/>
          <w:lang w:val="lv-LV"/>
        </w:rPr>
        <w:t>.</w:t>
      </w:r>
      <w:r w:rsidR="000F7BF8" w:rsidRPr="00B227AA">
        <w:rPr>
          <w:rFonts w:ascii="Times New Roman" w:hAnsi="Times New Roman" w:cs="Times New Roman"/>
          <w:sz w:val="24"/>
          <w:szCs w:val="24"/>
          <w:lang w:val="lv-LV"/>
        </w:rPr>
        <w:t xml:space="preserve">³ punkts nosaka, ka </w:t>
      </w:r>
      <w:r w:rsidR="000F7BF8" w:rsidRPr="00B227AA">
        <w:rPr>
          <w:rFonts w:ascii="Times New Roman" w:hAnsi="Times New Roman" w:cs="Times New Roman"/>
          <w:b/>
          <w:sz w:val="24"/>
          <w:szCs w:val="24"/>
          <w:lang w:val="lv-LV"/>
        </w:rPr>
        <w:t>virtuālās valūtas pakalpojumu sniedzējs</w:t>
      </w:r>
      <w:r w:rsidR="000F7BF8" w:rsidRPr="00B227AA">
        <w:rPr>
          <w:rFonts w:ascii="Times New Roman" w:hAnsi="Times New Roman" w:cs="Times New Roman"/>
          <w:sz w:val="24"/>
          <w:szCs w:val="24"/>
          <w:lang w:val="lv-LV"/>
        </w:rPr>
        <w:t xml:space="preserve"> ir persona, kas sniedz virtuālā</w:t>
      </w:r>
      <w:r w:rsidR="002A6F2A" w:rsidRPr="00B227AA">
        <w:rPr>
          <w:rFonts w:ascii="Times New Roman" w:hAnsi="Times New Roman" w:cs="Times New Roman"/>
          <w:sz w:val="24"/>
          <w:szCs w:val="24"/>
          <w:lang w:val="lv-LV"/>
        </w:rPr>
        <w:t>s</w:t>
      </w:r>
      <w:r w:rsidR="000F7BF8" w:rsidRPr="00B227AA">
        <w:rPr>
          <w:rFonts w:ascii="Times New Roman" w:hAnsi="Times New Roman" w:cs="Times New Roman"/>
          <w:sz w:val="24"/>
          <w:szCs w:val="24"/>
          <w:lang w:val="lv-LV"/>
        </w:rPr>
        <w:t xml:space="preserve"> valūtas pakalpojumus, tai skaitā, citu personu emi</w:t>
      </w:r>
      <w:r w:rsidR="002A6F2A" w:rsidRPr="00B227AA">
        <w:rPr>
          <w:rFonts w:ascii="Times New Roman" w:hAnsi="Times New Roman" w:cs="Times New Roman"/>
          <w:sz w:val="24"/>
          <w:szCs w:val="24"/>
          <w:lang w:val="lv-LV"/>
        </w:rPr>
        <w:t>t</w:t>
      </w:r>
      <w:r w:rsidR="000F7BF8" w:rsidRPr="00B227AA">
        <w:rPr>
          <w:rFonts w:ascii="Times New Roman" w:hAnsi="Times New Roman" w:cs="Times New Roman"/>
          <w:sz w:val="24"/>
          <w:szCs w:val="24"/>
          <w:lang w:val="lv-LV"/>
        </w:rPr>
        <w:t xml:space="preserve">ētās virtuālās valūtas </w:t>
      </w:r>
      <w:r w:rsidR="000F7BF8" w:rsidRPr="00B227AA">
        <w:rPr>
          <w:rFonts w:ascii="Times New Roman" w:hAnsi="Times New Roman" w:cs="Times New Roman"/>
          <w:sz w:val="24"/>
          <w:szCs w:val="24"/>
          <w:lang w:val="lv-LV"/>
        </w:rPr>
        <w:lastRenderedPageBreak/>
        <w:t>maiņas pakalpojumu sniedzējs, kas nodrošina iespēju veikt virtuālās valūtas maiņu pret citu virtuālo valūtu, saņemot par to komisijas.</w:t>
      </w:r>
      <w:r w:rsidRPr="00B227AA">
        <w:rPr>
          <w:rFonts w:ascii="Times New Roman" w:hAnsi="Times New Roman" w:cs="Times New Roman"/>
          <w:sz w:val="24"/>
          <w:szCs w:val="24"/>
          <w:lang w:val="lv-LV"/>
        </w:rPr>
        <w:t>"</w:t>
      </w:r>
    </w:p>
    <w:p w14:paraId="0ACE7D32" w14:textId="54359E1A" w:rsidR="000F7BF8" w:rsidRDefault="000F7BF8" w:rsidP="001B0BE3">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Ar minētajiem grozījumiem NILLTFNL noteikts, ka ar 2019.gada 1.jūliju virtuālās valūtas </w:t>
      </w:r>
      <w:r w:rsidR="00B81022">
        <w:rPr>
          <w:rFonts w:ascii="Times New Roman" w:hAnsi="Times New Roman" w:cs="Times New Roman"/>
          <w:sz w:val="24"/>
          <w:szCs w:val="24"/>
          <w:lang w:val="lv-LV"/>
        </w:rPr>
        <w:t>pakalpojumu sniedzēji</w:t>
      </w:r>
      <w:r>
        <w:rPr>
          <w:rFonts w:ascii="Times New Roman" w:hAnsi="Times New Roman" w:cs="Times New Roman"/>
          <w:sz w:val="24"/>
          <w:szCs w:val="24"/>
          <w:lang w:val="lv-LV"/>
        </w:rPr>
        <w:t xml:space="preserve"> ir šī likuma subjekti, vienlaikus nosakot, ka virtuālās valūtas pakalpojumu sniedzējus šā likuma prasību izpildē uzrauga un kontrolē Valsts ieņēmumu dienests.</w:t>
      </w:r>
      <w:r w:rsidR="001B0BE3">
        <w:rPr>
          <w:rFonts w:ascii="Times New Roman" w:hAnsi="Times New Roman" w:cs="Times New Roman"/>
          <w:sz w:val="24"/>
          <w:szCs w:val="24"/>
          <w:lang w:val="lv-LV"/>
        </w:rPr>
        <w:t xml:space="preserve"> </w:t>
      </w:r>
    </w:p>
    <w:p w14:paraId="2E5151F2" w14:textId="30CB600E" w:rsidR="00145395" w:rsidRPr="002D5793" w:rsidRDefault="00B81022" w:rsidP="002D5793">
      <w:pPr>
        <w:pStyle w:val="NoSpacing"/>
        <w:jc w:val="both"/>
        <w:rPr>
          <w:rFonts w:ascii="Book Antiqua" w:hAnsi="Book Antiqua"/>
        </w:rPr>
      </w:pPr>
      <w:r>
        <w:rPr>
          <w:rFonts w:ascii="Times New Roman" w:hAnsi="Times New Roman" w:cs="Times New Roman"/>
          <w:sz w:val="24"/>
          <w:szCs w:val="24"/>
        </w:rPr>
        <w:tab/>
      </w:r>
      <w:r w:rsidR="00496916">
        <w:rPr>
          <w:rFonts w:ascii="Times New Roman" w:hAnsi="Times New Roman" w:cs="Times New Roman"/>
          <w:sz w:val="24"/>
          <w:szCs w:val="24"/>
        </w:rPr>
        <w:t xml:space="preserve">2018.gada </w:t>
      </w:r>
      <w:r w:rsidR="001B0BE3">
        <w:rPr>
          <w:rFonts w:ascii="Times New Roman" w:hAnsi="Times New Roman" w:cs="Times New Roman"/>
          <w:sz w:val="24"/>
          <w:szCs w:val="24"/>
        </w:rPr>
        <w:t>30.maijā tika publicēta</w:t>
      </w:r>
      <w:r w:rsidR="00496916">
        <w:rPr>
          <w:rFonts w:ascii="Times New Roman" w:hAnsi="Times New Roman" w:cs="Times New Roman"/>
          <w:sz w:val="24"/>
          <w:szCs w:val="24"/>
        </w:rPr>
        <w:t xml:space="preserve"> Eiropas Parlamenta un Padomes direktīv</w:t>
      </w:r>
      <w:r w:rsidR="001B0BE3">
        <w:rPr>
          <w:rFonts w:ascii="Times New Roman" w:hAnsi="Times New Roman" w:cs="Times New Roman"/>
          <w:sz w:val="24"/>
          <w:szCs w:val="24"/>
        </w:rPr>
        <w:t>a (ES) 2018/843</w:t>
      </w:r>
      <w:r w:rsidR="00496916">
        <w:rPr>
          <w:rFonts w:ascii="Times New Roman" w:hAnsi="Times New Roman" w:cs="Times New Roman"/>
          <w:sz w:val="24"/>
          <w:szCs w:val="24"/>
        </w:rPr>
        <w:t xml:space="preserve">, </w:t>
      </w:r>
      <w:r w:rsidR="001B0BE3" w:rsidRPr="001B0BE3">
        <w:rPr>
          <w:rFonts w:ascii="Times New Roman" w:hAnsi="Times New Roman" w:cs="Times New Roman"/>
          <w:sz w:val="24"/>
          <w:szCs w:val="24"/>
        </w:rPr>
        <w:t>ar ko groza Direktīvu (ES) 2015/849 par to, lai nepieļautu finanšu sistēmas izmantošanu nelikumīgi iegūtu līdzekļu legalizēšanai vai teroristu finansēšanai, un ar ko groza Direktīvas 2009/138/EK un 2013/36/ES</w:t>
      </w:r>
      <w:r w:rsidR="001B0BE3" w:rsidRPr="001B0BE3" w:rsidDel="001B0BE3">
        <w:rPr>
          <w:rFonts w:ascii="Times New Roman" w:hAnsi="Times New Roman" w:cs="Times New Roman"/>
          <w:sz w:val="24"/>
          <w:szCs w:val="24"/>
        </w:rPr>
        <w:t xml:space="preserve"> </w:t>
      </w:r>
      <w:r w:rsidR="00496916" w:rsidRPr="00B81022">
        <w:rPr>
          <w:rFonts w:ascii="Times New Roman" w:hAnsi="Times New Roman" w:cs="Times New Roman"/>
          <w:sz w:val="24"/>
          <w:szCs w:val="24"/>
        </w:rPr>
        <w:t xml:space="preserve">(turpmāk – AMLD 5). </w:t>
      </w:r>
      <w:r w:rsidR="00496916" w:rsidRPr="00931D14">
        <w:rPr>
          <w:rFonts w:ascii="Times New Roman" w:hAnsi="Times New Roman" w:cs="Times New Roman"/>
          <w:sz w:val="24"/>
          <w:szCs w:val="24"/>
        </w:rPr>
        <w:t xml:space="preserve">Direktīva paredz kā likuma subjektus pakalpojumu sniedzējus, kas piedāvā konvertēt virtuālo valūtu uz reālo naudu, kā arī vietnes, kas uztur e-makus virtuālajai naudai. </w:t>
      </w:r>
      <w:r w:rsidR="002D2E29">
        <w:rPr>
          <w:rFonts w:ascii="Times New Roman" w:hAnsi="Times New Roman" w:cs="Times New Roman"/>
          <w:sz w:val="24"/>
          <w:szCs w:val="24"/>
        </w:rPr>
        <w:t>Minētie komersanti l</w:t>
      </w:r>
      <w:r w:rsidR="00496916" w:rsidRPr="00931D14">
        <w:rPr>
          <w:rFonts w:ascii="Times New Roman" w:hAnsi="Times New Roman" w:cs="Times New Roman"/>
          <w:sz w:val="24"/>
          <w:szCs w:val="24"/>
        </w:rPr>
        <w:t>ikumā būs jānosaka kā likuma subjekti, jo šobrīd NILLTFNL ir tikai definīcija.</w:t>
      </w:r>
      <w:r w:rsidRPr="00931D14">
        <w:rPr>
          <w:rFonts w:ascii="Times New Roman" w:hAnsi="Times New Roman" w:cs="Times New Roman"/>
          <w:sz w:val="24"/>
          <w:szCs w:val="24"/>
        </w:rPr>
        <w:t xml:space="preserve"> Atbilstoši minētās direktīvas prasībām</w:t>
      </w:r>
      <w:r w:rsidR="00496916" w:rsidRPr="00931D14">
        <w:rPr>
          <w:rFonts w:ascii="Times New Roman" w:hAnsi="Times New Roman" w:cs="Times New Roman"/>
          <w:sz w:val="24"/>
          <w:szCs w:val="24"/>
        </w:rPr>
        <w:t xml:space="preserve"> Kontroles dienestam ir jābūt pilnvarām veikt darbības piekļuvei arī fizisko </w:t>
      </w:r>
      <w:r w:rsidR="00A16E5F">
        <w:rPr>
          <w:rFonts w:ascii="Times New Roman" w:hAnsi="Times New Roman" w:cs="Times New Roman"/>
          <w:sz w:val="24"/>
          <w:szCs w:val="24"/>
        </w:rPr>
        <w:t xml:space="preserve">un juridisko </w:t>
      </w:r>
      <w:r w:rsidR="00496916" w:rsidRPr="00931D14">
        <w:rPr>
          <w:rFonts w:ascii="Times New Roman" w:hAnsi="Times New Roman" w:cs="Times New Roman"/>
          <w:sz w:val="24"/>
          <w:szCs w:val="24"/>
        </w:rPr>
        <w:t>personu makiem blokķēdē.</w:t>
      </w:r>
      <w:r w:rsidR="00496916" w:rsidRPr="00931D14">
        <w:rPr>
          <w:rStyle w:val="FootnoteReference"/>
          <w:rFonts w:ascii="Times New Roman" w:hAnsi="Times New Roman" w:cs="Times New Roman"/>
          <w:sz w:val="24"/>
          <w:szCs w:val="24"/>
        </w:rPr>
        <w:footnoteReference w:id="2"/>
      </w:r>
      <w:r w:rsidR="00496916" w:rsidRPr="00931D14">
        <w:rPr>
          <w:rFonts w:ascii="Times New Roman" w:hAnsi="Times New Roman" w:cs="Times New Roman"/>
          <w:sz w:val="24"/>
          <w:szCs w:val="24"/>
        </w:rPr>
        <w:t xml:space="preserve"> </w:t>
      </w:r>
      <w:r w:rsidR="00A16E5F">
        <w:rPr>
          <w:rFonts w:ascii="Times New Roman" w:hAnsi="Times New Roman" w:cs="Times New Roman"/>
          <w:sz w:val="24"/>
          <w:szCs w:val="24"/>
        </w:rPr>
        <w:t>F</w:t>
      </w:r>
      <w:r w:rsidR="00496916" w:rsidRPr="00931D14">
        <w:rPr>
          <w:rFonts w:ascii="Times New Roman" w:hAnsi="Times New Roman" w:cs="Times New Roman"/>
          <w:sz w:val="24"/>
          <w:szCs w:val="24"/>
        </w:rPr>
        <w:t xml:space="preserve">iziskajām </w:t>
      </w:r>
      <w:r w:rsidR="00A16E5F">
        <w:rPr>
          <w:rFonts w:ascii="Times New Roman" w:hAnsi="Times New Roman" w:cs="Times New Roman"/>
          <w:sz w:val="24"/>
          <w:szCs w:val="24"/>
        </w:rPr>
        <w:t xml:space="preserve">un juridiskajām </w:t>
      </w:r>
      <w:r w:rsidR="00496916" w:rsidRPr="00931D14">
        <w:rPr>
          <w:rFonts w:ascii="Times New Roman" w:hAnsi="Times New Roman" w:cs="Times New Roman"/>
          <w:sz w:val="24"/>
          <w:szCs w:val="24"/>
        </w:rPr>
        <w:t>personām jābūt iespējai deklarēt makus – kā blokķēdē, tā platformās esošos.</w:t>
      </w:r>
      <w:r w:rsidR="00496916" w:rsidRPr="00931D14">
        <w:rPr>
          <w:rStyle w:val="FootnoteReference"/>
          <w:rFonts w:ascii="Times New Roman" w:hAnsi="Times New Roman" w:cs="Times New Roman"/>
          <w:sz w:val="24"/>
          <w:szCs w:val="24"/>
        </w:rPr>
        <w:footnoteReference w:id="3"/>
      </w:r>
      <w:r w:rsidR="00496916" w:rsidRPr="00C11160">
        <w:rPr>
          <w:rFonts w:ascii="Book Antiqua" w:hAnsi="Book Antiqua"/>
        </w:rPr>
        <w:t xml:space="preserve"> </w:t>
      </w:r>
    </w:p>
    <w:p w14:paraId="6CD47EA0" w14:textId="68E24B86" w:rsidR="00145395" w:rsidRPr="00145395" w:rsidRDefault="00F97AC2" w:rsidP="00D56BD5">
      <w:pPr>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145395">
        <w:rPr>
          <w:rFonts w:ascii="Times New Roman" w:hAnsi="Times New Roman" w:cs="Times New Roman"/>
          <w:sz w:val="24"/>
          <w:szCs w:val="24"/>
          <w:lang w:val="lv-LV"/>
        </w:rPr>
        <w:t xml:space="preserve">Latvijā virtuālās valūtas </w:t>
      </w:r>
      <w:r w:rsidR="00145395" w:rsidRPr="00145395">
        <w:rPr>
          <w:rFonts w:ascii="Times New Roman" w:hAnsi="Times New Roman" w:cs="Times New Roman"/>
          <w:sz w:val="24"/>
          <w:szCs w:val="24"/>
          <w:lang w:val="lv-LV"/>
        </w:rPr>
        <w:t>ir pakļautas piedziņai Civilprocesa likuma noteiktajā kārtībā vai konfiskācijai saskaņā ar Kriminālprocesa likumu.</w:t>
      </w:r>
    </w:p>
    <w:p w14:paraId="69033F25" w14:textId="0E71B64A" w:rsidR="00145395" w:rsidRDefault="00145395" w:rsidP="003B5B6C">
      <w:pPr>
        <w:jc w:val="both"/>
        <w:rPr>
          <w:rFonts w:ascii="Times New Roman" w:hAnsi="Times New Roman" w:cs="Times New Roman"/>
          <w:sz w:val="24"/>
          <w:szCs w:val="24"/>
          <w:lang w:val="lv-LV"/>
        </w:rPr>
      </w:pPr>
    </w:p>
    <w:p w14:paraId="6E52C242" w14:textId="008D059F" w:rsidR="00EC21C2" w:rsidRDefault="0060794B" w:rsidP="002E1BC8">
      <w:pPr>
        <w:ind w:firstLine="357"/>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1.1. </w:t>
      </w:r>
      <w:r w:rsidR="00EC21C2" w:rsidRPr="00EC21C2">
        <w:rPr>
          <w:rFonts w:ascii="Times New Roman" w:hAnsi="Times New Roman" w:cs="Times New Roman"/>
          <w:b/>
          <w:i/>
          <w:sz w:val="24"/>
          <w:szCs w:val="24"/>
          <w:lang w:val="lv-LV"/>
        </w:rPr>
        <w:t>Ar virtuālo valūtu saistītie riski</w:t>
      </w:r>
    </w:p>
    <w:p w14:paraId="77F34AFF" w14:textId="09380A66" w:rsidR="00EC21C2" w:rsidRPr="00A059F0" w:rsidRDefault="00EC21C2" w:rsidP="003B5B6C">
      <w:pPr>
        <w:rPr>
          <w:rFonts w:ascii="Times New Roman" w:hAnsi="Times New Roman" w:cs="Times New Roman"/>
          <w:sz w:val="24"/>
          <w:szCs w:val="24"/>
          <w:lang w:val="lv-LV"/>
        </w:rPr>
      </w:pPr>
    </w:p>
    <w:p w14:paraId="4B90FD91" w14:textId="77777777" w:rsidR="00C717BB" w:rsidRDefault="00C717BB" w:rsidP="00C717BB">
      <w:pPr>
        <w:ind w:firstLine="360"/>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Pērkot vai mainot virtuālās valūtas, to lietotājs saskaras ar vairākiem riskiem:</w:t>
      </w:r>
    </w:p>
    <w:p w14:paraId="145C70EE" w14:textId="77777777" w:rsidR="00C717BB" w:rsidRPr="00C717BB" w:rsidRDefault="00C717BB" w:rsidP="00C717BB">
      <w:pPr>
        <w:pStyle w:val="ListParagraph"/>
        <w:numPr>
          <w:ilvl w:val="0"/>
          <w:numId w:val="2"/>
        </w:numPr>
        <w:jc w:val="both"/>
        <w:rPr>
          <w:rFonts w:ascii="Times New Roman" w:hAnsi="Times New Roman" w:cs="Times New Roman"/>
          <w:sz w:val="24"/>
          <w:szCs w:val="24"/>
          <w:lang w:val="lv-LV"/>
        </w:rPr>
      </w:pPr>
      <w:r w:rsidRPr="00C717BB">
        <w:rPr>
          <w:rFonts w:ascii="Times New Roman" w:hAnsi="Times New Roman" w:cs="Times New Roman"/>
          <w:b/>
          <w:sz w:val="24"/>
          <w:szCs w:val="24"/>
          <w:lang w:val="lv-LV"/>
        </w:rPr>
        <w:t>Neaizsargātības risks:</w:t>
      </w:r>
      <w:r w:rsidRPr="00C717BB">
        <w:rPr>
          <w:rFonts w:ascii="Times New Roman" w:hAnsi="Times New Roman" w:cs="Times New Roman"/>
          <w:sz w:val="24"/>
          <w:szCs w:val="24"/>
          <w:lang w:val="lv-LV"/>
        </w:rPr>
        <w:t xml:space="preserve"> </w:t>
      </w:r>
    </w:p>
    <w:p w14:paraId="3965185A" w14:textId="77777777" w:rsidR="00C717BB" w:rsidRPr="00C717BB" w:rsidRDefault="00C717BB" w:rsidP="00C717BB">
      <w:pPr>
        <w:pStyle w:val="ListParagraph"/>
        <w:numPr>
          <w:ilvl w:val="1"/>
          <w:numId w:val="2"/>
        </w:numPr>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risks zaudēt naudu virtuālās valūtas maiņas vai ieguldīšanas procesā, jo maiņas platformu darbība un virtuālo valūtu emitentu darbība šobrīd netiek regulēta</w:t>
      </w:r>
    </w:p>
    <w:p w14:paraId="76640FE1" w14:textId="77777777" w:rsidR="00C717BB" w:rsidRPr="00C717BB" w:rsidRDefault="00C717BB" w:rsidP="00C717BB">
      <w:pPr>
        <w:pStyle w:val="ListParagraph"/>
        <w:numPr>
          <w:ilvl w:val="1"/>
          <w:numId w:val="2"/>
        </w:numPr>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no virtuālo valūtu "digitālā maka" nozagtās virtuālās valūtas bieži vien nav iespējams atgūt</w:t>
      </w:r>
    </w:p>
    <w:p w14:paraId="77C22D1C" w14:textId="77777777" w:rsidR="00C717BB" w:rsidRPr="00C717BB" w:rsidRDefault="00C717BB" w:rsidP="00C717BB">
      <w:pPr>
        <w:pStyle w:val="ListParagraph"/>
        <w:numPr>
          <w:ilvl w:val="0"/>
          <w:numId w:val="2"/>
        </w:numPr>
        <w:jc w:val="both"/>
        <w:rPr>
          <w:rFonts w:ascii="Times New Roman" w:hAnsi="Times New Roman" w:cs="Times New Roman"/>
          <w:sz w:val="24"/>
          <w:szCs w:val="24"/>
          <w:lang w:val="lv-LV"/>
        </w:rPr>
      </w:pPr>
      <w:r w:rsidRPr="00C717BB">
        <w:rPr>
          <w:rFonts w:ascii="Times New Roman" w:hAnsi="Times New Roman" w:cs="Times New Roman"/>
          <w:b/>
          <w:sz w:val="24"/>
          <w:szCs w:val="24"/>
          <w:lang w:val="lv-LV"/>
        </w:rPr>
        <w:t>Darbības traucējumu risks,</w:t>
      </w:r>
    </w:p>
    <w:p w14:paraId="6F498D78" w14:textId="77777777" w:rsidR="00C717BB" w:rsidRPr="00C717BB" w:rsidRDefault="00C717BB" w:rsidP="00C717BB">
      <w:pPr>
        <w:ind w:firstLine="360"/>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 xml:space="preserve"> tajā skaitā,  virtuālo valūtu veidotās struktūras darbības risks:</w:t>
      </w:r>
    </w:p>
    <w:p w14:paraId="73C52FFF" w14:textId="77777777" w:rsidR="00C717BB" w:rsidRPr="00C717BB" w:rsidRDefault="00C717BB" w:rsidP="00C717BB">
      <w:pPr>
        <w:pStyle w:val="ListParagraph"/>
        <w:numPr>
          <w:ilvl w:val="0"/>
          <w:numId w:val="6"/>
        </w:numPr>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 xml:space="preserve"> koncentrējot ievērojamus virtuālo valūtu apjomus, platformas aizvien biežāk pēdējā laikā nespēj nodrošināt pietiekošu aizsardzību, kļūstot par kiberuzbrukumu upuriem un zaudē kl</w:t>
      </w:r>
      <w:r w:rsidR="00BF1F71">
        <w:rPr>
          <w:rFonts w:ascii="Times New Roman" w:hAnsi="Times New Roman" w:cs="Times New Roman"/>
          <w:sz w:val="24"/>
          <w:szCs w:val="24"/>
          <w:lang w:val="lv-LV"/>
        </w:rPr>
        <w:t>ientu turētās virtuālās valūtas</w:t>
      </w:r>
    </w:p>
    <w:p w14:paraId="6ECF5021" w14:textId="77777777" w:rsidR="00C717BB" w:rsidRPr="00C717BB" w:rsidRDefault="00C717BB" w:rsidP="00C717BB">
      <w:pPr>
        <w:pStyle w:val="ListParagraph"/>
        <w:numPr>
          <w:ilvl w:val="0"/>
          <w:numId w:val="2"/>
        </w:numPr>
        <w:jc w:val="both"/>
        <w:rPr>
          <w:rFonts w:ascii="Times New Roman" w:hAnsi="Times New Roman" w:cs="Times New Roman"/>
          <w:sz w:val="24"/>
          <w:szCs w:val="24"/>
          <w:lang w:val="lv-LV"/>
        </w:rPr>
      </w:pPr>
      <w:r w:rsidRPr="00C717BB">
        <w:rPr>
          <w:rFonts w:ascii="Times New Roman" w:hAnsi="Times New Roman" w:cs="Times New Roman"/>
          <w:b/>
          <w:sz w:val="24"/>
          <w:szCs w:val="24"/>
          <w:lang w:val="lv-LV"/>
        </w:rPr>
        <w:t>Nepietiekams cenu pārskatāmības risks</w:t>
      </w:r>
      <w:r w:rsidRPr="00C717BB">
        <w:rPr>
          <w:rFonts w:ascii="Times New Roman" w:hAnsi="Times New Roman" w:cs="Times New Roman"/>
          <w:sz w:val="24"/>
          <w:szCs w:val="24"/>
          <w:lang w:val="lv-LV"/>
        </w:rPr>
        <w:t>:</w:t>
      </w:r>
    </w:p>
    <w:p w14:paraId="224203FE" w14:textId="77777777" w:rsidR="00C717BB" w:rsidRPr="00C717BB" w:rsidRDefault="00C717BB" w:rsidP="00C717BB">
      <w:pPr>
        <w:pStyle w:val="ListParagraph"/>
        <w:numPr>
          <w:ilvl w:val="1"/>
          <w:numId w:val="2"/>
        </w:numPr>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virtuālo valūtu vērtība strauji mainās un var pat zust, jo tā nav piesaistīta kādas valsts oficiālajai</w:t>
      </w:r>
      <w:r w:rsidR="00BF1F71">
        <w:rPr>
          <w:rFonts w:ascii="Times New Roman" w:hAnsi="Times New Roman" w:cs="Times New Roman"/>
          <w:sz w:val="24"/>
          <w:szCs w:val="24"/>
          <w:lang w:val="lv-LV"/>
        </w:rPr>
        <w:t xml:space="preserve"> valūtai vai reālai ekonomikai</w:t>
      </w:r>
    </w:p>
    <w:p w14:paraId="599FE071" w14:textId="6042AA49" w:rsidR="00C717BB" w:rsidRPr="00C717BB" w:rsidRDefault="00C717BB" w:rsidP="00C717BB">
      <w:pPr>
        <w:pStyle w:val="ListParagraph"/>
        <w:numPr>
          <w:ilvl w:val="1"/>
          <w:numId w:val="2"/>
        </w:numPr>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virtuālo valūtu maiņas vietās (biržās) noteiktās cenas var ievērojami atšķ</w:t>
      </w:r>
      <w:r w:rsidR="00BF1F71">
        <w:rPr>
          <w:rFonts w:ascii="Times New Roman" w:hAnsi="Times New Roman" w:cs="Times New Roman"/>
          <w:sz w:val="24"/>
          <w:szCs w:val="24"/>
          <w:lang w:val="lv-LV"/>
        </w:rPr>
        <w:t>irties un var tikt manipulētas</w:t>
      </w:r>
    </w:p>
    <w:p w14:paraId="65723F97" w14:textId="77777777" w:rsidR="00C717BB" w:rsidRPr="00C717BB" w:rsidRDefault="00C717BB" w:rsidP="00C717BB">
      <w:pPr>
        <w:pStyle w:val="ListParagraph"/>
        <w:numPr>
          <w:ilvl w:val="0"/>
          <w:numId w:val="2"/>
        </w:numPr>
        <w:jc w:val="both"/>
        <w:rPr>
          <w:rFonts w:ascii="Times New Roman" w:hAnsi="Times New Roman" w:cs="Times New Roman"/>
          <w:sz w:val="24"/>
          <w:szCs w:val="24"/>
          <w:lang w:val="lv-LV"/>
        </w:rPr>
      </w:pPr>
      <w:r w:rsidRPr="00C717BB">
        <w:rPr>
          <w:rFonts w:ascii="Times New Roman" w:hAnsi="Times New Roman" w:cs="Times New Roman"/>
          <w:b/>
          <w:sz w:val="24"/>
          <w:szCs w:val="24"/>
          <w:lang w:val="lv-LV"/>
        </w:rPr>
        <w:t xml:space="preserve">Nepiemērotība patērētāju mērķiem, tajā skaitā, ieguldījumu veidošanas risks: </w:t>
      </w:r>
    </w:p>
    <w:p w14:paraId="6AFE7D50" w14:textId="61E4C18B" w:rsidR="00C717BB" w:rsidRDefault="00C717BB" w:rsidP="00C717BB">
      <w:pPr>
        <w:pStyle w:val="ListParagraph"/>
        <w:numPr>
          <w:ilvl w:val="1"/>
          <w:numId w:val="2"/>
        </w:numPr>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patērētājus, kuri izmanto virtuālās valūtas, lai norēķinātos par precēm un pakalpojumiem, neaizsargā Eiropas Savienības tiesību aktos paredzētās tiesības atgūt līdzekļus, kas norakstīti neautorizētu darījumu rezultātā, un uz tiem neattiecas klientu aizsardzības mehānismi (noguldījumu garantijas</w:t>
      </w:r>
      <w:r w:rsidR="00BF1F71">
        <w:rPr>
          <w:rFonts w:ascii="Times New Roman" w:hAnsi="Times New Roman" w:cs="Times New Roman"/>
          <w:sz w:val="24"/>
          <w:szCs w:val="24"/>
          <w:lang w:val="lv-LV"/>
        </w:rPr>
        <w:t>, vai ieguldītāju aizsardzības)</w:t>
      </w:r>
    </w:p>
    <w:p w14:paraId="1FE1D72D" w14:textId="77777777" w:rsidR="0013263B" w:rsidRPr="00C717BB" w:rsidRDefault="0013263B" w:rsidP="0013263B">
      <w:pPr>
        <w:pStyle w:val="ListParagraph"/>
        <w:ind w:left="1800"/>
        <w:jc w:val="both"/>
        <w:rPr>
          <w:rFonts w:ascii="Times New Roman" w:hAnsi="Times New Roman" w:cs="Times New Roman"/>
          <w:sz w:val="24"/>
          <w:szCs w:val="24"/>
          <w:lang w:val="lv-LV"/>
        </w:rPr>
      </w:pPr>
    </w:p>
    <w:p w14:paraId="401A50C3" w14:textId="77777777" w:rsidR="00C717BB" w:rsidRPr="00C717BB" w:rsidRDefault="00C717BB" w:rsidP="00C717BB">
      <w:pPr>
        <w:pStyle w:val="ListParagraph"/>
        <w:numPr>
          <w:ilvl w:val="0"/>
          <w:numId w:val="2"/>
        </w:numPr>
        <w:jc w:val="both"/>
        <w:rPr>
          <w:rFonts w:ascii="Times New Roman" w:hAnsi="Times New Roman" w:cs="Times New Roman"/>
          <w:sz w:val="24"/>
          <w:szCs w:val="24"/>
          <w:lang w:val="lv-LV"/>
        </w:rPr>
      </w:pPr>
      <w:r w:rsidRPr="00C717BB">
        <w:rPr>
          <w:rFonts w:ascii="Times New Roman" w:hAnsi="Times New Roman" w:cs="Times New Roman"/>
          <w:b/>
          <w:sz w:val="24"/>
          <w:szCs w:val="24"/>
          <w:lang w:val="lv-LV"/>
        </w:rPr>
        <w:t>Augstu svārstību un spekulatīvu cenu burbuļa risks:</w:t>
      </w:r>
    </w:p>
    <w:p w14:paraId="4C99157E" w14:textId="77777777" w:rsidR="00C717BB" w:rsidRPr="00C717BB" w:rsidRDefault="00C717BB" w:rsidP="00C717BB">
      <w:pPr>
        <w:pStyle w:val="ListParagraph"/>
        <w:numPr>
          <w:ilvl w:val="1"/>
          <w:numId w:val="2"/>
        </w:numPr>
        <w:jc w:val="both"/>
        <w:rPr>
          <w:rFonts w:ascii="Times New Roman" w:hAnsi="Times New Roman" w:cs="Times New Roman"/>
          <w:sz w:val="24"/>
          <w:szCs w:val="24"/>
          <w:lang w:val="lv-LV"/>
        </w:rPr>
      </w:pPr>
      <w:r w:rsidRPr="00C717BB">
        <w:rPr>
          <w:rFonts w:ascii="Times New Roman" w:hAnsi="Times New Roman" w:cs="Times New Roman"/>
          <w:b/>
          <w:sz w:val="24"/>
          <w:szCs w:val="24"/>
          <w:lang w:val="lv-LV"/>
        </w:rPr>
        <w:lastRenderedPageBreak/>
        <w:t xml:space="preserve"> </w:t>
      </w:r>
      <w:r w:rsidRPr="00C717BB">
        <w:rPr>
          <w:rFonts w:ascii="Times New Roman" w:hAnsi="Times New Roman" w:cs="Times New Roman"/>
          <w:sz w:val="24"/>
          <w:szCs w:val="24"/>
          <w:lang w:val="lv-LV"/>
        </w:rPr>
        <w:t>pastāv liels cenu burbuļa risks, interešu konflikt</w:t>
      </w:r>
      <w:r w:rsidR="00BF1F71">
        <w:rPr>
          <w:rFonts w:ascii="Times New Roman" w:hAnsi="Times New Roman" w:cs="Times New Roman"/>
          <w:sz w:val="24"/>
          <w:szCs w:val="24"/>
          <w:lang w:val="lv-LV"/>
        </w:rPr>
        <w:t>u un tirgus manipulācijas risks</w:t>
      </w:r>
    </w:p>
    <w:p w14:paraId="27DA55A5" w14:textId="77777777" w:rsidR="00C717BB" w:rsidRPr="00C717BB" w:rsidRDefault="00C717BB" w:rsidP="00C717BB">
      <w:pPr>
        <w:pStyle w:val="ListParagraph"/>
        <w:numPr>
          <w:ilvl w:val="0"/>
          <w:numId w:val="2"/>
        </w:numPr>
        <w:jc w:val="both"/>
        <w:rPr>
          <w:rFonts w:ascii="Times New Roman" w:hAnsi="Times New Roman" w:cs="Times New Roman"/>
          <w:sz w:val="24"/>
          <w:szCs w:val="24"/>
          <w:lang w:val="lv-LV"/>
        </w:rPr>
      </w:pPr>
      <w:r w:rsidRPr="00C717BB">
        <w:rPr>
          <w:rFonts w:ascii="Times New Roman" w:hAnsi="Times New Roman" w:cs="Times New Roman"/>
          <w:b/>
          <w:sz w:val="24"/>
          <w:szCs w:val="24"/>
          <w:lang w:val="lv-LV"/>
        </w:rPr>
        <w:t>Maldinošas informācijas risks:</w:t>
      </w:r>
    </w:p>
    <w:p w14:paraId="7E1470BB" w14:textId="77777777" w:rsidR="00C717BB" w:rsidRPr="00C717BB" w:rsidRDefault="00C717BB" w:rsidP="00C717BB">
      <w:pPr>
        <w:pStyle w:val="ListParagraph"/>
        <w:numPr>
          <w:ilvl w:val="1"/>
          <w:numId w:val="2"/>
        </w:numPr>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maldinošas informācijas sniegšana par virtuālas valūtas emitentu un cenas veidošanas mehānismu, izceļot priek</w:t>
      </w:r>
      <w:r w:rsidR="00BF1F71">
        <w:rPr>
          <w:rFonts w:ascii="Times New Roman" w:hAnsi="Times New Roman" w:cs="Times New Roman"/>
          <w:sz w:val="24"/>
          <w:szCs w:val="24"/>
          <w:lang w:val="lv-LV"/>
        </w:rPr>
        <w:t>šrocības, bet noklusējot riskus</w:t>
      </w:r>
    </w:p>
    <w:p w14:paraId="7135B54F" w14:textId="77777777" w:rsidR="00C717BB" w:rsidRPr="00C717BB" w:rsidRDefault="00C717BB" w:rsidP="00C717BB">
      <w:pPr>
        <w:pStyle w:val="CommentText"/>
        <w:numPr>
          <w:ilvl w:val="0"/>
          <w:numId w:val="2"/>
        </w:numPr>
        <w:rPr>
          <w:sz w:val="24"/>
          <w:szCs w:val="24"/>
        </w:rPr>
      </w:pPr>
      <w:r w:rsidRPr="00C717BB">
        <w:rPr>
          <w:b/>
          <w:sz w:val="24"/>
          <w:szCs w:val="24"/>
        </w:rPr>
        <w:t>Valūtas maiņas neiespējamības risks:</w:t>
      </w:r>
      <w:r w:rsidRPr="00C717BB">
        <w:rPr>
          <w:sz w:val="24"/>
          <w:szCs w:val="24"/>
        </w:rPr>
        <w:t xml:space="preserve"> </w:t>
      </w:r>
    </w:p>
    <w:p w14:paraId="34798FCF" w14:textId="1FD5D7FA" w:rsidR="00C717BB" w:rsidRPr="00C717BB" w:rsidRDefault="0023178E" w:rsidP="00C717BB">
      <w:pPr>
        <w:pStyle w:val="CommentText"/>
        <w:numPr>
          <w:ilvl w:val="1"/>
          <w:numId w:val="2"/>
        </w:numPr>
        <w:rPr>
          <w:sz w:val="24"/>
          <w:szCs w:val="24"/>
        </w:rPr>
      </w:pPr>
      <w:r>
        <w:rPr>
          <w:sz w:val="24"/>
          <w:szCs w:val="24"/>
        </w:rPr>
        <w:t>apgrūtinātas iespējas</w:t>
      </w:r>
      <w:r w:rsidR="00C717BB" w:rsidRPr="00C717BB">
        <w:rPr>
          <w:sz w:val="24"/>
          <w:szCs w:val="24"/>
        </w:rPr>
        <w:t xml:space="preserve"> pārdot virtuālo valūtu pret reāliem naudas līdzekļiem, tajā skaitā, pakalpojumu sniedzējiem, kuri nodarbojas ar virtuālo valūtu tirdzniecību, vai arī tiek piemērotas lielas komisijas maksas par virtuālās v</w:t>
      </w:r>
      <w:r w:rsidR="00DF0052">
        <w:rPr>
          <w:sz w:val="24"/>
          <w:szCs w:val="24"/>
        </w:rPr>
        <w:t>alūtas apmaiņu pret reālo naudu</w:t>
      </w:r>
    </w:p>
    <w:p w14:paraId="368ED8A2" w14:textId="77777777" w:rsidR="00C717BB" w:rsidRPr="00C717BB" w:rsidRDefault="00C717BB" w:rsidP="00C717BB">
      <w:pPr>
        <w:pStyle w:val="CommentText"/>
        <w:numPr>
          <w:ilvl w:val="0"/>
          <w:numId w:val="2"/>
        </w:numPr>
        <w:rPr>
          <w:sz w:val="24"/>
          <w:szCs w:val="24"/>
        </w:rPr>
      </w:pPr>
      <w:r w:rsidRPr="00C717BB">
        <w:rPr>
          <w:b/>
          <w:sz w:val="24"/>
          <w:szCs w:val="24"/>
        </w:rPr>
        <w:t>Finanšu piramīdas risks:</w:t>
      </w:r>
    </w:p>
    <w:p w14:paraId="21198FED" w14:textId="5E44038E" w:rsidR="00C717BB" w:rsidRDefault="00C717BB" w:rsidP="00C717BB">
      <w:pPr>
        <w:pStyle w:val="CommentText"/>
        <w:numPr>
          <w:ilvl w:val="1"/>
          <w:numId w:val="2"/>
        </w:numPr>
        <w:rPr>
          <w:sz w:val="24"/>
          <w:szCs w:val="24"/>
        </w:rPr>
      </w:pPr>
      <w:r w:rsidRPr="00C717BB">
        <w:rPr>
          <w:b/>
          <w:sz w:val="24"/>
          <w:szCs w:val="24"/>
        </w:rPr>
        <w:t xml:space="preserve"> </w:t>
      </w:r>
      <w:r w:rsidRPr="00C717BB">
        <w:rPr>
          <w:sz w:val="24"/>
          <w:szCs w:val="24"/>
        </w:rPr>
        <w:t xml:space="preserve">virtuālo valūtu turētājiem </w:t>
      </w:r>
      <w:r w:rsidR="00DF0052">
        <w:rPr>
          <w:sz w:val="24"/>
          <w:szCs w:val="24"/>
        </w:rPr>
        <w:t xml:space="preserve">nereti </w:t>
      </w:r>
      <w:r w:rsidRPr="00C717BB">
        <w:rPr>
          <w:sz w:val="24"/>
          <w:szCs w:val="24"/>
        </w:rPr>
        <w:t>tiek solīti nesamērīgi augsti un maldinoši peļņas procentu pieaugumi, kā arī bonusi par jaunu pi</w:t>
      </w:r>
      <w:r w:rsidR="00025A43">
        <w:rPr>
          <w:sz w:val="24"/>
          <w:szCs w:val="24"/>
        </w:rPr>
        <w:t>rcēju/ieguldītāju piesaisti utt.</w:t>
      </w:r>
    </w:p>
    <w:p w14:paraId="35C74F1B" w14:textId="77777777" w:rsidR="00DF0052" w:rsidRPr="00FF1A11" w:rsidRDefault="00DF0052" w:rsidP="00DF0052">
      <w:pPr>
        <w:pStyle w:val="CommentText"/>
        <w:numPr>
          <w:ilvl w:val="0"/>
          <w:numId w:val="2"/>
        </w:numPr>
        <w:rPr>
          <w:b/>
          <w:sz w:val="24"/>
          <w:szCs w:val="24"/>
        </w:rPr>
      </w:pPr>
      <w:r w:rsidRPr="00FF1A11">
        <w:rPr>
          <w:b/>
          <w:sz w:val="24"/>
          <w:szCs w:val="24"/>
        </w:rPr>
        <w:t>Krāpšanas risks:</w:t>
      </w:r>
    </w:p>
    <w:p w14:paraId="17D204B0" w14:textId="2E9D25A9" w:rsidR="00DF0052" w:rsidRPr="00DF0052" w:rsidRDefault="00DF0052" w:rsidP="00DF0052">
      <w:pPr>
        <w:pStyle w:val="CommentText"/>
        <w:numPr>
          <w:ilvl w:val="1"/>
          <w:numId w:val="2"/>
        </w:numPr>
        <w:rPr>
          <w:sz w:val="24"/>
          <w:szCs w:val="24"/>
        </w:rPr>
      </w:pPr>
      <w:r>
        <w:rPr>
          <w:sz w:val="24"/>
          <w:szCs w:val="24"/>
        </w:rPr>
        <w:t>Tiek izveidota virtuālā valūta, kas tiek pārdota zināmu brīdi, bet pēc tam tās izveidotāji var pazust ar visu ieguldījumu.</w:t>
      </w:r>
    </w:p>
    <w:p w14:paraId="6CB33F1A" w14:textId="5BEB50F2" w:rsidR="00C717BB" w:rsidRDefault="00C717BB" w:rsidP="00353E10">
      <w:pPr>
        <w:ind w:firstLine="720"/>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 xml:space="preserve">Ņemot vērā virkni risku, kas saistītas ar </w:t>
      </w:r>
      <w:r w:rsidRPr="00C717BB">
        <w:rPr>
          <w:rFonts w:ascii="Times New Roman" w:hAnsi="Times New Roman" w:cs="Times New Roman"/>
          <w:b/>
          <w:sz w:val="24"/>
          <w:szCs w:val="24"/>
          <w:lang w:val="lv-LV"/>
        </w:rPr>
        <w:t>virtuālo valūtu</w:t>
      </w:r>
      <w:r w:rsidRPr="00C717BB">
        <w:rPr>
          <w:rFonts w:ascii="Times New Roman" w:hAnsi="Times New Roman" w:cs="Times New Roman"/>
          <w:sz w:val="24"/>
          <w:szCs w:val="24"/>
          <w:lang w:val="lv-LV"/>
        </w:rPr>
        <w:t xml:space="preserve"> izmantošanu, to </w:t>
      </w:r>
      <w:r w:rsidRPr="00C717BB">
        <w:rPr>
          <w:rFonts w:ascii="Times New Roman" w:hAnsi="Times New Roman" w:cs="Times New Roman"/>
          <w:b/>
          <w:sz w:val="24"/>
          <w:szCs w:val="24"/>
          <w:lang w:val="lv-LV"/>
        </w:rPr>
        <w:t>popularizēšana</w:t>
      </w:r>
      <w:r w:rsidRPr="00C717BB">
        <w:rPr>
          <w:rFonts w:ascii="Times New Roman" w:hAnsi="Times New Roman" w:cs="Times New Roman"/>
          <w:sz w:val="24"/>
          <w:szCs w:val="24"/>
          <w:lang w:val="lv-LV"/>
        </w:rPr>
        <w:t xml:space="preserve"> </w:t>
      </w:r>
      <w:r w:rsidRPr="00C717BB">
        <w:rPr>
          <w:rFonts w:ascii="Times New Roman" w:hAnsi="Times New Roman" w:cs="Times New Roman"/>
          <w:b/>
          <w:sz w:val="24"/>
          <w:szCs w:val="24"/>
          <w:lang w:val="lv-LV"/>
        </w:rPr>
        <w:t>un plašāka izmantošana Latvijas iedzīvotāju vidū</w:t>
      </w:r>
      <w:r w:rsidRPr="00C717BB">
        <w:rPr>
          <w:rFonts w:ascii="Times New Roman" w:hAnsi="Times New Roman" w:cs="Times New Roman"/>
          <w:sz w:val="24"/>
          <w:szCs w:val="24"/>
          <w:lang w:val="lv-LV"/>
        </w:rPr>
        <w:t xml:space="preserve"> (patērētājiem, kuri nav profesionālie ieguldītāji) </w:t>
      </w:r>
      <w:r w:rsidRPr="00C717BB">
        <w:rPr>
          <w:rFonts w:ascii="Times New Roman" w:hAnsi="Times New Roman" w:cs="Times New Roman"/>
          <w:b/>
          <w:sz w:val="24"/>
          <w:szCs w:val="24"/>
          <w:lang w:val="lv-LV"/>
        </w:rPr>
        <w:t>nav atbalstāma</w:t>
      </w:r>
      <w:r w:rsidR="00353E10">
        <w:rPr>
          <w:rFonts w:ascii="Times New Roman" w:hAnsi="Times New Roman" w:cs="Times New Roman"/>
          <w:b/>
          <w:sz w:val="24"/>
          <w:szCs w:val="24"/>
          <w:lang w:val="lv-LV"/>
        </w:rPr>
        <w:t>, kamēr nav izstrādāts atbilstošs regulējums</w:t>
      </w:r>
      <w:r w:rsidR="00353E10">
        <w:rPr>
          <w:rFonts w:ascii="Times New Roman" w:hAnsi="Times New Roman" w:cs="Times New Roman"/>
          <w:sz w:val="24"/>
          <w:szCs w:val="24"/>
          <w:lang w:val="lv-LV"/>
        </w:rPr>
        <w:t>.</w:t>
      </w:r>
      <w:r w:rsidRPr="00C717BB">
        <w:rPr>
          <w:rFonts w:ascii="Times New Roman" w:hAnsi="Times New Roman" w:cs="Times New Roman"/>
          <w:sz w:val="24"/>
          <w:szCs w:val="24"/>
          <w:lang w:val="lv-LV"/>
        </w:rPr>
        <w:t xml:space="preserve"> Brīdinājumus par riskiem, kas saistīti ar virtuālajām valūtām, ir izteikusi gan F</w:t>
      </w:r>
      <w:r>
        <w:rPr>
          <w:rFonts w:ascii="Times New Roman" w:hAnsi="Times New Roman" w:cs="Times New Roman"/>
          <w:sz w:val="24"/>
          <w:szCs w:val="24"/>
          <w:lang w:val="lv-LV"/>
        </w:rPr>
        <w:t>inanšu un kapitāla tirgus komisija (turpmāk – F</w:t>
      </w:r>
      <w:r w:rsidRPr="00C717BB">
        <w:rPr>
          <w:rFonts w:ascii="Times New Roman" w:hAnsi="Times New Roman" w:cs="Times New Roman"/>
          <w:sz w:val="24"/>
          <w:szCs w:val="24"/>
          <w:lang w:val="lv-LV"/>
        </w:rPr>
        <w:t>KTK</w:t>
      </w:r>
      <w:r>
        <w:rPr>
          <w:rFonts w:ascii="Times New Roman" w:hAnsi="Times New Roman" w:cs="Times New Roman"/>
          <w:sz w:val="24"/>
          <w:szCs w:val="24"/>
          <w:lang w:val="lv-LV"/>
        </w:rPr>
        <w:t>)</w:t>
      </w:r>
      <w:r w:rsidRPr="00C717BB">
        <w:rPr>
          <w:rFonts w:ascii="Times New Roman" w:hAnsi="Times New Roman" w:cs="Times New Roman"/>
          <w:sz w:val="24"/>
          <w:szCs w:val="24"/>
          <w:lang w:val="lv-LV"/>
        </w:rPr>
        <w:t>, gan Latvijas Banka, gan arī Eiropas uzraudzības iestādes (Eiropas Vērtspapīru un Tirgu iestāde, Eiropas Banku iestāde un Eiropas Apdrošināšanas un aroda pensiju iestāde)</w:t>
      </w:r>
      <w:r w:rsidR="00353E10">
        <w:rPr>
          <w:rFonts w:ascii="Times New Roman" w:hAnsi="Times New Roman" w:cs="Times New Roman"/>
          <w:sz w:val="24"/>
          <w:szCs w:val="24"/>
          <w:lang w:val="lv-LV"/>
        </w:rPr>
        <w:t>. Vienlaikus būtiski, lai kompetentās institūcijas sekmētu labāku izpratni sabiedrībā, it īpaši neprofesionālu vidū, par riskiem, kas saistīti par virtuālo valūtu jomu.</w:t>
      </w:r>
    </w:p>
    <w:p w14:paraId="1F58DB24" w14:textId="48DF63DB" w:rsidR="00070E37" w:rsidRPr="00070E37" w:rsidRDefault="00070E37" w:rsidP="00070E37">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Pr="00070E37">
        <w:rPr>
          <w:rFonts w:ascii="Times New Roman" w:hAnsi="Times New Roman" w:cs="Times New Roman"/>
          <w:sz w:val="24"/>
          <w:szCs w:val="24"/>
          <w:lang w:val="lv-LV"/>
        </w:rPr>
        <w:t xml:space="preserve">redītiestādes katra pati definē riskus, ko tā spēj uzņemties. Parasti tās darījumus ar kriptovalūtām pašus par sevi neuzskata par aizliegtiem, ja to veic klients individuāli ārpus saimnieciskās darbības, un kredītiestādi izmanto tikai naudas pārvedumam, kā arī nav šaubu par naudas </w:t>
      </w:r>
      <w:r>
        <w:rPr>
          <w:rFonts w:ascii="Times New Roman" w:hAnsi="Times New Roman" w:cs="Times New Roman"/>
          <w:sz w:val="24"/>
          <w:szCs w:val="24"/>
          <w:lang w:val="lv-LV"/>
        </w:rPr>
        <w:t>izcelsmi vai nav citu būtisku noziedzīgi iegūtu līdzekļu legalizācijas un terorisma finansēšanas</w:t>
      </w:r>
      <w:r w:rsidRPr="00070E37">
        <w:rPr>
          <w:rFonts w:ascii="Times New Roman" w:hAnsi="Times New Roman" w:cs="Times New Roman"/>
          <w:sz w:val="24"/>
          <w:szCs w:val="24"/>
          <w:lang w:val="lv-LV"/>
        </w:rPr>
        <w:t xml:space="preserve"> risku. Atbilstoši LKA vadlīnijām kredītiestādes nesadarbojas ar uzņēmumiem, kuri pamatā izmanto virtuālo naudu, radot nesamērīgus riskus finanšu sistēmai.</w:t>
      </w:r>
      <w:r>
        <w:rPr>
          <w:rStyle w:val="FootnoteReference"/>
          <w:rFonts w:ascii="Times New Roman" w:hAnsi="Times New Roman" w:cs="Times New Roman"/>
          <w:sz w:val="24"/>
          <w:szCs w:val="24"/>
          <w:lang w:val="lv-LV"/>
        </w:rPr>
        <w:footnoteReference w:id="4"/>
      </w:r>
    </w:p>
    <w:p w14:paraId="3388B7A4" w14:textId="250FC8A2" w:rsidR="00C717BB" w:rsidRPr="00C717BB" w:rsidRDefault="00C717BB" w:rsidP="00C717BB">
      <w:pPr>
        <w:ind w:firstLine="720"/>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Viena no būtiskākajam virtuālo valūtu īpašībām ir anonimitāte. Pateicoties izmantotajiem kriptogrāfijas paņēmieniem (tāpēc virtuālās valūtas mēdz saukt par kriptovalūtām) informācija par darījumiem tiek droši aizsargāta, savukārt lietotāja identitātes vietā tiek izmantota viņa individuāla un unikāla šifrēšanas atslēga, kas nav saistīta ar lietotāja personas datiem un kas pie</w:t>
      </w:r>
      <w:r w:rsidR="00954C8E">
        <w:rPr>
          <w:rFonts w:ascii="Times New Roman" w:hAnsi="Times New Roman" w:cs="Times New Roman"/>
          <w:sz w:val="24"/>
          <w:szCs w:val="24"/>
          <w:lang w:val="lv-LV"/>
        </w:rPr>
        <w:t>ejama tikai viņam, tādējādi nepārpr</w:t>
      </w:r>
      <w:r w:rsidRPr="00C717BB">
        <w:rPr>
          <w:rFonts w:ascii="Times New Roman" w:hAnsi="Times New Roman" w:cs="Times New Roman"/>
          <w:sz w:val="24"/>
          <w:szCs w:val="24"/>
          <w:lang w:val="lv-LV"/>
        </w:rPr>
        <w:t>otami norādot, ka transakcijas, kas parakstītās ar attiecīgo atslēgu, pieder personai, kas atslēgu izmanto. Jaunajās virtuālajās valūtās ir vērojama tendence anonimitātes stiprināšanai un attīstībai, nevis anonimitātes mazināšanai.</w:t>
      </w:r>
    </w:p>
    <w:p w14:paraId="1EF9D756" w14:textId="77777777" w:rsidR="00C717BB" w:rsidRPr="00C717BB" w:rsidRDefault="00C717BB" w:rsidP="00C717BB">
      <w:pPr>
        <w:ind w:firstLine="720"/>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Dēļ šīs īpašības virtuālās valūtas spēlē aizvien lielāku lomu kibernoziedzības veicināšanā, jo, pirmkārt, veicina upuru maksājumus noziedzniekiem, otrkārt, palīdz kibernoziedzībai attīstīties kā pasūtāmajam pakalpojumam un treškārt, palīdz stimulēt kibernoziegumos iegūto naudas līdzekļu plūsmas un legalizāciju bez nepieciešamības šos naudas līdzekļus pārvest skaidrā naudā.</w:t>
      </w:r>
    </w:p>
    <w:p w14:paraId="71C6C007" w14:textId="027A6EB0" w:rsidR="00C717BB" w:rsidRDefault="00C717BB" w:rsidP="00C717BB">
      <w:pPr>
        <w:ind w:firstLine="720"/>
        <w:jc w:val="both"/>
        <w:rPr>
          <w:rFonts w:ascii="Times New Roman" w:hAnsi="Times New Roman" w:cs="Times New Roman"/>
          <w:sz w:val="24"/>
          <w:szCs w:val="24"/>
          <w:lang w:val="lv-LV"/>
        </w:rPr>
      </w:pPr>
      <w:r w:rsidRPr="00C717BB">
        <w:rPr>
          <w:rFonts w:ascii="Times New Roman" w:hAnsi="Times New Roman" w:cs="Times New Roman"/>
          <w:sz w:val="24"/>
          <w:szCs w:val="24"/>
          <w:lang w:val="lv-LV"/>
        </w:rPr>
        <w:t>Vienlaikus, virtuālo valūtu pamatā ir būtiski tehnoloģiskie sasniegumi, tādi kā blokķēdes tehnoloģija un izkliedētā uzskaite (sk. sadaļu Tehnoloģiskie un drošības aspekti), kuri sniedz jaunas iespējas tradicionālo un regulēto finanšu, bet arī daudzu citu ar valsts ekonomiku saistīto, proc</w:t>
      </w:r>
      <w:r w:rsidR="007F1C02">
        <w:rPr>
          <w:rFonts w:ascii="Times New Roman" w:hAnsi="Times New Roman" w:cs="Times New Roman"/>
          <w:sz w:val="24"/>
          <w:szCs w:val="24"/>
          <w:lang w:val="lv-LV"/>
        </w:rPr>
        <w:t>esu un pakalpojumu uzlabošanai.</w:t>
      </w:r>
    </w:p>
    <w:p w14:paraId="2DF51507" w14:textId="77777777" w:rsidR="0013263B" w:rsidRPr="00C717BB" w:rsidRDefault="0013263B" w:rsidP="0013263B">
      <w:pPr>
        <w:jc w:val="both"/>
        <w:rPr>
          <w:rFonts w:ascii="Times New Roman" w:hAnsi="Times New Roman" w:cs="Times New Roman"/>
          <w:sz w:val="24"/>
          <w:szCs w:val="24"/>
          <w:lang w:val="lv-LV"/>
        </w:rPr>
      </w:pPr>
    </w:p>
    <w:p w14:paraId="52DBEF89" w14:textId="77777777" w:rsidR="00C717BB" w:rsidRPr="007478FC" w:rsidRDefault="0060794B" w:rsidP="002E1BC8">
      <w:pPr>
        <w:ind w:firstLine="357"/>
        <w:rPr>
          <w:rFonts w:ascii="Times New Roman" w:hAnsi="Times New Roman" w:cs="Times New Roman"/>
          <w:b/>
          <w:i/>
          <w:sz w:val="24"/>
          <w:szCs w:val="24"/>
          <w:lang w:val="lv-LV"/>
        </w:rPr>
      </w:pPr>
      <w:r w:rsidRPr="007478FC">
        <w:rPr>
          <w:rFonts w:ascii="Times New Roman" w:hAnsi="Times New Roman" w:cs="Times New Roman"/>
          <w:b/>
          <w:i/>
          <w:sz w:val="24"/>
          <w:szCs w:val="24"/>
          <w:lang w:val="lv-LV"/>
        </w:rPr>
        <w:t xml:space="preserve">1.2. </w:t>
      </w:r>
      <w:r w:rsidR="00C717BB" w:rsidRPr="007478FC">
        <w:rPr>
          <w:rFonts w:ascii="Times New Roman" w:hAnsi="Times New Roman" w:cs="Times New Roman"/>
          <w:b/>
          <w:i/>
          <w:sz w:val="24"/>
          <w:szCs w:val="24"/>
          <w:lang w:val="lv-LV"/>
        </w:rPr>
        <w:t>Virtuālo valūtu uzraudzības problemātika</w:t>
      </w:r>
    </w:p>
    <w:p w14:paraId="5A812ADE" w14:textId="77777777" w:rsidR="00C717BB" w:rsidRPr="002E1BC8" w:rsidRDefault="00C717BB" w:rsidP="00C717BB">
      <w:pPr>
        <w:jc w:val="both"/>
        <w:rPr>
          <w:rFonts w:ascii="Times New Roman" w:hAnsi="Times New Roman" w:cs="Times New Roman"/>
          <w:lang w:val="lv-LV"/>
        </w:rPr>
      </w:pPr>
    </w:p>
    <w:p w14:paraId="15A02354" w14:textId="42749BBB" w:rsidR="00B53B6E" w:rsidRPr="00FA6DEE" w:rsidRDefault="00C717BB" w:rsidP="00B53B6E">
      <w:pPr>
        <w:ind w:firstLine="720"/>
        <w:jc w:val="both"/>
        <w:rPr>
          <w:rFonts w:ascii="Times New Roman" w:hAnsi="Times New Roman" w:cs="Times New Roman"/>
          <w:sz w:val="24"/>
          <w:szCs w:val="24"/>
          <w:lang w:val="lv-LV"/>
        </w:rPr>
      </w:pPr>
      <w:r w:rsidRPr="00FA6DEE">
        <w:rPr>
          <w:rFonts w:ascii="Times New Roman" w:hAnsi="Times New Roman" w:cs="Times New Roman"/>
          <w:sz w:val="24"/>
          <w:szCs w:val="24"/>
          <w:lang w:val="lv-LV"/>
        </w:rPr>
        <w:t>Šobrīd pasaulē ir vairāk nekā 1</w:t>
      </w:r>
      <w:r w:rsidR="00F55D07">
        <w:rPr>
          <w:rFonts w:ascii="Times New Roman" w:hAnsi="Times New Roman" w:cs="Times New Roman"/>
          <w:sz w:val="24"/>
          <w:szCs w:val="24"/>
          <w:lang w:val="lv-LV"/>
        </w:rPr>
        <w:t>6</w:t>
      </w:r>
      <w:r w:rsidRPr="00FA6DEE">
        <w:rPr>
          <w:rFonts w:ascii="Times New Roman" w:hAnsi="Times New Roman" w:cs="Times New Roman"/>
          <w:sz w:val="24"/>
          <w:szCs w:val="24"/>
          <w:lang w:val="lv-LV"/>
        </w:rPr>
        <w:t xml:space="preserve">00 virtuālo valūtu, no kurām liela daļa, atšķirībā no </w:t>
      </w:r>
      <w:r w:rsidRPr="00FA6DEE">
        <w:rPr>
          <w:rFonts w:ascii="Times New Roman" w:hAnsi="Times New Roman" w:cs="Times New Roman"/>
          <w:i/>
          <w:sz w:val="24"/>
          <w:szCs w:val="24"/>
          <w:lang w:val="lv-LV"/>
        </w:rPr>
        <w:t>Bitcoin</w:t>
      </w:r>
      <w:r w:rsidRPr="00FA6DEE">
        <w:rPr>
          <w:rFonts w:ascii="Times New Roman" w:hAnsi="Times New Roman" w:cs="Times New Roman"/>
          <w:sz w:val="24"/>
          <w:szCs w:val="24"/>
          <w:lang w:val="lv-LV"/>
        </w:rPr>
        <w:t xml:space="preserve"> sākotnējā mērķa </w:t>
      </w:r>
      <w:r w:rsidR="008B072E" w:rsidRPr="0016704F">
        <w:rPr>
          <w:rFonts w:ascii="Times New Roman" w:hAnsi="Times New Roman" w:cs="Times New Roman"/>
          <w:sz w:val="24"/>
          <w:szCs w:val="24"/>
          <w:lang w:val="lv-LV"/>
        </w:rPr>
        <w:t xml:space="preserve">– </w:t>
      </w:r>
      <w:r w:rsidRPr="00FA6DEE">
        <w:rPr>
          <w:rFonts w:ascii="Times New Roman" w:hAnsi="Times New Roman" w:cs="Times New Roman"/>
          <w:sz w:val="24"/>
          <w:szCs w:val="24"/>
          <w:lang w:val="lv-LV"/>
        </w:rPr>
        <w:t>kļūt par pamatu alternatīvai finanšu sistēmai, attīstītas kā augsta riska spekulāciju objekts bieži vien bez</w:t>
      </w:r>
      <w:r w:rsidR="00B53B6E">
        <w:rPr>
          <w:rFonts w:ascii="Times New Roman" w:hAnsi="Times New Roman" w:cs="Times New Roman"/>
          <w:sz w:val="24"/>
          <w:szCs w:val="24"/>
          <w:lang w:val="lv-LV"/>
        </w:rPr>
        <w:t xml:space="preserve"> jebkāda ekonomiska pamatojuma.</w:t>
      </w:r>
    </w:p>
    <w:p w14:paraId="0754804B" w14:textId="76D42CB9" w:rsidR="00DE3E3E" w:rsidRDefault="00C717BB" w:rsidP="00DE3E3E">
      <w:pPr>
        <w:ind w:firstLine="720"/>
        <w:jc w:val="both"/>
        <w:rPr>
          <w:rFonts w:ascii="Times New Roman" w:hAnsi="Times New Roman" w:cs="Times New Roman"/>
          <w:sz w:val="24"/>
          <w:szCs w:val="24"/>
          <w:lang w:val="lv-LV"/>
        </w:rPr>
      </w:pPr>
      <w:r w:rsidRPr="00FA6DEE">
        <w:rPr>
          <w:rFonts w:ascii="Times New Roman" w:hAnsi="Times New Roman" w:cs="Times New Roman"/>
          <w:sz w:val="24"/>
          <w:szCs w:val="24"/>
          <w:lang w:val="lv-LV"/>
        </w:rPr>
        <w:t xml:space="preserve">Virtuālās valūtas valsts pārvaldes iestāžu uzmanības fokusā nostiprinājās 2013. gada beigās </w:t>
      </w:r>
      <w:r w:rsidR="00431E05" w:rsidRPr="0016704F">
        <w:rPr>
          <w:rFonts w:ascii="Times New Roman" w:hAnsi="Times New Roman" w:cs="Times New Roman"/>
          <w:sz w:val="24"/>
          <w:szCs w:val="24"/>
          <w:lang w:val="lv-LV"/>
        </w:rPr>
        <w:t xml:space="preserve">– </w:t>
      </w:r>
      <w:r w:rsidRPr="00FA6DEE">
        <w:rPr>
          <w:rFonts w:ascii="Times New Roman" w:hAnsi="Times New Roman" w:cs="Times New Roman"/>
          <w:sz w:val="24"/>
          <w:szCs w:val="24"/>
          <w:lang w:val="lv-LV"/>
        </w:rPr>
        <w:t xml:space="preserve">2014. gada sākumā, kad strauju popularitāti visā pasaulē guvusī virtuālā valūta </w:t>
      </w:r>
      <w:r w:rsidRPr="00FA6DEE">
        <w:rPr>
          <w:rFonts w:ascii="Times New Roman" w:hAnsi="Times New Roman" w:cs="Times New Roman"/>
          <w:i/>
          <w:sz w:val="24"/>
          <w:szCs w:val="24"/>
          <w:lang w:val="lv-LV"/>
        </w:rPr>
        <w:t>Bitcoin</w:t>
      </w:r>
      <w:r w:rsidRPr="00FA6DEE">
        <w:rPr>
          <w:rFonts w:ascii="Times New Roman" w:hAnsi="Times New Roman" w:cs="Times New Roman"/>
          <w:sz w:val="24"/>
          <w:szCs w:val="24"/>
          <w:lang w:val="lv-LV"/>
        </w:rPr>
        <w:t xml:space="preserve"> kļuva par daudzu neviennozīmīgu situāciju un diskusiju objektu. Ņemot vērā, ka iestāžu mandātā nav nepārprotami minēta virtuālo valūta uzraudzība, regulēšana un citas aktivitātes, katra iestāde pati novērtē tās pārraudzībā esošos ar virtuālajām valūtām saistītos aspektus un </w:t>
      </w:r>
      <w:r w:rsidR="008B2D8F">
        <w:rPr>
          <w:rFonts w:ascii="Times New Roman" w:hAnsi="Times New Roman" w:cs="Times New Roman"/>
          <w:sz w:val="24"/>
          <w:szCs w:val="24"/>
          <w:lang w:val="lv-LV"/>
        </w:rPr>
        <w:t>resursus, kas izdalāmi šīs jaunā</w:t>
      </w:r>
      <w:r w:rsidRPr="00FA6DEE">
        <w:rPr>
          <w:rFonts w:ascii="Times New Roman" w:hAnsi="Times New Roman" w:cs="Times New Roman"/>
          <w:sz w:val="24"/>
          <w:szCs w:val="24"/>
          <w:lang w:val="lv-LV"/>
        </w:rPr>
        <w:t>s jom</w:t>
      </w:r>
      <w:r w:rsidR="0016704F">
        <w:rPr>
          <w:rFonts w:ascii="Times New Roman" w:hAnsi="Times New Roman" w:cs="Times New Roman"/>
          <w:sz w:val="24"/>
          <w:szCs w:val="24"/>
          <w:lang w:val="lv-LV"/>
        </w:rPr>
        <w:t xml:space="preserve">as un </w:t>
      </w:r>
      <w:r w:rsidR="008B2D8F">
        <w:rPr>
          <w:rFonts w:ascii="Times New Roman" w:hAnsi="Times New Roman" w:cs="Times New Roman"/>
          <w:sz w:val="24"/>
          <w:szCs w:val="24"/>
          <w:lang w:val="lv-LV"/>
        </w:rPr>
        <w:t xml:space="preserve">no tās </w:t>
      </w:r>
      <w:r w:rsidR="0016704F">
        <w:rPr>
          <w:rFonts w:ascii="Times New Roman" w:hAnsi="Times New Roman" w:cs="Times New Roman"/>
          <w:sz w:val="24"/>
          <w:szCs w:val="24"/>
          <w:lang w:val="lv-LV"/>
        </w:rPr>
        <w:t>izrietošo risku analīzei:</w:t>
      </w:r>
    </w:p>
    <w:p w14:paraId="0BA0684A" w14:textId="1C53B5A6" w:rsidR="0016704F" w:rsidRDefault="0016704F" w:rsidP="0016704F">
      <w:pPr>
        <w:pStyle w:val="ListParagraph"/>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Finanšu ministrijas kompetencē </w:t>
      </w:r>
      <w:r w:rsidR="00115C56">
        <w:rPr>
          <w:rFonts w:ascii="Times New Roman" w:hAnsi="Times New Roman" w:cs="Times New Roman"/>
          <w:sz w:val="24"/>
          <w:szCs w:val="24"/>
          <w:lang w:val="lv-LV"/>
        </w:rPr>
        <w:t>ir</w:t>
      </w:r>
      <w:r>
        <w:rPr>
          <w:rFonts w:ascii="Times New Roman" w:hAnsi="Times New Roman" w:cs="Times New Roman"/>
          <w:sz w:val="24"/>
          <w:szCs w:val="24"/>
          <w:lang w:val="lv-LV"/>
        </w:rPr>
        <w:t xml:space="preserve"> finanšu sektora attīstības</w:t>
      </w:r>
      <w:r w:rsidR="008B2D8F">
        <w:rPr>
          <w:rFonts w:ascii="Times New Roman" w:hAnsi="Times New Roman" w:cs="Times New Roman"/>
          <w:sz w:val="24"/>
          <w:szCs w:val="24"/>
          <w:lang w:val="lv-LV"/>
        </w:rPr>
        <w:t xml:space="preserve"> un nodokļu un grāmatvedības </w:t>
      </w:r>
      <w:r>
        <w:rPr>
          <w:rFonts w:ascii="Times New Roman" w:hAnsi="Times New Roman" w:cs="Times New Roman"/>
          <w:sz w:val="24"/>
          <w:szCs w:val="24"/>
          <w:lang w:val="lv-LV"/>
        </w:rPr>
        <w:t>politikas veidošana</w:t>
      </w:r>
    </w:p>
    <w:p w14:paraId="23CDA817" w14:textId="288EB8B6" w:rsidR="0016704F" w:rsidRDefault="00C717BB" w:rsidP="0016704F">
      <w:pPr>
        <w:pStyle w:val="ListParagraph"/>
        <w:numPr>
          <w:ilvl w:val="0"/>
          <w:numId w:val="8"/>
        </w:numPr>
        <w:jc w:val="both"/>
        <w:rPr>
          <w:rFonts w:ascii="Times New Roman" w:hAnsi="Times New Roman" w:cs="Times New Roman"/>
          <w:sz w:val="24"/>
          <w:szCs w:val="24"/>
          <w:lang w:val="lv-LV"/>
        </w:rPr>
      </w:pPr>
      <w:r w:rsidRPr="0016704F">
        <w:rPr>
          <w:rFonts w:ascii="Times New Roman" w:hAnsi="Times New Roman" w:cs="Times New Roman"/>
          <w:sz w:val="24"/>
          <w:szCs w:val="24"/>
          <w:lang w:val="lv-LV"/>
        </w:rPr>
        <w:t xml:space="preserve">Latvijas Bankas kompetencē </w:t>
      </w:r>
      <w:r w:rsidR="00115C56">
        <w:rPr>
          <w:rFonts w:ascii="Times New Roman" w:hAnsi="Times New Roman" w:cs="Times New Roman"/>
          <w:sz w:val="24"/>
          <w:szCs w:val="24"/>
          <w:lang w:val="lv-LV"/>
        </w:rPr>
        <w:t>–</w:t>
      </w:r>
      <w:r w:rsidRPr="0016704F">
        <w:rPr>
          <w:rFonts w:ascii="Times New Roman" w:hAnsi="Times New Roman" w:cs="Times New Roman"/>
          <w:sz w:val="24"/>
          <w:szCs w:val="24"/>
          <w:lang w:val="lv-LV"/>
        </w:rPr>
        <w:t xml:space="preserve"> virtuālo valūtu ietekmes novērtējums uz maksājumu sistēmu un finanšu stabilitāti un inovatīvo maksājumu tehnoloģiju attīstība</w:t>
      </w:r>
    </w:p>
    <w:p w14:paraId="23B63F97" w14:textId="7B5B427C" w:rsidR="0016704F" w:rsidRDefault="0016704F" w:rsidP="0016704F">
      <w:pPr>
        <w:pStyle w:val="ListParagraph"/>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FKTK</w:t>
      </w:r>
      <w:r w:rsidR="00C717BB" w:rsidRPr="0016704F">
        <w:rPr>
          <w:rFonts w:ascii="Times New Roman" w:hAnsi="Times New Roman" w:cs="Times New Roman"/>
          <w:sz w:val="24"/>
          <w:szCs w:val="24"/>
          <w:lang w:val="lv-LV"/>
        </w:rPr>
        <w:t xml:space="preserve"> </w:t>
      </w:r>
      <w:r w:rsidR="005E5D70">
        <w:rPr>
          <w:rFonts w:ascii="Times New Roman" w:hAnsi="Times New Roman" w:cs="Times New Roman"/>
          <w:sz w:val="24"/>
          <w:szCs w:val="24"/>
          <w:lang w:val="lv-LV"/>
        </w:rPr>
        <w:t xml:space="preserve">kompetencē </w:t>
      </w:r>
      <w:r w:rsidR="00C717BB" w:rsidRPr="0016704F">
        <w:rPr>
          <w:rFonts w:ascii="Times New Roman" w:hAnsi="Times New Roman" w:cs="Times New Roman"/>
          <w:sz w:val="24"/>
          <w:szCs w:val="24"/>
          <w:lang w:val="lv-LV"/>
        </w:rPr>
        <w:t>– nelicencēto finanšu pakalpojumu sniegšanas novēršana un finanšu pakalpojumu lietotāj</w:t>
      </w:r>
      <w:r w:rsidR="004D5E55">
        <w:rPr>
          <w:rFonts w:ascii="Times New Roman" w:hAnsi="Times New Roman" w:cs="Times New Roman"/>
          <w:sz w:val="24"/>
          <w:szCs w:val="24"/>
          <w:lang w:val="lv-LV"/>
        </w:rPr>
        <w:t>u, t.sk. investoru aizsardzība</w:t>
      </w:r>
    </w:p>
    <w:p w14:paraId="21B25767" w14:textId="0949FAEA" w:rsidR="0016704F" w:rsidRDefault="00C717BB" w:rsidP="0016704F">
      <w:pPr>
        <w:pStyle w:val="ListParagraph"/>
        <w:numPr>
          <w:ilvl w:val="0"/>
          <w:numId w:val="8"/>
        </w:numPr>
        <w:jc w:val="both"/>
        <w:rPr>
          <w:rFonts w:ascii="Times New Roman" w:hAnsi="Times New Roman" w:cs="Times New Roman"/>
          <w:sz w:val="24"/>
          <w:szCs w:val="24"/>
          <w:lang w:val="lv-LV"/>
        </w:rPr>
      </w:pPr>
      <w:r w:rsidRPr="0016704F">
        <w:rPr>
          <w:rFonts w:ascii="Times New Roman" w:hAnsi="Times New Roman" w:cs="Times New Roman"/>
          <w:sz w:val="24"/>
          <w:szCs w:val="24"/>
          <w:lang w:val="lv-LV"/>
        </w:rPr>
        <w:t>Valsts ieņēmumu dienesta kompetencē –</w:t>
      </w:r>
      <w:r w:rsidR="004D5E55">
        <w:rPr>
          <w:rFonts w:ascii="Times New Roman" w:hAnsi="Times New Roman" w:cs="Times New Roman"/>
          <w:sz w:val="24"/>
          <w:szCs w:val="24"/>
          <w:lang w:val="lv-LV"/>
        </w:rPr>
        <w:t xml:space="preserve"> </w:t>
      </w:r>
      <w:r w:rsidR="00BF1F71">
        <w:rPr>
          <w:rFonts w:ascii="Times New Roman" w:hAnsi="Times New Roman" w:cs="Times New Roman"/>
          <w:sz w:val="24"/>
          <w:szCs w:val="24"/>
          <w:lang w:val="lv-LV"/>
        </w:rPr>
        <w:t>virtuālās valūtas pakalpojumu sniedzēju NIL</w:t>
      </w:r>
      <w:r w:rsidR="00E053E1">
        <w:rPr>
          <w:rFonts w:ascii="Times New Roman" w:hAnsi="Times New Roman" w:cs="Times New Roman"/>
          <w:sz w:val="24"/>
          <w:szCs w:val="24"/>
          <w:lang w:val="lv-LV"/>
        </w:rPr>
        <w:t>L</w:t>
      </w:r>
      <w:r w:rsidR="00BF1F71">
        <w:rPr>
          <w:rFonts w:ascii="Times New Roman" w:hAnsi="Times New Roman" w:cs="Times New Roman"/>
          <w:sz w:val="24"/>
          <w:szCs w:val="24"/>
          <w:lang w:val="lv-LV"/>
        </w:rPr>
        <w:t>TFNL prasību izpildes uzraudzība</w:t>
      </w:r>
      <w:r w:rsidR="004D5E55">
        <w:rPr>
          <w:rFonts w:ascii="Times New Roman" w:hAnsi="Times New Roman" w:cs="Times New Roman"/>
          <w:sz w:val="24"/>
          <w:szCs w:val="24"/>
          <w:lang w:val="lv-LV"/>
        </w:rPr>
        <w:t xml:space="preserve"> un nodokļu iekasēšana no virtuālās valūtas darījumiem</w:t>
      </w:r>
    </w:p>
    <w:p w14:paraId="51CFD233" w14:textId="2115A18D" w:rsidR="0016704F" w:rsidRDefault="00447F5B" w:rsidP="0016704F">
      <w:pPr>
        <w:pStyle w:val="ListParagraph"/>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Izmeklēšanas iestādes</w:t>
      </w:r>
      <w:r w:rsidR="0016704F">
        <w:rPr>
          <w:rFonts w:ascii="Times New Roman" w:hAnsi="Times New Roman" w:cs="Times New Roman"/>
          <w:sz w:val="24"/>
          <w:szCs w:val="24"/>
          <w:lang w:val="lv-LV"/>
        </w:rPr>
        <w:t>, LR prokuratūras kompetencē – noziedzīgu nodarījumu izmantojot virtuālās valūtas izmeklēšana</w:t>
      </w:r>
    </w:p>
    <w:p w14:paraId="2CBFC8D1" w14:textId="64235617" w:rsidR="00C717BB" w:rsidRPr="00FA6DEE" w:rsidRDefault="004D424F" w:rsidP="0016704F">
      <w:pPr>
        <w:ind w:firstLine="720"/>
        <w:jc w:val="both"/>
        <w:rPr>
          <w:rFonts w:ascii="Times New Roman" w:hAnsi="Times New Roman" w:cs="Times New Roman"/>
          <w:sz w:val="24"/>
          <w:szCs w:val="24"/>
          <w:lang w:val="lv-LV"/>
        </w:rPr>
      </w:pPr>
      <w:r w:rsidRPr="004D424F">
        <w:rPr>
          <w:rFonts w:ascii="Times New Roman" w:hAnsi="Times New Roman" w:cs="Times New Roman"/>
          <w:sz w:val="24"/>
          <w:szCs w:val="24"/>
          <w:lang w:val="lv-LV"/>
        </w:rPr>
        <w:t xml:space="preserve">Pateicoties finanšu pakalpojumu digitalizācijai un attīstībai tiešsaistē, sagaidāms, ka virtuālās valūtas aizvien biežāk ienāks mūsu ikdienā </w:t>
      </w:r>
      <w:r>
        <w:rPr>
          <w:rFonts w:ascii="Times New Roman" w:hAnsi="Times New Roman" w:cs="Times New Roman"/>
          <w:sz w:val="24"/>
          <w:szCs w:val="24"/>
          <w:lang w:val="lv-LV"/>
        </w:rPr>
        <w:t xml:space="preserve">un </w:t>
      </w:r>
      <w:r w:rsidR="00C717BB" w:rsidRPr="00FA6DEE">
        <w:rPr>
          <w:rFonts w:ascii="Times New Roman" w:hAnsi="Times New Roman" w:cs="Times New Roman"/>
          <w:sz w:val="24"/>
          <w:szCs w:val="24"/>
          <w:lang w:val="lv-LV"/>
        </w:rPr>
        <w:t xml:space="preserve">ar laiku kļūs </w:t>
      </w:r>
      <w:r w:rsidR="00AA20FE">
        <w:rPr>
          <w:rFonts w:ascii="Times New Roman" w:hAnsi="Times New Roman" w:cs="Times New Roman"/>
          <w:sz w:val="24"/>
          <w:szCs w:val="24"/>
          <w:lang w:val="lv-LV"/>
        </w:rPr>
        <w:t xml:space="preserve">arī </w:t>
      </w:r>
      <w:r w:rsidR="00C717BB" w:rsidRPr="00FA6DEE">
        <w:rPr>
          <w:rFonts w:ascii="Times New Roman" w:hAnsi="Times New Roman" w:cs="Times New Roman"/>
          <w:sz w:val="24"/>
          <w:szCs w:val="24"/>
          <w:lang w:val="lv-LV"/>
        </w:rPr>
        <w:t xml:space="preserve">par tiesvedības objektu. Efektīvai tiesvedības praksei ir nepieciešami eksperti virtuālo valūtu tehnoloģiju jomā, lai spētu sniegt tiesai kompetentu atzinumu dažādās situācijās. </w:t>
      </w:r>
    </w:p>
    <w:p w14:paraId="5487CF0B" w14:textId="58F44F58" w:rsidR="00C717BB" w:rsidRDefault="00C717BB" w:rsidP="0016704F">
      <w:pPr>
        <w:ind w:firstLine="720"/>
        <w:jc w:val="both"/>
        <w:rPr>
          <w:rFonts w:ascii="Times New Roman" w:hAnsi="Times New Roman" w:cs="Times New Roman"/>
          <w:sz w:val="24"/>
          <w:szCs w:val="24"/>
          <w:lang w:val="lv-LV"/>
        </w:rPr>
      </w:pPr>
      <w:r w:rsidRPr="00FA6DEE">
        <w:rPr>
          <w:rFonts w:ascii="Times New Roman" w:hAnsi="Times New Roman" w:cs="Times New Roman"/>
          <w:sz w:val="24"/>
          <w:szCs w:val="24"/>
          <w:lang w:val="lv-LV"/>
        </w:rPr>
        <w:t xml:space="preserve">Virtuālo valūtu joma šobrīd attīstās ļoti strauji, kas veido nepieciešamību valsts pārvaldes iestādēm veltīt šai jomai aizvien vairāk resursu. Atsevišķie virtuālo valūtu jomas aspekti un jautājumi ir cieši saistīti ar citiem, kas ir jau citu iestāžu kompetencē, juridiski un tehnoloģiski specifiski, kas prasa arī nepārtrauktu kompetences attīstību un iestāžu savstarpējās sadarbības attīstību. </w:t>
      </w:r>
      <w:r w:rsidR="00BC35B3">
        <w:rPr>
          <w:rFonts w:ascii="Times New Roman" w:hAnsi="Times New Roman" w:cs="Times New Roman"/>
          <w:sz w:val="24"/>
          <w:szCs w:val="24"/>
          <w:lang w:val="lv-LV"/>
        </w:rPr>
        <w:t>Attiecībā uz kompetences attīstību svarīgi sekmēt kompetences veidošanas priekšnoteikumus augstākās izglītības un pētniecības iestādēs.</w:t>
      </w:r>
      <w:r w:rsidR="00BC35B3" w:rsidRPr="00FA6DEE">
        <w:rPr>
          <w:rFonts w:ascii="Times New Roman" w:hAnsi="Times New Roman" w:cs="Times New Roman"/>
          <w:sz w:val="24"/>
          <w:szCs w:val="24"/>
          <w:lang w:val="lv-LV"/>
        </w:rPr>
        <w:t xml:space="preserve"> </w:t>
      </w:r>
      <w:r w:rsidRPr="00FA6DEE">
        <w:rPr>
          <w:rFonts w:ascii="Times New Roman" w:hAnsi="Times New Roman" w:cs="Times New Roman"/>
          <w:sz w:val="24"/>
          <w:szCs w:val="24"/>
          <w:lang w:val="lv-LV"/>
        </w:rPr>
        <w:t xml:space="preserve">Paredzams, ka virtuālo valūtu joma turpinās strauji attīstīties un jau šobrīd tā ir </w:t>
      </w:r>
      <w:r w:rsidRPr="00FA6DEE">
        <w:rPr>
          <w:rFonts w:ascii="Times New Roman" w:hAnsi="Times New Roman" w:cs="Times New Roman"/>
          <w:b/>
          <w:sz w:val="24"/>
          <w:szCs w:val="24"/>
          <w:lang w:val="lv-LV"/>
        </w:rPr>
        <w:t xml:space="preserve">apjomīga daudzslāņaina joma, kurā šobrīd trūkst iestāžu koordinētā rīcība, </w:t>
      </w:r>
      <w:r w:rsidR="00096322">
        <w:rPr>
          <w:rFonts w:ascii="Times New Roman" w:hAnsi="Times New Roman" w:cs="Times New Roman"/>
          <w:b/>
          <w:sz w:val="24"/>
          <w:szCs w:val="24"/>
          <w:lang w:val="lv-LV"/>
        </w:rPr>
        <w:t xml:space="preserve">pietiekamas zināšanas </w:t>
      </w:r>
      <w:r w:rsidRPr="00FA6DEE">
        <w:rPr>
          <w:rFonts w:ascii="Times New Roman" w:hAnsi="Times New Roman" w:cs="Times New Roman"/>
          <w:b/>
          <w:sz w:val="24"/>
          <w:szCs w:val="24"/>
          <w:lang w:val="lv-LV"/>
        </w:rPr>
        <w:t>vai, iespējams atsevišķa atbilstoši profilētā iestāde</w:t>
      </w:r>
      <w:r w:rsidRPr="00FA6DEE">
        <w:rPr>
          <w:rFonts w:ascii="Times New Roman" w:hAnsi="Times New Roman" w:cs="Times New Roman"/>
          <w:sz w:val="24"/>
          <w:szCs w:val="24"/>
          <w:lang w:val="lv-LV"/>
        </w:rPr>
        <w:t>, lai padarītu jomas uzraudzību un regulēšanu efektīvāku atbilstoši situācijām kādās virtuālā valūta tiek izmantota, proti, maksājumi, ieguldījumi, maiņas darījumi vai ienākumi no peļņas utt.</w:t>
      </w:r>
    </w:p>
    <w:p w14:paraId="791EC005" w14:textId="1626D6D6" w:rsidR="000C31C7" w:rsidRPr="00215253" w:rsidRDefault="00E053E1" w:rsidP="00DD602C">
      <w:pPr>
        <w:pStyle w:val="Teksts1"/>
        <w:spacing w:after="0"/>
        <w:ind w:firstLine="720"/>
        <w:rPr>
          <w:szCs w:val="24"/>
        </w:rPr>
      </w:pPr>
      <w:r>
        <w:rPr>
          <w:szCs w:val="24"/>
        </w:rPr>
        <w:t>Lai efektīvāk veiktu NILLTFNL noteiktos</w:t>
      </w:r>
      <w:r w:rsidR="00914841">
        <w:rPr>
          <w:szCs w:val="24"/>
        </w:rPr>
        <w:t xml:space="preserve"> uzraudzības un kontroles pasāku</w:t>
      </w:r>
      <w:r>
        <w:rPr>
          <w:szCs w:val="24"/>
        </w:rPr>
        <w:t>mus</w:t>
      </w:r>
      <w:r w:rsidR="00914841">
        <w:rPr>
          <w:szCs w:val="24"/>
        </w:rPr>
        <w:t>, n</w:t>
      </w:r>
      <w:r w:rsidR="000C31C7" w:rsidRPr="00215253">
        <w:rPr>
          <w:szCs w:val="24"/>
        </w:rPr>
        <w:t>ormatīvajos aktos būtu jāparedz virtuālās valūtas pakalpojumu sniedzēju reģistrācija, ievēro</w:t>
      </w:r>
      <w:r w:rsidR="000C31C7">
        <w:rPr>
          <w:szCs w:val="24"/>
        </w:rPr>
        <w:t xml:space="preserve">jot NILLTFNL noteiktās prasības, tādējādi nodrošinot efektīvu </w:t>
      </w:r>
      <w:r w:rsidR="000C31C7">
        <w:rPr>
          <w:szCs w:val="24"/>
          <w:lang w:eastAsia="lv-LV"/>
        </w:rPr>
        <w:t>NILLTFNL subjektu</w:t>
      </w:r>
      <w:r w:rsidR="000C31C7" w:rsidRPr="00867E9D">
        <w:rPr>
          <w:szCs w:val="24"/>
          <w:lang w:eastAsia="lv-LV"/>
        </w:rPr>
        <w:t xml:space="preserve"> </w:t>
      </w:r>
      <w:r w:rsidR="000C31C7">
        <w:rPr>
          <w:szCs w:val="24"/>
          <w:lang w:eastAsia="lv-LV"/>
        </w:rPr>
        <w:t>identificēšanu, veicot to pārbaudi un uzraudzību jau darbības uzsākšanas brīdī.</w:t>
      </w:r>
      <w:r w:rsidR="00B75CA2">
        <w:rPr>
          <w:szCs w:val="24"/>
          <w:lang w:eastAsia="lv-LV"/>
        </w:rPr>
        <w:t xml:space="preserve"> Virtuālās valūtas pakalpojumu sniedzēju licencēšana pašlaik netiek plānota. </w:t>
      </w:r>
    </w:p>
    <w:p w14:paraId="17A41918" w14:textId="23EB8038" w:rsidR="0015720E" w:rsidRDefault="000C31C7" w:rsidP="0015720E">
      <w:pPr>
        <w:ind w:firstLine="720"/>
        <w:jc w:val="both"/>
        <w:rPr>
          <w:rFonts w:ascii="Times New Roman" w:hAnsi="Times New Roman"/>
          <w:sz w:val="24"/>
          <w:szCs w:val="24"/>
          <w:lang w:val="lv-LV"/>
        </w:rPr>
      </w:pPr>
      <w:r>
        <w:rPr>
          <w:rFonts w:ascii="Times New Roman" w:hAnsi="Times New Roman" w:cs="Times New Roman"/>
          <w:sz w:val="24"/>
          <w:szCs w:val="24"/>
          <w:lang w:val="lv-LV" w:eastAsia="lv-LV"/>
        </w:rPr>
        <w:t>Lai nodrošinātu efektīvu NILLTFN risku identificēšanu, novēršanu un ēnu ekonomikas samazināšanu, veicami grozījumi</w:t>
      </w:r>
      <w:r w:rsidRPr="00215253">
        <w:rPr>
          <w:rFonts w:ascii="Times New Roman" w:hAnsi="Times New Roman" w:cs="Times New Roman"/>
          <w:sz w:val="24"/>
          <w:szCs w:val="24"/>
          <w:lang w:val="lv-LV" w:eastAsia="lv-LV"/>
        </w:rPr>
        <w:t xml:space="preserve"> NILLTFNL</w:t>
      </w:r>
      <w:r w:rsidR="004B2B4B">
        <w:rPr>
          <w:rFonts w:ascii="Times New Roman" w:hAnsi="Times New Roman" w:cs="Times New Roman"/>
          <w:sz w:val="24"/>
          <w:szCs w:val="24"/>
          <w:lang w:val="lv-LV" w:eastAsia="lv-LV"/>
        </w:rPr>
        <w:t xml:space="preserve">. </w:t>
      </w:r>
      <w:r w:rsidR="004B2B4B" w:rsidRPr="004B2B4B">
        <w:rPr>
          <w:rFonts w:ascii="Times New Roman" w:hAnsi="Times New Roman" w:cs="Times New Roman"/>
          <w:sz w:val="24"/>
          <w:szCs w:val="24"/>
          <w:lang w:val="lv-LV" w:eastAsia="lv-LV"/>
        </w:rPr>
        <w:t xml:space="preserve">Lai novērstu un nepieļautu neklātienes identifikācijas procesā klienta anonimitātes saglabāšanu un mazinātu risku, ka potenciālie klienti uzdodas par citām personām, kā arī ņemot vērā pārrobežu darījumu raksturu nebūtu vēlams </w:t>
      </w:r>
      <w:r w:rsidR="0015720E">
        <w:rPr>
          <w:rFonts w:ascii="Times New Roman" w:hAnsi="Times New Roman" w:cs="Times New Roman"/>
          <w:sz w:val="24"/>
          <w:szCs w:val="24"/>
          <w:lang w:val="lv-LV" w:eastAsia="lv-LV"/>
        </w:rPr>
        <w:t xml:space="preserve">virtuālo valūtu tirdzniecības (apmaiņas) vietām </w:t>
      </w:r>
      <w:r w:rsidR="0015720E" w:rsidRPr="004B2B4B">
        <w:rPr>
          <w:rFonts w:ascii="Times New Roman" w:hAnsi="Times New Roman" w:cs="Times New Roman"/>
          <w:sz w:val="24"/>
          <w:szCs w:val="24"/>
          <w:lang w:val="lv-LV" w:eastAsia="lv-LV"/>
        </w:rPr>
        <w:t xml:space="preserve">veikt klientu neklātienes identifikāciju bez </w:t>
      </w:r>
      <w:r w:rsidR="0015720E" w:rsidRPr="004B2B4B">
        <w:rPr>
          <w:rFonts w:ascii="Times New Roman" w:hAnsi="Times New Roman" w:cs="Times New Roman"/>
          <w:sz w:val="24"/>
          <w:szCs w:val="24"/>
          <w:lang w:val="lv-LV" w:eastAsia="lv-LV"/>
        </w:rPr>
        <w:lastRenderedPageBreak/>
        <w:t>papildus izpētes pasākumu veikšanas</w:t>
      </w:r>
      <w:r w:rsidR="0015720E">
        <w:rPr>
          <w:rFonts w:ascii="Times New Roman" w:hAnsi="Times New Roman" w:cs="Times New Roman"/>
          <w:sz w:val="24"/>
          <w:szCs w:val="24"/>
          <w:lang w:val="lv-LV" w:eastAsia="lv-LV"/>
        </w:rPr>
        <w:t xml:space="preserve">, t.i., paredzot, ka šiem subjektiem jāveic klientu padziļinātā izpēte un jāiegūst </w:t>
      </w:r>
      <w:r w:rsidR="00A9031F">
        <w:rPr>
          <w:rFonts w:ascii="Times New Roman" w:hAnsi="Times New Roman" w:cs="Times New Roman"/>
          <w:sz w:val="24"/>
          <w:szCs w:val="24"/>
          <w:lang w:val="lv-LV" w:eastAsia="lv-LV"/>
        </w:rPr>
        <w:t>papildu informācija par klientu.</w:t>
      </w:r>
    </w:p>
    <w:p w14:paraId="1F384B3E" w14:textId="5F2E8B55" w:rsidR="000C31C7" w:rsidRDefault="000C31C7" w:rsidP="0015720E">
      <w:pPr>
        <w:ind w:firstLine="720"/>
        <w:jc w:val="both"/>
        <w:rPr>
          <w:rFonts w:ascii="Times New Roman" w:hAnsi="Times New Roman" w:cs="Times New Roman"/>
          <w:sz w:val="24"/>
          <w:szCs w:val="24"/>
          <w:lang w:val="lv-LV"/>
        </w:rPr>
      </w:pPr>
      <w:r>
        <w:rPr>
          <w:rFonts w:ascii="Times New Roman" w:hAnsi="Times New Roman"/>
          <w:sz w:val="24"/>
          <w:szCs w:val="24"/>
          <w:lang w:val="lv-LV"/>
        </w:rPr>
        <w:t>Lai identificētu virtuālo valūtu pakalpojumu sniedzējus un veiktu to uzraudzību, iesakām p</w:t>
      </w:r>
      <w:r w:rsidRPr="002B3767">
        <w:rPr>
          <w:rFonts w:ascii="Times New Roman" w:hAnsi="Times New Roman"/>
          <w:sz w:val="24"/>
          <w:szCs w:val="24"/>
          <w:lang w:val="lv-LV"/>
        </w:rPr>
        <w:t>apildināt NACE klasifik</w:t>
      </w:r>
      <w:r w:rsidRPr="00F7518F">
        <w:rPr>
          <w:rFonts w:ascii="Times New Roman" w:hAnsi="Times New Roman"/>
          <w:sz w:val="24"/>
          <w:szCs w:val="24"/>
          <w:lang w:val="lv-LV"/>
        </w:rPr>
        <w:t>a</w:t>
      </w:r>
      <w:r w:rsidRPr="002B3767">
        <w:rPr>
          <w:rFonts w:ascii="Times New Roman" w:hAnsi="Times New Roman"/>
          <w:sz w:val="24"/>
          <w:szCs w:val="24"/>
          <w:lang w:val="lv-LV"/>
        </w:rPr>
        <w:t>toru ar atsevišķu NACE kodu – darbības ar virtuālajām valūtām</w:t>
      </w:r>
      <w:r>
        <w:rPr>
          <w:rFonts w:ascii="Times New Roman" w:hAnsi="Times New Roman"/>
          <w:sz w:val="24"/>
          <w:szCs w:val="24"/>
          <w:lang w:val="lv-LV"/>
        </w:rPr>
        <w:t>/</w:t>
      </w:r>
      <w:r w:rsidRPr="002D271D">
        <w:rPr>
          <w:rFonts w:ascii="Times New Roman" w:hAnsi="Times New Roman" w:cs="Times New Roman"/>
          <w:sz w:val="24"/>
          <w:szCs w:val="24"/>
          <w:lang w:val="lv-LV"/>
        </w:rPr>
        <w:t xml:space="preserve"> </w:t>
      </w:r>
      <w:r>
        <w:rPr>
          <w:rFonts w:ascii="Times New Roman" w:hAnsi="Times New Roman" w:cs="Times New Roman"/>
          <w:sz w:val="24"/>
          <w:szCs w:val="24"/>
          <w:lang w:val="lv-LV"/>
        </w:rPr>
        <w:t>virtuālās valūtas pakalpojumu sniedzēji.</w:t>
      </w:r>
    </w:p>
    <w:p w14:paraId="78CCDE6E" w14:textId="6BA03CE1" w:rsidR="00C70B61" w:rsidRDefault="00C70B61" w:rsidP="000C31C7">
      <w:pPr>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E07376" w:rsidRPr="00E07376">
        <w:rPr>
          <w:rFonts w:ascii="Times New Roman" w:hAnsi="Times New Roman" w:cs="Times New Roman"/>
          <w:sz w:val="24"/>
          <w:szCs w:val="24"/>
          <w:lang w:val="lv-LV"/>
        </w:rPr>
        <w:t xml:space="preserve">Informatīvā ziņojuma izstrādes gaitā Valsts ieņēmumu dienests ierosināja normatīvajā regulējumā ieviest aizliegumu un atļaut saimniecisko darbību ar tām virtuālajām valūtām, kuru blokķēde (transakciju vēsture) ir publiska. Šobrīd Eiropas Savienībā un daudzviet citur pasaulē saimnieciskā darbība ar jebkādām virtuālajām valūtām ir atļauta un Latvijas atvērto tehnoloģiju asociācijas ieskatā šāds aizliegums būtu neefektīvs, jo nav iespējams kontrolēt tāda aizlieguma izpildi. Arī virtuālo valūtu darījumus ar publisku blokķēdi ir iespējams anonimizēt, izmantojot dažāda veida tehnikas (transakciju skaldīšana, transakciju </w:t>
      </w:r>
      <w:r w:rsidR="00E07376">
        <w:rPr>
          <w:rFonts w:ascii="Times New Roman" w:hAnsi="Times New Roman" w:cs="Times New Roman"/>
          <w:sz w:val="24"/>
          <w:szCs w:val="24"/>
          <w:lang w:val="lv-LV"/>
        </w:rPr>
        <w:t>s</w:t>
      </w:r>
      <w:r w:rsidR="00E07376" w:rsidRPr="00E07376">
        <w:rPr>
          <w:rFonts w:ascii="Times New Roman" w:hAnsi="Times New Roman" w:cs="Times New Roman"/>
          <w:sz w:val="24"/>
          <w:szCs w:val="24"/>
          <w:lang w:val="lv-LV"/>
        </w:rPr>
        <w:t>ajaukšana (</w:t>
      </w:r>
      <w:r w:rsidR="00E07376" w:rsidRPr="00E07376">
        <w:rPr>
          <w:rFonts w:ascii="Times New Roman" w:hAnsi="Times New Roman" w:cs="Times New Roman"/>
          <w:i/>
          <w:sz w:val="24"/>
          <w:szCs w:val="24"/>
          <w:lang w:val="lv-LV"/>
        </w:rPr>
        <w:t>transaction mixing</w:t>
      </w:r>
      <w:r w:rsidR="00E07376" w:rsidRPr="00E07376">
        <w:rPr>
          <w:rFonts w:ascii="Times New Roman" w:hAnsi="Times New Roman" w:cs="Times New Roman"/>
          <w:sz w:val="24"/>
          <w:szCs w:val="24"/>
          <w:lang w:val="lv-LV"/>
        </w:rPr>
        <w:t>), starp dažādu valūtu maiņas darījumu veikšana u.c.). Tāda veida aizliegums izraisītu arī pārprotamu statusu virtuālajām valūtām, kuru blokķēdes ir daļēji publiskas. Ņemot vērā straujo tehnoloģiju attīstību un būtību, nav iespējams paredzēt jaunu virtuālo valūtu izveidi un īpašības. Aizlieguma vietā būtu jāizstrādā metodika, kā identificēt un novērst pretlikumīgus darījumus ar jebkādu virtuālo valūtu. Tas ir iespējams, izvērtējot pašu darījumu būtību un mērķi, jo darījumos ar virtuālo valūtu vienmēr ir identificējami un izsekojami citu tieši vai netieši fakti (piemēram, darījumu laiks, pakalpojuma, preces, labuma saņēmējs, piegādes adrese, darījumu vēsture virtuālajā makā utt.).</w:t>
      </w:r>
    </w:p>
    <w:p w14:paraId="6382AF4D" w14:textId="77777777" w:rsidR="00EE1A97" w:rsidRDefault="00EE1A97" w:rsidP="0060794B">
      <w:pPr>
        <w:rPr>
          <w:rFonts w:ascii="Times New Roman" w:hAnsi="Times New Roman" w:cs="Times New Roman"/>
          <w:b/>
          <w:i/>
          <w:sz w:val="24"/>
          <w:szCs w:val="24"/>
          <w:lang w:val="lv-LV"/>
        </w:rPr>
      </w:pPr>
    </w:p>
    <w:p w14:paraId="3F38A4B0" w14:textId="7771CAEC" w:rsidR="00C717BB" w:rsidRPr="00CC54DE" w:rsidRDefault="0060794B" w:rsidP="002E1BC8">
      <w:pPr>
        <w:ind w:firstLine="357"/>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1.3. </w:t>
      </w:r>
      <w:r w:rsidR="00C717BB" w:rsidRPr="00CC54DE">
        <w:rPr>
          <w:rFonts w:ascii="Times New Roman" w:hAnsi="Times New Roman" w:cs="Times New Roman"/>
          <w:b/>
          <w:i/>
          <w:sz w:val="24"/>
          <w:szCs w:val="24"/>
          <w:lang w:val="lv-LV"/>
        </w:rPr>
        <w:t>Virtuālo valūtu publiskais piedāvājums</w:t>
      </w:r>
    </w:p>
    <w:p w14:paraId="7B12C349" w14:textId="77777777" w:rsidR="00C717BB" w:rsidRPr="00CC54DE" w:rsidRDefault="00C717BB" w:rsidP="00C717BB">
      <w:pPr>
        <w:jc w:val="both"/>
        <w:rPr>
          <w:rFonts w:ascii="Times New Roman" w:hAnsi="Times New Roman" w:cs="Times New Roman"/>
          <w:sz w:val="24"/>
          <w:szCs w:val="24"/>
          <w:lang w:val="lv-LV"/>
        </w:rPr>
      </w:pPr>
    </w:p>
    <w:p w14:paraId="3273D4CD" w14:textId="77777777" w:rsidR="00554E64" w:rsidRDefault="00C717BB" w:rsidP="00DB578D">
      <w:pPr>
        <w:ind w:firstLine="720"/>
        <w:jc w:val="both"/>
        <w:rPr>
          <w:rFonts w:ascii="Times New Roman" w:hAnsi="Times New Roman" w:cs="Times New Roman"/>
          <w:sz w:val="24"/>
          <w:szCs w:val="24"/>
          <w:lang w:val="lv-LV"/>
        </w:rPr>
      </w:pPr>
      <w:r w:rsidRPr="00CC54DE">
        <w:rPr>
          <w:rFonts w:ascii="Times New Roman" w:hAnsi="Times New Roman" w:cs="Times New Roman"/>
          <w:sz w:val="24"/>
          <w:szCs w:val="24"/>
          <w:lang w:val="lv-LV"/>
        </w:rPr>
        <w:t>Š</w:t>
      </w:r>
      <w:r w:rsidR="00CC54DE">
        <w:rPr>
          <w:rFonts w:ascii="Times New Roman" w:hAnsi="Times New Roman" w:cs="Times New Roman"/>
          <w:sz w:val="24"/>
          <w:szCs w:val="24"/>
          <w:lang w:val="lv-LV"/>
        </w:rPr>
        <w:t>ā gada</w:t>
      </w:r>
      <w:r w:rsidRPr="00CC54DE">
        <w:rPr>
          <w:rFonts w:ascii="Times New Roman" w:hAnsi="Times New Roman" w:cs="Times New Roman"/>
          <w:sz w:val="24"/>
          <w:szCs w:val="24"/>
          <w:lang w:val="lv-LV"/>
        </w:rPr>
        <w:t xml:space="preserve"> 26. </w:t>
      </w:r>
      <w:r w:rsidR="00BF1F71">
        <w:rPr>
          <w:rFonts w:ascii="Times New Roman" w:hAnsi="Times New Roman" w:cs="Times New Roman"/>
          <w:sz w:val="24"/>
          <w:szCs w:val="24"/>
          <w:lang w:val="lv-LV"/>
        </w:rPr>
        <w:t>februārī pēc augst</w:t>
      </w:r>
      <w:r w:rsidR="004C5CAE">
        <w:rPr>
          <w:rFonts w:ascii="Times New Roman" w:hAnsi="Times New Roman" w:cs="Times New Roman"/>
          <w:sz w:val="24"/>
          <w:szCs w:val="24"/>
          <w:lang w:val="lv-LV"/>
        </w:rPr>
        <w:t>a</w:t>
      </w:r>
      <w:r w:rsidR="00BF1F71">
        <w:rPr>
          <w:rFonts w:ascii="Times New Roman" w:hAnsi="Times New Roman" w:cs="Times New Roman"/>
          <w:sz w:val="24"/>
          <w:szCs w:val="24"/>
          <w:lang w:val="lv-LV"/>
        </w:rPr>
        <w:t xml:space="preserve"> līmeņa apaļā</w:t>
      </w:r>
      <w:r w:rsidRPr="00CC54DE">
        <w:rPr>
          <w:rFonts w:ascii="Times New Roman" w:hAnsi="Times New Roman" w:cs="Times New Roman"/>
          <w:sz w:val="24"/>
          <w:szCs w:val="24"/>
          <w:lang w:val="lv-LV"/>
        </w:rPr>
        <w:t xml:space="preserve"> galda diskusijas par virtuālajām valūtām Briselē, Eiropas Komisijas viceprezidents V. Dombrovskis atzina, ka sākotnējie virtuālo valūtu piedāvājumi (</w:t>
      </w:r>
      <w:r w:rsidRPr="00CC54DE">
        <w:rPr>
          <w:rFonts w:ascii="Times New Roman" w:hAnsi="Times New Roman" w:cs="Times New Roman"/>
          <w:i/>
          <w:sz w:val="24"/>
          <w:szCs w:val="24"/>
          <w:lang w:val="lv-LV"/>
        </w:rPr>
        <w:t>Initial Coin Offering</w:t>
      </w:r>
      <w:r w:rsidR="00CC54DE">
        <w:rPr>
          <w:rFonts w:ascii="Times New Roman" w:hAnsi="Times New Roman" w:cs="Times New Roman"/>
          <w:i/>
          <w:sz w:val="24"/>
          <w:szCs w:val="24"/>
          <w:lang w:val="lv-LV"/>
        </w:rPr>
        <w:t xml:space="preserve">) </w:t>
      </w:r>
      <w:r w:rsidR="00CC54DE">
        <w:rPr>
          <w:rFonts w:ascii="Times New Roman" w:hAnsi="Times New Roman" w:cs="Times New Roman"/>
          <w:sz w:val="24"/>
          <w:szCs w:val="24"/>
          <w:lang w:val="lv-LV"/>
        </w:rPr>
        <w:t>(turpmāk - ICO</w:t>
      </w:r>
      <w:r w:rsidRPr="00CC54DE">
        <w:rPr>
          <w:rFonts w:ascii="Times New Roman" w:hAnsi="Times New Roman" w:cs="Times New Roman"/>
          <w:sz w:val="24"/>
          <w:szCs w:val="24"/>
          <w:lang w:val="lv-LV"/>
        </w:rPr>
        <w:t xml:space="preserve">) kļuvuši par veidu inovatīviem uzņēmumiem piesaistīt būtiskus investīciju apjomus. Tā ir iespēja, bet vienlaikus pastāv būtiski riski investoram, </w:t>
      </w:r>
    </w:p>
    <w:p w14:paraId="19DAAF13" w14:textId="69746C83" w:rsidR="00C717BB" w:rsidRPr="00CC54DE" w:rsidRDefault="00C717BB" w:rsidP="00554E64">
      <w:pPr>
        <w:jc w:val="both"/>
        <w:rPr>
          <w:rFonts w:ascii="Times New Roman" w:hAnsi="Times New Roman" w:cs="Times New Roman"/>
          <w:sz w:val="24"/>
          <w:szCs w:val="24"/>
          <w:lang w:val="lv-LV"/>
        </w:rPr>
      </w:pPr>
      <w:r w:rsidRPr="00CC54DE">
        <w:rPr>
          <w:rFonts w:ascii="Times New Roman" w:hAnsi="Times New Roman" w:cs="Times New Roman"/>
          <w:sz w:val="24"/>
          <w:szCs w:val="24"/>
          <w:lang w:val="lv-LV"/>
        </w:rPr>
        <w:t>tādi kā investoru identitātes vai biznesa plānu un cenu veidošanas necaurspīdīgums, aizsardzības mehānismu neesamība. Investors savu lēmumu balsta uz biznesa idejas aprakstu (</w:t>
      </w:r>
      <w:r w:rsidRPr="00CC54DE">
        <w:rPr>
          <w:rFonts w:ascii="Times New Roman" w:hAnsi="Times New Roman" w:cs="Times New Roman"/>
          <w:i/>
          <w:sz w:val="24"/>
          <w:szCs w:val="24"/>
          <w:lang w:val="lv-LV"/>
        </w:rPr>
        <w:t>white paper</w:t>
      </w:r>
      <w:r w:rsidRPr="00CC54DE">
        <w:rPr>
          <w:rFonts w:ascii="Times New Roman" w:hAnsi="Times New Roman" w:cs="Times New Roman"/>
          <w:sz w:val="24"/>
          <w:szCs w:val="24"/>
          <w:lang w:val="lv-LV"/>
        </w:rPr>
        <w:t>), kas nav standartizēts, subjektīvs un, dažreiz, pat ir maldinošs īpaši nepieredzējušām investoram, kurš nav noteiktās jomas eksperts. Šādus investorus ar investīciju objektu oficiāli nesaista nekādas juridiskās attiecības, neaizsargā likumi un investori, uzticot savus līdzekļus ICO organizēt</w:t>
      </w:r>
      <w:r w:rsidR="00AA20FE">
        <w:rPr>
          <w:rFonts w:ascii="Times New Roman" w:hAnsi="Times New Roman" w:cs="Times New Roman"/>
          <w:sz w:val="24"/>
          <w:szCs w:val="24"/>
          <w:lang w:val="lv-LV"/>
        </w:rPr>
        <w:t>ā</w:t>
      </w:r>
      <w:r w:rsidRPr="00CC54DE">
        <w:rPr>
          <w:rFonts w:ascii="Times New Roman" w:hAnsi="Times New Roman" w:cs="Times New Roman"/>
          <w:sz w:val="24"/>
          <w:szCs w:val="24"/>
          <w:lang w:val="lv-LV"/>
        </w:rPr>
        <w:t xml:space="preserve">jam, var viegli kļūt par krāpnieku upuriem. Tomēr kopumā Eiropas Komisija atzīst, ka ICO būtībā ir pozitīvi vērtējams fenomens, kurš jāattīsta, veicinot investoru aizsardzību un krāpniecības gadījumu samazināšanos.  </w:t>
      </w:r>
    </w:p>
    <w:p w14:paraId="757B2093" w14:textId="77777777" w:rsidR="00C717BB" w:rsidRPr="00CC54DE" w:rsidRDefault="00C717BB" w:rsidP="00CC54DE">
      <w:pPr>
        <w:ind w:firstLine="720"/>
        <w:jc w:val="both"/>
        <w:rPr>
          <w:rFonts w:ascii="Times New Roman" w:hAnsi="Times New Roman" w:cs="Times New Roman"/>
          <w:sz w:val="24"/>
          <w:szCs w:val="24"/>
          <w:lang w:val="lv-LV"/>
        </w:rPr>
      </w:pPr>
      <w:r w:rsidRPr="00CC54DE">
        <w:rPr>
          <w:rFonts w:ascii="Times New Roman" w:hAnsi="Times New Roman" w:cs="Times New Roman"/>
          <w:sz w:val="24"/>
          <w:szCs w:val="24"/>
          <w:lang w:val="lv-LV"/>
        </w:rPr>
        <w:t>ICO ir publiska finanšu līdzekļu piesaistīšana, izmantojot kriptovalūtu (virtuālo valūtu), emitējot jaunu virtuālo valūtu (</w:t>
      </w:r>
      <w:r w:rsidRPr="00595B91">
        <w:rPr>
          <w:rFonts w:ascii="Times New Roman" w:hAnsi="Times New Roman" w:cs="Times New Roman"/>
          <w:i/>
          <w:sz w:val="24"/>
          <w:szCs w:val="24"/>
          <w:lang w:val="lv-LV"/>
        </w:rPr>
        <w:t>no angļu valodas – coins</w:t>
      </w:r>
      <w:r w:rsidRPr="00CC54DE">
        <w:rPr>
          <w:rFonts w:ascii="Times New Roman" w:hAnsi="Times New Roman" w:cs="Times New Roman"/>
          <w:sz w:val="24"/>
          <w:szCs w:val="24"/>
          <w:lang w:val="lv-LV"/>
        </w:rPr>
        <w:t>) vai tā saucamos tokenus (</w:t>
      </w:r>
      <w:r w:rsidRPr="00595B91">
        <w:rPr>
          <w:rFonts w:ascii="Times New Roman" w:hAnsi="Times New Roman" w:cs="Times New Roman"/>
          <w:i/>
          <w:sz w:val="24"/>
          <w:szCs w:val="24"/>
          <w:lang w:val="lv-LV"/>
        </w:rPr>
        <w:t>no angļu valodas - token</w:t>
      </w:r>
      <w:r w:rsidRPr="00CC54DE">
        <w:rPr>
          <w:rFonts w:ascii="Times New Roman" w:hAnsi="Times New Roman" w:cs="Times New Roman"/>
          <w:sz w:val="24"/>
          <w:szCs w:val="24"/>
          <w:lang w:val="lv-LV"/>
        </w:rPr>
        <w:t xml:space="preserve">). Tokens ir kupons, kas, atkarībā no tam piešķirtajām īpašībām, reprezentē virtuālu valūtu, vērtspapīru vai kaut kādu citu prasījuma tiesību pret emitentu. </w:t>
      </w:r>
    </w:p>
    <w:p w14:paraId="0F9D9BD8" w14:textId="77777777" w:rsidR="00C717BB" w:rsidRPr="00CC54DE" w:rsidRDefault="00C717BB" w:rsidP="00CC54DE">
      <w:pPr>
        <w:ind w:firstLine="360"/>
        <w:jc w:val="both"/>
        <w:rPr>
          <w:rFonts w:ascii="Times New Roman" w:hAnsi="Times New Roman" w:cs="Times New Roman"/>
          <w:sz w:val="24"/>
          <w:szCs w:val="24"/>
          <w:lang w:val="lv-LV"/>
        </w:rPr>
      </w:pPr>
      <w:r w:rsidRPr="00CC54DE">
        <w:rPr>
          <w:rFonts w:ascii="Times New Roman" w:hAnsi="Times New Roman" w:cs="Times New Roman"/>
          <w:sz w:val="24"/>
          <w:szCs w:val="24"/>
          <w:lang w:val="lv-LV"/>
        </w:rPr>
        <w:t>Atkarībā no faktiskās virtuālo aktīvu funkcijas, var izdalīt šādus tokenu veidus:</w:t>
      </w:r>
    </w:p>
    <w:p w14:paraId="2C706B70" w14:textId="4914F8AE" w:rsidR="00C717BB" w:rsidRPr="00F44E0B" w:rsidRDefault="00C717BB" w:rsidP="00F44E0B">
      <w:pPr>
        <w:numPr>
          <w:ilvl w:val="0"/>
          <w:numId w:val="3"/>
        </w:numPr>
        <w:jc w:val="both"/>
        <w:rPr>
          <w:rFonts w:ascii="Times New Roman" w:hAnsi="Times New Roman" w:cs="Times New Roman"/>
          <w:sz w:val="24"/>
          <w:szCs w:val="24"/>
          <w:lang w:val="lv-LV"/>
        </w:rPr>
      </w:pPr>
      <w:r w:rsidRPr="00CC54DE">
        <w:rPr>
          <w:rFonts w:ascii="Times New Roman" w:hAnsi="Times New Roman" w:cs="Times New Roman"/>
          <w:sz w:val="24"/>
          <w:szCs w:val="24"/>
          <w:lang w:val="lv-LV"/>
        </w:rPr>
        <w:t xml:space="preserve">alternatīvs </w:t>
      </w:r>
      <w:r w:rsidR="00F44E0B">
        <w:rPr>
          <w:rFonts w:ascii="Times New Roman" w:hAnsi="Times New Roman" w:cs="Times New Roman"/>
          <w:sz w:val="24"/>
          <w:szCs w:val="24"/>
          <w:lang w:val="lv-LV"/>
        </w:rPr>
        <w:t>norēķinu veids</w:t>
      </w:r>
      <w:r w:rsidRPr="00F44E0B">
        <w:rPr>
          <w:rFonts w:ascii="Times New Roman" w:hAnsi="Times New Roman" w:cs="Times New Roman"/>
          <w:sz w:val="24"/>
          <w:szCs w:val="24"/>
          <w:lang w:val="lv-LV"/>
        </w:rPr>
        <w:t xml:space="preserve"> (</w:t>
      </w:r>
      <w:r w:rsidRPr="00F44E0B">
        <w:rPr>
          <w:rFonts w:ascii="Times New Roman" w:hAnsi="Times New Roman" w:cs="Times New Roman"/>
          <w:i/>
          <w:iCs/>
          <w:sz w:val="24"/>
          <w:szCs w:val="24"/>
          <w:lang w:val="lv-LV"/>
        </w:rPr>
        <w:t>means of payment, currency</w:t>
      </w:r>
      <w:r w:rsidR="00F44E0B">
        <w:rPr>
          <w:rFonts w:ascii="Times New Roman" w:hAnsi="Times New Roman" w:cs="Times New Roman"/>
          <w:i/>
          <w:iCs/>
          <w:sz w:val="24"/>
          <w:szCs w:val="24"/>
          <w:lang w:val="lv-LV"/>
        </w:rPr>
        <w:t> </w:t>
      </w:r>
      <w:r w:rsidRPr="00F44E0B">
        <w:rPr>
          <w:rFonts w:ascii="Times New Roman" w:hAnsi="Times New Roman" w:cs="Times New Roman"/>
          <w:i/>
          <w:iCs/>
          <w:sz w:val="24"/>
          <w:szCs w:val="24"/>
          <w:lang w:val="lv-LV"/>
        </w:rPr>
        <w:t>-</w:t>
      </w:r>
      <w:r w:rsidR="00F44E0B">
        <w:rPr>
          <w:rFonts w:ascii="Times New Roman" w:hAnsi="Times New Roman" w:cs="Times New Roman"/>
          <w:i/>
          <w:iCs/>
          <w:sz w:val="24"/>
          <w:szCs w:val="24"/>
          <w:lang w:val="lv-LV"/>
        </w:rPr>
        <w:t> </w:t>
      </w:r>
      <w:r w:rsidRPr="00F44E0B">
        <w:rPr>
          <w:rFonts w:ascii="Times New Roman" w:hAnsi="Times New Roman" w:cs="Times New Roman"/>
          <w:i/>
          <w:iCs/>
          <w:sz w:val="24"/>
          <w:szCs w:val="24"/>
          <w:lang w:val="lv-LV"/>
        </w:rPr>
        <w:t>type crypto</w:t>
      </w:r>
      <w:r w:rsidR="00F44E0B">
        <w:rPr>
          <w:rFonts w:ascii="Times New Roman" w:hAnsi="Times New Roman" w:cs="Times New Roman"/>
          <w:i/>
          <w:iCs/>
          <w:sz w:val="24"/>
          <w:szCs w:val="24"/>
          <w:lang w:val="lv-LV"/>
        </w:rPr>
        <w:t> </w:t>
      </w:r>
      <w:r w:rsidRPr="00F44E0B">
        <w:rPr>
          <w:rFonts w:ascii="Times New Roman" w:hAnsi="Times New Roman" w:cs="Times New Roman"/>
          <w:i/>
          <w:iCs/>
          <w:sz w:val="24"/>
          <w:szCs w:val="24"/>
          <w:lang w:val="lv-LV"/>
        </w:rPr>
        <w:t>-</w:t>
      </w:r>
      <w:r w:rsidR="00F44E0B">
        <w:rPr>
          <w:rFonts w:ascii="Times New Roman" w:hAnsi="Times New Roman" w:cs="Times New Roman"/>
          <w:i/>
          <w:iCs/>
          <w:sz w:val="24"/>
          <w:szCs w:val="24"/>
          <w:lang w:val="lv-LV"/>
        </w:rPr>
        <w:t> </w:t>
      </w:r>
      <w:r w:rsidRPr="00F44E0B">
        <w:rPr>
          <w:rFonts w:ascii="Times New Roman" w:hAnsi="Times New Roman" w:cs="Times New Roman"/>
          <w:i/>
          <w:iCs/>
          <w:sz w:val="24"/>
          <w:szCs w:val="24"/>
          <w:lang w:val="lv-LV"/>
        </w:rPr>
        <w:t>assets</w:t>
      </w:r>
      <w:r w:rsidRPr="00F44E0B">
        <w:rPr>
          <w:rFonts w:ascii="Times New Roman" w:hAnsi="Times New Roman" w:cs="Times New Roman"/>
          <w:sz w:val="24"/>
          <w:szCs w:val="24"/>
          <w:lang w:val="lv-LV"/>
        </w:rPr>
        <w:t>)</w:t>
      </w:r>
      <w:r w:rsidR="001D3DB7">
        <w:rPr>
          <w:rFonts w:ascii="Times New Roman" w:hAnsi="Times New Roman" w:cs="Times New Roman"/>
          <w:sz w:val="24"/>
          <w:szCs w:val="24"/>
          <w:lang w:val="lv-LV"/>
        </w:rPr>
        <w:t>,</w:t>
      </w:r>
    </w:p>
    <w:p w14:paraId="6FD6637A" w14:textId="774FAA31" w:rsidR="00C717BB" w:rsidRPr="00CC54DE" w:rsidRDefault="00C717BB" w:rsidP="00C717BB">
      <w:pPr>
        <w:numPr>
          <w:ilvl w:val="0"/>
          <w:numId w:val="3"/>
        </w:numPr>
        <w:jc w:val="both"/>
        <w:rPr>
          <w:rFonts w:ascii="Times New Roman" w:hAnsi="Times New Roman" w:cs="Times New Roman"/>
          <w:sz w:val="24"/>
          <w:szCs w:val="24"/>
          <w:lang w:val="lv-LV"/>
        </w:rPr>
      </w:pPr>
      <w:r w:rsidRPr="00CC54DE">
        <w:rPr>
          <w:rFonts w:ascii="Times New Roman" w:hAnsi="Times New Roman" w:cs="Times New Roman"/>
          <w:sz w:val="24"/>
          <w:szCs w:val="24"/>
          <w:lang w:val="lv-LV"/>
        </w:rPr>
        <w:t>ar patēriņa funkciju attiecībā uz ICO emitenta preci vai pakalpojumu (</w:t>
      </w:r>
      <w:r w:rsidR="00F44E0B">
        <w:rPr>
          <w:rFonts w:ascii="Times New Roman" w:hAnsi="Times New Roman" w:cs="Times New Roman"/>
          <w:i/>
          <w:iCs/>
          <w:sz w:val="24"/>
          <w:szCs w:val="24"/>
          <w:lang w:val="lv-LV"/>
        </w:rPr>
        <w:t>utility </w:t>
      </w:r>
      <w:r w:rsidR="00F44E0B">
        <w:rPr>
          <w:rFonts w:ascii="Times New Roman" w:hAnsi="Times New Roman" w:cs="Times New Roman"/>
          <w:i/>
          <w:iCs/>
          <w:sz w:val="24"/>
          <w:szCs w:val="24"/>
          <w:lang w:val="lv-LV"/>
        </w:rPr>
        <w:noBreakHyphen/>
        <w:t> </w:t>
      </w:r>
      <w:r w:rsidRPr="00CC54DE">
        <w:rPr>
          <w:rFonts w:ascii="Times New Roman" w:hAnsi="Times New Roman" w:cs="Times New Roman"/>
          <w:i/>
          <w:iCs/>
          <w:sz w:val="24"/>
          <w:szCs w:val="24"/>
          <w:lang w:val="lv-LV"/>
        </w:rPr>
        <w:t>ty</w:t>
      </w:r>
      <w:r w:rsidR="00F44E0B">
        <w:rPr>
          <w:rFonts w:ascii="Times New Roman" w:hAnsi="Times New Roman" w:cs="Times New Roman"/>
          <w:i/>
          <w:iCs/>
          <w:sz w:val="24"/>
          <w:szCs w:val="24"/>
          <w:lang w:val="lv-LV"/>
        </w:rPr>
        <w:t>pe or usage - type crypto - assets</w:t>
      </w:r>
      <w:r w:rsidR="00F44E0B" w:rsidRPr="001D3DB7">
        <w:rPr>
          <w:rFonts w:ascii="Times New Roman" w:hAnsi="Times New Roman" w:cs="Times New Roman"/>
          <w:iCs/>
          <w:sz w:val="24"/>
          <w:szCs w:val="24"/>
          <w:lang w:val="lv-LV"/>
        </w:rPr>
        <w:t>)</w:t>
      </w:r>
      <w:r w:rsidR="001D3DB7">
        <w:rPr>
          <w:rFonts w:ascii="Times New Roman" w:hAnsi="Times New Roman" w:cs="Times New Roman"/>
          <w:iCs/>
          <w:sz w:val="24"/>
          <w:szCs w:val="24"/>
          <w:lang w:val="lv-LV"/>
        </w:rPr>
        <w:t>,</w:t>
      </w:r>
    </w:p>
    <w:p w14:paraId="0EB33D94" w14:textId="604B2A5F" w:rsidR="00C717BB" w:rsidRDefault="00C717BB" w:rsidP="00C717BB">
      <w:pPr>
        <w:numPr>
          <w:ilvl w:val="0"/>
          <w:numId w:val="3"/>
        </w:numPr>
        <w:jc w:val="both"/>
        <w:rPr>
          <w:rFonts w:ascii="Times New Roman" w:hAnsi="Times New Roman" w:cs="Times New Roman"/>
          <w:sz w:val="24"/>
          <w:szCs w:val="24"/>
          <w:lang w:val="lv-LV"/>
        </w:rPr>
      </w:pPr>
      <w:r w:rsidRPr="00CC54DE">
        <w:rPr>
          <w:rFonts w:ascii="Times New Roman" w:hAnsi="Times New Roman" w:cs="Times New Roman"/>
          <w:sz w:val="24"/>
          <w:szCs w:val="24"/>
          <w:lang w:val="lv-LV"/>
        </w:rPr>
        <w:t>pielīdzināms finanšu instrumentiem (</w:t>
      </w:r>
      <w:r w:rsidRPr="00CC54DE">
        <w:rPr>
          <w:rFonts w:ascii="Times New Roman" w:hAnsi="Times New Roman" w:cs="Times New Roman"/>
          <w:i/>
          <w:iCs/>
          <w:sz w:val="24"/>
          <w:szCs w:val="24"/>
          <w:lang w:val="lv-LV"/>
        </w:rPr>
        <w:t>investment</w:t>
      </w:r>
      <w:r w:rsidR="00F44E0B">
        <w:rPr>
          <w:rFonts w:ascii="Times New Roman" w:hAnsi="Times New Roman" w:cs="Times New Roman"/>
          <w:i/>
          <w:iCs/>
          <w:sz w:val="24"/>
          <w:szCs w:val="24"/>
          <w:lang w:val="lv-LV"/>
        </w:rPr>
        <w:t> </w:t>
      </w:r>
      <w:r w:rsidRPr="00CC54DE">
        <w:rPr>
          <w:rFonts w:ascii="Times New Roman" w:hAnsi="Times New Roman" w:cs="Times New Roman"/>
          <w:i/>
          <w:iCs/>
          <w:sz w:val="24"/>
          <w:szCs w:val="24"/>
          <w:lang w:val="lv-LV"/>
        </w:rPr>
        <w:t>-</w:t>
      </w:r>
      <w:r w:rsidR="00F44E0B">
        <w:rPr>
          <w:rFonts w:ascii="Times New Roman" w:hAnsi="Times New Roman" w:cs="Times New Roman"/>
          <w:i/>
          <w:iCs/>
          <w:sz w:val="24"/>
          <w:szCs w:val="24"/>
          <w:lang w:val="lv-LV"/>
        </w:rPr>
        <w:t> </w:t>
      </w:r>
      <w:r w:rsidRPr="00CC54DE">
        <w:rPr>
          <w:rFonts w:ascii="Times New Roman" w:hAnsi="Times New Roman" w:cs="Times New Roman"/>
          <w:i/>
          <w:iCs/>
          <w:sz w:val="24"/>
          <w:szCs w:val="24"/>
          <w:lang w:val="lv-LV"/>
        </w:rPr>
        <w:t>type or securitized</w:t>
      </w:r>
      <w:r w:rsidR="00F44E0B">
        <w:rPr>
          <w:rFonts w:ascii="Times New Roman" w:hAnsi="Times New Roman" w:cs="Times New Roman"/>
          <w:i/>
          <w:iCs/>
          <w:sz w:val="24"/>
          <w:szCs w:val="24"/>
          <w:lang w:val="lv-LV"/>
        </w:rPr>
        <w:t> </w:t>
      </w:r>
      <w:r w:rsidRPr="00CC54DE">
        <w:rPr>
          <w:rFonts w:ascii="Times New Roman" w:hAnsi="Times New Roman" w:cs="Times New Roman"/>
          <w:i/>
          <w:iCs/>
          <w:sz w:val="24"/>
          <w:szCs w:val="24"/>
          <w:lang w:val="lv-LV"/>
        </w:rPr>
        <w:t>-</w:t>
      </w:r>
      <w:r w:rsidR="00F44E0B">
        <w:rPr>
          <w:rFonts w:ascii="Times New Roman" w:hAnsi="Times New Roman" w:cs="Times New Roman"/>
          <w:i/>
          <w:iCs/>
          <w:sz w:val="24"/>
          <w:szCs w:val="24"/>
          <w:lang w:val="lv-LV"/>
        </w:rPr>
        <w:t> </w:t>
      </w:r>
      <w:r w:rsidRPr="00CC54DE">
        <w:rPr>
          <w:rFonts w:ascii="Times New Roman" w:hAnsi="Times New Roman" w:cs="Times New Roman"/>
          <w:i/>
          <w:iCs/>
          <w:sz w:val="24"/>
          <w:szCs w:val="24"/>
          <w:lang w:val="lv-LV"/>
        </w:rPr>
        <w:t>type crypto</w:t>
      </w:r>
      <w:r w:rsidR="00F44E0B">
        <w:rPr>
          <w:rFonts w:ascii="Times New Roman" w:hAnsi="Times New Roman" w:cs="Times New Roman"/>
          <w:i/>
          <w:iCs/>
          <w:sz w:val="24"/>
          <w:szCs w:val="24"/>
          <w:lang w:val="lv-LV"/>
        </w:rPr>
        <w:t> </w:t>
      </w:r>
      <w:r w:rsidRPr="00CC54DE">
        <w:rPr>
          <w:rFonts w:ascii="Times New Roman" w:hAnsi="Times New Roman" w:cs="Times New Roman"/>
          <w:i/>
          <w:iCs/>
          <w:sz w:val="24"/>
          <w:szCs w:val="24"/>
          <w:lang w:val="lv-LV"/>
        </w:rPr>
        <w:t>-</w:t>
      </w:r>
      <w:r w:rsidR="00F44E0B">
        <w:rPr>
          <w:rFonts w:ascii="Times New Roman" w:hAnsi="Times New Roman" w:cs="Times New Roman"/>
          <w:i/>
          <w:iCs/>
          <w:sz w:val="24"/>
          <w:szCs w:val="24"/>
          <w:lang w:val="lv-LV"/>
        </w:rPr>
        <w:t> </w:t>
      </w:r>
      <w:r w:rsidRPr="00CC54DE">
        <w:rPr>
          <w:rFonts w:ascii="Times New Roman" w:hAnsi="Times New Roman" w:cs="Times New Roman"/>
          <w:i/>
          <w:iCs/>
          <w:sz w:val="24"/>
          <w:szCs w:val="24"/>
          <w:lang w:val="lv-LV"/>
        </w:rPr>
        <w:t>assets</w:t>
      </w:r>
      <w:r w:rsidRPr="00CC54DE">
        <w:rPr>
          <w:rFonts w:ascii="Times New Roman" w:hAnsi="Times New Roman" w:cs="Times New Roman"/>
          <w:sz w:val="24"/>
          <w:szCs w:val="24"/>
          <w:lang w:val="lv-LV"/>
        </w:rPr>
        <w:t>)</w:t>
      </w:r>
      <w:r w:rsidR="001D3DB7">
        <w:rPr>
          <w:rFonts w:ascii="Times New Roman" w:hAnsi="Times New Roman" w:cs="Times New Roman"/>
          <w:sz w:val="24"/>
          <w:szCs w:val="24"/>
          <w:lang w:val="lv-LV"/>
        </w:rPr>
        <w:t>.</w:t>
      </w:r>
    </w:p>
    <w:p w14:paraId="0D4E0CCB" w14:textId="1057DCE9" w:rsidR="00D3476F" w:rsidRPr="00CC54DE" w:rsidRDefault="00D3476F" w:rsidP="00D3476F">
      <w:pPr>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Atkarībā no emitētā tokena veida, tas var dot dažāda veida tiesības tā īpašniekiem, piemērām, piedalīties </w:t>
      </w:r>
      <w:r w:rsidR="00BE488F">
        <w:rPr>
          <w:rFonts w:ascii="Times New Roman" w:hAnsi="Times New Roman" w:cs="Times New Roman"/>
          <w:sz w:val="24"/>
          <w:szCs w:val="24"/>
          <w:lang w:val="lv-LV"/>
        </w:rPr>
        <w:t>komersanta</w:t>
      </w:r>
      <w:r>
        <w:rPr>
          <w:rFonts w:ascii="Times New Roman" w:hAnsi="Times New Roman" w:cs="Times New Roman"/>
          <w:sz w:val="24"/>
          <w:szCs w:val="24"/>
          <w:lang w:val="lv-LV"/>
        </w:rPr>
        <w:t xml:space="preserve"> pārvaldē, saņemt peļņu, saņemt daļu no </w:t>
      </w:r>
      <w:r w:rsidR="00BE488F">
        <w:rPr>
          <w:rFonts w:ascii="Times New Roman" w:hAnsi="Times New Roman" w:cs="Times New Roman"/>
          <w:sz w:val="24"/>
          <w:szCs w:val="24"/>
          <w:lang w:val="lv-LV"/>
        </w:rPr>
        <w:t>komersanta</w:t>
      </w:r>
      <w:r>
        <w:rPr>
          <w:rFonts w:ascii="Times New Roman" w:hAnsi="Times New Roman" w:cs="Times New Roman"/>
          <w:sz w:val="24"/>
          <w:szCs w:val="24"/>
          <w:lang w:val="lv-LV"/>
        </w:rPr>
        <w:t xml:space="preserve"> </w:t>
      </w:r>
      <w:r>
        <w:rPr>
          <w:rFonts w:ascii="Times New Roman" w:hAnsi="Times New Roman" w:cs="Times New Roman"/>
          <w:sz w:val="24"/>
          <w:szCs w:val="24"/>
          <w:lang w:val="lv-LV"/>
        </w:rPr>
        <w:lastRenderedPageBreak/>
        <w:t xml:space="preserve">ienākumiem, saņemt procenta maksājumus par ieguldītajiem līdzekļiem, atgūt ieguldītos līdzekļus vai saņemt papildus ienākumus no </w:t>
      </w:r>
      <w:r w:rsidRPr="008F1253">
        <w:rPr>
          <w:rFonts w:ascii="Times New Roman" w:hAnsi="Times New Roman" w:cs="Times New Roman"/>
          <w:i/>
          <w:sz w:val="24"/>
          <w:szCs w:val="24"/>
          <w:lang w:val="lv-LV"/>
        </w:rPr>
        <w:t>token</w:t>
      </w:r>
      <w:r>
        <w:rPr>
          <w:rFonts w:ascii="Times New Roman" w:hAnsi="Times New Roman" w:cs="Times New Roman"/>
          <w:sz w:val="24"/>
          <w:szCs w:val="24"/>
          <w:lang w:val="lv-LV"/>
        </w:rPr>
        <w:t xml:space="preserve"> izpirkšanas, kā arī ienākumus no </w:t>
      </w:r>
      <w:r w:rsidRPr="008F1253">
        <w:rPr>
          <w:rFonts w:ascii="Times New Roman" w:hAnsi="Times New Roman" w:cs="Times New Roman"/>
          <w:i/>
          <w:sz w:val="24"/>
          <w:szCs w:val="24"/>
          <w:lang w:val="lv-LV"/>
        </w:rPr>
        <w:t>token</w:t>
      </w:r>
      <w:r>
        <w:rPr>
          <w:rFonts w:ascii="Times New Roman" w:hAnsi="Times New Roman" w:cs="Times New Roman"/>
          <w:sz w:val="24"/>
          <w:szCs w:val="24"/>
          <w:lang w:val="lv-LV"/>
        </w:rPr>
        <w:t xml:space="preserve"> pārdošanas citai personai.</w:t>
      </w:r>
    </w:p>
    <w:p w14:paraId="064D79CD" w14:textId="608D1ACA" w:rsidR="00C717BB" w:rsidRPr="00351CED" w:rsidRDefault="00C717BB" w:rsidP="00CC54DE">
      <w:pPr>
        <w:ind w:firstLine="720"/>
        <w:jc w:val="both"/>
        <w:rPr>
          <w:rFonts w:ascii="Times New Roman" w:hAnsi="Times New Roman" w:cs="Times New Roman"/>
          <w:b/>
          <w:sz w:val="24"/>
          <w:szCs w:val="24"/>
          <w:lang w:val="lv-LV"/>
        </w:rPr>
      </w:pPr>
      <w:r w:rsidRPr="00CC54DE">
        <w:rPr>
          <w:rFonts w:ascii="Times New Roman" w:hAnsi="Times New Roman" w:cs="Times New Roman"/>
          <w:sz w:val="24"/>
          <w:szCs w:val="24"/>
          <w:lang w:val="lv-LV"/>
        </w:rPr>
        <w:t xml:space="preserve">Ja pirmā un otrā kategorijas šobrīd nav nosegtas ar esošo Eiropas Savienības juridisko ietvaru, tad </w:t>
      </w:r>
      <w:r w:rsidRPr="00351CED">
        <w:rPr>
          <w:rFonts w:ascii="Times New Roman" w:hAnsi="Times New Roman" w:cs="Times New Roman"/>
          <w:b/>
          <w:sz w:val="24"/>
          <w:szCs w:val="24"/>
          <w:lang w:val="lv-LV"/>
        </w:rPr>
        <w:t>trešā kategorija</w:t>
      </w:r>
      <w:r w:rsidRPr="00CC54DE">
        <w:rPr>
          <w:rFonts w:ascii="Times New Roman" w:hAnsi="Times New Roman" w:cs="Times New Roman"/>
          <w:sz w:val="24"/>
          <w:szCs w:val="24"/>
          <w:lang w:val="lv-LV"/>
        </w:rPr>
        <w:t xml:space="preserve"> </w:t>
      </w:r>
      <w:r w:rsidR="00351CED">
        <w:rPr>
          <w:rFonts w:ascii="Times New Roman" w:hAnsi="Times New Roman" w:cs="Times New Roman"/>
          <w:sz w:val="24"/>
          <w:szCs w:val="24"/>
          <w:lang w:val="lv-LV"/>
        </w:rPr>
        <w:t>(</w:t>
      </w:r>
      <w:r w:rsidR="00351CED" w:rsidRPr="00FF1A11">
        <w:rPr>
          <w:rFonts w:ascii="Times New Roman" w:hAnsi="Times New Roman" w:cs="Times New Roman"/>
          <w:i/>
          <w:sz w:val="24"/>
          <w:szCs w:val="24"/>
        </w:rPr>
        <w:t>investment</w:t>
      </w:r>
      <w:r w:rsidR="00351CED">
        <w:rPr>
          <w:rFonts w:ascii="Times New Roman" w:hAnsi="Times New Roman" w:cs="Times New Roman"/>
          <w:i/>
          <w:sz w:val="24"/>
          <w:szCs w:val="24"/>
        </w:rPr>
        <w:t> </w:t>
      </w:r>
      <w:r w:rsidR="00351CED" w:rsidRPr="00FF1A11">
        <w:rPr>
          <w:rFonts w:ascii="Times New Roman" w:hAnsi="Times New Roman" w:cs="Times New Roman"/>
          <w:i/>
          <w:sz w:val="24"/>
          <w:szCs w:val="24"/>
        </w:rPr>
        <w:t>-</w:t>
      </w:r>
      <w:r w:rsidR="00351CED">
        <w:rPr>
          <w:rFonts w:ascii="Times New Roman" w:hAnsi="Times New Roman" w:cs="Times New Roman"/>
          <w:i/>
          <w:sz w:val="24"/>
          <w:szCs w:val="24"/>
        </w:rPr>
        <w:t> </w:t>
      </w:r>
      <w:r w:rsidR="00351CED" w:rsidRPr="00FF1A11">
        <w:rPr>
          <w:rFonts w:ascii="Times New Roman" w:hAnsi="Times New Roman" w:cs="Times New Roman"/>
          <w:i/>
          <w:sz w:val="24"/>
          <w:szCs w:val="24"/>
        </w:rPr>
        <w:t>type or securitized</w:t>
      </w:r>
      <w:r w:rsidR="00351CED">
        <w:rPr>
          <w:rFonts w:ascii="Times New Roman" w:hAnsi="Times New Roman" w:cs="Times New Roman"/>
          <w:i/>
          <w:sz w:val="24"/>
          <w:szCs w:val="24"/>
        </w:rPr>
        <w:t> </w:t>
      </w:r>
      <w:r w:rsidR="00351CED" w:rsidRPr="00FF1A11">
        <w:rPr>
          <w:rFonts w:ascii="Times New Roman" w:hAnsi="Times New Roman" w:cs="Times New Roman"/>
          <w:i/>
          <w:sz w:val="24"/>
          <w:szCs w:val="24"/>
        </w:rPr>
        <w:t>-</w:t>
      </w:r>
      <w:r w:rsidR="00351CED">
        <w:rPr>
          <w:rFonts w:ascii="Times New Roman" w:hAnsi="Times New Roman" w:cs="Times New Roman"/>
          <w:i/>
          <w:sz w:val="24"/>
          <w:szCs w:val="24"/>
        </w:rPr>
        <w:t> </w:t>
      </w:r>
      <w:r w:rsidR="00351CED" w:rsidRPr="00FF1A11">
        <w:rPr>
          <w:rFonts w:ascii="Times New Roman" w:hAnsi="Times New Roman" w:cs="Times New Roman"/>
          <w:i/>
          <w:sz w:val="24"/>
          <w:szCs w:val="24"/>
        </w:rPr>
        <w:t>type crypto</w:t>
      </w:r>
      <w:r w:rsidR="00351CED">
        <w:rPr>
          <w:rFonts w:ascii="Times New Roman" w:hAnsi="Times New Roman" w:cs="Times New Roman"/>
          <w:i/>
          <w:sz w:val="24"/>
          <w:szCs w:val="24"/>
        </w:rPr>
        <w:t> </w:t>
      </w:r>
      <w:r w:rsidR="00351CED" w:rsidRPr="00FF1A11">
        <w:rPr>
          <w:rFonts w:ascii="Times New Roman" w:hAnsi="Times New Roman" w:cs="Times New Roman"/>
          <w:i/>
          <w:sz w:val="24"/>
          <w:szCs w:val="24"/>
        </w:rPr>
        <w:t>-</w:t>
      </w:r>
      <w:r w:rsidR="00351CED">
        <w:rPr>
          <w:rFonts w:ascii="Times New Roman" w:hAnsi="Times New Roman" w:cs="Times New Roman"/>
          <w:i/>
          <w:sz w:val="24"/>
          <w:szCs w:val="24"/>
        </w:rPr>
        <w:t> </w:t>
      </w:r>
      <w:r w:rsidR="00351CED" w:rsidRPr="00FF1A11">
        <w:rPr>
          <w:rFonts w:ascii="Times New Roman" w:hAnsi="Times New Roman" w:cs="Times New Roman"/>
          <w:i/>
          <w:sz w:val="24"/>
          <w:szCs w:val="24"/>
        </w:rPr>
        <w:t>assets</w:t>
      </w:r>
      <w:r w:rsidR="00351CED" w:rsidRPr="00351CED">
        <w:rPr>
          <w:rFonts w:ascii="Times New Roman" w:hAnsi="Times New Roman" w:cs="Times New Roman"/>
          <w:b/>
          <w:sz w:val="24"/>
          <w:szCs w:val="24"/>
          <w:lang w:val="lv-LV"/>
        </w:rPr>
        <w:t xml:space="preserve">) </w:t>
      </w:r>
      <w:r w:rsidRPr="00351CED">
        <w:rPr>
          <w:rFonts w:ascii="Times New Roman" w:hAnsi="Times New Roman" w:cs="Times New Roman"/>
          <w:b/>
          <w:sz w:val="24"/>
          <w:szCs w:val="24"/>
          <w:lang w:val="lv-LV"/>
        </w:rPr>
        <w:t>ir iekļauta Finanšu instrumentu tirgus direktīvas (MiFID II) tvērumā, tādējādi izvirzot virkni regulējošo prasību šādu instrumentu emisijai, un padarot procesu daudz caurspīdīgāku, un in</w:t>
      </w:r>
      <w:r w:rsidR="008A4D3B" w:rsidRPr="00351CED">
        <w:rPr>
          <w:rFonts w:ascii="Times New Roman" w:hAnsi="Times New Roman" w:cs="Times New Roman"/>
          <w:b/>
          <w:sz w:val="24"/>
          <w:szCs w:val="24"/>
          <w:lang w:val="lv-LV"/>
        </w:rPr>
        <w:t>vestoru aizsardzību efektīvāku.</w:t>
      </w:r>
    </w:p>
    <w:p w14:paraId="65466DD6" w14:textId="7481553F" w:rsidR="00C717BB" w:rsidRPr="00CC54DE" w:rsidRDefault="00C717BB" w:rsidP="00CC54DE">
      <w:pPr>
        <w:ind w:firstLine="720"/>
        <w:jc w:val="both"/>
        <w:rPr>
          <w:rFonts w:ascii="Times New Roman" w:hAnsi="Times New Roman" w:cs="Times New Roman"/>
          <w:sz w:val="24"/>
          <w:szCs w:val="24"/>
          <w:lang w:val="lv-LV"/>
        </w:rPr>
      </w:pPr>
      <w:r w:rsidRPr="00CC54DE">
        <w:rPr>
          <w:rFonts w:ascii="Times New Roman" w:hAnsi="Times New Roman" w:cs="Times New Roman"/>
          <w:sz w:val="24"/>
          <w:szCs w:val="24"/>
          <w:lang w:val="lv-LV"/>
        </w:rPr>
        <w:t xml:space="preserve">Vienlaikus </w:t>
      </w:r>
      <w:r w:rsidRPr="00351CED">
        <w:rPr>
          <w:rFonts w:ascii="Times New Roman" w:hAnsi="Times New Roman" w:cs="Times New Roman"/>
          <w:b/>
          <w:sz w:val="24"/>
          <w:szCs w:val="24"/>
          <w:lang w:val="lv-LV"/>
        </w:rPr>
        <w:t>ir novēroti mēģinājumi izmantot ICO finansējuma piesaistei, apejot Finanšu instrumentu tirgus direktīvas (MiFID II) tvērumu, kas balansē uz nelicencētu finanšu pakalpojumu sniegšanas robežas.</w:t>
      </w:r>
    </w:p>
    <w:p w14:paraId="59F085B4" w14:textId="24DB4546" w:rsidR="00C717BB" w:rsidRPr="00CC54DE" w:rsidRDefault="00CC54DE" w:rsidP="00C717BB">
      <w:pPr>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351CED">
        <w:rPr>
          <w:rFonts w:ascii="Times New Roman" w:hAnsi="Times New Roman" w:cs="Times New Roman"/>
          <w:sz w:val="24"/>
          <w:szCs w:val="24"/>
          <w:lang w:val="lv-LV"/>
        </w:rPr>
        <w:t>Š</w:t>
      </w:r>
      <w:r w:rsidR="00C717BB" w:rsidRPr="00CC54DE">
        <w:rPr>
          <w:rFonts w:ascii="Times New Roman" w:hAnsi="Times New Roman" w:cs="Times New Roman"/>
          <w:sz w:val="24"/>
          <w:szCs w:val="24"/>
          <w:lang w:val="lv-LV"/>
        </w:rPr>
        <w:t>obrīd daži ICO veidi nav nosegti ar regulējumu un joprojām nes būtiskus riskus investoriem</w:t>
      </w:r>
      <w:r w:rsidR="00351CED">
        <w:rPr>
          <w:rFonts w:ascii="Times New Roman" w:hAnsi="Times New Roman" w:cs="Times New Roman"/>
          <w:sz w:val="24"/>
          <w:szCs w:val="24"/>
          <w:lang w:val="lv-LV"/>
        </w:rPr>
        <w:t xml:space="preserve">. Vienlaikus </w:t>
      </w:r>
      <w:r w:rsidR="00C717BB" w:rsidRPr="00CC54DE">
        <w:rPr>
          <w:rFonts w:ascii="Times New Roman" w:hAnsi="Times New Roman" w:cs="Times New Roman"/>
          <w:sz w:val="24"/>
          <w:szCs w:val="24"/>
          <w:lang w:val="lv-LV"/>
        </w:rPr>
        <w:t>efektīvam ietvaram attiecībā uz tiem ICO, kas pielīdzināmi finanšu instrumentiem, šobrīd trūkst skaidrības par ICO procesa iekļaušanos Latv</w:t>
      </w:r>
      <w:r w:rsidR="003B3FBC">
        <w:rPr>
          <w:rFonts w:ascii="Times New Roman" w:hAnsi="Times New Roman" w:cs="Times New Roman"/>
          <w:sz w:val="24"/>
          <w:szCs w:val="24"/>
          <w:lang w:val="lv-LV"/>
        </w:rPr>
        <w:t>ijas nodokļu regulējuma tvērumā.</w:t>
      </w:r>
      <w:r w:rsidR="00C717BB" w:rsidRPr="00CC54DE">
        <w:rPr>
          <w:rFonts w:ascii="Times New Roman" w:hAnsi="Times New Roman" w:cs="Times New Roman"/>
          <w:sz w:val="24"/>
          <w:szCs w:val="24"/>
          <w:lang w:val="lv-LV"/>
        </w:rPr>
        <w:t xml:space="preserve"> </w:t>
      </w:r>
      <w:r w:rsidR="003B3FBC">
        <w:rPr>
          <w:rFonts w:ascii="Times New Roman" w:hAnsi="Times New Roman" w:cs="Times New Roman"/>
          <w:sz w:val="24"/>
          <w:szCs w:val="24"/>
          <w:lang w:val="lv-LV"/>
        </w:rPr>
        <w:t xml:space="preserve">Tam nav izstrādāts, </w:t>
      </w:r>
      <w:r w:rsidR="00C717BB" w:rsidRPr="00CC54DE">
        <w:rPr>
          <w:rFonts w:ascii="Times New Roman" w:hAnsi="Times New Roman" w:cs="Times New Roman"/>
          <w:sz w:val="24"/>
          <w:szCs w:val="24"/>
          <w:lang w:val="lv-LV"/>
        </w:rPr>
        <w:t>efektīv</w:t>
      </w:r>
      <w:r w:rsidR="003B3FBC">
        <w:rPr>
          <w:rFonts w:ascii="Times New Roman" w:hAnsi="Times New Roman" w:cs="Times New Roman"/>
          <w:sz w:val="24"/>
          <w:szCs w:val="24"/>
          <w:lang w:val="lv-LV"/>
        </w:rPr>
        <w:t>s</w:t>
      </w:r>
      <w:r w:rsidR="00C717BB" w:rsidRPr="00CC54DE">
        <w:rPr>
          <w:rFonts w:ascii="Times New Roman" w:hAnsi="Times New Roman" w:cs="Times New Roman"/>
          <w:sz w:val="24"/>
          <w:szCs w:val="24"/>
          <w:lang w:val="lv-LV"/>
        </w:rPr>
        <w:t xml:space="preserve"> un salīdzinoši ātr</w:t>
      </w:r>
      <w:r w:rsidR="003B3FBC">
        <w:rPr>
          <w:rFonts w:ascii="Times New Roman" w:hAnsi="Times New Roman" w:cs="Times New Roman"/>
          <w:sz w:val="24"/>
          <w:szCs w:val="24"/>
          <w:lang w:val="lv-LV"/>
        </w:rPr>
        <w:t>s</w:t>
      </w:r>
      <w:r w:rsidR="00C717BB" w:rsidRPr="00CC54DE">
        <w:rPr>
          <w:rFonts w:ascii="Times New Roman" w:hAnsi="Times New Roman" w:cs="Times New Roman"/>
          <w:sz w:val="24"/>
          <w:szCs w:val="24"/>
          <w:lang w:val="lv-LV"/>
        </w:rPr>
        <w:t xml:space="preserve"> licencēšanas proces</w:t>
      </w:r>
      <w:r w:rsidR="003B3FBC">
        <w:rPr>
          <w:rFonts w:ascii="Times New Roman" w:hAnsi="Times New Roman" w:cs="Times New Roman"/>
          <w:sz w:val="24"/>
          <w:szCs w:val="24"/>
          <w:lang w:val="lv-LV"/>
        </w:rPr>
        <w:t>s</w:t>
      </w:r>
      <w:r w:rsidR="00C717BB" w:rsidRPr="00CC54DE">
        <w:rPr>
          <w:rFonts w:ascii="Times New Roman" w:hAnsi="Times New Roman" w:cs="Times New Roman"/>
          <w:sz w:val="24"/>
          <w:szCs w:val="24"/>
          <w:lang w:val="lv-LV"/>
        </w:rPr>
        <w:t xml:space="preserve">, jo katru ICO FKTK vērtē individuāli,  </w:t>
      </w:r>
      <w:r w:rsidR="004062B8">
        <w:rPr>
          <w:rFonts w:ascii="Times New Roman" w:hAnsi="Times New Roman" w:cs="Times New Roman"/>
          <w:sz w:val="24"/>
          <w:szCs w:val="24"/>
          <w:lang w:val="lv-LV"/>
        </w:rPr>
        <w:t>kā arī</w:t>
      </w:r>
      <w:r w:rsidR="003B3FBC">
        <w:rPr>
          <w:rFonts w:ascii="Times New Roman" w:hAnsi="Times New Roman" w:cs="Times New Roman"/>
          <w:sz w:val="24"/>
          <w:szCs w:val="24"/>
          <w:lang w:val="lv-LV"/>
        </w:rPr>
        <w:t>,</w:t>
      </w:r>
      <w:r w:rsidR="004062B8">
        <w:rPr>
          <w:rFonts w:ascii="Times New Roman" w:hAnsi="Times New Roman" w:cs="Times New Roman"/>
          <w:sz w:val="24"/>
          <w:szCs w:val="24"/>
          <w:lang w:val="lv-LV"/>
        </w:rPr>
        <w:t xml:space="preserve"> nav</w:t>
      </w:r>
      <w:r w:rsidR="00C717BB" w:rsidRPr="00CC54DE">
        <w:rPr>
          <w:rFonts w:ascii="Times New Roman" w:hAnsi="Times New Roman" w:cs="Times New Roman"/>
          <w:sz w:val="24"/>
          <w:szCs w:val="24"/>
          <w:lang w:val="lv-LV"/>
        </w:rPr>
        <w:t xml:space="preserve"> iespēj</w:t>
      </w:r>
      <w:r w:rsidR="004062B8">
        <w:rPr>
          <w:rFonts w:ascii="Times New Roman" w:hAnsi="Times New Roman" w:cs="Times New Roman"/>
          <w:sz w:val="24"/>
          <w:szCs w:val="24"/>
          <w:lang w:val="lv-LV"/>
        </w:rPr>
        <w:t>u</w:t>
      </w:r>
      <w:r w:rsidR="00C717BB" w:rsidRPr="00CC54DE">
        <w:rPr>
          <w:rFonts w:ascii="Times New Roman" w:hAnsi="Times New Roman" w:cs="Times New Roman"/>
          <w:sz w:val="24"/>
          <w:szCs w:val="24"/>
          <w:lang w:val="lv-LV"/>
        </w:rPr>
        <w:t xml:space="preserve"> ātri atvērt </w:t>
      </w:r>
      <w:r w:rsidR="00BE488F">
        <w:rPr>
          <w:rFonts w:ascii="Times New Roman" w:hAnsi="Times New Roman" w:cs="Times New Roman"/>
          <w:sz w:val="24"/>
          <w:szCs w:val="24"/>
          <w:lang w:val="lv-LV"/>
        </w:rPr>
        <w:t>komersanta</w:t>
      </w:r>
      <w:r w:rsidR="00C717BB" w:rsidRPr="00CC54DE">
        <w:rPr>
          <w:rFonts w:ascii="Times New Roman" w:hAnsi="Times New Roman" w:cs="Times New Roman"/>
          <w:sz w:val="24"/>
          <w:szCs w:val="24"/>
          <w:lang w:val="lv-LV"/>
        </w:rPr>
        <w:t xml:space="preserve"> kontu kredītiestādē</w:t>
      </w:r>
      <w:r w:rsidR="0031420B">
        <w:rPr>
          <w:rFonts w:ascii="Times New Roman" w:hAnsi="Times New Roman" w:cs="Times New Roman"/>
          <w:sz w:val="24"/>
          <w:szCs w:val="24"/>
          <w:lang w:val="lv-LV"/>
        </w:rPr>
        <w:t>.</w:t>
      </w:r>
    </w:p>
    <w:p w14:paraId="7B4637DC" w14:textId="445C99E1" w:rsidR="00C717BB" w:rsidRPr="00CC54DE" w:rsidRDefault="00C717BB" w:rsidP="000D01E4">
      <w:pPr>
        <w:ind w:firstLine="720"/>
        <w:jc w:val="both"/>
        <w:rPr>
          <w:rFonts w:ascii="Times New Roman" w:hAnsi="Times New Roman" w:cs="Times New Roman"/>
          <w:sz w:val="24"/>
          <w:szCs w:val="24"/>
          <w:lang w:val="lv-LV"/>
        </w:rPr>
      </w:pPr>
      <w:r w:rsidRPr="00CC54DE">
        <w:rPr>
          <w:rFonts w:ascii="Times New Roman" w:hAnsi="Times New Roman" w:cs="Times New Roman"/>
          <w:sz w:val="24"/>
          <w:szCs w:val="24"/>
          <w:lang w:val="lv-LV"/>
        </w:rPr>
        <w:t xml:space="preserve">ICO ir pilnībā digitāls process, kurš tiek veikts interneta vidē, tādējādi investoriem nav citu iespēju, </w:t>
      </w:r>
      <w:r w:rsidRPr="00F463C7">
        <w:rPr>
          <w:rFonts w:ascii="Times New Roman" w:hAnsi="Times New Roman" w:cs="Times New Roman"/>
          <w:bCs/>
          <w:sz w:val="24"/>
          <w:szCs w:val="24"/>
          <w:lang w:val="lv-LV"/>
        </w:rPr>
        <w:t>k</w:t>
      </w:r>
      <w:r w:rsidR="001577E4" w:rsidRPr="00F463C7">
        <w:rPr>
          <w:rFonts w:ascii="Times New Roman" w:hAnsi="Times New Roman" w:cs="Times New Roman"/>
          <w:bCs/>
          <w:sz w:val="24"/>
          <w:szCs w:val="24"/>
          <w:lang w:val="lv-LV"/>
        </w:rPr>
        <w:t>ā</w:t>
      </w:r>
      <w:r w:rsidRPr="00CC54DE">
        <w:rPr>
          <w:rFonts w:ascii="Times New Roman" w:hAnsi="Times New Roman" w:cs="Times New Roman"/>
          <w:sz w:val="24"/>
          <w:szCs w:val="24"/>
          <w:lang w:val="lv-LV"/>
        </w:rPr>
        <w:t xml:space="preserve"> identificēt sevi attālināti, izmantojot </w:t>
      </w:r>
      <w:r w:rsidR="004D424F">
        <w:rPr>
          <w:rFonts w:ascii="Times New Roman" w:hAnsi="Times New Roman" w:cs="Times New Roman"/>
          <w:sz w:val="24"/>
          <w:szCs w:val="24"/>
          <w:lang w:val="lv-LV"/>
        </w:rPr>
        <w:t>neklātienes</w:t>
      </w:r>
      <w:r w:rsidR="004D424F" w:rsidRPr="00CC54DE">
        <w:rPr>
          <w:rFonts w:ascii="Times New Roman" w:hAnsi="Times New Roman" w:cs="Times New Roman"/>
          <w:sz w:val="24"/>
          <w:szCs w:val="24"/>
          <w:lang w:val="lv-LV"/>
        </w:rPr>
        <w:t xml:space="preserve"> </w:t>
      </w:r>
      <w:r w:rsidRPr="00CC54DE">
        <w:rPr>
          <w:rFonts w:ascii="Times New Roman" w:hAnsi="Times New Roman" w:cs="Times New Roman"/>
          <w:sz w:val="24"/>
          <w:szCs w:val="24"/>
          <w:lang w:val="lv-LV"/>
        </w:rPr>
        <w:t>identifikāciju. Līdz ar noziedzīgi iegūto līdzekļu legalizācijas novēršanas politikas pastiprināšanu Latvijā šobrīd ar virtuālajām valūtām saistītie uzņēmumi kredītiestādēs tiek uzskatīti par augsta riska klientiem un tiem ir būtiski šķēršļi konta atvēršanai kredītiestādē. Skaidra un pilnvērtīga ICO ietvara trūkums liek Latvijas jaunuzņēmumiem meklēt citas jurisdikcijas savu inovatīvo pakalpojumu attīstībai un investīciju piesaistei un padara Latviju par nepievilcīgu jurisdikciju ICO organizēšanai.</w:t>
      </w:r>
    </w:p>
    <w:p w14:paraId="4FD9DB39" w14:textId="0B7899B1" w:rsidR="00C717BB" w:rsidRPr="00CC54DE" w:rsidRDefault="00477CBA" w:rsidP="000D01E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J</w:t>
      </w:r>
      <w:r w:rsidR="00C717BB" w:rsidRPr="00CC54DE">
        <w:rPr>
          <w:rFonts w:ascii="Times New Roman" w:hAnsi="Times New Roman" w:cs="Times New Roman"/>
          <w:sz w:val="24"/>
          <w:szCs w:val="24"/>
          <w:lang w:val="lv-LV"/>
        </w:rPr>
        <w:t xml:space="preserve">au vairākus gadus ar dažādām aktivitātēm </w:t>
      </w:r>
      <w:r>
        <w:rPr>
          <w:rFonts w:ascii="Times New Roman" w:hAnsi="Times New Roman" w:cs="Times New Roman"/>
          <w:sz w:val="24"/>
          <w:szCs w:val="24"/>
          <w:lang w:val="lv-LV"/>
        </w:rPr>
        <w:t>tiek veicināta jaunuzņēmumu attīstība</w:t>
      </w:r>
      <w:r w:rsidR="00C717BB" w:rsidRPr="00CC54DE">
        <w:rPr>
          <w:rFonts w:ascii="Times New Roman" w:hAnsi="Times New Roman" w:cs="Times New Roman"/>
          <w:sz w:val="24"/>
          <w:szCs w:val="24"/>
          <w:lang w:val="lv-LV"/>
        </w:rPr>
        <w:t xml:space="preserve"> Latvijā. </w:t>
      </w:r>
      <w:r>
        <w:rPr>
          <w:rFonts w:ascii="Times New Roman" w:hAnsi="Times New Roman" w:cs="Times New Roman"/>
          <w:sz w:val="24"/>
          <w:szCs w:val="24"/>
          <w:lang w:val="lv-LV"/>
        </w:rPr>
        <w:t>Tā īstenošanai</w:t>
      </w:r>
      <w:r w:rsidR="00C717BB" w:rsidRPr="00CC54DE">
        <w:rPr>
          <w:rFonts w:ascii="Times New Roman" w:hAnsi="Times New Roman" w:cs="Times New Roman"/>
          <w:sz w:val="24"/>
          <w:szCs w:val="24"/>
          <w:lang w:val="lv-LV"/>
        </w:rPr>
        <w:t xml:space="preserve"> 2017.</w:t>
      </w:r>
      <w:r>
        <w:rPr>
          <w:rFonts w:ascii="Times New Roman" w:hAnsi="Times New Roman" w:cs="Times New Roman"/>
          <w:sz w:val="24"/>
          <w:szCs w:val="24"/>
          <w:lang w:val="lv-LV"/>
        </w:rPr>
        <w:t xml:space="preserve"> gada 1. janvārī spēkā stājās</w:t>
      </w:r>
      <w:r w:rsidR="00C717BB" w:rsidRPr="00CC54DE">
        <w:rPr>
          <w:rFonts w:ascii="Times New Roman" w:hAnsi="Times New Roman" w:cs="Times New Roman"/>
          <w:sz w:val="24"/>
          <w:szCs w:val="24"/>
          <w:lang w:val="lv-LV"/>
        </w:rPr>
        <w:t xml:space="preserve"> Jaunuz</w:t>
      </w:r>
      <w:r>
        <w:rPr>
          <w:rFonts w:ascii="Times New Roman" w:hAnsi="Times New Roman" w:cs="Times New Roman"/>
          <w:sz w:val="24"/>
          <w:szCs w:val="24"/>
          <w:lang w:val="lv-LV"/>
        </w:rPr>
        <w:t xml:space="preserve">ņēmumu darbības atbalsta likums, kā arī ieviesta virkne valsts atbalsta instrumentu caur akciju sabiedrību “Attīstības finanšu institūcija Altums”. </w:t>
      </w:r>
      <w:r w:rsidR="008D5EBF">
        <w:rPr>
          <w:rFonts w:ascii="Times New Roman" w:hAnsi="Times New Roman" w:cs="Times New Roman"/>
          <w:sz w:val="24"/>
          <w:szCs w:val="24"/>
          <w:lang w:val="lv-LV"/>
        </w:rPr>
        <w:t>Tā kā</w:t>
      </w:r>
      <w:r w:rsidR="008D5EBF" w:rsidRPr="00CC54DE">
        <w:rPr>
          <w:rFonts w:ascii="Times New Roman" w:hAnsi="Times New Roman" w:cs="Times New Roman"/>
          <w:sz w:val="24"/>
          <w:szCs w:val="24"/>
          <w:lang w:val="lv-LV"/>
        </w:rPr>
        <w:t xml:space="preserve"> </w:t>
      </w:r>
      <w:r w:rsidR="00C717BB" w:rsidRPr="00CC54DE">
        <w:rPr>
          <w:rFonts w:ascii="Times New Roman" w:hAnsi="Times New Roman" w:cs="Times New Roman"/>
          <w:sz w:val="24"/>
          <w:szCs w:val="24"/>
          <w:lang w:val="lv-LV"/>
        </w:rPr>
        <w:t>attīstība šajā jomā ir ļoti strauja, bet konkurence starp valstīm par jauniem talantiem sīvāka, tādējādi ir nepieciešama nepārtraukta jaunuzņēmumu vides attīstība un progresīvo metožu un pieeju apgūšana. ICO šobrīd ir viens no progresīvākajiem ja</w:t>
      </w:r>
      <w:r w:rsidR="007670B7">
        <w:rPr>
          <w:rFonts w:ascii="Times New Roman" w:hAnsi="Times New Roman" w:cs="Times New Roman"/>
          <w:sz w:val="24"/>
          <w:szCs w:val="24"/>
          <w:lang w:val="lv-LV"/>
        </w:rPr>
        <w:t>unuzņēmumu finansējuma veidiem.</w:t>
      </w:r>
    </w:p>
    <w:p w14:paraId="73BBED8D" w14:textId="784F66F7" w:rsidR="00C717BB" w:rsidRPr="00CC54DE" w:rsidRDefault="00C717BB" w:rsidP="000D01E4">
      <w:pPr>
        <w:ind w:firstLine="720"/>
        <w:jc w:val="both"/>
        <w:rPr>
          <w:rFonts w:ascii="Times New Roman" w:hAnsi="Times New Roman" w:cs="Times New Roman"/>
          <w:sz w:val="24"/>
          <w:szCs w:val="24"/>
          <w:lang w:val="lv-LV"/>
        </w:rPr>
      </w:pPr>
      <w:r w:rsidRPr="00CC54DE">
        <w:rPr>
          <w:rFonts w:ascii="Times New Roman" w:hAnsi="Times New Roman" w:cs="Times New Roman"/>
          <w:sz w:val="24"/>
          <w:szCs w:val="24"/>
          <w:lang w:val="lv-LV"/>
        </w:rPr>
        <w:t xml:space="preserve">Atsevišķas valstis (tajā skaitā, Lietuva un Igaunija), saprotot šīs iespējas, steigušās attīstīt regulējošo ietvaru ICO ekosistēmai. Lietuva šobrīd starp pasaules valstīm ir trešajā vietā ICO ceļā piesaistīto līdzekļu apmēra ziņā.  </w:t>
      </w:r>
    </w:p>
    <w:p w14:paraId="598937BF" w14:textId="655FD513" w:rsidR="00F463C7" w:rsidRDefault="00C717BB" w:rsidP="00002E19">
      <w:pPr>
        <w:ind w:firstLine="720"/>
        <w:jc w:val="both"/>
        <w:rPr>
          <w:rFonts w:ascii="Times New Roman" w:hAnsi="Times New Roman" w:cs="Times New Roman"/>
          <w:sz w:val="24"/>
          <w:szCs w:val="24"/>
          <w:lang w:val="lv-LV"/>
        </w:rPr>
      </w:pPr>
      <w:r w:rsidRPr="00CC54DE">
        <w:rPr>
          <w:rFonts w:ascii="Times New Roman" w:hAnsi="Times New Roman" w:cs="Times New Roman"/>
          <w:sz w:val="24"/>
          <w:szCs w:val="24"/>
          <w:lang w:val="lv-LV"/>
        </w:rPr>
        <w:t>ICO ir globāls process, kas orientēts uz ārvalstu investoriem, kuri bieži ir trešo valstu rezidenti. Efektīvs ICO ietvars palīdzētu piesaistīt ārvalstu investīcijas Latvijā, taču vienlaikus arī varētu palielināt p</w:t>
      </w:r>
      <w:r w:rsidR="007478FC">
        <w:rPr>
          <w:rFonts w:ascii="Times New Roman" w:hAnsi="Times New Roman" w:cs="Times New Roman"/>
          <w:sz w:val="24"/>
          <w:szCs w:val="24"/>
          <w:lang w:val="lv-LV"/>
        </w:rPr>
        <w:t>otenciāli riskantāko ārvalstu investoru</w:t>
      </w:r>
      <w:r w:rsidRPr="00CC54DE">
        <w:rPr>
          <w:rFonts w:ascii="Times New Roman" w:hAnsi="Times New Roman" w:cs="Times New Roman"/>
          <w:sz w:val="24"/>
          <w:szCs w:val="24"/>
          <w:lang w:val="lv-LV"/>
        </w:rPr>
        <w:t xml:space="preserve"> finanšu plūsmu īpat</w:t>
      </w:r>
      <w:r w:rsidR="00F7213D">
        <w:rPr>
          <w:rFonts w:ascii="Times New Roman" w:hAnsi="Times New Roman" w:cs="Times New Roman"/>
          <w:sz w:val="24"/>
          <w:szCs w:val="24"/>
          <w:lang w:val="lv-LV"/>
        </w:rPr>
        <w:t>svaru Latvijas finanšu sektorā.</w:t>
      </w:r>
    </w:p>
    <w:p w14:paraId="0F6DEB89" w14:textId="38DFC92F" w:rsidR="00F7213D" w:rsidRDefault="00F7213D" w:rsidP="00002E19">
      <w:pPr>
        <w:jc w:val="both"/>
        <w:rPr>
          <w:rFonts w:ascii="Times New Roman" w:hAnsi="Times New Roman" w:cs="Times New Roman"/>
          <w:sz w:val="24"/>
          <w:lang w:val="lv-LV"/>
        </w:rPr>
      </w:pPr>
    </w:p>
    <w:p w14:paraId="7C35E5F0" w14:textId="34439EB6" w:rsidR="0013263B" w:rsidRDefault="0013263B" w:rsidP="00002E19">
      <w:pPr>
        <w:jc w:val="both"/>
        <w:rPr>
          <w:rFonts w:ascii="Times New Roman" w:hAnsi="Times New Roman" w:cs="Times New Roman"/>
          <w:sz w:val="24"/>
          <w:lang w:val="lv-LV"/>
        </w:rPr>
      </w:pPr>
    </w:p>
    <w:p w14:paraId="212C78EC" w14:textId="77777777" w:rsidR="0013263B" w:rsidRPr="00F7213D" w:rsidRDefault="0013263B" w:rsidP="00002E19">
      <w:pPr>
        <w:jc w:val="both"/>
        <w:rPr>
          <w:rFonts w:ascii="Times New Roman" w:hAnsi="Times New Roman" w:cs="Times New Roman"/>
          <w:sz w:val="24"/>
          <w:lang w:val="lv-LV"/>
        </w:rPr>
      </w:pPr>
    </w:p>
    <w:p w14:paraId="147D0331" w14:textId="0F0F5053" w:rsidR="00ED2A25" w:rsidRDefault="00ED2A25" w:rsidP="00ED2A25">
      <w:pPr>
        <w:jc w:val="center"/>
        <w:rPr>
          <w:rFonts w:ascii="Times New Roman" w:hAnsi="Times New Roman" w:cs="Times New Roman"/>
          <w:b/>
          <w:i/>
          <w:sz w:val="24"/>
          <w:lang w:val="lv-LV"/>
        </w:rPr>
      </w:pPr>
      <w:r>
        <w:rPr>
          <w:rFonts w:ascii="Times New Roman" w:hAnsi="Times New Roman" w:cs="Times New Roman"/>
          <w:b/>
          <w:i/>
          <w:sz w:val="24"/>
          <w:lang w:val="lv-LV"/>
        </w:rPr>
        <w:t xml:space="preserve">2. </w:t>
      </w:r>
      <w:r w:rsidRPr="00995D7A">
        <w:rPr>
          <w:rFonts w:ascii="Times New Roman" w:hAnsi="Times New Roman" w:cs="Times New Roman"/>
          <w:b/>
          <w:i/>
          <w:sz w:val="24"/>
          <w:lang w:val="lv-LV"/>
        </w:rPr>
        <w:t>Virtuālās valūtas no grāmatvedības aspekta</w:t>
      </w:r>
    </w:p>
    <w:p w14:paraId="1AF01A69" w14:textId="77777777" w:rsidR="00ED2A25" w:rsidRPr="000D50C5" w:rsidRDefault="00ED2A25" w:rsidP="00ED2A25">
      <w:pPr>
        <w:jc w:val="both"/>
        <w:rPr>
          <w:rFonts w:ascii="Times New Roman" w:hAnsi="Times New Roman" w:cs="Times New Roman"/>
          <w:sz w:val="24"/>
          <w:lang w:val="lv-LV"/>
        </w:rPr>
      </w:pPr>
    </w:p>
    <w:p w14:paraId="0831FD0C" w14:textId="3B4AC9C9" w:rsidR="00ED2A25" w:rsidRPr="000D50C5" w:rsidRDefault="001C3877" w:rsidP="00ED2A25">
      <w:pPr>
        <w:ind w:firstLine="72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Eiropas Centrālā b</w:t>
      </w:r>
      <w:r w:rsidR="00ED2A25" w:rsidRPr="000D50C5">
        <w:rPr>
          <w:rFonts w:ascii="Times New Roman" w:eastAsia="Calibri" w:hAnsi="Times New Roman" w:cs="Times New Roman"/>
          <w:sz w:val="24"/>
          <w:szCs w:val="24"/>
          <w:lang w:val="lv-LV"/>
        </w:rPr>
        <w:t xml:space="preserve">anka ir norādījusi, ka saskaņā ar Līgumiem un Padomes Regulas (EK) Nr.974/98 noteikumiem </w:t>
      </w:r>
      <w:r w:rsidR="00ED2A25" w:rsidRPr="000D50C5">
        <w:rPr>
          <w:rFonts w:ascii="Times New Roman" w:eastAsia="Calibri" w:hAnsi="Times New Roman" w:cs="Times New Roman"/>
          <w:i/>
          <w:iCs/>
          <w:sz w:val="24"/>
          <w:szCs w:val="24"/>
          <w:lang w:val="lv-LV"/>
        </w:rPr>
        <w:t>euro</w:t>
      </w:r>
      <w:r w:rsidR="00ED2A25" w:rsidRPr="000D50C5">
        <w:rPr>
          <w:rFonts w:ascii="Times New Roman" w:eastAsia="Calibri" w:hAnsi="Times New Roman" w:cs="Times New Roman"/>
          <w:sz w:val="24"/>
          <w:szCs w:val="24"/>
          <w:lang w:val="lv-LV"/>
        </w:rPr>
        <w:t xml:space="preserve"> ir vienīgā valūta Eiropas Savienības ekonomiskajā un monetārajā savienībā un ka virtuālā valūta no Eiropas Savienības viedokļa raugoties faktiski nav valūta, jo tās emisija un izmantošana netiek regulēta vai uzraudzīta un tā juridiski nav piesaistīta nevienas valsts </w:t>
      </w:r>
      <w:r w:rsidR="00ED2A25" w:rsidRPr="000D50C5">
        <w:rPr>
          <w:rFonts w:ascii="Times New Roman" w:eastAsia="Calibri" w:hAnsi="Times New Roman" w:cs="Times New Roman"/>
          <w:sz w:val="24"/>
          <w:szCs w:val="24"/>
          <w:lang w:val="lv-LV"/>
        </w:rPr>
        <w:lastRenderedPageBreak/>
        <w:t xml:space="preserve">oficiālajai valūtai. </w:t>
      </w:r>
      <w:r w:rsidR="00ED2A25" w:rsidRPr="000D50C5">
        <w:rPr>
          <w:rFonts w:ascii="Times New Roman" w:eastAsia="Calibri" w:hAnsi="Times New Roman" w:cs="Times New Roman"/>
          <w:sz w:val="24"/>
          <w:szCs w:val="24"/>
          <w:u w:val="single"/>
          <w:lang w:val="lv-LV"/>
        </w:rPr>
        <w:t>Tā kā virtuālajai valūtai nav likumīga maksāšanas līdzekļa statusa, to varētu uzskatīt par maiņas līdzekli nevis par maksāšanas līdzekli.</w:t>
      </w:r>
    </w:p>
    <w:p w14:paraId="00C5731B" w14:textId="77777777" w:rsidR="00ED2A25" w:rsidRPr="000D50C5" w:rsidRDefault="00ED2A25" w:rsidP="00ED2A25">
      <w:pPr>
        <w:ind w:firstLine="72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eastAsia="lv-LV"/>
        </w:rPr>
        <w:t>K</w:t>
      </w:r>
      <w:r w:rsidRPr="000D50C5">
        <w:rPr>
          <w:rFonts w:ascii="Times New Roman" w:eastAsia="Calibri" w:hAnsi="Times New Roman" w:cs="Times New Roman"/>
          <w:sz w:val="24"/>
          <w:szCs w:val="24"/>
          <w:lang w:val="lv-LV" w:eastAsia="lv-LV"/>
        </w:rPr>
        <w:t>omersantiem, kas veic komercdarbību, kas saistīta ar virtuālās valūtas (kriptovalūtas) uzpirkšanu un izplatīšanu, pienākums ir kārtot grāmatvedību atbilstoši grāmatvedības uzskaiti reglamentējošo normatīvo aktu prasībām, nodrošinot likumā “Par grāmatvedību” noteiktās prasības attiecībā uz grāmatvedības kārtošanu.</w:t>
      </w:r>
      <w:r w:rsidRPr="000D50C5">
        <w:rPr>
          <w:rFonts w:ascii="Times New Roman" w:eastAsia="Calibri" w:hAnsi="Times New Roman" w:cs="Times New Roman"/>
          <w:sz w:val="24"/>
          <w:szCs w:val="24"/>
          <w:lang w:val="lv-LV"/>
        </w:rPr>
        <w:t xml:space="preserve"> Likums “Par grāmatvedību” neattiecas uz fiziskajām personām, kas neveic saimniecisko darbību, bet gūst ienākumu no kapitāla pieauguma.</w:t>
      </w:r>
    </w:p>
    <w:p w14:paraId="31DD79B3" w14:textId="77777777" w:rsidR="00ED2A25" w:rsidRPr="000D50C5" w:rsidRDefault="00ED2A25" w:rsidP="00ED2A25">
      <w:pPr>
        <w:ind w:firstLine="709"/>
        <w:jc w:val="both"/>
        <w:rPr>
          <w:rFonts w:ascii="Times New Roman" w:eastAsia="Calibri" w:hAnsi="Times New Roman" w:cs="Times New Roman"/>
          <w:sz w:val="24"/>
          <w:szCs w:val="24"/>
          <w:lang w:val="lv-LV" w:eastAsia="lv-LV"/>
        </w:rPr>
      </w:pPr>
      <w:r w:rsidRPr="000D50C5">
        <w:rPr>
          <w:rFonts w:ascii="Times New Roman" w:eastAsia="Calibri" w:hAnsi="Times New Roman" w:cs="Times New Roman"/>
          <w:sz w:val="24"/>
          <w:szCs w:val="24"/>
          <w:lang w:val="lv-LV" w:eastAsia="lv-LV"/>
        </w:rPr>
        <w:t xml:space="preserve">Likuma “Par grāmatvedību” 7.panta pirmajā daļā noteikts, ka grāmatvedības reģistros izdara ierakstus, kas pamatoti ar attaisnojuma dokumentiem. Attaisnojuma dokuments ir dokuments, kurš apliecina </w:t>
      </w:r>
      <w:r>
        <w:rPr>
          <w:rFonts w:ascii="Times New Roman" w:eastAsia="Calibri" w:hAnsi="Times New Roman" w:cs="Times New Roman"/>
          <w:sz w:val="24"/>
          <w:szCs w:val="24"/>
          <w:lang w:val="lv-LV" w:eastAsia="lv-LV"/>
        </w:rPr>
        <w:t>komersanta</w:t>
      </w:r>
      <w:r w:rsidRPr="000D50C5">
        <w:rPr>
          <w:rFonts w:ascii="Times New Roman" w:eastAsia="Calibri" w:hAnsi="Times New Roman" w:cs="Times New Roman"/>
          <w:sz w:val="24"/>
          <w:szCs w:val="24"/>
          <w:lang w:val="lv-LV" w:eastAsia="lv-LV"/>
        </w:rPr>
        <w:t xml:space="preserve"> saimnieciskā darījuma esamību un kurā ietverti vismaz šajā daļā minētie dokumenta rekvizīti un informācija par saimniecisko darījumu.</w:t>
      </w:r>
    </w:p>
    <w:p w14:paraId="189285EC" w14:textId="3EF6BCB8" w:rsidR="00ED2A25" w:rsidRPr="000D50C5" w:rsidRDefault="00ED2A25" w:rsidP="00ED2A25">
      <w:pPr>
        <w:ind w:firstLine="709"/>
        <w:jc w:val="both"/>
        <w:rPr>
          <w:rFonts w:ascii="Times New Roman" w:eastAsia="Calibri" w:hAnsi="Times New Roman" w:cs="Times New Roman"/>
          <w:sz w:val="24"/>
          <w:szCs w:val="24"/>
          <w:lang w:val="lv-LV" w:eastAsia="lv-LV"/>
        </w:rPr>
      </w:pPr>
      <w:r w:rsidRPr="000D50C5">
        <w:rPr>
          <w:rFonts w:ascii="Times New Roman" w:eastAsia="Calibri" w:hAnsi="Times New Roman" w:cs="Times New Roman"/>
          <w:sz w:val="24"/>
          <w:szCs w:val="24"/>
          <w:lang w:val="lv-LV" w:eastAsia="lv-LV"/>
        </w:rPr>
        <w:t>Savukārt likuma “Par grāmatvedību” 7.</w:t>
      </w:r>
      <w:r w:rsidRPr="000D50C5">
        <w:rPr>
          <w:rFonts w:ascii="Times New Roman" w:eastAsia="Calibri" w:hAnsi="Times New Roman" w:cs="Times New Roman"/>
          <w:sz w:val="24"/>
          <w:szCs w:val="24"/>
          <w:vertAlign w:val="superscript"/>
          <w:lang w:val="lv-LV" w:eastAsia="lv-LV"/>
        </w:rPr>
        <w:t>1</w:t>
      </w:r>
      <w:r w:rsidRPr="000D50C5">
        <w:rPr>
          <w:rFonts w:ascii="Times New Roman" w:eastAsia="Calibri" w:hAnsi="Times New Roman" w:cs="Times New Roman"/>
          <w:sz w:val="24"/>
          <w:szCs w:val="24"/>
          <w:lang w:val="lv-LV" w:eastAsia="lv-LV"/>
        </w:rPr>
        <w:t xml:space="preserve">panta piektajā daļā ir noteikts, ka </w:t>
      </w:r>
      <w:r w:rsidRPr="000D50C5">
        <w:rPr>
          <w:rFonts w:ascii="Times New Roman" w:eastAsia="Calibri" w:hAnsi="Times New Roman" w:cs="Times New Roman"/>
          <w:sz w:val="24"/>
          <w:szCs w:val="24"/>
          <w:u w:val="single"/>
          <w:lang w:val="lv-LV" w:eastAsia="lv-LV"/>
        </w:rPr>
        <w:t>par ārēju attaisnojuma dokumentu var tikt uzskatīts arī</w:t>
      </w:r>
      <w:r w:rsidRPr="000D50C5">
        <w:rPr>
          <w:rFonts w:ascii="Times New Roman" w:eastAsia="Calibri" w:hAnsi="Times New Roman" w:cs="Times New Roman"/>
          <w:sz w:val="24"/>
          <w:szCs w:val="24"/>
          <w:lang w:val="lv-LV" w:eastAsia="lv-LV"/>
        </w:rPr>
        <w:t xml:space="preserve"> neapliecināts </w:t>
      </w:r>
      <w:r>
        <w:rPr>
          <w:rFonts w:ascii="Times New Roman" w:eastAsia="Calibri" w:hAnsi="Times New Roman" w:cs="Times New Roman"/>
          <w:sz w:val="24"/>
          <w:szCs w:val="24"/>
          <w:lang w:val="lv-LV" w:eastAsia="lv-LV"/>
        </w:rPr>
        <w:t>komersanta</w:t>
      </w:r>
      <w:r w:rsidRPr="000D50C5">
        <w:rPr>
          <w:rFonts w:ascii="Times New Roman" w:eastAsia="Calibri" w:hAnsi="Times New Roman" w:cs="Times New Roman"/>
          <w:sz w:val="24"/>
          <w:szCs w:val="24"/>
          <w:lang w:val="lv-LV" w:eastAsia="lv-LV"/>
        </w:rPr>
        <w:t xml:space="preserve"> </w:t>
      </w:r>
      <w:r>
        <w:rPr>
          <w:rFonts w:ascii="Times New Roman" w:eastAsia="Calibri" w:hAnsi="Times New Roman" w:cs="Times New Roman"/>
          <w:sz w:val="24"/>
          <w:szCs w:val="24"/>
          <w:lang w:val="lv-LV" w:eastAsia="lv-LV"/>
        </w:rPr>
        <w:t>–</w:t>
      </w:r>
      <w:r w:rsidRPr="000D50C5">
        <w:rPr>
          <w:rFonts w:ascii="Times New Roman" w:eastAsia="Calibri" w:hAnsi="Times New Roman" w:cs="Times New Roman"/>
          <w:sz w:val="24"/>
          <w:szCs w:val="24"/>
          <w:lang w:val="lv-LV" w:eastAsia="lv-LV"/>
        </w:rPr>
        <w:t xml:space="preserve"> maksājuma pakalpojuma izmantotāja </w:t>
      </w:r>
      <w:r>
        <w:rPr>
          <w:rFonts w:ascii="Times New Roman" w:eastAsia="Calibri" w:hAnsi="Times New Roman" w:cs="Times New Roman"/>
          <w:sz w:val="24"/>
          <w:szCs w:val="24"/>
          <w:lang w:val="lv-LV" w:eastAsia="lv-LV"/>
        </w:rPr>
        <w:t>–</w:t>
      </w:r>
      <w:r w:rsidRPr="000D50C5">
        <w:rPr>
          <w:rFonts w:ascii="Times New Roman" w:eastAsia="Calibri" w:hAnsi="Times New Roman" w:cs="Times New Roman"/>
          <w:sz w:val="24"/>
          <w:szCs w:val="24"/>
          <w:lang w:val="lv-LV" w:eastAsia="lv-LV"/>
        </w:rPr>
        <w:t xml:space="preserve"> </w:t>
      </w:r>
      <w:r w:rsidRPr="000D50C5">
        <w:rPr>
          <w:rFonts w:ascii="Times New Roman" w:eastAsia="Calibri" w:hAnsi="Times New Roman" w:cs="Times New Roman"/>
          <w:sz w:val="24"/>
          <w:szCs w:val="24"/>
          <w:u w:val="single"/>
          <w:lang w:val="lv-LV" w:eastAsia="lv-LV"/>
        </w:rPr>
        <w:t>konta izraksts</w:t>
      </w:r>
      <w:r w:rsidRPr="000D50C5">
        <w:rPr>
          <w:rFonts w:ascii="Times New Roman" w:eastAsia="Calibri" w:hAnsi="Times New Roman" w:cs="Times New Roman"/>
          <w:sz w:val="24"/>
          <w:szCs w:val="24"/>
          <w:lang w:val="lv-LV" w:eastAsia="lv-LV"/>
        </w:rPr>
        <w:t>, kuru pēc maksājuma pakalpojuma izmantotāja pieprasījuma izsniedz maksājumu pakalpojumu sniedzējs (Maksājumu pakalpojumu un elektroniskās naudas likuma izpratnē), ja šajā izrakstā minētā saimnieciskā darījuma esamību apliecina par saimnieciskā darījuma veikšanu un attaisnojuma dokumentā sniegtās informācijas pareizību dokumenta saņēmēja (</w:t>
      </w:r>
      <w:r>
        <w:rPr>
          <w:rFonts w:ascii="Times New Roman" w:eastAsia="Calibri" w:hAnsi="Times New Roman" w:cs="Times New Roman"/>
          <w:sz w:val="24"/>
          <w:szCs w:val="24"/>
          <w:lang w:val="lv-LV" w:eastAsia="lv-LV"/>
        </w:rPr>
        <w:t>komersanta</w:t>
      </w:r>
      <w:r w:rsidRPr="000D50C5">
        <w:rPr>
          <w:rFonts w:ascii="Times New Roman" w:eastAsia="Calibri" w:hAnsi="Times New Roman" w:cs="Times New Roman"/>
          <w:sz w:val="24"/>
          <w:szCs w:val="24"/>
          <w:lang w:val="lv-LV" w:eastAsia="lv-LV"/>
        </w:rPr>
        <w:t xml:space="preserve"> </w:t>
      </w:r>
      <w:r>
        <w:rPr>
          <w:rFonts w:ascii="Times New Roman" w:eastAsia="Calibri" w:hAnsi="Times New Roman" w:cs="Times New Roman"/>
          <w:sz w:val="24"/>
          <w:szCs w:val="24"/>
          <w:lang w:val="lv-LV" w:eastAsia="lv-LV"/>
        </w:rPr>
        <w:t>–</w:t>
      </w:r>
      <w:r w:rsidRPr="000D50C5">
        <w:rPr>
          <w:rFonts w:ascii="Times New Roman" w:eastAsia="Calibri" w:hAnsi="Times New Roman" w:cs="Times New Roman"/>
          <w:sz w:val="24"/>
          <w:szCs w:val="24"/>
          <w:lang w:val="lv-LV" w:eastAsia="lv-LV"/>
        </w:rPr>
        <w:t xml:space="preserve"> maksājuma pakalpojuma izmantotāja) atbildīgā persona </w:t>
      </w:r>
      <w:r>
        <w:rPr>
          <w:rFonts w:ascii="Times New Roman" w:eastAsia="Calibri" w:hAnsi="Times New Roman" w:cs="Times New Roman"/>
          <w:sz w:val="24"/>
          <w:szCs w:val="24"/>
          <w:lang w:val="lv-LV" w:eastAsia="lv-LV"/>
        </w:rPr>
        <w:t>komersanta</w:t>
      </w:r>
      <w:r w:rsidRPr="000D50C5">
        <w:rPr>
          <w:rFonts w:ascii="Times New Roman" w:eastAsia="Calibri" w:hAnsi="Times New Roman" w:cs="Times New Roman"/>
          <w:sz w:val="24"/>
          <w:szCs w:val="24"/>
          <w:lang w:val="lv-LV" w:eastAsia="lv-LV"/>
        </w:rPr>
        <w:t xml:space="preserve"> vadītāja noteiktajā kārtībā.</w:t>
      </w:r>
    </w:p>
    <w:p w14:paraId="48286F0F" w14:textId="77777777" w:rsidR="00ED2A25" w:rsidRDefault="00ED2A25" w:rsidP="00ED2A25">
      <w:pPr>
        <w:ind w:firstLine="709"/>
        <w:jc w:val="both"/>
        <w:rPr>
          <w:rFonts w:ascii="Times New Roman" w:eastAsia="Calibri" w:hAnsi="Times New Roman" w:cs="Times New Roman"/>
          <w:sz w:val="24"/>
          <w:szCs w:val="24"/>
          <w:lang w:val="lv-LV" w:eastAsia="lv-LV"/>
        </w:rPr>
      </w:pPr>
      <w:r w:rsidRPr="000D50C5">
        <w:rPr>
          <w:rFonts w:ascii="Times New Roman" w:eastAsia="Calibri" w:hAnsi="Times New Roman" w:cs="Times New Roman"/>
          <w:sz w:val="24"/>
          <w:szCs w:val="24"/>
          <w:lang w:val="lv-LV" w:eastAsia="lv-LV"/>
        </w:rPr>
        <w:t>Tādējādi, tā kā kredītiestāžu kontu izrakstos tiek atspoguļota visa noteiktā laika periodā klientu kontā veiktā naudas līdzekļu kustība atbilstoši likuma “Par grāmatvedību” 7.</w:t>
      </w:r>
      <w:r w:rsidRPr="000D50C5">
        <w:rPr>
          <w:rFonts w:ascii="Times New Roman" w:eastAsia="Calibri" w:hAnsi="Times New Roman" w:cs="Times New Roman"/>
          <w:sz w:val="24"/>
          <w:szCs w:val="24"/>
          <w:vertAlign w:val="superscript"/>
          <w:lang w:val="lv-LV" w:eastAsia="lv-LV"/>
        </w:rPr>
        <w:t>1</w:t>
      </w:r>
      <w:r w:rsidRPr="000D50C5">
        <w:rPr>
          <w:rFonts w:ascii="Times New Roman" w:eastAsia="Calibri" w:hAnsi="Times New Roman" w:cs="Times New Roman"/>
          <w:sz w:val="24"/>
          <w:szCs w:val="24"/>
          <w:lang w:val="lv-LV" w:eastAsia="lv-LV"/>
        </w:rPr>
        <w:t>panta piektās daļas prasībām, tad, lai pamatotu virtuālās valūtas (kriptovalūtas) iegādes darījumu internetā ar kredītkarti vai naudas pārskaitījumu un veiktu ierakstus grāmatvedības reģistros par saimniecisko darījumu, var izmantot neapliecinātu kredītiestādes izsniegtu konta izrakstu kā ārējo attaisnojuma dokumentu, pamatojoties uz kuru ir izdarāmi ieraksti grāmatvedības reģistros.</w:t>
      </w:r>
    </w:p>
    <w:p w14:paraId="52397D1C" w14:textId="32FC176A" w:rsidR="00ED2A25" w:rsidRPr="000D50C5" w:rsidRDefault="00ED2A25" w:rsidP="00ED2A25">
      <w:pPr>
        <w:ind w:firstLine="709"/>
        <w:jc w:val="both"/>
        <w:rPr>
          <w:rFonts w:ascii="Times New Roman" w:eastAsia="Calibri" w:hAnsi="Times New Roman" w:cs="Times New Roman"/>
          <w:sz w:val="24"/>
          <w:szCs w:val="24"/>
          <w:lang w:val="lv-LV" w:eastAsia="lv-LV"/>
        </w:rPr>
      </w:pPr>
      <w:r w:rsidRPr="000D50C5">
        <w:rPr>
          <w:rFonts w:ascii="Times New Roman" w:eastAsia="Calibri" w:hAnsi="Times New Roman" w:cs="Times New Roman"/>
          <w:sz w:val="24"/>
          <w:szCs w:val="24"/>
          <w:lang w:val="lv-LV" w:eastAsia="lv-LV"/>
        </w:rPr>
        <w:t>Attiecībā uz komersantiem, kas veic saimniecisko darbību,  jāņem vērā, ka Gada pārskatu un konsolidēto gada pārskatu likuma 14.panta pirmās daļas 1</w:t>
      </w:r>
      <w:r>
        <w:rPr>
          <w:rFonts w:ascii="Times New Roman" w:eastAsia="Calibri" w:hAnsi="Times New Roman" w:cs="Times New Roman"/>
          <w:sz w:val="24"/>
          <w:szCs w:val="24"/>
          <w:lang w:val="lv-LV" w:eastAsia="lv-LV"/>
        </w:rPr>
        <w:t>0</w:t>
      </w:r>
      <w:r w:rsidRPr="000D50C5">
        <w:rPr>
          <w:rFonts w:ascii="Times New Roman" w:eastAsia="Calibri" w:hAnsi="Times New Roman" w:cs="Times New Roman"/>
          <w:sz w:val="24"/>
          <w:szCs w:val="24"/>
          <w:lang w:val="lv-LV" w:eastAsia="lv-LV"/>
        </w:rPr>
        <w:t>.punktā noteikts, ka bilances un peļņas vai zaudējumu aprēķina posteņus novērtē atbilstīgi iegādes izmaksām vai ražošanas pašizmaksai. Iegādes izmaksas ir preces vai pakalpojuma pirkšanas cena (atskaitot saņemtās atlaides), kurai pieskaitīti ar pirk</w:t>
      </w:r>
      <w:r w:rsidR="000E3CB1">
        <w:rPr>
          <w:rFonts w:ascii="Times New Roman" w:eastAsia="Calibri" w:hAnsi="Times New Roman" w:cs="Times New Roman"/>
          <w:sz w:val="24"/>
          <w:szCs w:val="24"/>
          <w:lang w:val="lv-LV" w:eastAsia="lv-LV"/>
        </w:rPr>
        <w:t>umu saistītie papildu izdevumi.</w:t>
      </w:r>
    </w:p>
    <w:p w14:paraId="0281777D" w14:textId="77777777" w:rsidR="00ED2A25" w:rsidRDefault="00ED2A25" w:rsidP="00ED2A25">
      <w:pPr>
        <w:ind w:firstLine="709"/>
        <w:jc w:val="both"/>
        <w:rPr>
          <w:rFonts w:ascii="Times New Roman" w:eastAsia="Calibri" w:hAnsi="Times New Roman" w:cs="Times New Roman"/>
          <w:sz w:val="24"/>
          <w:szCs w:val="24"/>
          <w:lang w:val="lv-LV" w:eastAsia="lv-LV"/>
        </w:rPr>
      </w:pPr>
      <w:r w:rsidRPr="000D50C5">
        <w:rPr>
          <w:rFonts w:ascii="Times New Roman" w:eastAsia="Calibri" w:hAnsi="Times New Roman" w:cs="Times New Roman"/>
          <w:sz w:val="24"/>
          <w:szCs w:val="24"/>
          <w:lang w:val="lv-LV" w:eastAsia="lv-LV"/>
        </w:rPr>
        <w:t>Atbilstoši Gada pārskatu un konsolidēto gada pārskatu likuma 1.panta pirmās daļas 20.punktam, pirkšanas cena ir naudā vai tās ekvivalentos maksājamā summa vai preces vai pakalpojuma iegādei nodotās atlīdzības patiesā vērtība laikā, kad aktīvs iegādāts.</w:t>
      </w:r>
    </w:p>
    <w:p w14:paraId="3BD1A17F" w14:textId="77777777" w:rsidR="00ED2A25" w:rsidRPr="00ED2A25" w:rsidRDefault="00ED2A25" w:rsidP="00ED2A25">
      <w:pPr>
        <w:pStyle w:val="ListParagraph"/>
        <w:ind w:left="0" w:firstLine="709"/>
        <w:jc w:val="both"/>
        <w:rPr>
          <w:rFonts w:ascii="Times New Roman" w:hAnsi="Times New Roman" w:cs="Times New Roman"/>
          <w:color w:val="000000" w:themeColor="text1"/>
          <w:sz w:val="24"/>
          <w:szCs w:val="24"/>
          <w:lang w:val="lv-LV"/>
        </w:rPr>
      </w:pPr>
      <w:r w:rsidRPr="00ED2A25">
        <w:rPr>
          <w:rFonts w:ascii="Times New Roman" w:hAnsi="Times New Roman" w:cs="Times New Roman"/>
          <w:color w:val="000000" w:themeColor="text1"/>
          <w:sz w:val="24"/>
          <w:szCs w:val="24"/>
          <w:lang w:val="lv-LV"/>
        </w:rPr>
        <w:t>Papildus jāņem vērā, ka ne Starptautisko grāmatvedības standartu padome, kas izdod starptautiskos grāmatvedības un finanšu pārskatu standartus, ne arī Eiropas institūcijas, kas pieņem regulējumu grāmatvedības un finanšu pārskatu sagatavošanas jomā, vēl nav izdevušas regulējošu vai skaidrojošu dokumentu projektus par virtuālās valūtas klasificēšanu, novērtēšanas metodēm un atspoguļošanu finanšu pārskatos. Savukārt, atsevišķi nacionālo grāmatvedības standartu izdevēji jau ir pieņēmuši un publicējuši dokumentus, kuros minētie jautājumi ir skaidroti.</w:t>
      </w:r>
    </w:p>
    <w:p w14:paraId="742D499F" w14:textId="32ED53C6" w:rsidR="00ED2A25" w:rsidRPr="00ED2A25" w:rsidRDefault="00151323" w:rsidP="00ED2A25">
      <w:pPr>
        <w:pStyle w:val="ListParagraph"/>
        <w:ind w:left="0" w:firstLine="709"/>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Tā, piemēram,</w:t>
      </w:r>
      <w:r w:rsidR="00ED2A25" w:rsidRPr="00ED2A25">
        <w:rPr>
          <w:rFonts w:ascii="Times New Roman" w:hAnsi="Times New Roman" w:cs="Times New Roman"/>
          <w:color w:val="000000" w:themeColor="text1"/>
          <w:sz w:val="24"/>
          <w:szCs w:val="24"/>
          <w:lang w:val="lv-LV"/>
        </w:rPr>
        <w:t xml:space="preserve"> Japānas Grāmatvedības standartu padome š.g. martā ir publicējusi dokumentu “Praktiskie risinājumi virtuālo valūtu uzskaitē, atbilstoši Maksājumu pakalpojumu likumam”</w:t>
      </w:r>
      <w:r w:rsidR="00ED2A25" w:rsidRPr="00ED2A25">
        <w:rPr>
          <w:rStyle w:val="FootnoteReference"/>
          <w:rFonts w:ascii="Times New Roman" w:hAnsi="Times New Roman" w:cs="Times New Roman"/>
          <w:color w:val="000000" w:themeColor="text1"/>
          <w:sz w:val="24"/>
          <w:szCs w:val="24"/>
          <w:lang w:val="lv-LV"/>
        </w:rPr>
        <w:footnoteReference w:id="5"/>
      </w:r>
      <w:r w:rsidR="00ED2A25" w:rsidRPr="00ED2A25">
        <w:rPr>
          <w:rFonts w:ascii="Times New Roman" w:hAnsi="Times New Roman" w:cs="Times New Roman"/>
          <w:color w:val="000000" w:themeColor="text1"/>
          <w:sz w:val="24"/>
          <w:szCs w:val="24"/>
          <w:lang w:val="lv-LV"/>
        </w:rPr>
        <w:t xml:space="preserve"> (turpmāk – standarts), kas skaidro šī standarta izdošanas pamatu, noteic galvenās grāmatvedības uzskaites prasības un ir uzskatāms par  Japānas Grāmatvedības standartu kopuma sastāvdaļu. Standartā minēts, ka virtuālajai valūtai ir īpašuma vērtība, to var izmantot kā maksāšanas līdzekli un tirdzniecībai starp darījumā iesaistītajām personām, un to var apmainīt pret </w:t>
      </w:r>
      <w:r w:rsidR="00ED2A25" w:rsidRPr="00ED2A25">
        <w:rPr>
          <w:rFonts w:ascii="Times New Roman" w:hAnsi="Times New Roman" w:cs="Times New Roman"/>
          <w:color w:val="000000" w:themeColor="text1"/>
          <w:sz w:val="24"/>
          <w:szCs w:val="24"/>
          <w:lang w:val="lv-LV"/>
        </w:rPr>
        <w:lastRenderedPageBreak/>
        <w:t xml:space="preserve">citu virtuālo valūtu. Grāmatvedībā virtuālo valūtu norāda kā atsevišķu bilances aktīvu kategoriju (angl. </w:t>
      </w:r>
      <w:r w:rsidR="00ED2A25" w:rsidRPr="00ED2A25">
        <w:rPr>
          <w:rFonts w:ascii="Times New Roman" w:hAnsi="Times New Roman" w:cs="Times New Roman"/>
          <w:i/>
          <w:color w:val="000000" w:themeColor="text1"/>
          <w:sz w:val="24"/>
          <w:szCs w:val="24"/>
          <w:lang w:val="lv-LV"/>
        </w:rPr>
        <w:t>independent category of assets</w:t>
      </w:r>
      <w:r w:rsidR="00ED2A25" w:rsidRPr="00ED2A25">
        <w:rPr>
          <w:rFonts w:ascii="Times New Roman" w:hAnsi="Times New Roman" w:cs="Times New Roman"/>
          <w:color w:val="000000" w:themeColor="text1"/>
          <w:sz w:val="24"/>
          <w:szCs w:val="24"/>
          <w:lang w:val="lv-LV"/>
        </w:rPr>
        <w:t>), kuru novērtē patiesajā vērtībā, ja tai ir aktīvs tirgus, bet, ja tāda nav, tad izmaksās. Ja iespējamā atsavināšanas vērtība ir zemāka par izmaksām, virtuālo valūtu novērtē zemākajā vērtībā, bet gadījumā, ja no virtuālās valūtas nav gaidāmi naudas ieņēmumi, tās vērtību pilnībā noraksta zaudējumos. Zaudējumi no vērtības samazinājuma nāka</w:t>
      </w:r>
      <w:r w:rsidR="00ED2A25">
        <w:rPr>
          <w:rFonts w:ascii="Times New Roman" w:hAnsi="Times New Roman" w:cs="Times New Roman"/>
          <w:color w:val="000000" w:themeColor="text1"/>
          <w:sz w:val="24"/>
          <w:szCs w:val="24"/>
          <w:lang w:val="lv-LV"/>
        </w:rPr>
        <w:t>majos periodos nav reversējami.</w:t>
      </w:r>
    </w:p>
    <w:p w14:paraId="086E4A5B" w14:textId="77777777" w:rsidR="00ED2A25" w:rsidRPr="00ED2A25" w:rsidRDefault="00ED2A25" w:rsidP="00ED2A25">
      <w:pPr>
        <w:ind w:firstLine="709"/>
        <w:jc w:val="both"/>
        <w:rPr>
          <w:rFonts w:ascii="Times New Roman" w:eastAsia="Calibri" w:hAnsi="Times New Roman" w:cs="Times New Roman"/>
          <w:color w:val="000000" w:themeColor="text1"/>
          <w:sz w:val="24"/>
          <w:szCs w:val="24"/>
          <w:lang w:val="lv-LV" w:eastAsia="lv-LV"/>
        </w:rPr>
      </w:pPr>
      <w:r w:rsidRPr="00ED2A25">
        <w:rPr>
          <w:rFonts w:ascii="Times New Roman" w:hAnsi="Times New Roman" w:cs="Times New Roman"/>
          <w:color w:val="000000" w:themeColor="text1"/>
          <w:sz w:val="24"/>
          <w:szCs w:val="24"/>
          <w:lang w:val="lv-LV"/>
        </w:rPr>
        <w:t>Savukārt Lietuva</w:t>
      </w:r>
      <w:r w:rsidRPr="00ED2A25">
        <w:rPr>
          <w:rFonts w:ascii="Times New Roman" w:hAnsi="Times New Roman" w:cs="Times New Roman"/>
          <w:b/>
          <w:color w:val="000000" w:themeColor="text1"/>
          <w:sz w:val="24"/>
          <w:szCs w:val="24"/>
          <w:lang w:val="lv-LV"/>
        </w:rPr>
        <w:t>s</w:t>
      </w:r>
      <w:r w:rsidRPr="00ED2A25">
        <w:rPr>
          <w:rFonts w:ascii="Times New Roman" w:hAnsi="Times New Roman" w:cs="Times New Roman"/>
          <w:color w:val="000000" w:themeColor="text1"/>
          <w:sz w:val="24"/>
          <w:szCs w:val="24"/>
          <w:lang w:val="lv-LV"/>
        </w:rPr>
        <w:t xml:space="preserve"> Revīzijas, grāmatvedības, īpašuma vērtēšanas un maksātnespējas vadības iestāde (turpmāk – Lietuvas </w:t>
      </w:r>
      <w:r w:rsidRPr="00ED2A25">
        <w:rPr>
          <w:rFonts w:ascii="Times New Roman" w:hAnsi="Times New Roman" w:cs="Times New Roman"/>
          <w:i/>
          <w:color w:val="000000" w:themeColor="text1"/>
          <w:sz w:val="24"/>
          <w:szCs w:val="24"/>
          <w:lang w:val="lv-LV"/>
        </w:rPr>
        <w:t>AVNT</w:t>
      </w:r>
      <w:r w:rsidRPr="00ED2A25">
        <w:rPr>
          <w:rFonts w:ascii="Times New Roman" w:hAnsi="Times New Roman" w:cs="Times New Roman"/>
          <w:color w:val="000000" w:themeColor="text1"/>
          <w:sz w:val="24"/>
          <w:szCs w:val="24"/>
          <w:lang w:val="lv-LV"/>
        </w:rPr>
        <w:t>) š.g. maijā ir publicējusi vadlīnijas “Kriptovalūtas un tokenu grāmatvedības vadlīnijas“</w:t>
      </w:r>
      <w:r w:rsidRPr="00ED2A25">
        <w:rPr>
          <w:rStyle w:val="FootnoteReference"/>
          <w:rFonts w:ascii="Times New Roman" w:hAnsi="Times New Roman" w:cs="Times New Roman"/>
          <w:color w:val="000000" w:themeColor="text1"/>
          <w:sz w:val="24"/>
          <w:szCs w:val="24"/>
          <w:lang w:val="lv-LV"/>
        </w:rPr>
        <w:footnoteReference w:id="6"/>
      </w:r>
      <w:r w:rsidRPr="00ED2A25">
        <w:rPr>
          <w:rFonts w:ascii="Times New Roman" w:hAnsi="Times New Roman" w:cs="Times New Roman"/>
          <w:color w:val="000000" w:themeColor="text1"/>
          <w:sz w:val="24"/>
          <w:szCs w:val="24"/>
          <w:lang w:val="lv-LV"/>
        </w:rPr>
        <w:t xml:space="preserve"> un norādījusi, ka šīs vadlīnijas ir daļa no Lietuvas Finanšu ministrijas apkopojuma par vispārējo nostāju minētajos jautājumos.  Lietuvas </w:t>
      </w:r>
      <w:r w:rsidRPr="00ED2A25">
        <w:rPr>
          <w:rFonts w:ascii="Times New Roman" w:hAnsi="Times New Roman" w:cs="Times New Roman"/>
          <w:i/>
          <w:color w:val="000000" w:themeColor="text1"/>
          <w:sz w:val="24"/>
          <w:szCs w:val="24"/>
          <w:lang w:val="lv-LV"/>
        </w:rPr>
        <w:t>AVNT</w:t>
      </w:r>
      <w:r w:rsidRPr="00ED2A25">
        <w:rPr>
          <w:rFonts w:ascii="Times New Roman" w:hAnsi="Times New Roman" w:cs="Times New Roman"/>
          <w:color w:val="000000" w:themeColor="text1"/>
          <w:sz w:val="24"/>
          <w:szCs w:val="24"/>
          <w:lang w:val="lv-LV"/>
        </w:rPr>
        <w:t xml:space="preserve"> šo vadlīniju pieņemšanu pamato ar to, ka laika posmā, kamēr vēl nav normatīvā regulējuma, grāmatvedībā veiktie darījumi ar kriptovalūtu ir jāatspoguļo pēc to ekonomiskās būtības un, pamatojoties uz uzņēmuma grāmatvedības politiku. Vadlīnijās iekļautie ieteikumi grāmatvedības politikai ir balstīti uz pieņēmumu, ka kriptovalūta ir finanšu aktīvs. Kriptovalūtas kā aktīva izvērtēšanā tika konstatēts arī tas, ka kriptovalūta ir bezķermeniska un no šī aspekta līdzīga nemateriālajiem ieguldījumiem. Bet nemateriālo ieguldījumu vērtība ir pakāpeniski jāsamazina, veicot ikgadējos vērtības norakstījumus. Ņemot vērā kriptovalūtas ekonomisko būtību, šāda pakāpeniska vērtības norakstīšana nav pieļaujama. Tādēļ Lietuvas </w:t>
      </w:r>
      <w:r w:rsidRPr="00ED2A25">
        <w:rPr>
          <w:rFonts w:ascii="Times New Roman" w:hAnsi="Times New Roman" w:cs="Times New Roman"/>
          <w:i/>
          <w:color w:val="000000" w:themeColor="text1"/>
          <w:sz w:val="24"/>
          <w:szCs w:val="24"/>
          <w:lang w:val="lv-LV"/>
        </w:rPr>
        <w:t>AVNT</w:t>
      </w:r>
      <w:r w:rsidRPr="00ED2A25">
        <w:rPr>
          <w:rFonts w:ascii="Times New Roman" w:hAnsi="Times New Roman" w:cs="Times New Roman"/>
          <w:color w:val="000000" w:themeColor="text1"/>
          <w:sz w:val="24"/>
          <w:szCs w:val="24"/>
          <w:lang w:val="lv-LV"/>
        </w:rPr>
        <w:t xml:space="preserve"> secināja, ka kriptovalūta nav nemateriālais ieguldījums, bet drīzāk finanšu aktīvs, kurš jānovērtē patiesajā vērtībā, vērtības izmaiņas atspoguļojot peļņas vai zaudējumu aprēķinā. Ja nav iespējams noteikt kriptovalūtas patieso vērtību, tad tā jānovērtē atbilstoši iegādes izmaksām, katru gadu pārbaudot iespējamo vērtības samazināšanos un, ja tāda konstatēta, veicot vērtības norakstījumus. Vadlīnijās kriptovalūtu ieteikts norādīt bilancē apgrozāmo līdzekļu sastāvā, bet grāmatvedības kontu plānā atkarībā no paredzētā mērķa kā apakšposteni kontu grupā “Konti bankās” (ja to paredzēts izmantot par maksāšanas līdzekli) vai kontu grupā “Pārējie ieguldījumi” (ja to paredzēts izmantot peļņas iegūšanai no vērtības pieauguma). Vadlīnijās norādīts arī tas, ka visi ar kriptovalūtas “rakšanu” saistītie izdevumi nekavējoties jānoraksta izdevumos.</w:t>
      </w:r>
    </w:p>
    <w:p w14:paraId="3EF2507D" w14:textId="03A0F068" w:rsidR="00414142" w:rsidRDefault="00414142" w:rsidP="00685BEA">
      <w:pPr>
        <w:jc w:val="both"/>
        <w:rPr>
          <w:rFonts w:ascii="Times New Roman" w:eastAsia="Calibri" w:hAnsi="Times New Roman" w:cs="Times New Roman"/>
          <w:sz w:val="24"/>
          <w:szCs w:val="24"/>
          <w:lang w:val="lv-LV" w:eastAsia="lv-LV"/>
        </w:rPr>
      </w:pPr>
    </w:p>
    <w:p w14:paraId="50336CF8" w14:textId="074F8AE8" w:rsidR="00414142" w:rsidRDefault="00414142" w:rsidP="00995D7A">
      <w:pPr>
        <w:ind w:firstLine="709"/>
        <w:jc w:val="both"/>
        <w:rPr>
          <w:rFonts w:ascii="Times New Roman" w:eastAsia="Calibri" w:hAnsi="Times New Roman" w:cs="Times New Roman"/>
          <w:b/>
          <w:i/>
          <w:sz w:val="24"/>
          <w:szCs w:val="24"/>
          <w:lang w:val="lv-LV" w:eastAsia="lv-LV"/>
        </w:rPr>
      </w:pPr>
      <w:r w:rsidRPr="00D56BD5">
        <w:rPr>
          <w:rFonts w:ascii="Times New Roman" w:eastAsia="Calibri" w:hAnsi="Times New Roman" w:cs="Times New Roman"/>
          <w:b/>
          <w:i/>
          <w:sz w:val="24"/>
          <w:szCs w:val="24"/>
          <w:lang w:val="lv-LV" w:eastAsia="lv-LV"/>
        </w:rPr>
        <w:t>3. Virtuālās valūtas no nodokļu uzskaites aspekta</w:t>
      </w:r>
    </w:p>
    <w:p w14:paraId="1190A3F3" w14:textId="2FEE57C4" w:rsidR="00414142" w:rsidRPr="00CB5F9B" w:rsidRDefault="00414142" w:rsidP="00CB5F9B">
      <w:pPr>
        <w:jc w:val="both"/>
        <w:rPr>
          <w:rFonts w:ascii="Times New Roman" w:eastAsia="Calibri" w:hAnsi="Times New Roman" w:cs="Times New Roman"/>
          <w:sz w:val="24"/>
          <w:szCs w:val="24"/>
          <w:lang w:val="lv-LV" w:eastAsia="lv-LV"/>
        </w:rPr>
      </w:pPr>
    </w:p>
    <w:p w14:paraId="65A9B552" w14:textId="55DD02E8" w:rsidR="00414142" w:rsidRPr="00D56BD5" w:rsidRDefault="00414142" w:rsidP="00995D7A">
      <w:pPr>
        <w:ind w:firstLine="709"/>
        <w:jc w:val="both"/>
        <w:rPr>
          <w:rFonts w:ascii="Times New Roman" w:eastAsia="Calibri" w:hAnsi="Times New Roman" w:cs="Times New Roman"/>
          <w:b/>
          <w:i/>
          <w:sz w:val="24"/>
          <w:szCs w:val="24"/>
          <w:lang w:val="lv-LV" w:eastAsia="lv-LV"/>
        </w:rPr>
      </w:pPr>
      <w:r>
        <w:rPr>
          <w:rFonts w:ascii="Times New Roman" w:eastAsia="Calibri" w:hAnsi="Times New Roman" w:cs="Times New Roman"/>
          <w:b/>
          <w:i/>
          <w:sz w:val="24"/>
          <w:szCs w:val="24"/>
          <w:lang w:val="lv-LV" w:eastAsia="lv-LV"/>
        </w:rPr>
        <w:t>3.1. Virtuālo valūtu darījumu izsekojamība</w:t>
      </w:r>
    </w:p>
    <w:p w14:paraId="7ACC530D" w14:textId="77777777" w:rsidR="00414142" w:rsidRPr="000D50C5" w:rsidRDefault="00414142" w:rsidP="00ED2A25">
      <w:pPr>
        <w:jc w:val="both"/>
        <w:rPr>
          <w:rFonts w:ascii="Times New Roman" w:eastAsia="Calibri" w:hAnsi="Times New Roman" w:cs="Times New Roman"/>
          <w:sz w:val="24"/>
          <w:szCs w:val="24"/>
          <w:lang w:val="lv-LV" w:eastAsia="lv-LV"/>
        </w:rPr>
      </w:pPr>
    </w:p>
    <w:p w14:paraId="05A081A4" w14:textId="142734B2" w:rsidR="0091784B" w:rsidRPr="001A1E69" w:rsidRDefault="0091784B" w:rsidP="001A1E69">
      <w:pPr>
        <w:ind w:firstLine="709"/>
        <w:jc w:val="both"/>
        <w:rPr>
          <w:rFonts w:ascii="Times New Roman" w:eastAsia="Calibri" w:hAnsi="Times New Roman" w:cs="Times New Roman"/>
          <w:sz w:val="24"/>
          <w:szCs w:val="24"/>
          <w:u w:val="single"/>
          <w:lang w:val="lv-LV" w:eastAsia="lv-LV"/>
        </w:rPr>
      </w:pPr>
      <w:r w:rsidRPr="00931D14">
        <w:rPr>
          <w:rFonts w:ascii="Times New Roman" w:eastAsia="Calibri" w:hAnsi="Times New Roman" w:cs="Times New Roman"/>
          <w:sz w:val="24"/>
          <w:szCs w:val="24"/>
          <w:lang w:val="lv-LV" w:eastAsia="lv-LV"/>
        </w:rPr>
        <w:t xml:space="preserve">Lai nodrošinātu darījumu izsekojamību, glabājamo datu apjomam jābūt pēc iespējas lielākam, iekļaujot ne tikai ziņas par darbībām, bet arī, piemēram, ziņas par virtuālo valūtu maku identifikatoriem un klientu datiem. Līdz ar to, ierosinām papildināt nodokļu maksātāju </w:t>
      </w:r>
      <w:r w:rsidR="00C64372">
        <w:rPr>
          <w:rFonts w:ascii="Times New Roman" w:eastAsia="Calibri" w:hAnsi="Times New Roman" w:cs="Times New Roman"/>
          <w:sz w:val="24"/>
          <w:szCs w:val="24"/>
          <w:lang w:val="lv-LV" w:eastAsia="lv-LV"/>
        </w:rPr>
        <w:t xml:space="preserve">(virtuālo valūtu maiņas pakalpojumu sniedzējiem) </w:t>
      </w:r>
      <w:r w:rsidRPr="00931D14">
        <w:rPr>
          <w:rFonts w:ascii="Times New Roman" w:eastAsia="Calibri" w:hAnsi="Times New Roman" w:cs="Times New Roman"/>
          <w:sz w:val="24"/>
          <w:szCs w:val="24"/>
          <w:lang w:val="lv-LV" w:eastAsia="lv-LV"/>
        </w:rPr>
        <w:t>pienākumus ar pienākumu saglabāt informāciju (arī elektroniski) par katru darījumu (ieskaitot izmantotā virtuālās valūtas maka publisko atslēgu), kura ļauj izsekot katr</w:t>
      </w:r>
      <w:r w:rsidR="00000125">
        <w:rPr>
          <w:rFonts w:ascii="Times New Roman" w:eastAsia="Calibri" w:hAnsi="Times New Roman" w:cs="Times New Roman"/>
          <w:sz w:val="24"/>
          <w:szCs w:val="24"/>
          <w:lang w:val="lv-LV" w:eastAsia="lv-LV"/>
        </w:rPr>
        <w:t>am</w:t>
      </w:r>
      <w:r w:rsidRPr="00931D14">
        <w:rPr>
          <w:rFonts w:ascii="Times New Roman" w:eastAsia="Calibri" w:hAnsi="Times New Roman" w:cs="Times New Roman"/>
          <w:sz w:val="24"/>
          <w:szCs w:val="24"/>
          <w:lang w:val="lv-LV" w:eastAsia="lv-LV"/>
        </w:rPr>
        <w:t xml:space="preserve"> darījum</w:t>
      </w:r>
      <w:r w:rsidR="00000125">
        <w:rPr>
          <w:rFonts w:ascii="Times New Roman" w:eastAsia="Calibri" w:hAnsi="Times New Roman" w:cs="Times New Roman"/>
          <w:sz w:val="24"/>
          <w:szCs w:val="24"/>
          <w:lang w:val="lv-LV" w:eastAsia="lv-LV"/>
        </w:rPr>
        <w:t>am</w:t>
      </w:r>
      <w:r w:rsidRPr="00931D14">
        <w:rPr>
          <w:rFonts w:ascii="Times New Roman" w:eastAsia="Calibri" w:hAnsi="Times New Roman" w:cs="Times New Roman"/>
          <w:sz w:val="24"/>
          <w:szCs w:val="24"/>
          <w:lang w:val="lv-LV" w:eastAsia="lv-LV"/>
        </w:rPr>
        <w:t>, kā arī ienākoš</w:t>
      </w:r>
      <w:r w:rsidR="00000125">
        <w:rPr>
          <w:rFonts w:ascii="Times New Roman" w:eastAsia="Calibri" w:hAnsi="Times New Roman" w:cs="Times New Roman"/>
          <w:sz w:val="24"/>
          <w:szCs w:val="24"/>
          <w:lang w:val="lv-LV" w:eastAsia="lv-LV"/>
        </w:rPr>
        <w:t>ā</w:t>
      </w:r>
      <w:r w:rsidRPr="00931D14">
        <w:rPr>
          <w:rFonts w:ascii="Times New Roman" w:eastAsia="Calibri" w:hAnsi="Times New Roman" w:cs="Times New Roman"/>
          <w:sz w:val="24"/>
          <w:szCs w:val="24"/>
          <w:lang w:val="lv-LV" w:eastAsia="lv-LV"/>
        </w:rPr>
        <w:t>s un izejoš</w:t>
      </w:r>
      <w:r w:rsidR="00000125">
        <w:rPr>
          <w:rFonts w:ascii="Times New Roman" w:eastAsia="Calibri" w:hAnsi="Times New Roman" w:cs="Times New Roman"/>
          <w:sz w:val="24"/>
          <w:szCs w:val="24"/>
          <w:lang w:val="lv-LV" w:eastAsia="lv-LV"/>
        </w:rPr>
        <w:t>ā</w:t>
      </w:r>
      <w:r w:rsidRPr="00931D14">
        <w:rPr>
          <w:rFonts w:ascii="Times New Roman" w:eastAsia="Calibri" w:hAnsi="Times New Roman" w:cs="Times New Roman"/>
          <w:sz w:val="24"/>
          <w:szCs w:val="24"/>
          <w:lang w:val="lv-LV" w:eastAsia="lv-LV"/>
        </w:rPr>
        <w:t>s virtuālās valūtas piederīb</w:t>
      </w:r>
      <w:r w:rsidR="00ED2A25">
        <w:rPr>
          <w:rFonts w:ascii="Times New Roman" w:eastAsia="Calibri" w:hAnsi="Times New Roman" w:cs="Times New Roman"/>
          <w:sz w:val="24"/>
          <w:szCs w:val="24"/>
          <w:lang w:val="lv-LV" w:eastAsia="lv-LV"/>
        </w:rPr>
        <w:t>u konkrētam nodokļu maksātājam.</w:t>
      </w:r>
    </w:p>
    <w:p w14:paraId="56C59649" w14:textId="77777777" w:rsidR="004B0A36" w:rsidRPr="00ED2A25" w:rsidRDefault="004B0A36" w:rsidP="00995D7A">
      <w:pPr>
        <w:jc w:val="both"/>
        <w:rPr>
          <w:rFonts w:ascii="Times New Roman" w:hAnsi="Times New Roman" w:cs="Times New Roman"/>
          <w:sz w:val="24"/>
          <w:lang w:val="lv-LV"/>
        </w:rPr>
      </w:pPr>
    </w:p>
    <w:p w14:paraId="2AF58CC8" w14:textId="0EC3D9DA" w:rsidR="00995D7A" w:rsidRPr="002E1BC8" w:rsidRDefault="00414142" w:rsidP="002E1BC8">
      <w:pPr>
        <w:ind w:firstLine="357"/>
        <w:rPr>
          <w:rFonts w:ascii="Times New Roman" w:hAnsi="Times New Roman" w:cs="Times New Roman"/>
          <w:b/>
          <w:i/>
          <w:sz w:val="24"/>
          <w:szCs w:val="24"/>
          <w:lang w:val="lv-LV"/>
        </w:rPr>
      </w:pPr>
      <w:r w:rsidRPr="002E1BC8">
        <w:rPr>
          <w:rFonts w:ascii="Times New Roman" w:hAnsi="Times New Roman" w:cs="Times New Roman"/>
          <w:b/>
          <w:i/>
          <w:sz w:val="24"/>
          <w:szCs w:val="24"/>
          <w:lang w:val="lv-LV"/>
        </w:rPr>
        <w:t>3.2.</w:t>
      </w:r>
      <w:r w:rsidR="00197442" w:rsidRPr="002E1BC8">
        <w:rPr>
          <w:rFonts w:ascii="Times New Roman" w:hAnsi="Times New Roman" w:cs="Times New Roman"/>
          <w:b/>
          <w:i/>
          <w:sz w:val="24"/>
          <w:szCs w:val="24"/>
          <w:lang w:val="lv-LV"/>
        </w:rPr>
        <w:t xml:space="preserve"> </w:t>
      </w:r>
      <w:r w:rsidR="00995D7A" w:rsidRPr="002E1BC8">
        <w:rPr>
          <w:rFonts w:ascii="Times New Roman" w:hAnsi="Times New Roman" w:cs="Times New Roman"/>
          <w:b/>
          <w:i/>
          <w:sz w:val="24"/>
          <w:szCs w:val="24"/>
          <w:lang w:val="lv-LV"/>
        </w:rPr>
        <w:t>Pievienotās vērtības nodokļa piemērošana darījumiem ar virtuālajām valūtām</w:t>
      </w:r>
    </w:p>
    <w:p w14:paraId="2926B0BF" w14:textId="77777777" w:rsidR="00995D7A" w:rsidRPr="00D43CF2" w:rsidRDefault="00995D7A" w:rsidP="00995D7A">
      <w:pPr>
        <w:jc w:val="both"/>
        <w:rPr>
          <w:rFonts w:ascii="Times New Roman" w:hAnsi="Times New Roman" w:cs="Times New Roman"/>
          <w:sz w:val="24"/>
          <w:lang w:val="lv-LV"/>
        </w:rPr>
      </w:pPr>
    </w:p>
    <w:p w14:paraId="4C574BEE" w14:textId="5DCC705E" w:rsidR="00995D7A" w:rsidRPr="000D50C5" w:rsidRDefault="00995D7A" w:rsidP="00995D7A">
      <w:pPr>
        <w:ind w:firstLine="720"/>
        <w:jc w:val="both"/>
        <w:rPr>
          <w:rFonts w:ascii="Times New Roman" w:eastAsia="Calibri" w:hAnsi="Times New Roman" w:cs="Times New Roman"/>
          <w:sz w:val="24"/>
          <w:szCs w:val="24"/>
          <w:lang w:val="lv-LV"/>
        </w:rPr>
      </w:pPr>
      <w:r w:rsidRPr="000D50C5">
        <w:rPr>
          <w:rFonts w:ascii="Times New Roman" w:eastAsia="Calibri" w:hAnsi="Times New Roman" w:cs="Times New Roman"/>
          <w:sz w:val="24"/>
          <w:szCs w:val="24"/>
          <w:lang w:val="lv-LV"/>
        </w:rPr>
        <w:t xml:space="preserve">Līdz ar </w:t>
      </w:r>
      <w:r w:rsidRPr="00984FD7">
        <w:rPr>
          <w:rFonts w:ascii="Times New Roman" w:eastAsia="Calibri" w:hAnsi="Times New Roman" w:cs="Times New Roman"/>
          <w:i/>
          <w:iCs/>
          <w:sz w:val="24"/>
          <w:szCs w:val="24"/>
          <w:lang w:val="lv-LV"/>
        </w:rPr>
        <w:t>Bitcoin</w:t>
      </w:r>
      <w:r w:rsidRPr="000D50C5">
        <w:rPr>
          <w:rFonts w:ascii="Times New Roman" w:eastAsia="Calibri" w:hAnsi="Times New Roman" w:cs="Times New Roman"/>
          <w:sz w:val="24"/>
          <w:szCs w:val="24"/>
          <w:lang w:val="lv-LV"/>
        </w:rPr>
        <w:t xml:space="preserve"> popularitātes pieaugumu virtuālo valūtu shēmu tirgū, arī starp Eiropas Savienības dalībvalstīm jautājums par vienotu </w:t>
      </w:r>
      <w:r w:rsidR="00D8037F">
        <w:rPr>
          <w:rFonts w:ascii="Times New Roman" w:eastAsia="Calibri" w:hAnsi="Times New Roman" w:cs="Times New Roman"/>
          <w:sz w:val="24"/>
          <w:szCs w:val="24"/>
          <w:lang w:val="lv-LV"/>
        </w:rPr>
        <w:t xml:space="preserve">pievienotās vērtības nodokļa (turpmāk – </w:t>
      </w:r>
      <w:r w:rsidRPr="000D50C5">
        <w:rPr>
          <w:rFonts w:ascii="Times New Roman" w:eastAsia="Calibri" w:hAnsi="Times New Roman" w:cs="Times New Roman"/>
          <w:sz w:val="24"/>
          <w:szCs w:val="24"/>
          <w:lang w:val="lv-LV"/>
        </w:rPr>
        <w:t>PVN</w:t>
      </w:r>
      <w:r w:rsidR="00D8037F">
        <w:rPr>
          <w:rFonts w:ascii="Times New Roman" w:eastAsia="Calibri" w:hAnsi="Times New Roman" w:cs="Times New Roman"/>
          <w:sz w:val="24"/>
          <w:szCs w:val="24"/>
          <w:lang w:val="lv-LV"/>
        </w:rPr>
        <w:t>)</w:t>
      </w:r>
      <w:r w:rsidRPr="000D50C5">
        <w:rPr>
          <w:rFonts w:ascii="Times New Roman" w:eastAsia="Calibri" w:hAnsi="Times New Roman" w:cs="Times New Roman"/>
          <w:sz w:val="24"/>
          <w:szCs w:val="24"/>
          <w:lang w:val="lv-LV"/>
        </w:rPr>
        <w:t xml:space="preserve"> </w:t>
      </w:r>
      <w:r w:rsidRPr="000D50C5">
        <w:rPr>
          <w:rFonts w:ascii="Times New Roman" w:eastAsia="Calibri" w:hAnsi="Times New Roman" w:cs="Times New Roman"/>
          <w:sz w:val="24"/>
          <w:szCs w:val="24"/>
          <w:lang w:val="lv-LV"/>
        </w:rPr>
        <w:lastRenderedPageBreak/>
        <w:t xml:space="preserve">piemērošanu darījumiem ar </w:t>
      </w:r>
      <w:r w:rsidRPr="00105749">
        <w:rPr>
          <w:rFonts w:ascii="Times New Roman" w:eastAsia="Calibri" w:hAnsi="Times New Roman" w:cs="Times New Roman"/>
          <w:i/>
          <w:iCs/>
          <w:sz w:val="24"/>
          <w:szCs w:val="24"/>
          <w:lang w:val="lv-LV"/>
        </w:rPr>
        <w:t>Bitcoin</w:t>
      </w:r>
      <w:r w:rsidRPr="000D50C5">
        <w:rPr>
          <w:rFonts w:ascii="Times New Roman" w:eastAsia="Calibri" w:hAnsi="Times New Roman" w:cs="Times New Roman"/>
          <w:sz w:val="24"/>
          <w:szCs w:val="24"/>
          <w:lang w:val="lv-LV"/>
        </w:rPr>
        <w:t xml:space="preserve"> kļuva arvien aktuālāks un diskutējams. Ņemot vērā katras valsts nacionālos tiesību aktus, kas reglamentē finanšu darījumu jomu, Eiropas Savienības Tiesa (turpmāk - EST) 2015.gada 22.oktobra spriedumā lietā C-264/14 ir vērtējusi parastās valūtas maiņas uz virtuālo valūtu </w:t>
      </w:r>
      <w:r w:rsidRPr="00C55206">
        <w:rPr>
          <w:rFonts w:ascii="Times New Roman" w:eastAsia="Calibri" w:hAnsi="Times New Roman" w:cs="Times New Roman"/>
          <w:i/>
          <w:iCs/>
          <w:sz w:val="24"/>
          <w:szCs w:val="24"/>
          <w:lang w:val="lv-LV"/>
        </w:rPr>
        <w:t>Bitcoin</w:t>
      </w:r>
      <w:r w:rsidRPr="000D50C5">
        <w:rPr>
          <w:rFonts w:ascii="Times New Roman" w:eastAsia="Calibri" w:hAnsi="Times New Roman" w:cs="Times New Roman"/>
          <w:sz w:val="24"/>
          <w:szCs w:val="24"/>
          <w:lang w:val="lv-LV"/>
        </w:rPr>
        <w:t xml:space="preserve"> un otrādi atbilstību Padomes 2006.gada 28.novembra direktīvas 2006/112/EK par kopējo pievienotās vērtības nodokļa sistēmu (turpmāk – PVN direktīva) 135.p</w:t>
      </w:r>
      <w:r w:rsidR="005D0F03">
        <w:rPr>
          <w:rFonts w:ascii="Times New Roman" w:eastAsia="Calibri" w:hAnsi="Times New Roman" w:cs="Times New Roman"/>
          <w:sz w:val="24"/>
          <w:szCs w:val="24"/>
          <w:lang w:val="lv-LV"/>
        </w:rPr>
        <w:t>anta 1.punkta “e” apakšpunktam.</w:t>
      </w:r>
    </w:p>
    <w:p w14:paraId="4C08BA4F" w14:textId="2A2EF239" w:rsidR="00995D7A" w:rsidRPr="000D50C5" w:rsidRDefault="00995D7A" w:rsidP="00995D7A">
      <w:pPr>
        <w:ind w:firstLine="720"/>
        <w:jc w:val="both"/>
        <w:rPr>
          <w:rFonts w:ascii="Times New Roman" w:eastAsia="Calibri" w:hAnsi="Times New Roman" w:cs="Times New Roman"/>
          <w:sz w:val="24"/>
          <w:szCs w:val="24"/>
          <w:lang w:val="lv-LV"/>
        </w:rPr>
      </w:pPr>
      <w:r w:rsidRPr="000D50C5">
        <w:rPr>
          <w:rFonts w:ascii="Times New Roman" w:eastAsia="Calibri" w:hAnsi="Times New Roman" w:cs="Times New Roman"/>
          <w:sz w:val="24"/>
          <w:szCs w:val="24"/>
          <w:lang w:val="lv-LV"/>
        </w:rPr>
        <w:t xml:space="preserve">Minētā sprieduma 36. un 37.punktā ir minēts, ka PVN direktīvas 135.panta 1.punkta “d”–“f” apakšpunktā paredzēto atbrīvojumu mērķis ir atvieglot PVN uzlikšanas bāzes, kā arī atskaitāmā PVN summas noteikšanu. Turklāt saskaņā ar šīm tiesību normām no PVN atbrīvotie darījumi pēc sava rakstura ir finanšu darījumi, lai gan šādus darījumus ne vienmēr sniedz bankas vai finanšu iestādes. Sprieduma 42.punkts nosaka, ka, ņemot vērā, ka virtuālā valūta </w:t>
      </w:r>
      <w:r w:rsidRPr="00176F40">
        <w:rPr>
          <w:rFonts w:ascii="Times New Roman" w:eastAsia="Calibri" w:hAnsi="Times New Roman" w:cs="Times New Roman"/>
          <w:i/>
          <w:iCs/>
          <w:sz w:val="24"/>
          <w:szCs w:val="24"/>
          <w:lang w:val="lv-LV"/>
        </w:rPr>
        <w:t>Bitcoin</w:t>
      </w:r>
      <w:r w:rsidRPr="000D50C5">
        <w:rPr>
          <w:rFonts w:ascii="Times New Roman" w:eastAsia="Calibri" w:hAnsi="Times New Roman" w:cs="Times New Roman"/>
          <w:sz w:val="24"/>
          <w:szCs w:val="24"/>
          <w:lang w:val="lv-LV"/>
        </w:rPr>
        <w:t xml:space="preserve"> ir līgumisks maksāšanas līdzeklis, to nevar, pirmkārt, uzskatīt ne par norēķinu kontu, ne par noguldījumu</w:t>
      </w:r>
      <w:r w:rsidR="000D632A">
        <w:rPr>
          <w:rFonts w:ascii="Times New Roman" w:eastAsia="Calibri" w:hAnsi="Times New Roman" w:cs="Times New Roman"/>
          <w:sz w:val="24"/>
          <w:szCs w:val="24"/>
          <w:lang w:val="lv-LV"/>
        </w:rPr>
        <w:t>, maksājumu vai pārskaitījumu.</w:t>
      </w:r>
    </w:p>
    <w:p w14:paraId="05E0422B" w14:textId="50FA49AB" w:rsidR="00995D7A" w:rsidRPr="000D50C5" w:rsidRDefault="00995D7A" w:rsidP="00EC7B4D">
      <w:pPr>
        <w:ind w:firstLine="720"/>
        <w:jc w:val="both"/>
        <w:rPr>
          <w:rFonts w:ascii="Times New Roman" w:eastAsia="Calibri" w:hAnsi="Times New Roman" w:cs="Times New Roman"/>
          <w:sz w:val="24"/>
          <w:szCs w:val="24"/>
          <w:lang w:val="lv-LV"/>
        </w:rPr>
      </w:pPr>
      <w:r w:rsidRPr="000D50C5">
        <w:rPr>
          <w:rFonts w:ascii="Times New Roman" w:eastAsia="Calibri" w:hAnsi="Times New Roman" w:cs="Times New Roman"/>
          <w:sz w:val="24"/>
          <w:szCs w:val="24"/>
          <w:lang w:val="lv-LV"/>
        </w:rPr>
        <w:t>Otrkārt, atšķirībā no parādiem, čekiem un citiem tirgojamiem dokumentiem, kas ir paredzēti PVN direktīvas 135.panta 1.punkta “d” apakšpunktā, t</w:t>
      </w:r>
      <w:r w:rsidR="00305CCA">
        <w:rPr>
          <w:rFonts w:ascii="Times New Roman" w:eastAsia="Calibri" w:hAnsi="Times New Roman" w:cs="Times New Roman"/>
          <w:sz w:val="24"/>
          <w:szCs w:val="24"/>
          <w:lang w:val="lv-LV"/>
        </w:rPr>
        <w:t xml:space="preserve">as </w:t>
      </w:r>
      <w:r w:rsidRPr="000D50C5">
        <w:rPr>
          <w:rFonts w:ascii="Times New Roman" w:eastAsia="Calibri" w:hAnsi="Times New Roman" w:cs="Times New Roman"/>
          <w:sz w:val="24"/>
          <w:szCs w:val="24"/>
          <w:lang w:val="lv-LV"/>
        </w:rPr>
        <w:t>ir tiešs maksāšanas līdzeklis to uzņēmumu starpā, kas to akceptē. Kā ģenerāladvokāte to ir norādījusi secinājumu 31.–34. punktā, dažādas PVN direktīvas 135.panta 1.punkta “e” apakšpunkta valodu versijas neļauj skaidri noteikt, vai šī tiesību norma ir piemērojama tikai darījumiem, kas attiecas uz parastajām valūtām, vai savukārt tā attiecas arī uz darījumiem, kuri ir saistīti ar citu valūtu. Kā tas ir atgādināts šī sprieduma 36. un 37. punktā, PVN direktīvas 135.panta 1.punkta “e” apakšpunktā paredzētā PVN atbrīvojuma mērķis ir atvieglot ar PVN uzlikšanas bāzes, kā arī atskaitāmā PVN summas noteikšanu saistītās grūtības, kas rodas finanšu darījumu aplikšanas ar PVN ietvaros.</w:t>
      </w:r>
    </w:p>
    <w:p w14:paraId="07571A74" w14:textId="77777777" w:rsidR="00995D7A" w:rsidRPr="000D50C5" w:rsidRDefault="00995D7A" w:rsidP="00EC7B4D">
      <w:pPr>
        <w:ind w:firstLine="720"/>
        <w:jc w:val="both"/>
        <w:rPr>
          <w:rFonts w:ascii="Times New Roman" w:eastAsia="Calibri" w:hAnsi="Times New Roman" w:cs="Times New Roman"/>
          <w:sz w:val="24"/>
          <w:szCs w:val="24"/>
          <w:lang w:val="lv-LV"/>
        </w:rPr>
      </w:pPr>
      <w:r w:rsidRPr="000D50C5">
        <w:rPr>
          <w:rFonts w:ascii="Times New Roman" w:eastAsia="Calibri" w:hAnsi="Times New Roman" w:cs="Times New Roman"/>
          <w:sz w:val="24"/>
          <w:szCs w:val="24"/>
          <w:lang w:val="lv-LV"/>
        </w:rPr>
        <w:t xml:space="preserve"> Turklāt EST 2015.gada 22.oktobra sprieduma lietā C-264/14 ir norādījusi, ka darījumi, kas attiecas uz valūtām, kuras nav parastās valūtas, proti, ne tām, kas ir nauda, kura ir likumīgs maksāšanas līdzeklis vienā vai vairākās valstīs, ja darījuma puses šīs valūtas ir akceptējušas kā alternatīvu maksāšanas līdzekli likumīgajiem maksāšanas līdzekļiem un, ja tām nav cita mērķa kā tikai būt par maksāšanas līdzekli, ir finanšu darījumi. </w:t>
      </w:r>
    </w:p>
    <w:p w14:paraId="339E9BC6" w14:textId="4C6CD6C6" w:rsidR="00995D7A" w:rsidRPr="000D50C5" w:rsidRDefault="00995D7A" w:rsidP="00995D7A">
      <w:pPr>
        <w:ind w:firstLine="720"/>
        <w:jc w:val="both"/>
        <w:rPr>
          <w:rFonts w:ascii="Times New Roman" w:eastAsia="Calibri" w:hAnsi="Times New Roman" w:cs="Times New Roman"/>
          <w:sz w:val="24"/>
          <w:szCs w:val="24"/>
          <w:lang w:val="lv-LV"/>
        </w:rPr>
      </w:pPr>
      <w:r w:rsidRPr="000D50C5">
        <w:rPr>
          <w:rFonts w:ascii="Times New Roman" w:eastAsia="Calibri" w:hAnsi="Times New Roman" w:cs="Times New Roman"/>
          <w:sz w:val="24"/>
          <w:szCs w:val="24"/>
          <w:lang w:val="lv-LV"/>
        </w:rPr>
        <w:t xml:space="preserve">Tāpat EST ir atzīmējusi, ka pamatlietā ir skaidrs, ka virtuālajai valūtai </w:t>
      </w:r>
      <w:r w:rsidRPr="007954C3">
        <w:rPr>
          <w:rFonts w:ascii="Times New Roman" w:eastAsia="Calibri" w:hAnsi="Times New Roman" w:cs="Times New Roman"/>
          <w:i/>
          <w:iCs/>
          <w:sz w:val="24"/>
          <w:szCs w:val="24"/>
          <w:lang w:val="lv-LV"/>
        </w:rPr>
        <w:t>Bitcoin</w:t>
      </w:r>
      <w:r w:rsidRPr="000D50C5">
        <w:rPr>
          <w:rFonts w:ascii="Times New Roman" w:eastAsia="Calibri" w:hAnsi="Times New Roman" w:cs="Times New Roman"/>
          <w:iCs/>
          <w:sz w:val="24"/>
          <w:szCs w:val="24"/>
          <w:lang w:val="lv-LV"/>
        </w:rPr>
        <w:t xml:space="preserve"> </w:t>
      </w:r>
      <w:r w:rsidRPr="000D50C5">
        <w:rPr>
          <w:rFonts w:ascii="Times New Roman" w:eastAsia="Calibri" w:hAnsi="Times New Roman" w:cs="Times New Roman"/>
          <w:sz w:val="24"/>
          <w:szCs w:val="24"/>
          <w:lang w:val="lv-LV"/>
        </w:rPr>
        <w:t xml:space="preserve">nav citu mērķu kā tikai mērķis būt par maksāšanas līdzekli, un daži uzņēmumi šajā nolūkā to ir akceptējuši. Līdz ar to EST 2015.gada 22.oktobra sprieduma lietā C-264/14 53.punktā ir secināts, ka PVN direktīvas 135.panta 1.punkta “e” apakšpunkts attiecas arī uz tādu pakalpojumu sniegšanu, kāda ir aplūkota pamatlietā un kas izpaužas kā parasto valūtu maiņa pret virtuālās valūtas </w:t>
      </w:r>
      <w:r w:rsidRPr="00F01845">
        <w:rPr>
          <w:rFonts w:ascii="Times New Roman" w:eastAsia="Calibri" w:hAnsi="Times New Roman" w:cs="Times New Roman"/>
          <w:i/>
          <w:iCs/>
          <w:sz w:val="24"/>
          <w:szCs w:val="24"/>
          <w:lang w:val="lv-LV"/>
        </w:rPr>
        <w:t>Bitcoin</w:t>
      </w:r>
      <w:r w:rsidRPr="000D50C5">
        <w:rPr>
          <w:rFonts w:ascii="Times New Roman" w:eastAsia="Calibri" w:hAnsi="Times New Roman" w:cs="Times New Roman"/>
          <w:sz w:val="24"/>
          <w:szCs w:val="24"/>
          <w:lang w:val="lv-LV"/>
        </w:rPr>
        <w:t xml:space="preserve"> vienībām un otrādi, un kas tiek īstenota par tādas summas samaksu, kura atbilst starpībai, ko veido atšķirība starp, pirmkārt, cenu par kādu attiecīgais </w:t>
      </w:r>
      <w:r w:rsidR="00421BF3">
        <w:rPr>
          <w:rFonts w:ascii="Times New Roman" w:eastAsia="Calibri" w:hAnsi="Times New Roman" w:cs="Times New Roman"/>
          <w:sz w:val="24"/>
          <w:szCs w:val="24"/>
          <w:lang w:val="lv-LV"/>
        </w:rPr>
        <w:t>komersants</w:t>
      </w:r>
      <w:r w:rsidR="00421BF3" w:rsidRPr="000D50C5">
        <w:rPr>
          <w:rFonts w:ascii="Times New Roman" w:eastAsia="Calibri" w:hAnsi="Times New Roman" w:cs="Times New Roman"/>
          <w:sz w:val="24"/>
          <w:szCs w:val="24"/>
          <w:lang w:val="lv-LV"/>
        </w:rPr>
        <w:t xml:space="preserve"> </w:t>
      </w:r>
      <w:r w:rsidRPr="000D50C5">
        <w:rPr>
          <w:rFonts w:ascii="Times New Roman" w:eastAsia="Calibri" w:hAnsi="Times New Roman" w:cs="Times New Roman"/>
          <w:sz w:val="24"/>
          <w:szCs w:val="24"/>
          <w:lang w:val="lv-LV"/>
        </w:rPr>
        <w:t xml:space="preserve">pērk valūtas, un, otrkārt, cenu par kādu </w:t>
      </w:r>
      <w:r w:rsidR="00382D64" w:rsidRPr="000D50C5">
        <w:rPr>
          <w:rFonts w:ascii="Times New Roman" w:eastAsia="Calibri" w:hAnsi="Times New Roman" w:cs="Times New Roman"/>
          <w:sz w:val="24"/>
          <w:szCs w:val="24"/>
          <w:lang w:val="lv-LV"/>
        </w:rPr>
        <w:t>šis</w:t>
      </w:r>
      <w:r w:rsidR="00382D64">
        <w:rPr>
          <w:rFonts w:ascii="Times New Roman" w:eastAsia="Calibri" w:hAnsi="Times New Roman" w:cs="Times New Roman"/>
          <w:sz w:val="24"/>
          <w:szCs w:val="24"/>
          <w:lang w:val="lv-LV"/>
        </w:rPr>
        <w:t xml:space="preserve"> komersants</w:t>
      </w:r>
      <w:r w:rsidR="009263A0">
        <w:rPr>
          <w:rFonts w:ascii="Times New Roman" w:eastAsia="Calibri" w:hAnsi="Times New Roman" w:cs="Times New Roman"/>
          <w:sz w:val="24"/>
          <w:szCs w:val="24"/>
          <w:lang w:val="lv-LV"/>
        </w:rPr>
        <w:t xml:space="preserve"> tās pārdod saviem klientiem.</w:t>
      </w:r>
    </w:p>
    <w:p w14:paraId="66CAC748" w14:textId="77777777" w:rsidR="00995D7A" w:rsidRPr="000D50C5" w:rsidRDefault="00995D7A" w:rsidP="00995D7A">
      <w:pPr>
        <w:ind w:firstLine="720"/>
        <w:jc w:val="both"/>
        <w:rPr>
          <w:rFonts w:ascii="Times New Roman" w:eastAsia="Calibri" w:hAnsi="Times New Roman" w:cs="Times New Roman"/>
          <w:sz w:val="24"/>
          <w:szCs w:val="24"/>
          <w:lang w:val="lv-LV"/>
        </w:rPr>
      </w:pPr>
      <w:r w:rsidRPr="000D50C5">
        <w:rPr>
          <w:rFonts w:ascii="Times New Roman" w:eastAsia="Calibri" w:hAnsi="Times New Roman" w:cs="Times New Roman"/>
          <w:sz w:val="24"/>
          <w:szCs w:val="24"/>
          <w:lang w:val="lv-LV"/>
        </w:rPr>
        <w:t xml:space="preserve">Tādējādi secināms, ka atbilstoši EST spriedumā lietā C-264/14 nolemtajam PVN nolūkā </w:t>
      </w:r>
      <w:r w:rsidRPr="0012797D">
        <w:rPr>
          <w:rFonts w:ascii="Times New Roman" w:eastAsia="Calibri" w:hAnsi="Times New Roman" w:cs="Times New Roman"/>
          <w:i/>
          <w:iCs/>
          <w:sz w:val="24"/>
          <w:szCs w:val="24"/>
          <w:lang w:val="lv-LV"/>
        </w:rPr>
        <w:t>Bitcoin</w:t>
      </w:r>
      <w:r w:rsidRPr="000D50C5">
        <w:rPr>
          <w:rFonts w:ascii="Times New Roman" w:eastAsia="Calibri" w:hAnsi="Times New Roman" w:cs="Times New Roman"/>
          <w:sz w:val="24"/>
          <w:szCs w:val="24"/>
          <w:lang w:val="lv-LV"/>
        </w:rPr>
        <w:t xml:space="preserve"> pārdošana ir darījums, kas atbrīvots no PVN atbilstoši PVN direktīvas 135.panta 1.punkta “e” apakšpunktam, kas nosaka, ka dalībvalsts atbrīvo no PVN darījumus, tostarp starpniecību, kas attiecas uz valūtu, banknotēm un monētām, ko lieto par likumīgu maksāšanas līdzekli, izņemot kolekciju priekšmetus, t.i., zelta, sudraba vai cita metāla monētas vai banknotes, ko parasti nelieto kā likumīgu maksāšanas līdzekli, vai arī monētas, kurām ir numismātiska vērtība.</w:t>
      </w:r>
    </w:p>
    <w:p w14:paraId="0C4BF285" w14:textId="77777777" w:rsidR="00995D7A" w:rsidRPr="000D50C5" w:rsidRDefault="00995D7A" w:rsidP="00995D7A">
      <w:pPr>
        <w:ind w:firstLine="720"/>
        <w:jc w:val="both"/>
        <w:rPr>
          <w:rFonts w:ascii="Times New Roman" w:eastAsia="Calibri" w:hAnsi="Times New Roman" w:cs="Times New Roman"/>
          <w:sz w:val="24"/>
          <w:szCs w:val="24"/>
          <w:lang w:val="lv-LV"/>
        </w:rPr>
      </w:pPr>
      <w:r w:rsidRPr="000D50C5">
        <w:rPr>
          <w:rFonts w:ascii="Times New Roman" w:eastAsia="Calibri" w:hAnsi="Times New Roman" w:cs="Times New Roman"/>
          <w:sz w:val="24"/>
          <w:szCs w:val="24"/>
          <w:lang w:val="lv-LV"/>
        </w:rPr>
        <w:t xml:space="preserve">PVN direktīvas 135.panta 1.punkta “e” apakšpunkts ir pārņemts Pievienotās vērtības nodokļa likuma 52.panta pirmās daļas 21.punkta “d” apakšpunktā. Atzīmējam, ka Pievienotās vērtības nodokļa likuma 52.panta pirmās daļas 21.punkta “d” apakšpunkts tiešā veidā nenosaka atbrīvojuma no PVN piemērošanu darījumiem ar virtuālo valūtu, tomēr, interpretējot EST </w:t>
      </w:r>
      <w:r w:rsidRPr="000D50C5">
        <w:rPr>
          <w:rFonts w:ascii="Times New Roman" w:eastAsia="Calibri" w:hAnsi="Times New Roman" w:cs="Times New Roman"/>
          <w:sz w:val="24"/>
          <w:szCs w:val="24"/>
          <w:lang w:val="lv-LV"/>
        </w:rPr>
        <w:lastRenderedPageBreak/>
        <w:t xml:space="preserve">2015.gada 22.oktobra spriedumu lietā C-264/14, parasto valūtu maiņa pret virtuālās valūtas </w:t>
      </w:r>
      <w:r w:rsidRPr="00660B67">
        <w:rPr>
          <w:rFonts w:ascii="Times New Roman" w:eastAsia="Calibri" w:hAnsi="Times New Roman" w:cs="Times New Roman"/>
          <w:i/>
          <w:iCs/>
          <w:sz w:val="24"/>
          <w:szCs w:val="24"/>
          <w:lang w:val="lv-LV"/>
        </w:rPr>
        <w:t>Bitcoin</w:t>
      </w:r>
      <w:r w:rsidRPr="000D50C5">
        <w:rPr>
          <w:rFonts w:ascii="Times New Roman" w:eastAsia="Calibri" w:hAnsi="Times New Roman" w:cs="Times New Roman"/>
          <w:sz w:val="24"/>
          <w:szCs w:val="24"/>
          <w:lang w:val="lv-LV"/>
        </w:rPr>
        <w:t xml:space="preserve"> vienībām un otrādi ir </w:t>
      </w:r>
      <w:r w:rsidRPr="000D50C5">
        <w:rPr>
          <w:rFonts w:ascii="Times New Roman" w:eastAsia="Calibri" w:hAnsi="Times New Roman" w:cs="Times New Roman"/>
          <w:b/>
          <w:bCs/>
          <w:sz w:val="24"/>
          <w:szCs w:val="24"/>
          <w:lang w:val="lv-LV"/>
        </w:rPr>
        <w:t>no PVN atbrīvots finanšu darījums</w:t>
      </w:r>
      <w:r w:rsidRPr="000D50C5">
        <w:rPr>
          <w:rFonts w:ascii="Times New Roman" w:eastAsia="Calibri" w:hAnsi="Times New Roman" w:cs="Times New Roman"/>
          <w:sz w:val="24"/>
          <w:szCs w:val="24"/>
          <w:lang w:val="lv-LV"/>
        </w:rPr>
        <w:t xml:space="preserve">. </w:t>
      </w:r>
    </w:p>
    <w:p w14:paraId="58A3983B" w14:textId="77777777" w:rsidR="00995D7A" w:rsidRPr="000D50C5" w:rsidRDefault="00995D7A" w:rsidP="00A8556A">
      <w:pPr>
        <w:ind w:firstLine="720"/>
        <w:jc w:val="both"/>
        <w:rPr>
          <w:rFonts w:ascii="Times New Roman" w:eastAsia="Calibri" w:hAnsi="Times New Roman" w:cs="Times New Roman"/>
          <w:sz w:val="24"/>
          <w:szCs w:val="24"/>
          <w:lang w:val="lv-LV"/>
        </w:rPr>
      </w:pPr>
      <w:r w:rsidRPr="000D50C5">
        <w:rPr>
          <w:rFonts w:ascii="Times New Roman" w:eastAsia="Calibri" w:hAnsi="Times New Roman" w:cs="Times New Roman"/>
          <w:sz w:val="24"/>
          <w:szCs w:val="24"/>
          <w:lang w:val="lv-LV"/>
        </w:rPr>
        <w:t xml:space="preserve">Finanšu ministrija ar 2015.gada 30.decembra vēstuli Nr.5-07/6911 ir informējusi Valsts ieņēmumu dienestu par viedokli attiecībā uz EST 2015.gada 22.oktobra sprieduma lietā C-264/14 interpretāciju un PVN piemērošanu darījumiem ar </w:t>
      </w:r>
      <w:r w:rsidRPr="00A8556A">
        <w:rPr>
          <w:rFonts w:ascii="Times New Roman" w:eastAsia="Calibri" w:hAnsi="Times New Roman" w:cs="Times New Roman"/>
          <w:i/>
          <w:iCs/>
          <w:sz w:val="24"/>
          <w:szCs w:val="24"/>
          <w:lang w:val="lv-LV"/>
        </w:rPr>
        <w:t>Bitcoin</w:t>
      </w:r>
      <w:r w:rsidRPr="000D50C5">
        <w:rPr>
          <w:rFonts w:ascii="Times New Roman" w:eastAsia="Calibri" w:hAnsi="Times New Roman" w:cs="Times New Roman"/>
          <w:sz w:val="24"/>
          <w:szCs w:val="24"/>
          <w:lang w:val="lv-LV"/>
        </w:rPr>
        <w:t xml:space="preserve">. </w:t>
      </w:r>
      <w:r w:rsidRPr="000D50C5">
        <w:rPr>
          <w:rFonts w:ascii="Times New Roman" w:eastAsia="Calibri" w:hAnsi="Times New Roman" w:cs="Times New Roman"/>
          <w:b/>
          <w:sz w:val="24"/>
          <w:szCs w:val="24"/>
          <w:lang w:val="lv-LV"/>
        </w:rPr>
        <w:t>Finanšu ministrija neplāno veikt grozījumus PVN jomu reglamentējošajos normatīvajos aktos, paredzot regulējumu virtuālajai valūtai.</w:t>
      </w:r>
    </w:p>
    <w:p w14:paraId="1713E6F4" w14:textId="77777777" w:rsidR="00995D7A" w:rsidRPr="00A8556A" w:rsidRDefault="00995D7A" w:rsidP="00995D7A">
      <w:pPr>
        <w:jc w:val="both"/>
        <w:rPr>
          <w:rFonts w:ascii="Times New Roman" w:hAnsi="Times New Roman" w:cs="Times New Roman"/>
          <w:sz w:val="24"/>
          <w:lang w:val="lv-LV"/>
        </w:rPr>
      </w:pPr>
    </w:p>
    <w:p w14:paraId="718FD81C" w14:textId="2DD99FF3" w:rsidR="00995D7A" w:rsidRPr="002E1BC8" w:rsidRDefault="00414142" w:rsidP="002E1BC8">
      <w:pPr>
        <w:ind w:firstLine="357"/>
        <w:rPr>
          <w:rFonts w:ascii="Times New Roman" w:hAnsi="Times New Roman" w:cs="Times New Roman"/>
          <w:b/>
          <w:i/>
          <w:sz w:val="24"/>
          <w:szCs w:val="24"/>
          <w:lang w:val="lv-LV"/>
        </w:rPr>
      </w:pPr>
      <w:r w:rsidRPr="002E1BC8">
        <w:rPr>
          <w:rFonts w:ascii="Times New Roman" w:hAnsi="Times New Roman" w:cs="Times New Roman"/>
          <w:b/>
          <w:i/>
          <w:sz w:val="24"/>
          <w:szCs w:val="24"/>
          <w:lang w:val="lv-LV"/>
        </w:rPr>
        <w:t>3</w:t>
      </w:r>
      <w:r w:rsidR="00197442" w:rsidRPr="002E1BC8">
        <w:rPr>
          <w:rFonts w:ascii="Times New Roman" w:hAnsi="Times New Roman" w:cs="Times New Roman"/>
          <w:b/>
          <w:i/>
          <w:sz w:val="24"/>
          <w:szCs w:val="24"/>
          <w:lang w:val="lv-LV"/>
        </w:rPr>
        <w:t xml:space="preserve">.3. </w:t>
      </w:r>
      <w:r w:rsidR="00995D7A" w:rsidRPr="002E1BC8">
        <w:rPr>
          <w:rFonts w:ascii="Times New Roman" w:hAnsi="Times New Roman" w:cs="Times New Roman"/>
          <w:b/>
          <w:i/>
          <w:sz w:val="24"/>
          <w:szCs w:val="24"/>
          <w:lang w:val="lv-LV"/>
        </w:rPr>
        <w:t>Tiešo nodokļu piemērošana darījumiem ar virtuālajām valūtām</w:t>
      </w:r>
    </w:p>
    <w:p w14:paraId="3662903A" w14:textId="77777777" w:rsidR="00995D7A" w:rsidRPr="00A8556A" w:rsidRDefault="00995D7A" w:rsidP="00995D7A">
      <w:pPr>
        <w:jc w:val="both"/>
        <w:rPr>
          <w:rFonts w:ascii="Times New Roman" w:hAnsi="Times New Roman" w:cs="Times New Roman"/>
          <w:sz w:val="24"/>
          <w:lang w:val="lv-LV"/>
        </w:rPr>
      </w:pPr>
    </w:p>
    <w:p w14:paraId="7E43C3D4" w14:textId="77777777" w:rsidR="00995D7A" w:rsidRPr="000D50C5" w:rsidRDefault="00995D7A" w:rsidP="00995D7A">
      <w:pPr>
        <w:ind w:firstLine="720"/>
        <w:jc w:val="both"/>
        <w:rPr>
          <w:rFonts w:ascii="Times New Roman" w:eastAsia="Calibri" w:hAnsi="Times New Roman" w:cs="Times New Roman"/>
          <w:sz w:val="24"/>
          <w:szCs w:val="24"/>
          <w:lang w:val="lv-LV" w:eastAsia="lv-LV"/>
        </w:rPr>
      </w:pPr>
      <w:r w:rsidRPr="000D50C5">
        <w:rPr>
          <w:rFonts w:ascii="Times New Roman" w:eastAsia="Calibri" w:hAnsi="Times New Roman" w:cs="Times New Roman"/>
          <w:sz w:val="24"/>
          <w:szCs w:val="24"/>
          <w:lang w:val="lv-LV"/>
        </w:rPr>
        <w:t>I</w:t>
      </w:r>
      <w:r w:rsidRPr="000D50C5">
        <w:rPr>
          <w:rFonts w:ascii="Times New Roman" w:eastAsia="Calibri" w:hAnsi="Times New Roman" w:cs="Times New Roman"/>
          <w:sz w:val="24"/>
          <w:szCs w:val="24"/>
          <w:lang w:val="lv-LV" w:eastAsia="lv-LV"/>
        </w:rPr>
        <w:t xml:space="preserve">enākumi, kas veidojas, ja fiziskās personas darījumu rezultātā, kura iegādājas virtuālo valūtu un pēc tam tūlīt vai pēc noteikta turēšanas perioda to atsavina, pēc savas ekonomiskās būtības ir vistuvākie ienākumam no kapitāla pieauguma. </w:t>
      </w:r>
    </w:p>
    <w:p w14:paraId="08BC9627" w14:textId="1BCEDBE4" w:rsidR="00995D7A" w:rsidRPr="000D50C5" w:rsidRDefault="00995D7A" w:rsidP="006514F3">
      <w:pPr>
        <w:ind w:firstLine="567"/>
        <w:jc w:val="both"/>
        <w:rPr>
          <w:rFonts w:ascii="Times New Roman" w:eastAsia="Calibri" w:hAnsi="Times New Roman" w:cs="Times New Roman"/>
          <w:sz w:val="24"/>
          <w:szCs w:val="24"/>
          <w:lang w:val="lv-LV" w:eastAsia="lv-LV"/>
        </w:rPr>
      </w:pPr>
      <w:r w:rsidRPr="000D50C5">
        <w:rPr>
          <w:rFonts w:ascii="Times New Roman" w:eastAsia="Calibri" w:hAnsi="Times New Roman" w:cs="Times New Roman"/>
          <w:sz w:val="24"/>
          <w:szCs w:val="24"/>
          <w:lang w:val="lv-LV" w:eastAsia="lv-LV"/>
        </w:rPr>
        <w:t>   Tomēr likuma “Par iedzīvotāju ienākuma nodokli” 11.</w:t>
      </w:r>
      <w:r w:rsidRPr="000D50C5">
        <w:rPr>
          <w:rFonts w:ascii="Times New Roman" w:eastAsia="Calibri" w:hAnsi="Times New Roman" w:cs="Times New Roman"/>
          <w:sz w:val="24"/>
          <w:szCs w:val="24"/>
          <w:vertAlign w:val="superscript"/>
          <w:lang w:val="lv-LV" w:eastAsia="lv-LV"/>
        </w:rPr>
        <w:t>9</w:t>
      </w:r>
      <w:r w:rsidRPr="000D50C5">
        <w:rPr>
          <w:rFonts w:ascii="Times New Roman" w:eastAsia="Calibri" w:hAnsi="Times New Roman" w:cs="Times New Roman"/>
          <w:sz w:val="24"/>
          <w:szCs w:val="24"/>
          <w:lang w:val="lv-LV" w:eastAsia="lv-LV"/>
        </w:rPr>
        <w:t xml:space="preserve"> panta otrajā daļā ietvertajā kapitāla aktīvu uzskaitījumā virtuālā valūta nav ietverta, jo</w:t>
      </w:r>
      <w:r w:rsidR="00051D4F">
        <w:rPr>
          <w:rFonts w:ascii="Times New Roman" w:eastAsia="Calibri" w:hAnsi="Times New Roman" w:cs="Times New Roman"/>
          <w:sz w:val="24"/>
          <w:szCs w:val="24"/>
          <w:lang w:val="lv-LV" w:eastAsia="lv-LV"/>
        </w:rPr>
        <w:t>,</w:t>
      </w:r>
      <w:r w:rsidRPr="000D50C5">
        <w:rPr>
          <w:rFonts w:ascii="Times New Roman" w:eastAsia="Calibri" w:hAnsi="Times New Roman" w:cs="Times New Roman"/>
          <w:sz w:val="24"/>
          <w:szCs w:val="24"/>
          <w:lang w:val="lv-LV" w:eastAsia="lv-LV"/>
        </w:rPr>
        <w:t xml:space="preserve"> laikā, kad likumā tika iekļauta kapitāla aktīvu definīcija, Latvijā vēl nenotika darījumi ar virtuālo valūtu. Virtuālā valūta arī pilnībā nevar tikt pielīdzināta tādiem tradicionālajiem kapitāla aktīviem kā finanšu instrumenti, valūta u.c., jo to mērķis, būtība un segums atšķiras. Piemēram, virtuālā valūta nav oficiāla valūta Latvijā, tai nav likumīga maksāšanas līdzekļa statusa, tās emisiju un i</w:t>
      </w:r>
      <w:r w:rsidR="002717CB">
        <w:rPr>
          <w:rFonts w:ascii="Times New Roman" w:eastAsia="Calibri" w:hAnsi="Times New Roman" w:cs="Times New Roman"/>
          <w:sz w:val="24"/>
          <w:szCs w:val="24"/>
          <w:lang w:val="lv-LV" w:eastAsia="lv-LV"/>
        </w:rPr>
        <w:t xml:space="preserve">zmantošanu pagaidām neregulē un </w:t>
      </w:r>
      <w:r w:rsidRPr="000D50C5">
        <w:rPr>
          <w:rFonts w:ascii="Times New Roman" w:eastAsia="Calibri" w:hAnsi="Times New Roman" w:cs="Times New Roman"/>
          <w:sz w:val="24"/>
          <w:szCs w:val="24"/>
          <w:lang w:val="lv-LV" w:eastAsia="lv-LV"/>
        </w:rPr>
        <w:t>neuzrauga, un tā juridiski nav piesaistīta nevienas valsts oficiālajai valūtai.</w:t>
      </w:r>
      <w:r w:rsidRPr="000D50C5">
        <w:rPr>
          <w:rFonts w:ascii="Times New Roman" w:eastAsia="Calibri" w:hAnsi="Times New Roman" w:cs="Times New Roman"/>
          <w:sz w:val="28"/>
          <w:szCs w:val="28"/>
          <w:lang w:val="lv-LV" w:eastAsia="lv-LV"/>
        </w:rPr>
        <w:t> </w:t>
      </w:r>
      <w:r w:rsidR="006637A9">
        <w:rPr>
          <w:rFonts w:ascii="Times New Roman" w:eastAsia="Calibri" w:hAnsi="Times New Roman" w:cs="Times New Roman"/>
          <w:sz w:val="24"/>
          <w:szCs w:val="24"/>
          <w:lang w:val="lv-LV" w:eastAsia="lv-LV"/>
        </w:rPr>
        <w:t xml:space="preserve">Tā kā virtuālā </w:t>
      </w:r>
      <w:r w:rsidRPr="000D50C5">
        <w:rPr>
          <w:rFonts w:ascii="Times New Roman" w:eastAsia="Calibri" w:hAnsi="Times New Roman" w:cs="Times New Roman"/>
          <w:sz w:val="24"/>
          <w:szCs w:val="24"/>
          <w:lang w:val="lv-LV" w:eastAsia="lv-LV"/>
        </w:rPr>
        <w:t>valūta atšķiras no tradicionālajiem kapitāla aktīviem, nav pamata atļaut taks</w:t>
      </w:r>
      <w:r w:rsidR="006637A9">
        <w:rPr>
          <w:rFonts w:ascii="Times New Roman" w:eastAsia="Calibri" w:hAnsi="Times New Roman" w:cs="Times New Roman"/>
          <w:sz w:val="24"/>
          <w:szCs w:val="24"/>
          <w:lang w:val="lv-LV" w:eastAsia="lv-LV"/>
        </w:rPr>
        <w:t xml:space="preserve">ācijas gada zaudējumus no virtuālās </w:t>
      </w:r>
      <w:r w:rsidRPr="000D50C5">
        <w:rPr>
          <w:rFonts w:ascii="Times New Roman" w:eastAsia="Calibri" w:hAnsi="Times New Roman" w:cs="Times New Roman"/>
          <w:sz w:val="24"/>
          <w:szCs w:val="24"/>
          <w:lang w:val="lv-LV" w:eastAsia="lv-LV"/>
        </w:rPr>
        <w:t>valūtas atsavināšanas segt no taksācijas gada ienākumiem, kas radušies atsavinot likuma “Par iedzīvotāju ienākuma nodokli” 11.</w:t>
      </w:r>
      <w:r w:rsidRPr="000D50C5">
        <w:rPr>
          <w:rFonts w:ascii="Times New Roman" w:eastAsia="Calibri" w:hAnsi="Times New Roman" w:cs="Times New Roman"/>
          <w:sz w:val="24"/>
          <w:szCs w:val="24"/>
          <w:vertAlign w:val="superscript"/>
          <w:lang w:val="lv-LV" w:eastAsia="lv-LV"/>
        </w:rPr>
        <w:t>9</w:t>
      </w:r>
      <w:r w:rsidRPr="000D50C5">
        <w:rPr>
          <w:rFonts w:ascii="Times New Roman" w:eastAsia="Calibri" w:hAnsi="Times New Roman" w:cs="Times New Roman"/>
          <w:sz w:val="24"/>
          <w:szCs w:val="24"/>
          <w:lang w:val="lv-LV" w:eastAsia="lv-LV"/>
        </w:rPr>
        <w:t xml:space="preserve"> panta otrajā daļā minētos aktīvus.</w:t>
      </w:r>
    </w:p>
    <w:p w14:paraId="45D90CA4" w14:textId="5821913C" w:rsidR="00995D7A" w:rsidRPr="000D50C5" w:rsidRDefault="00995D7A" w:rsidP="00995D7A">
      <w:pPr>
        <w:ind w:firstLine="567"/>
        <w:jc w:val="both"/>
        <w:rPr>
          <w:rFonts w:ascii="Times New Roman" w:eastAsia="Calibri" w:hAnsi="Times New Roman" w:cs="Times New Roman"/>
          <w:b/>
          <w:sz w:val="24"/>
          <w:szCs w:val="24"/>
          <w:lang w:val="lv-LV" w:eastAsia="lv-LV"/>
        </w:rPr>
      </w:pPr>
      <w:r w:rsidRPr="000D50C5">
        <w:rPr>
          <w:rFonts w:ascii="Times New Roman" w:eastAsia="Calibri" w:hAnsi="Times New Roman" w:cs="Times New Roman"/>
          <w:sz w:val="24"/>
          <w:szCs w:val="24"/>
          <w:lang w:val="lv-LV" w:eastAsia="lv-LV"/>
        </w:rPr>
        <w:t xml:space="preserve">Ņemot vērā to, ka iedzīvotāju ienākuma nodokļa aprēķināšanas vajadzībām, iedzīvotāju ienākuma nodokļu jomu regulējošie normatīvie akti šobrīd precīzi nenosaka kārtību, </w:t>
      </w:r>
      <w:r w:rsidR="00381AFD">
        <w:rPr>
          <w:rFonts w:ascii="Times New Roman" w:eastAsia="Calibri" w:hAnsi="Times New Roman" w:cs="Times New Roman"/>
          <w:sz w:val="24"/>
          <w:szCs w:val="24"/>
          <w:lang w:val="lv-LV" w:eastAsia="lv-LV"/>
        </w:rPr>
        <w:t>kā ar nodokli apliek ienākumu no virtuālās valūtas atsavināšanas,</w:t>
      </w:r>
      <w:r w:rsidRPr="000D50C5">
        <w:rPr>
          <w:rFonts w:ascii="Times New Roman" w:eastAsia="Calibri" w:hAnsi="Times New Roman" w:cs="Times New Roman"/>
          <w:sz w:val="24"/>
          <w:szCs w:val="24"/>
          <w:lang w:val="lv-LV" w:eastAsia="lv-LV"/>
        </w:rPr>
        <w:t xml:space="preserve"> </w:t>
      </w:r>
      <w:r w:rsidRPr="000D50C5">
        <w:rPr>
          <w:rFonts w:ascii="Times New Roman" w:eastAsia="Calibri" w:hAnsi="Times New Roman" w:cs="Times New Roman"/>
          <w:b/>
          <w:sz w:val="24"/>
          <w:szCs w:val="24"/>
          <w:lang w:val="lv-LV" w:eastAsia="lv-LV"/>
        </w:rPr>
        <w:t>ir nepieciešami grozījumi likumā “Par iedzīvotāju ienākuma nodokli”.</w:t>
      </w:r>
      <w:r w:rsidR="00753DAD">
        <w:rPr>
          <w:rFonts w:ascii="Times New Roman" w:eastAsia="Calibri" w:hAnsi="Times New Roman" w:cs="Times New Roman"/>
          <w:b/>
          <w:sz w:val="24"/>
          <w:szCs w:val="24"/>
          <w:lang w:val="lv-LV" w:eastAsia="lv-LV"/>
        </w:rPr>
        <w:t xml:space="preserve">      </w:t>
      </w:r>
    </w:p>
    <w:p w14:paraId="32C6CB71" w14:textId="5B455D52" w:rsidR="00995D7A" w:rsidRPr="000D50C5" w:rsidRDefault="00995D7A" w:rsidP="00995D7A">
      <w:pPr>
        <w:ind w:firstLine="567"/>
        <w:jc w:val="both"/>
        <w:rPr>
          <w:rFonts w:ascii="Times New Roman" w:eastAsia="Calibri" w:hAnsi="Times New Roman" w:cs="Times New Roman"/>
          <w:sz w:val="24"/>
          <w:szCs w:val="24"/>
          <w:lang w:val="lv-LV" w:eastAsia="lv-LV"/>
        </w:rPr>
      </w:pPr>
      <w:r w:rsidRPr="000D50C5">
        <w:rPr>
          <w:rFonts w:ascii="Times New Roman" w:eastAsia="Calibri" w:hAnsi="Times New Roman" w:cs="Times New Roman"/>
          <w:sz w:val="24"/>
          <w:szCs w:val="24"/>
          <w:lang w:val="lv-LV" w:eastAsia="lv-LV"/>
        </w:rPr>
        <w:t xml:space="preserve">Papildus jāņem vērā, ka Uzņēmumu ienākuma nodokļa likums neparedz īpašus noteikumus virtuālās valūtas aplikšanai ar nodokli, attiecībā uz darbībām ar virtuālo valūtu ir piemērojama likuma vispārējā norma, kas ietverta likuma 4.panta ceturtajā  daļā un nosaka, </w:t>
      </w:r>
      <w:r w:rsidRPr="000D50C5">
        <w:rPr>
          <w:rFonts w:ascii="Times New Roman" w:eastAsia="Calibri" w:hAnsi="Times New Roman" w:cs="Times New Roman"/>
          <w:bCs/>
          <w:sz w:val="24"/>
          <w:szCs w:val="24"/>
          <w:lang w:val="lv-LV" w:eastAsia="lv-LV"/>
        </w:rPr>
        <w:t>ka ar uzņēmumu ienākuma nodokli apliekamo bāzi darījumiem nosaka, ievērojot </w:t>
      </w:r>
      <w:hyperlink r:id="rId8" w:tgtFrame="_blank" w:history="1">
        <w:r w:rsidRPr="000D50C5">
          <w:rPr>
            <w:rFonts w:ascii="Times New Roman" w:eastAsia="Calibri" w:hAnsi="Times New Roman" w:cs="Times New Roman"/>
            <w:bCs/>
            <w:sz w:val="24"/>
            <w:szCs w:val="24"/>
            <w:lang w:val="lv-LV" w:eastAsia="lv-LV"/>
          </w:rPr>
          <w:t>Gada pārskatu un konsolidēto gada pārskatu likumā</w:t>
        </w:r>
      </w:hyperlink>
      <w:r w:rsidRPr="000D50C5">
        <w:rPr>
          <w:rFonts w:ascii="Times New Roman" w:eastAsia="Calibri" w:hAnsi="Times New Roman" w:cs="Times New Roman"/>
          <w:bCs/>
          <w:sz w:val="24"/>
          <w:szCs w:val="24"/>
          <w:lang w:val="lv-LV" w:eastAsia="lv-LV"/>
        </w:rPr>
        <w:t> vai starptautiskajos finanšu pārskatos noteiktos ieņēmumu un izdevumu atzīšanas principus</w:t>
      </w:r>
      <w:r w:rsidRPr="000D50C5">
        <w:rPr>
          <w:rFonts w:ascii="Times New Roman" w:eastAsia="Calibri" w:hAnsi="Times New Roman" w:cs="Times New Roman"/>
          <w:sz w:val="24"/>
          <w:szCs w:val="24"/>
          <w:lang w:val="lv-LV" w:eastAsia="lv-LV"/>
        </w:rPr>
        <w:t xml:space="preserve">. Līdz ar to veicot ar uzņēmumu ienākuma nodokli apliekamās bāzes aprēķinu ir jāievēro grāmatvedības jomu regulējošajos normatīvajos aktos noteiktās prasības un principi, tādējādi </w:t>
      </w:r>
      <w:r w:rsidRPr="000D50C5">
        <w:rPr>
          <w:rFonts w:ascii="Times New Roman" w:eastAsia="Calibri" w:hAnsi="Times New Roman" w:cs="Times New Roman"/>
          <w:b/>
          <w:sz w:val="24"/>
          <w:szCs w:val="24"/>
          <w:lang w:val="lv-LV" w:eastAsia="lv-LV"/>
        </w:rPr>
        <w:t>veikt grozījumus Uzņēmuma ienākuma nodokļa likumā nav nepieciešams.</w:t>
      </w:r>
    </w:p>
    <w:p w14:paraId="3E8B4EB9" w14:textId="53876D12" w:rsidR="00C70B61" w:rsidRPr="003E3617" w:rsidRDefault="00995D7A" w:rsidP="003E3617">
      <w:pPr>
        <w:ind w:firstLine="567"/>
        <w:jc w:val="both"/>
        <w:rPr>
          <w:rFonts w:ascii="Times New Roman" w:eastAsia="Calibri" w:hAnsi="Times New Roman" w:cs="Times New Roman"/>
          <w:sz w:val="24"/>
          <w:szCs w:val="24"/>
          <w:lang w:val="lv-LV" w:eastAsia="lv-LV"/>
        </w:rPr>
      </w:pPr>
      <w:r w:rsidRPr="000D50C5">
        <w:rPr>
          <w:rFonts w:ascii="Times New Roman" w:eastAsia="Calibri" w:hAnsi="Times New Roman" w:cs="Times New Roman"/>
          <w:sz w:val="24"/>
          <w:szCs w:val="24"/>
          <w:lang w:val="lv-LV" w:eastAsia="lv-LV"/>
        </w:rPr>
        <w:t>Vienlaikus jāņem vērā, ka darījumi ar virtuālo valūtu, kas atspoguļoti grāmatvedības dokumentācijā atbilstoši jomu regulējošajos tiesību aktos noteiktajam, ir ietverami ar uzņēmumu ienākuma nodokli apliekamajā bāzē un atbilstoši Uzņēmumu ienākuma likuma vispārējiem noteikumiem  ir pakļauti uzņēmumu ienākuma nodokļa uzlikšanai.</w:t>
      </w:r>
    </w:p>
    <w:p w14:paraId="72861809" w14:textId="44AE7EF2" w:rsidR="00EE1A97" w:rsidRPr="00C717BB" w:rsidRDefault="00C70B61" w:rsidP="00AF5A52">
      <w:pPr>
        <w:ind w:firstLine="360"/>
        <w:jc w:val="both"/>
        <w:rPr>
          <w:rFonts w:ascii="Times New Roman" w:hAnsi="Times New Roman" w:cs="Times New Roman"/>
          <w:lang w:val="lv-LV"/>
        </w:rPr>
      </w:pPr>
      <w:r>
        <w:rPr>
          <w:rFonts w:ascii="Times New Roman" w:hAnsi="Times New Roman" w:cs="Times New Roman"/>
          <w:sz w:val="24"/>
          <w:szCs w:val="24"/>
          <w:lang w:val="lv-LV"/>
        </w:rPr>
        <w:tab/>
        <w:t>N</w:t>
      </w:r>
      <w:r w:rsidR="00EE1A97">
        <w:rPr>
          <w:rFonts w:ascii="Times New Roman" w:hAnsi="Times New Roman" w:cs="Times New Roman"/>
          <w:sz w:val="24"/>
          <w:szCs w:val="24"/>
          <w:lang w:val="lv-LV"/>
        </w:rPr>
        <w:t xml:space="preserve">e visu jomu regulējošos normatīvajos aktos ir noteikta virtuālo valūtu definīcija un to interpretācija atšķiras. Tomēr, </w:t>
      </w:r>
      <w:r w:rsidR="002E79F8">
        <w:rPr>
          <w:rFonts w:ascii="Times New Roman" w:hAnsi="Times New Roman" w:cs="Times New Roman"/>
          <w:sz w:val="24"/>
          <w:szCs w:val="24"/>
          <w:lang w:val="lv-LV"/>
        </w:rPr>
        <w:t xml:space="preserve">lai noteiktu skaidru regulējumu, būtu jāizvērtē visi ar </w:t>
      </w:r>
      <w:r>
        <w:rPr>
          <w:rFonts w:ascii="Times New Roman" w:hAnsi="Times New Roman" w:cs="Times New Roman"/>
          <w:sz w:val="24"/>
          <w:szCs w:val="24"/>
          <w:lang w:val="lv-LV"/>
        </w:rPr>
        <w:t>virtuālo valūtu iespējamie darījumu veidi un scenāriji un, tādējādi, iesākumā, lielāku caurskatāmību varētu nodrošināt, izstrādājot vadlīnijas par virtuālo valūtu grāmatvedības, nodokļu un citiem aspektiem, vienlaikus paralēli vērtējot nepieciešamību pilnveidot regulējumu.</w:t>
      </w:r>
    </w:p>
    <w:p w14:paraId="2D7F8318" w14:textId="2DAA1E83" w:rsidR="00DA7EE4" w:rsidRPr="00F9022C" w:rsidRDefault="00DA7EE4" w:rsidP="00DA7EE4">
      <w:pPr>
        <w:ind w:firstLine="720"/>
        <w:jc w:val="both"/>
        <w:rPr>
          <w:rFonts w:ascii="Times New Roman" w:hAnsi="Times New Roman" w:cs="Times New Roman"/>
          <w:b/>
          <w:sz w:val="24"/>
          <w:szCs w:val="24"/>
          <w:lang w:val="lv-LV"/>
        </w:rPr>
      </w:pPr>
      <w:r w:rsidRPr="00F9022C">
        <w:rPr>
          <w:rFonts w:ascii="Times New Roman" w:hAnsi="Times New Roman" w:cs="Times New Roman"/>
          <w:b/>
          <w:sz w:val="24"/>
          <w:szCs w:val="24"/>
          <w:lang w:val="lv-LV"/>
        </w:rPr>
        <w:t xml:space="preserve">Lai identificētu ar </w:t>
      </w:r>
      <w:r w:rsidR="003660A8" w:rsidRPr="00F9022C">
        <w:rPr>
          <w:rFonts w:ascii="Times New Roman" w:hAnsi="Times New Roman" w:cs="Times New Roman"/>
          <w:b/>
          <w:sz w:val="24"/>
          <w:szCs w:val="24"/>
          <w:lang w:val="lv-LV"/>
        </w:rPr>
        <w:t xml:space="preserve">virtuālo valūtu, virtuālās valūtas pakalpojumu sniedzēju, </w:t>
      </w:r>
      <w:r w:rsidRPr="00F9022C">
        <w:rPr>
          <w:rFonts w:ascii="Times New Roman" w:hAnsi="Times New Roman" w:cs="Times New Roman"/>
          <w:b/>
          <w:sz w:val="24"/>
          <w:szCs w:val="24"/>
          <w:lang w:val="lv-LV"/>
        </w:rPr>
        <w:t xml:space="preserve">ICO un citu inovatīvu finanšu pakalpojumu darbību saistītos riskus, jāveic inovatīvu finanšu </w:t>
      </w:r>
      <w:r w:rsidRPr="00F9022C">
        <w:rPr>
          <w:rFonts w:ascii="Times New Roman" w:hAnsi="Times New Roman" w:cs="Times New Roman"/>
          <w:b/>
          <w:sz w:val="24"/>
          <w:szCs w:val="24"/>
          <w:lang w:val="lv-LV"/>
        </w:rPr>
        <w:lastRenderedPageBreak/>
        <w:t>pakalpojumu noziedzīgi iegūtu līdzekļu legalizācijas un terorisma fi</w:t>
      </w:r>
      <w:r w:rsidR="007342D0" w:rsidRPr="00F9022C">
        <w:rPr>
          <w:rFonts w:ascii="Times New Roman" w:hAnsi="Times New Roman" w:cs="Times New Roman"/>
          <w:b/>
          <w:sz w:val="24"/>
          <w:szCs w:val="24"/>
          <w:lang w:val="lv-LV"/>
        </w:rPr>
        <w:t>nansēšanas risku novērtējums un</w:t>
      </w:r>
      <w:r w:rsidRPr="00F9022C">
        <w:rPr>
          <w:rFonts w:ascii="Times New Roman" w:hAnsi="Times New Roman" w:cs="Times New Roman"/>
          <w:b/>
          <w:sz w:val="24"/>
          <w:szCs w:val="24"/>
          <w:lang w:val="lv-LV"/>
        </w:rPr>
        <w:t xml:space="preserve"> balstoties uz izvērtējuma rezultātiem, jāsagatavo priekšlikumi par veicamajiem pasākumiem konstatēto risku mazināšanai. Vienlaikus, ņemot vērā straujo tehnoloģiju attīstību jāizveido mehānisms, kas nodrošina atbilstošu noziedzīgi iegūtu līdzekļu legalizācijas un terorisma finansēšanas risku identificēšanu, nekavējot kopumā inovatīvu finanšu pakalpojumu attīstību.</w:t>
      </w:r>
    </w:p>
    <w:p w14:paraId="0FD4EF6A" w14:textId="35C110E1" w:rsidR="00DA7EE4" w:rsidRPr="00F9022C" w:rsidRDefault="00DA7EE4" w:rsidP="00DA7EE4">
      <w:pPr>
        <w:ind w:firstLine="720"/>
        <w:jc w:val="both"/>
        <w:rPr>
          <w:rFonts w:ascii="Times New Roman" w:hAnsi="Times New Roman" w:cs="Times New Roman"/>
          <w:b/>
          <w:sz w:val="24"/>
          <w:szCs w:val="24"/>
          <w:lang w:val="lv-LV"/>
        </w:rPr>
      </w:pPr>
      <w:r w:rsidRPr="00F9022C">
        <w:rPr>
          <w:rFonts w:ascii="Times New Roman" w:hAnsi="Times New Roman" w:cs="Times New Roman"/>
          <w:b/>
          <w:sz w:val="24"/>
          <w:szCs w:val="24"/>
          <w:lang w:val="lv-LV"/>
        </w:rPr>
        <w:t>Lai nodrošinātu lielāku noteiktību un caurskatāmību finanšu pakalpojumu regulējuma, nodokļu, grāmatvedības un noziedzīgi iegūtu līdzekļu legalizācijas un terorisma finansēšanas novēršanas jomā:</w:t>
      </w:r>
    </w:p>
    <w:p w14:paraId="76F15D41" w14:textId="79E2AEF6" w:rsidR="00DA7EE4" w:rsidRPr="00F9022C" w:rsidRDefault="00DA7EE4" w:rsidP="00520FEC">
      <w:pPr>
        <w:pStyle w:val="ListParagraph"/>
        <w:numPr>
          <w:ilvl w:val="0"/>
          <w:numId w:val="18"/>
        </w:numPr>
        <w:jc w:val="both"/>
        <w:rPr>
          <w:rFonts w:ascii="Times New Roman" w:hAnsi="Times New Roman" w:cs="Times New Roman"/>
          <w:b/>
          <w:sz w:val="24"/>
          <w:szCs w:val="24"/>
          <w:lang w:val="lv-LV"/>
        </w:rPr>
      </w:pPr>
      <w:r w:rsidRPr="00F9022C">
        <w:rPr>
          <w:rFonts w:ascii="Times New Roman" w:hAnsi="Times New Roman" w:cs="Times New Roman"/>
          <w:b/>
          <w:sz w:val="24"/>
          <w:szCs w:val="24"/>
          <w:lang w:val="lv-LV"/>
        </w:rPr>
        <w:t xml:space="preserve">aicināt FKTK </w:t>
      </w:r>
      <w:r w:rsidR="002C48FA" w:rsidRPr="00F9022C">
        <w:rPr>
          <w:rFonts w:ascii="Times New Roman" w:hAnsi="Times New Roman" w:cs="Times New Roman"/>
          <w:b/>
          <w:sz w:val="24"/>
          <w:szCs w:val="24"/>
          <w:lang w:val="lv-LV"/>
        </w:rPr>
        <w:t xml:space="preserve">līdz 2018.gada 20.decembrim </w:t>
      </w:r>
      <w:r w:rsidRPr="00F9022C">
        <w:rPr>
          <w:rFonts w:ascii="Times New Roman" w:hAnsi="Times New Roman" w:cs="Times New Roman"/>
          <w:b/>
          <w:sz w:val="24"/>
          <w:szCs w:val="24"/>
          <w:lang w:val="lv-LV"/>
        </w:rPr>
        <w:t>izstrādāt vadlīnijas</w:t>
      </w:r>
      <w:r w:rsidR="00635C4A" w:rsidRPr="00F9022C">
        <w:rPr>
          <w:rFonts w:ascii="Times New Roman" w:hAnsi="Times New Roman" w:cs="Times New Roman"/>
          <w:b/>
          <w:sz w:val="24"/>
          <w:szCs w:val="24"/>
          <w:lang w:val="lv-LV"/>
        </w:rPr>
        <w:t xml:space="preserve"> (skaidrojumu)</w:t>
      </w:r>
      <w:r w:rsidRPr="00F9022C">
        <w:rPr>
          <w:rFonts w:ascii="Times New Roman" w:hAnsi="Times New Roman" w:cs="Times New Roman"/>
          <w:b/>
          <w:sz w:val="24"/>
          <w:szCs w:val="24"/>
          <w:lang w:val="lv-LV"/>
        </w:rPr>
        <w:t xml:space="preserve"> par </w:t>
      </w:r>
      <w:r w:rsidR="007342D0" w:rsidRPr="00F9022C">
        <w:rPr>
          <w:rFonts w:ascii="Times New Roman" w:hAnsi="Times New Roman" w:cs="Times New Roman"/>
          <w:b/>
          <w:sz w:val="24"/>
          <w:szCs w:val="24"/>
          <w:lang w:val="lv-LV"/>
        </w:rPr>
        <w:t xml:space="preserve">esošo </w:t>
      </w:r>
      <w:r w:rsidRPr="00F9022C">
        <w:rPr>
          <w:rFonts w:ascii="Times New Roman" w:hAnsi="Times New Roman" w:cs="Times New Roman"/>
          <w:b/>
          <w:sz w:val="24"/>
          <w:szCs w:val="24"/>
          <w:lang w:val="lv-LV"/>
        </w:rPr>
        <w:t xml:space="preserve">finanšu tirgus </w:t>
      </w:r>
      <w:r w:rsidR="007342D0" w:rsidRPr="00F9022C">
        <w:rPr>
          <w:rFonts w:ascii="Times New Roman" w:hAnsi="Times New Roman" w:cs="Times New Roman"/>
          <w:b/>
          <w:sz w:val="24"/>
          <w:szCs w:val="24"/>
          <w:lang w:val="lv-LV"/>
        </w:rPr>
        <w:t>jomu regulējošo normatīvo aktu attiecināšanu uz sākotnējo virtuālo valūtu piedāvājumu</w:t>
      </w:r>
      <w:r w:rsidRPr="00F9022C">
        <w:rPr>
          <w:rFonts w:ascii="Times New Roman" w:hAnsi="Times New Roman" w:cs="Times New Roman"/>
          <w:b/>
          <w:sz w:val="24"/>
          <w:szCs w:val="24"/>
          <w:lang w:val="lv-LV"/>
        </w:rPr>
        <w:t>;</w:t>
      </w:r>
    </w:p>
    <w:p w14:paraId="123BC945" w14:textId="77777777" w:rsidR="003B1332" w:rsidRPr="003B1332" w:rsidRDefault="003B1332" w:rsidP="003B1332">
      <w:pPr>
        <w:pStyle w:val="ListParagraph"/>
        <w:numPr>
          <w:ilvl w:val="0"/>
          <w:numId w:val="18"/>
        </w:numPr>
        <w:jc w:val="both"/>
        <w:rPr>
          <w:rFonts w:ascii="Times New Roman" w:hAnsi="Times New Roman" w:cs="Times New Roman"/>
          <w:b/>
          <w:sz w:val="24"/>
          <w:szCs w:val="24"/>
          <w:lang w:val="lv-LV"/>
        </w:rPr>
      </w:pPr>
      <w:r w:rsidRPr="003B1332">
        <w:rPr>
          <w:rFonts w:ascii="Times New Roman" w:hAnsi="Times New Roman" w:cs="Times New Roman"/>
          <w:b/>
          <w:sz w:val="24"/>
          <w:szCs w:val="24"/>
          <w:lang w:val="lv-LV"/>
        </w:rPr>
        <w:t>pieņemt zināšanai, ka Valsts ieņēmumu dienests līdz 2019.gada 31.martam izstrādās vadlīnijas par:</w:t>
      </w:r>
    </w:p>
    <w:p w14:paraId="1AA50521" w14:textId="77777777" w:rsidR="003B1332" w:rsidRPr="003B1332" w:rsidRDefault="003B1332" w:rsidP="003B1332">
      <w:pPr>
        <w:pStyle w:val="ListParagraph"/>
        <w:ind w:left="1080"/>
        <w:jc w:val="both"/>
        <w:rPr>
          <w:rFonts w:ascii="Times New Roman" w:hAnsi="Times New Roman" w:cs="Times New Roman"/>
          <w:b/>
          <w:sz w:val="24"/>
          <w:szCs w:val="24"/>
          <w:lang w:val="lv-LV"/>
        </w:rPr>
      </w:pPr>
      <w:r w:rsidRPr="003B1332">
        <w:rPr>
          <w:rFonts w:ascii="Times New Roman" w:hAnsi="Times New Roman" w:cs="Times New Roman"/>
          <w:b/>
          <w:sz w:val="24"/>
          <w:szCs w:val="24"/>
          <w:lang w:val="lv-LV"/>
        </w:rPr>
        <w:t>2.1) nodokļu un grāmatvedības normatīvā regulējuma piemērošanu virtuālās valūtas pakalpojumu sniedzējiem un sākotnējam virtuālo valūtu piedāvājumam;</w:t>
      </w:r>
    </w:p>
    <w:p w14:paraId="47C28B25" w14:textId="77777777" w:rsidR="003B1332" w:rsidRPr="003B1332" w:rsidRDefault="003B1332" w:rsidP="003B1332">
      <w:pPr>
        <w:pStyle w:val="ListParagraph"/>
        <w:ind w:left="1080"/>
        <w:jc w:val="both"/>
        <w:rPr>
          <w:rFonts w:ascii="Times New Roman" w:hAnsi="Times New Roman" w:cs="Times New Roman"/>
          <w:b/>
          <w:sz w:val="24"/>
          <w:szCs w:val="24"/>
          <w:lang w:val="lv-LV"/>
        </w:rPr>
      </w:pPr>
      <w:r w:rsidRPr="003B1332">
        <w:rPr>
          <w:rFonts w:ascii="Times New Roman" w:hAnsi="Times New Roman" w:cs="Times New Roman"/>
          <w:b/>
          <w:sz w:val="24"/>
          <w:szCs w:val="24"/>
          <w:lang w:val="lv-LV"/>
        </w:rPr>
        <w:t>2.2) noziedzīgi iegūtu līdzekļu legalizācijas un terorisma finansēšanas novēršanas normatīvā regulējuma piemērošanu virtuālās valūtas pakalpojumu sniedzējiem un sākotnējam virtuālo valūtu piedāvājumam;</w:t>
      </w:r>
    </w:p>
    <w:p w14:paraId="567790B9" w14:textId="06B91C3E" w:rsidR="00CB1F0E" w:rsidRPr="00F9022C" w:rsidRDefault="00520FEC" w:rsidP="00DA7EE4">
      <w:pPr>
        <w:ind w:firstLine="720"/>
        <w:jc w:val="both"/>
        <w:rPr>
          <w:rFonts w:ascii="Times New Roman" w:hAnsi="Times New Roman" w:cs="Times New Roman"/>
          <w:b/>
          <w:sz w:val="24"/>
          <w:szCs w:val="24"/>
          <w:lang w:val="lv-LV"/>
        </w:rPr>
      </w:pPr>
      <w:r w:rsidRPr="00753DAD">
        <w:rPr>
          <w:rFonts w:ascii="Times New Roman" w:hAnsi="Times New Roman" w:cs="Times New Roman"/>
          <w:b/>
          <w:sz w:val="24"/>
          <w:szCs w:val="24"/>
          <w:lang w:val="lv-LV"/>
        </w:rPr>
        <w:t>3</w:t>
      </w:r>
      <w:r w:rsidR="00C7758C" w:rsidRPr="00753DAD">
        <w:rPr>
          <w:rFonts w:ascii="Times New Roman" w:hAnsi="Times New Roman" w:cs="Times New Roman"/>
          <w:b/>
          <w:sz w:val="24"/>
          <w:szCs w:val="24"/>
          <w:lang w:val="lv-LV"/>
        </w:rPr>
        <w:t xml:space="preserve">) </w:t>
      </w:r>
      <w:r w:rsidR="00146911" w:rsidRPr="00753DAD">
        <w:rPr>
          <w:rFonts w:ascii="Times New Roman" w:hAnsi="Times New Roman" w:cs="Times New Roman"/>
          <w:b/>
          <w:sz w:val="24"/>
          <w:szCs w:val="24"/>
          <w:lang w:val="lv-LV"/>
        </w:rPr>
        <w:t xml:space="preserve"> </w:t>
      </w:r>
      <w:r w:rsidR="002537D1" w:rsidRPr="00F9022C">
        <w:rPr>
          <w:rFonts w:ascii="Times New Roman" w:hAnsi="Times New Roman" w:cs="Times New Roman"/>
          <w:b/>
          <w:sz w:val="24"/>
          <w:szCs w:val="24"/>
          <w:lang w:val="lv-LV"/>
        </w:rPr>
        <w:t>Finanšu ministrijai</w:t>
      </w:r>
      <w:r w:rsidR="00CB1F0E" w:rsidRPr="00F9022C">
        <w:rPr>
          <w:rFonts w:ascii="Times New Roman" w:hAnsi="Times New Roman" w:cs="Times New Roman"/>
          <w:b/>
          <w:sz w:val="24"/>
          <w:szCs w:val="24"/>
          <w:lang w:val="lv-LV"/>
        </w:rPr>
        <w:t>:</w:t>
      </w:r>
    </w:p>
    <w:p w14:paraId="43F7F421" w14:textId="49FEB18F" w:rsidR="00CB1F0E" w:rsidRPr="00F9022C" w:rsidRDefault="00520FEC" w:rsidP="00C7758C">
      <w:pPr>
        <w:pStyle w:val="ListParagraph"/>
        <w:ind w:left="1080"/>
        <w:jc w:val="both"/>
        <w:rPr>
          <w:rFonts w:ascii="Times New Roman" w:hAnsi="Times New Roman" w:cs="Times New Roman"/>
          <w:b/>
          <w:sz w:val="24"/>
          <w:szCs w:val="24"/>
          <w:lang w:val="lv-LV"/>
        </w:rPr>
      </w:pPr>
      <w:r w:rsidRPr="00F9022C">
        <w:rPr>
          <w:rFonts w:ascii="Times New Roman" w:hAnsi="Times New Roman" w:cs="Times New Roman"/>
          <w:b/>
          <w:sz w:val="24"/>
          <w:szCs w:val="24"/>
          <w:lang w:val="lv-LV"/>
        </w:rPr>
        <w:t>3</w:t>
      </w:r>
      <w:r w:rsidR="00C7758C" w:rsidRPr="00F9022C">
        <w:rPr>
          <w:rFonts w:ascii="Times New Roman" w:hAnsi="Times New Roman" w:cs="Times New Roman"/>
          <w:b/>
          <w:sz w:val="24"/>
          <w:szCs w:val="24"/>
          <w:lang w:val="lv-LV"/>
        </w:rPr>
        <w:t xml:space="preserve">.1) </w:t>
      </w:r>
      <w:r w:rsidR="002C48FA" w:rsidRPr="00F9022C">
        <w:rPr>
          <w:rFonts w:ascii="Times New Roman" w:hAnsi="Times New Roman" w:cs="Times New Roman"/>
          <w:b/>
          <w:sz w:val="24"/>
          <w:szCs w:val="24"/>
          <w:lang w:val="lv-LV"/>
        </w:rPr>
        <w:t xml:space="preserve">līdz 2018.gada 20.decembrim </w:t>
      </w:r>
      <w:r w:rsidR="002537D1" w:rsidRPr="00F9022C">
        <w:rPr>
          <w:rFonts w:ascii="Times New Roman" w:hAnsi="Times New Roman" w:cs="Times New Roman"/>
          <w:b/>
          <w:sz w:val="24"/>
          <w:szCs w:val="24"/>
          <w:lang w:val="lv-LV"/>
        </w:rPr>
        <w:t xml:space="preserve">sagatavot grozījumus likumā “Par iedzīvotāju ienākuma nodokli”, lai noteiktu </w:t>
      </w:r>
      <w:r w:rsidR="002C48FA" w:rsidRPr="00F9022C">
        <w:rPr>
          <w:rFonts w:ascii="Times New Roman" w:hAnsi="Times New Roman" w:cs="Times New Roman"/>
          <w:b/>
          <w:sz w:val="24"/>
          <w:szCs w:val="24"/>
          <w:lang w:val="lv-LV"/>
        </w:rPr>
        <w:t xml:space="preserve">kārtību, </w:t>
      </w:r>
      <w:r w:rsidR="00EF45C1" w:rsidRPr="00F9022C">
        <w:rPr>
          <w:rFonts w:ascii="Times New Roman" w:hAnsi="Times New Roman" w:cs="Times New Roman"/>
          <w:b/>
          <w:sz w:val="24"/>
          <w:szCs w:val="24"/>
          <w:lang w:val="lv-LV"/>
        </w:rPr>
        <w:t>kā ar nodokli apliek ienākumu no virtuālās valūtas atsavināšanas</w:t>
      </w:r>
      <w:r w:rsidR="007B0F38" w:rsidRPr="00F9022C">
        <w:rPr>
          <w:rFonts w:ascii="Times New Roman" w:hAnsi="Times New Roman" w:cs="Times New Roman"/>
          <w:b/>
          <w:sz w:val="24"/>
          <w:szCs w:val="24"/>
          <w:lang w:val="lv-LV"/>
        </w:rPr>
        <w:t>;</w:t>
      </w:r>
    </w:p>
    <w:p w14:paraId="1A5D778C" w14:textId="3E14FF83" w:rsidR="00CB1F0E" w:rsidRPr="00F9022C" w:rsidRDefault="00520FEC" w:rsidP="00C7758C">
      <w:pPr>
        <w:pStyle w:val="ListParagraph"/>
        <w:ind w:left="1080"/>
        <w:jc w:val="both"/>
        <w:rPr>
          <w:rFonts w:ascii="Times New Roman" w:hAnsi="Times New Roman" w:cs="Times New Roman"/>
          <w:b/>
          <w:sz w:val="24"/>
          <w:szCs w:val="24"/>
          <w:lang w:val="lv-LV"/>
        </w:rPr>
      </w:pPr>
      <w:r w:rsidRPr="00F9022C">
        <w:rPr>
          <w:rFonts w:ascii="Times New Roman" w:hAnsi="Times New Roman" w:cs="Times New Roman"/>
          <w:b/>
          <w:sz w:val="24"/>
          <w:szCs w:val="24"/>
          <w:lang w:val="lv-LV"/>
        </w:rPr>
        <w:t>3</w:t>
      </w:r>
      <w:r w:rsidR="00C7758C" w:rsidRPr="00F9022C">
        <w:rPr>
          <w:rFonts w:ascii="Times New Roman" w:hAnsi="Times New Roman" w:cs="Times New Roman"/>
          <w:b/>
          <w:sz w:val="24"/>
          <w:szCs w:val="24"/>
          <w:lang w:val="lv-LV"/>
        </w:rPr>
        <w:t xml:space="preserve">.2) </w:t>
      </w:r>
      <w:r w:rsidR="002C48FA" w:rsidRPr="00F9022C">
        <w:rPr>
          <w:rFonts w:ascii="Times New Roman" w:hAnsi="Times New Roman" w:cs="Times New Roman"/>
          <w:b/>
          <w:sz w:val="24"/>
          <w:szCs w:val="24"/>
          <w:lang w:val="lv-LV"/>
        </w:rPr>
        <w:t xml:space="preserve">kopā ar AMLD 5 </w:t>
      </w:r>
      <w:r w:rsidR="00E0267B" w:rsidRPr="00F9022C">
        <w:rPr>
          <w:rFonts w:ascii="Times New Roman" w:hAnsi="Times New Roman" w:cs="Times New Roman"/>
          <w:b/>
          <w:sz w:val="24"/>
          <w:szCs w:val="24"/>
          <w:lang w:val="lv-LV"/>
        </w:rPr>
        <w:t>pārņemšanu</w:t>
      </w:r>
      <w:r w:rsidR="002C48FA" w:rsidRPr="00F9022C">
        <w:rPr>
          <w:rFonts w:ascii="Times New Roman" w:hAnsi="Times New Roman" w:cs="Times New Roman"/>
          <w:b/>
          <w:sz w:val="24"/>
          <w:szCs w:val="24"/>
          <w:lang w:val="lv-LV"/>
        </w:rPr>
        <w:t xml:space="preserve"> NILLTFNL, noteikt</w:t>
      </w:r>
      <w:r w:rsidR="00CB1F0E" w:rsidRPr="00F9022C">
        <w:rPr>
          <w:rFonts w:ascii="Times New Roman" w:hAnsi="Times New Roman" w:cs="Times New Roman"/>
          <w:b/>
          <w:sz w:val="24"/>
          <w:szCs w:val="24"/>
          <w:lang w:val="lv-LV"/>
        </w:rPr>
        <w:t xml:space="preserve"> gadījumus, kad virtuālās valūtas pakalpojumu sni</w:t>
      </w:r>
      <w:r w:rsidR="002C48FA" w:rsidRPr="00F9022C">
        <w:rPr>
          <w:rFonts w:ascii="Times New Roman" w:hAnsi="Times New Roman" w:cs="Times New Roman"/>
          <w:b/>
          <w:sz w:val="24"/>
          <w:szCs w:val="24"/>
          <w:lang w:val="lv-LV"/>
        </w:rPr>
        <w:t>edzējiem veicama klientu izpēte</w:t>
      </w:r>
      <w:r w:rsidR="00CB1F0E" w:rsidRPr="00F9022C">
        <w:rPr>
          <w:rFonts w:ascii="Times New Roman" w:hAnsi="Times New Roman" w:cs="Times New Roman"/>
          <w:b/>
          <w:sz w:val="24"/>
          <w:szCs w:val="24"/>
          <w:lang w:val="lv-LV"/>
        </w:rPr>
        <w:t>, kā arī papildu nosacījumus, lai nodrošinātu efektīvu uzraudzības un kontroles pien</w:t>
      </w:r>
      <w:r w:rsidR="00EF45C1" w:rsidRPr="00F9022C">
        <w:rPr>
          <w:rFonts w:ascii="Times New Roman" w:hAnsi="Times New Roman" w:cs="Times New Roman"/>
          <w:b/>
          <w:sz w:val="24"/>
          <w:szCs w:val="24"/>
          <w:lang w:val="lv-LV"/>
        </w:rPr>
        <w:t>ākumu izpildi</w:t>
      </w:r>
      <w:r w:rsidR="002741E3" w:rsidRPr="00F9022C">
        <w:rPr>
          <w:rFonts w:ascii="Times New Roman" w:hAnsi="Times New Roman" w:cs="Times New Roman"/>
          <w:b/>
          <w:sz w:val="24"/>
          <w:szCs w:val="24"/>
          <w:lang w:val="lv-LV"/>
        </w:rPr>
        <w:t>.</w:t>
      </w:r>
    </w:p>
    <w:p w14:paraId="471F43F4" w14:textId="4E6F5C16" w:rsidR="007342D0" w:rsidRPr="000234C6" w:rsidRDefault="007342D0" w:rsidP="000234C6">
      <w:pPr>
        <w:jc w:val="both"/>
        <w:rPr>
          <w:rFonts w:ascii="Times New Roman" w:eastAsia="Times New Roman" w:hAnsi="Times New Roman" w:cs="Times New Roman"/>
          <w:sz w:val="24"/>
          <w:szCs w:val="24"/>
          <w:lang w:val="lv-LV"/>
        </w:rPr>
      </w:pPr>
    </w:p>
    <w:p w14:paraId="48CE4FA0" w14:textId="77EAF57B" w:rsidR="00DB53CA" w:rsidRPr="00DB53CA" w:rsidRDefault="00414142" w:rsidP="00DB53CA">
      <w:pPr>
        <w:jc w:val="center"/>
        <w:rPr>
          <w:rFonts w:ascii="Times New Roman" w:eastAsia="Times New Roman" w:hAnsi="Times New Roman" w:cs="Times New Roman"/>
          <w:b/>
          <w:i/>
          <w:sz w:val="24"/>
          <w:szCs w:val="24"/>
          <w:lang w:val="lv-LV"/>
        </w:rPr>
      </w:pPr>
      <w:r>
        <w:rPr>
          <w:rFonts w:ascii="Times New Roman" w:eastAsia="Times New Roman" w:hAnsi="Times New Roman" w:cs="Times New Roman"/>
          <w:b/>
          <w:i/>
          <w:sz w:val="24"/>
          <w:szCs w:val="24"/>
          <w:lang w:val="lv-LV"/>
        </w:rPr>
        <w:t>4</w:t>
      </w:r>
      <w:r w:rsidR="00197442">
        <w:rPr>
          <w:rFonts w:ascii="Times New Roman" w:eastAsia="Times New Roman" w:hAnsi="Times New Roman" w:cs="Times New Roman"/>
          <w:b/>
          <w:i/>
          <w:sz w:val="24"/>
          <w:szCs w:val="24"/>
          <w:lang w:val="lv-LV"/>
        </w:rPr>
        <w:t>.</w:t>
      </w:r>
      <w:r w:rsidR="00DB53CA" w:rsidRPr="00DB53CA">
        <w:rPr>
          <w:rFonts w:ascii="Times New Roman" w:eastAsia="Times New Roman" w:hAnsi="Times New Roman" w:cs="Times New Roman"/>
          <w:b/>
          <w:i/>
          <w:sz w:val="24"/>
          <w:szCs w:val="24"/>
          <w:lang w:val="lv-LV"/>
        </w:rPr>
        <w:t>Virtuālo valūtu tehnoloģiskie un drošības aspekti</w:t>
      </w:r>
    </w:p>
    <w:p w14:paraId="2DD18DDC" w14:textId="77777777" w:rsidR="00DB53CA" w:rsidRPr="00DB53CA" w:rsidRDefault="00DB53CA" w:rsidP="00DB53CA">
      <w:pPr>
        <w:jc w:val="both"/>
        <w:rPr>
          <w:rFonts w:ascii="Times New Roman" w:eastAsia="Times New Roman" w:hAnsi="Times New Roman" w:cs="Times New Roman"/>
          <w:sz w:val="24"/>
          <w:szCs w:val="24"/>
          <w:lang w:val="lv-LV"/>
        </w:rPr>
      </w:pPr>
    </w:p>
    <w:p w14:paraId="5B3BF781" w14:textId="75244890" w:rsidR="00DB53CA" w:rsidRPr="002E1BC8" w:rsidRDefault="00414142" w:rsidP="002E1BC8">
      <w:pPr>
        <w:ind w:firstLine="357"/>
        <w:rPr>
          <w:rFonts w:ascii="Times New Roman" w:hAnsi="Times New Roman" w:cs="Times New Roman"/>
          <w:b/>
          <w:i/>
          <w:sz w:val="24"/>
          <w:szCs w:val="24"/>
          <w:lang w:val="lv-LV"/>
        </w:rPr>
      </w:pPr>
      <w:r w:rsidRPr="002E1BC8">
        <w:rPr>
          <w:rFonts w:ascii="Times New Roman" w:hAnsi="Times New Roman" w:cs="Times New Roman"/>
          <w:b/>
          <w:i/>
          <w:sz w:val="24"/>
          <w:szCs w:val="24"/>
          <w:lang w:val="lv-LV"/>
        </w:rPr>
        <w:t>4</w:t>
      </w:r>
      <w:r w:rsidR="00197442" w:rsidRPr="002E1BC8">
        <w:rPr>
          <w:rFonts w:ascii="Times New Roman" w:hAnsi="Times New Roman" w:cs="Times New Roman"/>
          <w:b/>
          <w:i/>
          <w:sz w:val="24"/>
          <w:szCs w:val="24"/>
          <w:lang w:val="lv-LV"/>
        </w:rPr>
        <w:t>.1.</w:t>
      </w:r>
      <w:r w:rsidR="00AB5D20">
        <w:rPr>
          <w:rFonts w:ascii="Times New Roman" w:hAnsi="Times New Roman" w:cs="Times New Roman"/>
          <w:b/>
          <w:i/>
          <w:sz w:val="24"/>
          <w:szCs w:val="24"/>
          <w:lang w:val="lv-LV"/>
        </w:rPr>
        <w:t> </w:t>
      </w:r>
      <w:r w:rsidR="00DB53CA" w:rsidRPr="002E1BC8">
        <w:rPr>
          <w:rFonts w:ascii="Times New Roman" w:hAnsi="Times New Roman" w:cs="Times New Roman"/>
          <w:b/>
          <w:i/>
          <w:sz w:val="24"/>
          <w:szCs w:val="24"/>
          <w:lang w:val="lv-LV"/>
        </w:rPr>
        <w:t>Tehnoloģija</w:t>
      </w:r>
    </w:p>
    <w:p w14:paraId="2692EDC0" w14:textId="77777777" w:rsidR="00DB53CA" w:rsidRPr="00DB53CA" w:rsidRDefault="00DB53CA" w:rsidP="00DB53CA">
      <w:pPr>
        <w:jc w:val="both"/>
        <w:rPr>
          <w:rFonts w:ascii="Times New Roman" w:eastAsia="Times New Roman" w:hAnsi="Times New Roman" w:cs="Times New Roman"/>
          <w:sz w:val="24"/>
          <w:szCs w:val="24"/>
          <w:lang w:val="lv-LV"/>
        </w:rPr>
      </w:pPr>
    </w:p>
    <w:p w14:paraId="6DB7A914" w14:textId="77777777" w:rsidR="00DB53CA" w:rsidRPr="00DB53CA" w:rsidRDefault="00DB53CA" w:rsidP="00DB53CA">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Pr="00DB53CA">
        <w:rPr>
          <w:rFonts w:ascii="Times New Roman" w:eastAsia="Times New Roman" w:hAnsi="Times New Roman" w:cs="Times New Roman"/>
          <w:sz w:val="24"/>
          <w:szCs w:val="24"/>
          <w:lang w:val="lv-LV"/>
        </w:rPr>
        <w:t>Daudzas virtuālās valūtas balstās uz sadalītās virsgrāmatas tehnoloģiju (</w:t>
      </w:r>
      <w:r w:rsidRPr="00DB53CA">
        <w:rPr>
          <w:rFonts w:ascii="Times New Roman" w:eastAsia="Times New Roman" w:hAnsi="Times New Roman" w:cs="Times New Roman"/>
          <w:i/>
          <w:sz w:val="24"/>
          <w:szCs w:val="24"/>
          <w:lang w:val="lv-LV"/>
        </w:rPr>
        <w:t>Distributed ledger technology</w:t>
      </w:r>
      <w:r w:rsidRPr="00DB53CA">
        <w:rPr>
          <w:rFonts w:ascii="Times New Roman" w:eastAsia="Times New Roman" w:hAnsi="Times New Roman" w:cs="Times New Roman"/>
          <w:sz w:val="24"/>
          <w:szCs w:val="24"/>
          <w:lang w:val="lv-LV"/>
        </w:rPr>
        <w:t>). Pēc būtības, sadalītā virsgrāmata ir informācijas sistēma, kuras funkcionēšana atkarīga no visu, vai atsevišķu tās dalībnieku saskaņotās rīcības, kurus vada ekonomiskie vai citi motīvi uzturēt šis informācijas sistēmas vienprātību un integritāti, ievērojot šīs sistēmas darbības noteikumus.</w:t>
      </w:r>
    </w:p>
    <w:p w14:paraId="39DE454C" w14:textId="77777777" w:rsidR="00DB53CA" w:rsidRPr="00DB53CA" w:rsidRDefault="00DB53CA" w:rsidP="00DB53CA">
      <w:pPr>
        <w:jc w:val="both"/>
        <w:rPr>
          <w:rFonts w:ascii="Times New Roman" w:eastAsia="Times New Roman" w:hAnsi="Times New Roman" w:cs="Times New Roman"/>
          <w:sz w:val="24"/>
          <w:szCs w:val="24"/>
          <w:u w:val="double"/>
          <w:lang w:val="lv-LV"/>
        </w:rPr>
      </w:pPr>
      <w:r>
        <w:rPr>
          <w:rFonts w:ascii="Times New Roman" w:eastAsia="Times New Roman" w:hAnsi="Times New Roman" w:cs="Times New Roman"/>
          <w:sz w:val="24"/>
          <w:szCs w:val="24"/>
          <w:lang w:val="lv-LV"/>
        </w:rPr>
        <w:tab/>
      </w:r>
      <w:r w:rsidRPr="00DB53CA">
        <w:rPr>
          <w:rFonts w:ascii="Times New Roman" w:eastAsia="Times New Roman" w:hAnsi="Times New Roman" w:cs="Times New Roman"/>
          <w:sz w:val="24"/>
          <w:szCs w:val="24"/>
          <w:lang w:val="lv-LV"/>
        </w:rPr>
        <w:t xml:space="preserve">Sadalītās virsgrāmatas tehnoloģija pēc pielietojamības ir rīks, kas ļauj reģistrēt ierakstus, t.sk. īpašumtiesības – tās var būt, piemēram, īpašumtiesības uz naudas līdzekļiem vai aktīviem (piemēram, īpašumiem). Mūsdienās, kad bankas veic darījumus, proti, kad īpašumtiesības uz naudas līdzekļiem vai finanšu aktīviem tiek nodotas no personas personai, tas notiek ar centralizētu sistēmu palīdzību. Piemēram, maksājumu sistēmas bieži uztur centrālās bankas. Bankas reģistrē savus darījumus vietējās datubāzēs, kuras pēc tam, kad darījums veikts centralizētajā sistēmā, tiek aktualizētas. Savukārt sadalītā virsgrāmata ir darījumu datubāze, kurai nav viena centralizēta atrašanās vieta, bet kura izvietota daudzu datoru tīklā. Parasti visi tīkla dalībnieki var lasīt tajā </w:t>
      </w:r>
      <w:r w:rsidRPr="00DB53CA">
        <w:rPr>
          <w:rFonts w:ascii="Times New Roman" w:eastAsia="Times New Roman" w:hAnsi="Times New Roman" w:cs="Times New Roman"/>
          <w:sz w:val="24"/>
          <w:szCs w:val="24"/>
          <w:lang w:val="lv-LV"/>
        </w:rPr>
        <w:lastRenderedPageBreak/>
        <w:t>esošo informāciju, bet pievienot informāciju iespējams atkarībā no attiecīgajam lietotājam piešķirtajām atļaujām.</w:t>
      </w:r>
    </w:p>
    <w:p w14:paraId="1F155724" w14:textId="77777777" w:rsidR="00DB53CA" w:rsidRDefault="00DB53CA" w:rsidP="00DB53CA">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Pr="00DB53CA">
        <w:rPr>
          <w:rFonts w:ascii="Times New Roman" w:eastAsia="Times New Roman" w:hAnsi="Times New Roman" w:cs="Times New Roman"/>
          <w:sz w:val="24"/>
          <w:szCs w:val="24"/>
          <w:lang w:val="lv-LV"/>
        </w:rPr>
        <w:t>Visbiežāk sastopamais sadalītās virsgrāmatas veids ir blokķēde (</w:t>
      </w:r>
      <w:r w:rsidRPr="00DB53CA">
        <w:rPr>
          <w:rFonts w:ascii="Times New Roman" w:eastAsia="Times New Roman" w:hAnsi="Times New Roman" w:cs="Times New Roman"/>
          <w:i/>
          <w:sz w:val="24"/>
          <w:szCs w:val="24"/>
          <w:lang w:val="lv-LV"/>
        </w:rPr>
        <w:t>blockchain</w:t>
      </w:r>
      <w:r w:rsidRPr="00DB53CA">
        <w:rPr>
          <w:rFonts w:ascii="Times New Roman" w:eastAsia="Times New Roman" w:hAnsi="Times New Roman" w:cs="Times New Roman"/>
          <w:sz w:val="24"/>
          <w:szCs w:val="24"/>
          <w:lang w:val="lv-LV"/>
        </w:rPr>
        <w:t>). Nosaukums atspoguļo to, ka darījumi tiek grupēti, veidojot blokus, kuri savienoti hronoloģiskā secībā, veidojot ķēdi. Visu šo ķēdi aizsargā matemātisks algoritms, kam jānodrošina datu integritāte un drošība. Neskatoties uz to, ka sadalītie datu reģistri var būtiski atšķirties pēc to uzbūves īpatnībām un izmantotajiem algoritmiem (ķēdes jēdziens var būt vispārināts līdz grafam, vai citas informācijas organizācijas formai), un tos  arī bieži  uzskata par blokķēdēm, tomēr var izdalīt vairākas tehniskās pazīmes, kuras blokķēdēm piemīt:</w:t>
      </w:r>
    </w:p>
    <w:p w14:paraId="10BCD473" w14:textId="77777777" w:rsidR="00AD7E9C" w:rsidRPr="00DB53CA" w:rsidRDefault="00AD7E9C" w:rsidP="00DB53CA">
      <w:pPr>
        <w:jc w:val="both"/>
        <w:rPr>
          <w:rFonts w:ascii="Times New Roman" w:eastAsia="Times New Roman" w:hAnsi="Times New Roman" w:cs="Times New Roman"/>
          <w:sz w:val="24"/>
          <w:szCs w:val="24"/>
          <w:lang w:val="lv-LV"/>
        </w:rPr>
      </w:pPr>
    </w:p>
    <w:p w14:paraId="372F077C" w14:textId="77777777" w:rsidR="00DB53CA" w:rsidRPr="00DB53CA" w:rsidRDefault="00DB53CA" w:rsidP="00DB53CA">
      <w:pPr>
        <w:numPr>
          <w:ilvl w:val="0"/>
          <w:numId w:val="9"/>
        </w:numPr>
        <w:contextualSpacing/>
        <w:jc w:val="both"/>
        <w:rPr>
          <w:lang w:val="lv-LV"/>
        </w:rPr>
      </w:pPr>
      <w:r w:rsidRPr="00DB53CA">
        <w:rPr>
          <w:rFonts w:ascii="Times New Roman" w:eastAsia="Times New Roman" w:hAnsi="Times New Roman" w:cs="Times New Roman"/>
          <w:b/>
          <w:sz w:val="24"/>
          <w:szCs w:val="24"/>
          <w:lang w:val="lv-LV"/>
        </w:rPr>
        <w:t>Lietotāju neatkarība un uzticība tehnoloģijai</w:t>
      </w:r>
      <w:r w:rsidRPr="00DB53CA">
        <w:rPr>
          <w:rFonts w:ascii="Times New Roman" w:eastAsia="Times New Roman" w:hAnsi="Times New Roman" w:cs="Times New Roman"/>
          <w:sz w:val="24"/>
          <w:szCs w:val="24"/>
          <w:lang w:val="lv-LV"/>
        </w:rPr>
        <w:t xml:space="preserve"> </w:t>
      </w:r>
    </w:p>
    <w:p w14:paraId="223EF35F" w14:textId="77777777" w:rsidR="00DB53CA" w:rsidRPr="00DB53CA" w:rsidRDefault="00DB53CA" w:rsidP="00DB53CA">
      <w:pPr>
        <w:contextualSpacing/>
        <w:jc w:val="both"/>
        <w:rPr>
          <w:rFonts w:ascii="Times New Roman" w:eastAsia="Times New Roman" w:hAnsi="Times New Roman" w:cs="Times New Roman"/>
          <w:sz w:val="24"/>
          <w:szCs w:val="24"/>
          <w:lang w:val="lv-LV"/>
        </w:rPr>
      </w:pPr>
      <w:r w:rsidRPr="00DB53CA">
        <w:rPr>
          <w:rFonts w:ascii="Times New Roman" w:eastAsia="Times New Roman" w:hAnsi="Times New Roman" w:cs="Times New Roman"/>
          <w:sz w:val="24"/>
          <w:szCs w:val="24"/>
          <w:lang w:val="lv-LV"/>
        </w:rPr>
        <w:t>Blokķēdē darījumu partneriem nav jāpazīst un nav jāuzticas viens otram. Blokķēdē nav darījumu starpnieku un centrālā operatora, jo darījumu partneri uzticas tehnoloģijai, un nav nepieciešams uzticēties viens otram vai trešajai pusei;</w:t>
      </w:r>
    </w:p>
    <w:p w14:paraId="640B3663" w14:textId="77777777" w:rsidR="00DB53CA" w:rsidRPr="00DB53CA" w:rsidRDefault="00DB53CA" w:rsidP="00DB53CA">
      <w:pPr>
        <w:contextualSpacing/>
        <w:jc w:val="both"/>
        <w:rPr>
          <w:lang w:val="lv-LV"/>
        </w:rPr>
      </w:pPr>
    </w:p>
    <w:p w14:paraId="1D325A9E" w14:textId="77777777" w:rsidR="00DB53CA" w:rsidRPr="00DB53CA" w:rsidRDefault="00DB53CA" w:rsidP="00DB53CA">
      <w:pPr>
        <w:numPr>
          <w:ilvl w:val="0"/>
          <w:numId w:val="9"/>
        </w:numPr>
        <w:contextualSpacing/>
        <w:jc w:val="both"/>
        <w:rPr>
          <w:b/>
          <w:lang w:val="lv-LV"/>
        </w:rPr>
      </w:pPr>
      <w:r w:rsidRPr="00DB53CA">
        <w:rPr>
          <w:rFonts w:ascii="Times New Roman" w:eastAsia="Times New Roman" w:hAnsi="Times New Roman" w:cs="Times New Roman"/>
          <w:b/>
          <w:sz w:val="24"/>
          <w:szCs w:val="24"/>
          <w:lang w:val="lv-LV"/>
        </w:rPr>
        <w:t>Veikto ierakstu autentiskuma nodrošināšana</w:t>
      </w:r>
    </w:p>
    <w:p w14:paraId="2FCB3365" w14:textId="0BDBF362" w:rsidR="00DB53CA" w:rsidRPr="00DB53CA" w:rsidRDefault="00DB53CA" w:rsidP="00DB53CA">
      <w:pPr>
        <w:contextualSpacing/>
        <w:jc w:val="both"/>
        <w:rPr>
          <w:rFonts w:ascii="Times New Roman" w:eastAsia="Times New Roman" w:hAnsi="Times New Roman" w:cs="Times New Roman"/>
          <w:sz w:val="24"/>
          <w:szCs w:val="24"/>
          <w:lang w:val="lv-LV"/>
        </w:rPr>
      </w:pPr>
      <w:r w:rsidRPr="00DB53CA">
        <w:rPr>
          <w:rFonts w:ascii="Times New Roman" w:eastAsia="Times New Roman" w:hAnsi="Times New Roman" w:cs="Times New Roman"/>
          <w:sz w:val="24"/>
          <w:szCs w:val="24"/>
          <w:lang w:val="lv-LV"/>
        </w:rPr>
        <w:t xml:space="preserve">Blokķēdē iekļautā vēsturiskā informācija ir </w:t>
      </w:r>
      <w:r w:rsidR="00DF13A1">
        <w:rPr>
          <w:rFonts w:ascii="Times New Roman" w:eastAsia="Times New Roman" w:hAnsi="Times New Roman" w:cs="Times New Roman"/>
          <w:sz w:val="24"/>
          <w:szCs w:val="24"/>
          <w:lang w:val="lv-LV"/>
        </w:rPr>
        <w:t>autentiska</w:t>
      </w:r>
      <w:r w:rsidRPr="00DB53CA">
        <w:rPr>
          <w:rFonts w:ascii="Times New Roman" w:eastAsia="Times New Roman" w:hAnsi="Times New Roman" w:cs="Times New Roman"/>
          <w:sz w:val="24"/>
          <w:szCs w:val="24"/>
          <w:lang w:val="lv-LV"/>
        </w:rPr>
        <w:t xml:space="preserve"> un izmainīt to nav iespējams. Pateicoties komplicētiem datu iekļaušanas un šifrēšanas algoritmiem, vēsturiskā blokķēdē iekļautā informācija ir atzīstama par </w:t>
      </w:r>
      <w:r w:rsidR="00DF13A1">
        <w:rPr>
          <w:rFonts w:ascii="Times New Roman" w:eastAsia="Times New Roman" w:hAnsi="Times New Roman" w:cs="Times New Roman"/>
          <w:sz w:val="24"/>
          <w:szCs w:val="24"/>
          <w:lang w:val="lv-LV"/>
        </w:rPr>
        <w:t xml:space="preserve">autentisku </w:t>
      </w:r>
      <w:r w:rsidRPr="00DB53CA">
        <w:rPr>
          <w:rFonts w:ascii="Times New Roman" w:eastAsia="Times New Roman" w:hAnsi="Times New Roman" w:cs="Times New Roman"/>
          <w:sz w:val="24"/>
          <w:szCs w:val="24"/>
          <w:lang w:val="lv-LV"/>
        </w:rPr>
        <w:t>no visu dalībnieku puses;</w:t>
      </w:r>
    </w:p>
    <w:p w14:paraId="217F74EC" w14:textId="77777777" w:rsidR="00DB53CA" w:rsidRPr="00DB53CA" w:rsidRDefault="00DB53CA" w:rsidP="00DB53CA">
      <w:pPr>
        <w:contextualSpacing/>
        <w:jc w:val="both"/>
        <w:rPr>
          <w:lang w:val="lv-LV"/>
        </w:rPr>
      </w:pPr>
    </w:p>
    <w:p w14:paraId="31B5434C" w14:textId="77777777" w:rsidR="00DB53CA" w:rsidRPr="00DB53CA" w:rsidRDefault="00DB53CA" w:rsidP="00DB53CA">
      <w:pPr>
        <w:numPr>
          <w:ilvl w:val="0"/>
          <w:numId w:val="9"/>
        </w:numPr>
        <w:contextualSpacing/>
        <w:jc w:val="both"/>
        <w:rPr>
          <w:b/>
          <w:lang w:val="lv-LV"/>
        </w:rPr>
      </w:pPr>
      <w:r w:rsidRPr="00DB53CA">
        <w:rPr>
          <w:rFonts w:ascii="Times New Roman" w:eastAsia="Times New Roman" w:hAnsi="Times New Roman" w:cs="Times New Roman"/>
          <w:b/>
          <w:sz w:val="24"/>
          <w:szCs w:val="24"/>
          <w:lang w:val="lv-LV"/>
        </w:rPr>
        <w:t>Blokķēdi veido tās dalībnieku tīkls</w:t>
      </w:r>
    </w:p>
    <w:p w14:paraId="11E391FB" w14:textId="77777777" w:rsidR="00DB53CA" w:rsidRPr="00DB53CA" w:rsidRDefault="00DB53CA" w:rsidP="00DB53CA">
      <w:pPr>
        <w:jc w:val="both"/>
        <w:rPr>
          <w:rFonts w:ascii="Times New Roman" w:eastAsia="Times New Roman" w:hAnsi="Times New Roman" w:cs="Times New Roman"/>
          <w:sz w:val="24"/>
          <w:szCs w:val="24"/>
          <w:lang w:val="lv-LV"/>
        </w:rPr>
      </w:pPr>
      <w:r w:rsidRPr="00DB53CA">
        <w:rPr>
          <w:rFonts w:ascii="Times New Roman" w:eastAsia="Times New Roman" w:hAnsi="Times New Roman" w:cs="Times New Roman"/>
          <w:sz w:val="24"/>
          <w:szCs w:val="24"/>
          <w:lang w:val="lv-LV"/>
        </w:rPr>
        <w:t xml:space="preserve">Blokķēde ir datubāze, un lai to uzturētu dalībniekiem jābūt motivētiem, piemēram, jāsaņem atlīdzība, vai citi ieguvumi no dalības. </w:t>
      </w:r>
    </w:p>
    <w:p w14:paraId="6263F5B7" w14:textId="77777777" w:rsidR="00AD7E9C" w:rsidRDefault="00AD7E9C" w:rsidP="00DB53CA">
      <w:pPr>
        <w:jc w:val="both"/>
        <w:rPr>
          <w:rFonts w:ascii="Times New Roman" w:eastAsia="Times New Roman" w:hAnsi="Times New Roman" w:cs="Times New Roman"/>
          <w:i/>
          <w:sz w:val="24"/>
          <w:szCs w:val="24"/>
          <w:lang w:val="lv-LV"/>
        </w:rPr>
      </w:pPr>
    </w:p>
    <w:p w14:paraId="2FD65BC7" w14:textId="368F5889" w:rsidR="00DB53CA" w:rsidRPr="002E1BC8" w:rsidRDefault="00414142" w:rsidP="002E1BC8">
      <w:pPr>
        <w:ind w:firstLine="357"/>
        <w:rPr>
          <w:rFonts w:ascii="Times New Roman" w:hAnsi="Times New Roman" w:cs="Times New Roman"/>
          <w:b/>
          <w:i/>
          <w:sz w:val="24"/>
          <w:szCs w:val="24"/>
          <w:lang w:val="lv-LV"/>
        </w:rPr>
      </w:pPr>
      <w:r w:rsidRPr="002E1BC8">
        <w:rPr>
          <w:rFonts w:ascii="Times New Roman" w:hAnsi="Times New Roman" w:cs="Times New Roman"/>
          <w:b/>
          <w:i/>
          <w:sz w:val="24"/>
          <w:szCs w:val="24"/>
          <w:lang w:val="lv-LV"/>
        </w:rPr>
        <w:t>4</w:t>
      </w:r>
      <w:r w:rsidR="00197442" w:rsidRPr="002E1BC8">
        <w:rPr>
          <w:rFonts w:ascii="Times New Roman" w:hAnsi="Times New Roman" w:cs="Times New Roman"/>
          <w:b/>
          <w:i/>
          <w:sz w:val="24"/>
          <w:szCs w:val="24"/>
          <w:lang w:val="lv-LV"/>
        </w:rPr>
        <w:t>.2.</w:t>
      </w:r>
      <w:r w:rsidR="00AB5D20">
        <w:rPr>
          <w:rFonts w:ascii="Times New Roman" w:hAnsi="Times New Roman" w:cs="Times New Roman"/>
          <w:b/>
          <w:i/>
          <w:sz w:val="24"/>
          <w:szCs w:val="24"/>
          <w:lang w:val="lv-LV"/>
        </w:rPr>
        <w:t> </w:t>
      </w:r>
      <w:r w:rsidR="00DB53CA" w:rsidRPr="002E1BC8">
        <w:rPr>
          <w:rFonts w:ascii="Times New Roman" w:hAnsi="Times New Roman" w:cs="Times New Roman"/>
          <w:b/>
          <w:i/>
          <w:sz w:val="24"/>
          <w:szCs w:val="24"/>
          <w:lang w:val="lv-LV"/>
        </w:rPr>
        <w:t>Drošība</w:t>
      </w:r>
    </w:p>
    <w:p w14:paraId="4D8BA328" w14:textId="77777777" w:rsidR="00DB53CA" w:rsidRPr="00DB53CA" w:rsidRDefault="00DB53CA" w:rsidP="00DB53CA">
      <w:pPr>
        <w:jc w:val="both"/>
        <w:rPr>
          <w:rFonts w:ascii="Times New Roman" w:eastAsia="Times New Roman" w:hAnsi="Times New Roman" w:cs="Times New Roman"/>
          <w:sz w:val="24"/>
          <w:szCs w:val="24"/>
          <w:lang w:val="lv-LV"/>
        </w:rPr>
      </w:pPr>
    </w:p>
    <w:p w14:paraId="00FF0269" w14:textId="76A8BC8E" w:rsidR="00DB53CA" w:rsidRPr="00DB53CA" w:rsidRDefault="00AD7E9C" w:rsidP="00DB53CA">
      <w:pPr>
        <w:jc w:val="both"/>
        <w:rPr>
          <w:lang w:val="lv-LV"/>
        </w:rPr>
      </w:pPr>
      <w:r>
        <w:rPr>
          <w:rFonts w:ascii="Times New Roman" w:eastAsia="Times New Roman" w:hAnsi="Times New Roman" w:cs="Times New Roman"/>
          <w:sz w:val="24"/>
          <w:szCs w:val="24"/>
          <w:lang w:val="lv-LV"/>
        </w:rPr>
        <w:tab/>
      </w:r>
      <w:r w:rsidR="00DB53CA" w:rsidRPr="00DB53CA">
        <w:rPr>
          <w:rFonts w:ascii="Times New Roman" w:eastAsia="Times New Roman" w:hAnsi="Times New Roman" w:cs="Times New Roman"/>
          <w:sz w:val="24"/>
          <w:szCs w:val="24"/>
          <w:lang w:val="lv-LV"/>
        </w:rPr>
        <w:t>Blokķēde ir izkliedētā datubāze un tā neglabājas vienā vietā, bet to veido identiskas kopijas (vai vairākkārtēji pārklājoši un savstarpēji atbilstoši datu bāzes fragmenti) pie katra dalībnieka datubāzes dalībnieku tīklā. Viena vai vairāku dalībnieku izslēgšana no tīkla faktiski neietekmē datubāzes funkcionēšanu, kas atšķirībā no centralizētajām datubāzēm nodrošina blokķēdes tehnoloģijai augstāka līmeņa datu pieejamību un integritāti. Papildus, atsevišķu dalībnieku neatbilstoša vai potenciāli ļaunprātīga darbība tiktu konstatēta un novērsta ar pārējo blokķēdes dalībnieku vairākuma automātisku balsojumu.</w:t>
      </w:r>
    </w:p>
    <w:p w14:paraId="520C378E" w14:textId="1BF94720" w:rsidR="00DB53CA" w:rsidRPr="00DB53CA" w:rsidRDefault="00AD7E9C" w:rsidP="00DB53CA">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DB53CA" w:rsidRPr="00DB53CA">
        <w:rPr>
          <w:rFonts w:ascii="Times New Roman" w:eastAsia="Times New Roman" w:hAnsi="Times New Roman" w:cs="Times New Roman"/>
          <w:sz w:val="24"/>
          <w:szCs w:val="24"/>
          <w:lang w:val="lv-LV"/>
        </w:rPr>
        <w:t>Savstarpējo uzticību dalībnieku tīklā garantē komplicēti algoritmi, saskaņā ar kuriem datubāzē tiek reģistrētās veiktās transakcijas, bet faktiski, parakstīti elektroniskie zīmogi par veiktajām transakcijām vai citiem datiem. Drošai zīmogošanai izmanto vienvirziena heša (</w:t>
      </w:r>
      <w:r w:rsidR="00DB53CA" w:rsidRPr="00DB53CA">
        <w:rPr>
          <w:rFonts w:ascii="Times New Roman" w:eastAsia="Times New Roman" w:hAnsi="Times New Roman" w:cs="Times New Roman"/>
          <w:i/>
          <w:iCs/>
          <w:sz w:val="24"/>
          <w:szCs w:val="24"/>
          <w:lang w:val="lv-LV"/>
        </w:rPr>
        <w:t>hash</w:t>
      </w:r>
      <w:r w:rsidR="00DB53CA" w:rsidRPr="00DB53CA">
        <w:rPr>
          <w:rFonts w:ascii="Times New Roman" w:eastAsia="Times New Roman" w:hAnsi="Times New Roman" w:cs="Times New Roman"/>
          <w:sz w:val="24"/>
          <w:szCs w:val="24"/>
          <w:lang w:val="lv-LV"/>
        </w:rPr>
        <w:t xml:space="preserve">) funkciju – datu kopas pārveidi par noteikta garuma simbolu rindu, izmantojot noteiktu algoritmu. Šī funkcija efektīvi pārveido ievaddatus fiksēta izmēra simbolu rindā, saglabājot gadījuma skaitļu drošības īpašības, tādējādi nodrošinot, ka ar esošajām tehnoloģijām ir praktiski neiespējami piemeklēt divas vienādas funkcijas atgrieztās vērtības pie dažādiem funkcijas </w:t>
      </w:r>
      <w:bookmarkStart w:id="1" w:name="__DdeLink__111_3593459530"/>
      <w:r w:rsidR="00DB53CA" w:rsidRPr="00DB53CA">
        <w:rPr>
          <w:rFonts w:ascii="Times New Roman" w:eastAsia="Times New Roman" w:hAnsi="Times New Roman" w:cs="Times New Roman"/>
          <w:sz w:val="24"/>
          <w:szCs w:val="24"/>
          <w:lang w:val="lv-LV"/>
        </w:rPr>
        <w:t>ievaddatiem</w:t>
      </w:r>
      <w:bookmarkEnd w:id="1"/>
      <w:r w:rsidR="00DB53CA" w:rsidRPr="00DB53CA">
        <w:rPr>
          <w:rFonts w:ascii="Times New Roman" w:eastAsia="Times New Roman" w:hAnsi="Times New Roman" w:cs="Times New Roman"/>
          <w:sz w:val="24"/>
          <w:szCs w:val="24"/>
          <w:lang w:val="lv-LV"/>
        </w:rPr>
        <w:t xml:space="preserve">. Blokķēdēm tiek izmantotas </w:t>
      </w:r>
      <w:r w:rsidR="00465B15">
        <w:rPr>
          <w:rFonts w:ascii="Times New Roman" w:eastAsia="Times New Roman" w:hAnsi="Times New Roman" w:cs="Times New Roman"/>
          <w:sz w:val="24"/>
          <w:szCs w:val="24"/>
          <w:lang w:val="lv-LV"/>
        </w:rPr>
        <w:t>–</w:t>
      </w:r>
      <w:r w:rsidR="00DB53CA" w:rsidRPr="00DB53CA">
        <w:rPr>
          <w:rFonts w:ascii="Times New Roman" w:eastAsia="Times New Roman" w:hAnsi="Times New Roman" w:cs="Times New Roman"/>
          <w:sz w:val="24"/>
          <w:szCs w:val="24"/>
          <w:lang w:val="lv-LV"/>
        </w:rPr>
        <w:t xml:space="preserve"> standarta vienvirziena heša funkcijas ar augstu kolīziju pretestību.  </w:t>
      </w:r>
    </w:p>
    <w:p w14:paraId="39BC3261" w14:textId="77777777" w:rsidR="00DB53CA" w:rsidRPr="00DB53CA" w:rsidRDefault="00AD7E9C" w:rsidP="00DB53CA">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DB53CA" w:rsidRPr="00DB53CA">
        <w:rPr>
          <w:rFonts w:ascii="Times New Roman" w:eastAsia="Times New Roman" w:hAnsi="Times New Roman" w:cs="Times New Roman"/>
          <w:sz w:val="24"/>
          <w:szCs w:val="24"/>
          <w:lang w:val="lv-LV"/>
        </w:rPr>
        <w:t>Elektronisko parakstu izveidošanai izmanto asimetriskās šifrēšanas tehnoloģijas, kas paredz, ka blokķēdes dalībniekam tiek izveidota publiskā un privātā atslēga. Ar privātās atslēgas palīdzību blokķēdes dalībnieks var izveidot elektroniskos parakstus, kurus citi blokķēdes dalībnieki var pārbaudīt, izmantojot publisko atslēgu, bet nespēj veikt parakstīšanas darbības cita dalībnieka vārdā. Šifrēšanas atslēgu izmantošana nodrošina arī paša dalībnieka drošību blokķēdē.</w:t>
      </w:r>
    </w:p>
    <w:p w14:paraId="03E598D8" w14:textId="77777777" w:rsidR="00DB53CA" w:rsidRPr="00DB53CA" w:rsidRDefault="00AD7E9C" w:rsidP="00DB53CA">
      <w:pPr>
        <w:jc w:val="both"/>
        <w:rPr>
          <w:rFonts w:ascii="Times New Roman" w:eastAsia="Times New Roman" w:hAnsi="Times New Roman" w:cs="Times New Roman"/>
          <w:sz w:val="24"/>
          <w:szCs w:val="24"/>
          <w:lang w:val="lv-LV"/>
        </w:rPr>
      </w:pPr>
      <w:bookmarkStart w:id="2" w:name="result_box"/>
      <w:bookmarkEnd w:id="2"/>
      <w:r>
        <w:rPr>
          <w:rFonts w:ascii="Times New Roman" w:eastAsia="Times New Roman" w:hAnsi="Times New Roman" w:cs="Times New Roman"/>
          <w:sz w:val="24"/>
          <w:szCs w:val="24"/>
          <w:lang w:val="lv-LV"/>
        </w:rPr>
        <w:lastRenderedPageBreak/>
        <w:tab/>
      </w:r>
      <w:r w:rsidR="00DB53CA" w:rsidRPr="00DB53CA">
        <w:rPr>
          <w:rFonts w:ascii="Times New Roman" w:eastAsia="Times New Roman" w:hAnsi="Times New Roman" w:cs="Times New Roman"/>
          <w:sz w:val="24"/>
          <w:szCs w:val="24"/>
          <w:lang w:val="lv-LV"/>
        </w:rPr>
        <w:t>Blokķēdei pievienojamās jaunās informācijas korektums un integritāte pamatā tiek aizsargāta ar visu dalībnieku balss tiesībām, kuras savukārt ir saistītas ar resursu izmaksām, tādām kā paveiktais skaitļošanas darbs (</w:t>
      </w:r>
      <w:r w:rsidR="00DB53CA" w:rsidRPr="00DB53CA">
        <w:rPr>
          <w:rFonts w:ascii="Times New Roman" w:eastAsia="Times New Roman" w:hAnsi="Times New Roman" w:cs="Times New Roman"/>
          <w:i/>
          <w:sz w:val="24"/>
          <w:szCs w:val="24"/>
          <w:lang w:val="lv-LV"/>
        </w:rPr>
        <w:t>Proof-of-Work</w:t>
      </w:r>
      <w:r w:rsidR="00DB53CA" w:rsidRPr="00DB53CA">
        <w:rPr>
          <w:rFonts w:ascii="Times New Roman" w:eastAsia="Times New Roman" w:hAnsi="Times New Roman" w:cs="Times New Roman"/>
          <w:sz w:val="24"/>
          <w:szCs w:val="24"/>
          <w:lang w:val="lv-LV"/>
        </w:rPr>
        <w:t>), ieguldījuma apmērs (</w:t>
      </w:r>
      <w:r w:rsidR="00DB53CA" w:rsidRPr="00DB53CA">
        <w:rPr>
          <w:rFonts w:ascii="Times New Roman" w:eastAsia="Times New Roman" w:hAnsi="Times New Roman" w:cs="Times New Roman"/>
          <w:i/>
          <w:sz w:val="24"/>
          <w:szCs w:val="24"/>
          <w:lang w:val="lv-LV"/>
        </w:rPr>
        <w:t>Proof-of-Stake</w:t>
      </w:r>
      <w:r w:rsidR="00DB53CA" w:rsidRPr="00DB53CA">
        <w:rPr>
          <w:rFonts w:ascii="Times New Roman" w:eastAsia="Times New Roman" w:hAnsi="Times New Roman" w:cs="Times New Roman"/>
          <w:sz w:val="24"/>
          <w:szCs w:val="24"/>
          <w:lang w:val="lv-LV"/>
        </w:rPr>
        <w:t>) u.c. Darba ieguldījuma funkcija nodrošina to, ka, lai veiktu izmaiņas vēsturiskajos datos, uzbrucējam ir jāpiesaista neproporcionāli liels atbilstošā resursa daudzums, kas parasti pieaug eksponenciāli atkarībā no modificējamo datu vecuma un veiktā uzbrukuma ātruma un jaudas.</w:t>
      </w:r>
    </w:p>
    <w:p w14:paraId="1A2555A3" w14:textId="77777777" w:rsidR="00DB53CA" w:rsidRPr="00DB53CA" w:rsidRDefault="00AD7E9C" w:rsidP="00DB53CA">
      <w:pPr>
        <w:jc w:val="both"/>
        <w:rPr>
          <w:lang w:val="lv-LV"/>
        </w:rPr>
      </w:pPr>
      <w:r>
        <w:rPr>
          <w:rFonts w:ascii="Times New Roman" w:eastAsia="Times New Roman" w:hAnsi="Times New Roman" w:cs="Times New Roman"/>
          <w:sz w:val="24"/>
          <w:szCs w:val="24"/>
          <w:lang w:val="lv-LV"/>
        </w:rPr>
        <w:tab/>
      </w:r>
      <w:r w:rsidR="00DB53CA" w:rsidRPr="00DB53CA">
        <w:rPr>
          <w:rFonts w:ascii="Times New Roman" w:eastAsia="Times New Roman" w:hAnsi="Times New Roman" w:cs="Times New Roman"/>
          <w:sz w:val="24"/>
          <w:szCs w:val="24"/>
          <w:lang w:val="lv-LV"/>
        </w:rPr>
        <w:t xml:space="preserve">Ieraksti vai transakcijas blokķēdē tiek strukturētas blokos. Bloki savā starpā cieši saistīti, tāpēc veikt izmaiņas vēsturiskajā ierakstā blokķēdē, neizmainot visus tam sekojošus blokus, un ņemot vērā nepieciešamos resursus, blokķēdes pārējo dalībnieku datu validāciju un vairākuma balsojumu, nav iespējams. </w:t>
      </w:r>
    </w:p>
    <w:p w14:paraId="2553066A" w14:textId="77777777" w:rsidR="00DB53CA" w:rsidRPr="00DB53CA" w:rsidRDefault="00A07637" w:rsidP="00DB53CA">
      <w:pPr>
        <w:jc w:val="both"/>
        <w:rPr>
          <w:rFonts w:ascii="Times New Roman" w:eastAsia="Times New Roman" w:hAnsi="Times New Roman" w:cs="Times New Roman"/>
          <w:sz w:val="24"/>
          <w:szCs w:val="24"/>
          <w:lang w:val="lv-LV"/>
        </w:rPr>
      </w:pPr>
      <w:bookmarkStart w:id="3" w:name="result_box2"/>
      <w:bookmarkEnd w:id="3"/>
      <w:r>
        <w:rPr>
          <w:rFonts w:ascii="Times New Roman" w:eastAsia="Times New Roman" w:hAnsi="Times New Roman" w:cs="Times New Roman"/>
          <w:sz w:val="24"/>
          <w:szCs w:val="24"/>
          <w:lang w:val="lv-LV"/>
        </w:rPr>
        <w:tab/>
      </w:r>
      <w:r w:rsidR="00DB53CA" w:rsidRPr="00DB53CA">
        <w:rPr>
          <w:rFonts w:ascii="Times New Roman" w:eastAsia="Times New Roman" w:hAnsi="Times New Roman" w:cs="Times New Roman"/>
          <w:sz w:val="24"/>
          <w:szCs w:val="24"/>
          <w:lang w:val="lv-LV"/>
        </w:rPr>
        <w:t xml:space="preserve">Gadījumā, ja blokķēde neizmanto augstāk minētās aizsardzības metodes, datu nemainīgumu garantē tikai ar blokķēdes lielākās daļas dalībnieku piekrišanu. </w:t>
      </w:r>
      <w:bookmarkStart w:id="4" w:name="result_box3"/>
      <w:bookmarkEnd w:id="4"/>
      <w:r w:rsidR="00DB53CA" w:rsidRPr="00DB53CA">
        <w:rPr>
          <w:rFonts w:ascii="Times New Roman" w:eastAsia="Times New Roman" w:hAnsi="Times New Roman" w:cs="Times New Roman"/>
          <w:sz w:val="24"/>
          <w:szCs w:val="24"/>
          <w:lang w:val="lv-LV"/>
        </w:rPr>
        <w:t xml:space="preserve">Privātajos reģistros ar mazu dalībnieku skaitu tas var apdraudēt datu integritāti dalībnieku slepenās vienošanās gadījumā. </w:t>
      </w:r>
      <w:bookmarkStart w:id="5" w:name="result_box4"/>
      <w:bookmarkEnd w:id="5"/>
      <w:r w:rsidR="00DB53CA" w:rsidRPr="00DB53CA">
        <w:rPr>
          <w:rFonts w:ascii="Times New Roman" w:eastAsia="Times New Roman" w:hAnsi="Times New Roman" w:cs="Times New Roman"/>
          <w:sz w:val="24"/>
          <w:szCs w:val="24"/>
          <w:lang w:val="lv-LV"/>
        </w:rPr>
        <w:t xml:space="preserve">Lai novērstu šādus draudus, parasti tiek izmantota mazāk drošas sistēmas stāvokļa sasaiste ar citas drošākas blokķēdes sistēmu. </w:t>
      </w:r>
    </w:p>
    <w:p w14:paraId="7D29CCD2" w14:textId="77777777" w:rsidR="00DB53CA" w:rsidRPr="00DB53CA" w:rsidRDefault="00DB53CA" w:rsidP="00DB53CA">
      <w:pPr>
        <w:jc w:val="both"/>
        <w:rPr>
          <w:lang w:val="lv-LV"/>
        </w:rPr>
      </w:pPr>
    </w:p>
    <w:p w14:paraId="47A39CF5" w14:textId="1422C119" w:rsidR="00DB53CA" w:rsidRPr="002E1BC8" w:rsidRDefault="00414142" w:rsidP="002E1BC8">
      <w:pPr>
        <w:ind w:firstLine="357"/>
        <w:rPr>
          <w:rFonts w:ascii="Times New Roman" w:hAnsi="Times New Roman" w:cs="Times New Roman"/>
          <w:b/>
          <w:i/>
          <w:sz w:val="24"/>
          <w:szCs w:val="24"/>
          <w:lang w:val="lv-LV"/>
        </w:rPr>
      </w:pPr>
      <w:r w:rsidRPr="002E1BC8">
        <w:rPr>
          <w:rFonts w:ascii="Times New Roman" w:hAnsi="Times New Roman" w:cs="Times New Roman"/>
          <w:b/>
          <w:i/>
          <w:sz w:val="24"/>
          <w:szCs w:val="24"/>
          <w:lang w:val="lv-LV"/>
        </w:rPr>
        <w:t>4</w:t>
      </w:r>
      <w:r w:rsidR="00197442" w:rsidRPr="002E1BC8">
        <w:rPr>
          <w:rFonts w:ascii="Times New Roman" w:hAnsi="Times New Roman" w:cs="Times New Roman"/>
          <w:b/>
          <w:i/>
          <w:sz w:val="24"/>
          <w:szCs w:val="24"/>
          <w:lang w:val="lv-LV"/>
        </w:rPr>
        <w:t xml:space="preserve">.3. </w:t>
      </w:r>
      <w:r w:rsidR="00DB53CA" w:rsidRPr="002E1BC8">
        <w:rPr>
          <w:rFonts w:ascii="Times New Roman" w:hAnsi="Times New Roman" w:cs="Times New Roman"/>
          <w:b/>
          <w:i/>
          <w:sz w:val="24"/>
          <w:szCs w:val="24"/>
          <w:lang w:val="lv-LV"/>
        </w:rPr>
        <w:t>Identificētie tehnoloģijas trūkumi</w:t>
      </w:r>
    </w:p>
    <w:p w14:paraId="6AC948D4" w14:textId="77777777" w:rsidR="00DB53CA" w:rsidRPr="00DB53CA" w:rsidRDefault="00DB53CA" w:rsidP="00DB53CA">
      <w:pPr>
        <w:jc w:val="both"/>
        <w:rPr>
          <w:rFonts w:ascii="Times New Roman" w:eastAsia="Times New Roman" w:hAnsi="Times New Roman" w:cs="Times New Roman"/>
          <w:i/>
          <w:sz w:val="24"/>
          <w:szCs w:val="24"/>
          <w:lang w:val="lv-LV"/>
        </w:rPr>
      </w:pPr>
    </w:p>
    <w:p w14:paraId="46FBE773" w14:textId="77777777" w:rsidR="00DB53CA" w:rsidRPr="00DB53CA" w:rsidRDefault="00DB53CA" w:rsidP="00DB53CA">
      <w:pPr>
        <w:pStyle w:val="ListParagraph"/>
        <w:widowControl w:val="0"/>
        <w:numPr>
          <w:ilvl w:val="0"/>
          <w:numId w:val="10"/>
        </w:numPr>
        <w:rPr>
          <w:rFonts w:ascii="Times New Roman" w:hAnsi="Times New Roman" w:cs="Times New Roman"/>
          <w:b/>
          <w:sz w:val="24"/>
          <w:szCs w:val="24"/>
          <w:lang w:val="lv-LV"/>
        </w:rPr>
      </w:pPr>
      <w:r w:rsidRPr="00DB53CA">
        <w:rPr>
          <w:rFonts w:ascii="Times New Roman" w:hAnsi="Times New Roman" w:cs="Times New Roman"/>
          <w:b/>
          <w:sz w:val="24"/>
          <w:szCs w:val="24"/>
          <w:lang w:val="lv-LV"/>
        </w:rPr>
        <w:t>Nekavējošās pieejamības trūkums</w:t>
      </w:r>
    </w:p>
    <w:p w14:paraId="48EAF920" w14:textId="77777777" w:rsidR="00DB53CA" w:rsidRPr="00DB53CA" w:rsidRDefault="00DB53CA" w:rsidP="00DB53CA">
      <w:pPr>
        <w:contextualSpacing/>
        <w:jc w:val="both"/>
        <w:rPr>
          <w:rFonts w:ascii="Times New Roman" w:hAnsi="Times New Roman" w:cs="Times New Roman"/>
          <w:b/>
          <w:sz w:val="24"/>
          <w:szCs w:val="24"/>
          <w:lang w:val="lv-LV"/>
        </w:rPr>
      </w:pPr>
      <w:r w:rsidRPr="00DB53CA">
        <w:rPr>
          <w:rFonts w:ascii="Times New Roman" w:eastAsia="Times New Roman" w:hAnsi="Times New Roman" w:cs="Times New Roman"/>
          <w:sz w:val="24"/>
          <w:szCs w:val="24"/>
          <w:lang w:val="lv-LV"/>
        </w:rPr>
        <w:t xml:space="preserve">Blokķēdē šobrīd nevar vienlaicīgi nodrošināt sistēmas konsekvenci un nekavējošu pieejamību. </w:t>
      </w:r>
      <w:r w:rsidRPr="00DB53CA">
        <w:rPr>
          <w:rFonts w:ascii="Times New Roman" w:eastAsia="Times New Roman" w:hAnsi="Times New Roman" w:cs="Times New Roman"/>
          <w:i/>
          <w:sz w:val="24"/>
          <w:szCs w:val="24"/>
          <w:lang w:val="lv-LV"/>
        </w:rPr>
        <w:t>Bitcoin</w:t>
      </w:r>
      <w:r w:rsidRPr="00DB53CA">
        <w:rPr>
          <w:rFonts w:ascii="Times New Roman" w:eastAsia="Times New Roman" w:hAnsi="Times New Roman" w:cs="Times New Roman"/>
          <w:sz w:val="24"/>
          <w:szCs w:val="24"/>
          <w:lang w:val="lv-LV"/>
        </w:rPr>
        <w:t xml:space="preserve"> virtuālās valūtas blokķēdē bloka apstiprināšana un iekļaušana blokķēdē notiek apmēram 10 minūtēs, bet </w:t>
      </w:r>
      <w:r w:rsidRPr="00DB53CA">
        <w:rPr>
          <w:rFonts w:ascii="Times New Roman" w:eastAsia="Times New Roman" w:hAnsi="Times New Roman" w:cs="Times New Roman"/>
          <w:i/>
          <w:sz w:val="24"/>
          <w:szCs w:val="24"/>
          <w:lang w:val="lv-LV"/>
        </w:rPr>
        <w:t>Ethereum</w:t>
      </w:r>
      <w:r w:rsidRPr="00DB53CA">
        <w:rPr>
          <w:rFonts w:ascii="Times New Roman" w:eastAsia="Times New Roman" w:hAnsi="Times New Roman" w:cs="Times New Roman"/>
          <w:sz w:val="24"/>
          <w:szCs w:val="24"/>
          <w:lang w:val="lv-LV"/>
        </w:rPr>
        <w:t xml:space="preserve"> bloķēdē – apmēram 17 sekundēs. Lai gan paredzams, ka tehnoloģija attīstīsies, šobrīd nav skaidrības, kad un vai vispār tā spēs nodrošināt reāla laika pieejamību.</w:t>
      </w:r>
    </w:p>
    <w:p w14:paraId="79640C00" w14:textId="77777777" w:rsidR="00DB53CA" w:rsidRPr="00DB53CA" w:rsidRDefault="00DB53CA" w:rsidP="00DB53CA">
      <w:pPr>
        <w:jc w:val="both"/>
        <w:rPr>
          <w:rFonts w:ascii="Times New Roman" w:eastAsia="Times New Roman" w:hAnsi="Times New Roman" w:cs="Times New Roman"/>
          <w:sz w:val="24"/>
          <w:szCs w:val="24"/>
          <w:lang w:val="lv-LV"/>
        </w:rPr>
      </w:pPr>
    </w:p>
    <w:p w14:paraId="0E2D51DE" w14:textId="77777777" w:rsidR="00DB53CA" w:rsidRPr="00DB53CA" w:rsidRDefault="00DB53CA" w:rsidP="00DB53CA">
      <w:pPr>
        <w:pStyle w:val="ListParagraph"/>
        <w:widowControl w:val="0"/>
        <w:numPr>
          <w:ilvl w:val="0"/>
          <w:numId w:val="10"/>
        </w:numPr>
        <w:jc w:val="both"/>
        <w:rPr>
          <w:rFonts w:ascii="Times New Roman" w:eastAsia="Times New Roman" w:hAnsi="Times New Roman" w:cs="Times New Roman"/>
          <w:b/>
          <w:sz w:val="24"/>
          <w:szCs w:val="24"/>
          <w:lang w:val="lv-LV"/>
        </w:rPr>
      </w:pPr>
      <w:r w:rsidRPr="00DB53CA">
        <w:rPr>
          <w:rFonts w:ascii="Times New Roman" w:eastAsia="Times New Roman" w:hAnsi="Times New Roman" w:cs="Times New Roman"/>
          <w:b/>
          <w:sz w:val="24"/>
          <w:szCs w:val="24"/>
          <w:lang w:val="lv-LV"/>
        </w:rPr>
        <w:t>Resursu izmantošanas efektivitāte</w:t>
      </w:r>
    </w:p>
    <w:p w14:paraId="7BAA5A7B" w14:textId="77777777" w:rsidR="00DB53CA" w:rsidRPr="00DB53CA" w:rsidRDefault="00DB53CA" w:rsidP="00DB53CA">
      <w:pPr>
        <w:jc w:val="both"/>
        <w:rPr>
          <w:rFonts w:ascii="Times New Roman" w:eastAsia="Times New Roman" w:hAnsi="Times New Roman" w:cs="Times New Roman"/>
          <w:sz w:val="24"/>
          <w:szCs w:val="24"/>
          <w:lang w:val="lv-LV"/>
        </w:rPr>
      </w:pPr>
      <w:r w:rsidRPr="00DB53CA">
        <w:rPr>
          <w:rFonts w:ascii="Times New Roman" w:eastAsia="Times New Roman" w:hAnsi="Times New Roman" w:cs="Times New Roman"/>
          <w:sz w:val="24"/>
          <w:szCs w:val="24"/>
          <w:lang w:val="lv-LV"/>
        </w:rPr>
        <w:t>Resursu izmantošanas efektivitāte blokķēdes uzturēšanai pašlaik ir zemā līmenī, īpaši tādos risinājumos, kas izmanto “</w:t>
      </w:r>
      <w:r w:rsidRPr="00DB53CA">
        <w:rPr>
          <w:rFonts w:ascii="Times New Roman" w:eastAsia="Times New Roman" w:hAnsi="Times New Roman" w:cs="Times New Roman"/>
          <w:i/>
          <w:sz w:val="24"/>
          <w:szCs w:val="24"/>
          <w:lang w:val="lv-LV"/>
        </w:rPr>
        <w:t>Proof-of-Work</w:t>
      </w:r>
      <w:r w:rsidRPr="00DB53CA">
        <w:rPr>
          <w:rFonts w:ascii="Times New Roman" w:eastAsia="Times New Roman" w:hAnsi="Times New Roman" w:cs="Times New Roman"/>
          <w:sz w:val="24"/>
          <w:szCs w:val="24"/>
          <w:lang w:val="lv-LV"/>
        </w:rPr>
        <w:t xml:space="preserve">” principu. Sistēmas darbību faktiski uztur dalībnieku ieinteresētība vai alkatība, ja to galvenais motīvs ir sacensība par atalgojumu. Faktiski lielākā daļa dalībnieku iztērē savus resursus, nesaņemot adekvātu atalgojumu par to. Tas viss noved pie tā, ka </w:t>
      </w:r>
      <w:r w:rsidRPr="00DB53CA">
        <w:rPr>
          <w:rFonts w:ascii="Times New Roman" w:eastAsia="Times New Roman" w:hAnsi="Times New Roman" w:cs="Times New Roman"/>
          <w:i/>
          <w:sz w:val="24"/>
          <w:szCs w:val="24"/>
          <w:lang w:val="lv-LV"/>
        </w:rPr>
        <w:t xml:space="preserve">Bitcoin </w:t>
      </w:r>
      <w:r w:rsidRPr="00DB53CA">
        <w:rPr>
          <w:rFonts w:ascii="Times New Roman" w:eastAsia="Times New Roman" w:hAnsi="Times New Roman" w:cs="Times New Roman"/>
          <w:sz w:val="24"/>
          <w:szCs w:val="24"/>
          <w:lang w:val="lv-LV"/>
        </w:rPr>
        <w:t>blokķēde izmanto milzīgus elektroenerģijas resursus. Tomēr pašlaik tiek aktīvi attīstīti citi blokķēdes darbības nodrošināšanas mehānismi, kas kopumā ir taupīgāki.</w:t>
      </w:r>
    </w:p>
    <w:p w14:paraId="515E20A9" w14:textId="77777777" w:rsidR="00DB53CA" w:rsidRPr="00DB53CA" w:rsidRDefault="00DB53CA" w:rsidP="00DB53CA">
      <w:pPr>
        <w:jc w:val="both"/>
        <w:rPr>
          <w:rFonts w:ascii="Times New Roman" w:eastAsia="Times New Roman" w:hAnsi="Times New Roman" w:cs="Times New Roman"/>
          <w:sz w:val="24"/>
          <w:szCs w:val="24"/>
          <w:lang w:val="lv-LV"/>
        </w:rPr>
      </w:pPr>
    </w:p>
    <w:p w14:paraId="2317D687" w14:textId="77777777" w:rsidR="00DB53CA" w:rsidRPr="00DB53CA" w:rsidRDefault="00DB53CA" w:rsidP="00DB53CA">
      <w:pPr>
        <w:pStyle w:val="ListParagraph"/>
        <w:widowControl w:val="0"/>
        <w:numPr>
          <w:ilvl w:val="0"/>
          <w:numId w:val="10"/>
        </w:numPr>
        <w:jc w:val="both"/>
        <w:rPr>
          <w:rFonts w:ascii="Times New Roman" w:eastAsia="Times New Roman" w:hAnsi="Times New Roman" w:cs="Times New Roman"/>
          <w:b/>
          <w:sz w:val="24"/>
          <w:szCs w:val="24"/>
          <w:lang w:val="lv-LV"/>
        </w:rPr>
      </w:pPr>
      <w:r w:rsidRPr="00DB53CA">
        <w:rPr>
          <w:rFonts w:ascii="Times New Roman" w:eastAsia="Times New Roman" w:hAnsi="Times New Roman" w:cs="Times New Roman"/>
          <w:b/>
          <w:sz w:val="24"/>
          <w:szCs w:val="24"/>
          <w:lang w:val="lv-LV"/>
        </w:rPr>
        <w:t>Viedo līgumu  riski</w:t>
      </w:r>
    </w:p>
    <w:p w14:paraId="648DB86E" w14:textId="77777777" w:rsidR="00DB53CA" w:rsidRPr="00DB53CA" w:rsidRDefault="00DB53CA" w:rsidP="00DB53CA">
      <w:pPr>
        <w:jc w:val="both"/>
        <w:rPr>
          <w:rFonts w:ascii="Times New Roman" w:eastAsia="Times New Roman" w:hAnsi="Times New Roman" w:cs="Times New Roman"/>
          <w:sz w:val="24"/>
          <w:szCs w:val="24"/>
          <w:lang w:val="lv-LV"/>
        </w:rPr>
      </w:pPr>
      <w:r w:rsidRPr="00DB53CA">
        <w:rPr>
          <w:rFonts w:ascii="Times New Roman" w:eastAsia="Times New Roman" w:hAnsi="Times New Roman" w:cs="Times New Roman"/>
          <w:sz w:val="24"/>
          <w:szCs w:val="24"/>
          <w:lang w:val="lv-LV"/>
        </w:rPr>
        <w:t>Viedie līgumi pēc būtības ir datorprogrammas blokķēdē. Neveiksmīga, kļūdaina vai ļaunprātīga datorprogramma (viedais līgums) ienes blokķēdē, kurā tā realizēta, būtiskus riskus un apdraud darbību. Viedo līgumu nodrošināšanas platformu izstrādātāji attīsta tehnoloģijas, lai aizsargātos pret destruktīvu rīcību. Viedo līgumu kvalitātes uzlabošanai un atzīšanai juridiskajā praksē būtu nepieciešama standartizācija un noteiktu juridiskā rakstura prasību piemērošana. Tomēr pagaidām viedie līgumi vēl ir agrīnā attīstības stadijā, sarežģīti un grūti izprotami ekonomisko un juridisko jomu ekspertiem.</w:t>
      </w:r>
    </w:p>
    <w:p w14:paraId="2BE9476D" w14:textId="77777777" w:rsidR="00DB53CA" w:rsidRPr="00DB53CA" w:rsidRDefault="00DB53CA" w:rsidP="00DB53CA">
      <w:pPr>
        <w:jc w:val="both"/>
        <w:rPr>
          <w:rFonts w:ascii="Times New Roman" w:eastAsia="Times New Roman" w:hAnsi="Times New Roman" w:cs="Times New Roman"/>
          <w:sz w:val="24"/>
          <w:szCs w:val="24"/>
          <w:lang w:val="lv-LV"/>
        </w:rPr>
      </w:pPr>
    </w:p>
    <w:p w14:paraId="2F65F6EB" w14:textId="77777777" w:rsidR="00DB53CA" w:rsidRPr="00DB53CA" w:rsidRDefault="00DB53CA" w:rsidP="00DB53CA">
      <w:pPr>
        <w:pStyle w:val="ListParagraph"/>
        <w:widowControl w:val="0"/>
        <w:numPr>
          <w:ilvl w:val="0"/>
          <w:numId w:val="10"/>
        </w:numPr>
        <w:jc w:val="both"/>
        <w:rPr>
          <w:rFonts w:ascii="Times New Roman" w:eastAsia="Times New Roman" w:hAnsi="Times New Roman" w:cs="Times New Roman"/>
          <w:b/>
          <w:sz w:val="24"/>
          <w:szCs w:val="24"/>
          <w:lang w:val="lv-LV"/>
        </w:rPr>
      </w:pPr>
      <w:r w:rsidRPr="00DB53CA">
        <w:rPr>
          <w:rFonts w:ascii="Times New Roman" w:eastAsia="Times New Roman" w:hAnsi="Times New Roman" w:cs="Times New Roman"/>
          <w:b/>
          <w:sz w:val="24"/>
          <w:szCs w:val="24"/>
          <w:lang w:val="lv-LV"/>
        </w:rPr>
        <w:t>Blokķēdes juridiskā regulējuma trūkums</w:t>
      </w:r>
    </w:p>
    <w:p w14:paraId="75BE526F" w14:textId="77777777" w:rsidR="00DB53CA" w:rsidRPr="00DB53CA" w:rsidRDefault="00DB53CA" w:rsidP="00DB53CA">
      <w:pPr>
        <w:jc w:val="both"/>
        <w:rPr>
          <w:rFonts w:ascii="Times New Roman" w:eastAsia="Times New Roman" w:hAnsi="Times New Roman" w:cs="Times New Roman"/>
          <w:sz w:val="24"/>
          <w:szCs w:val="24"/>
          <w:lang w:val="lv-LV"/>
        </w:rPr>
      </w:pPr>
      <w:r w:rsidRPr="00DB53CA">
        <w:rPr>
          <w:rFonts w:ascii="Times New Roman" w:eastAsia="Times New Roman" w:hAnsi="Times New Roman" w:cs="Times New Roman"/>
          <w:sz w:val="24"/>
          <w:szCs w:val="24"/>
          <w:lang w:val="lv-LV"/>
        </w:rPr>
        <w:t xml:space="preserve">Blokķēžu izmantošanas regulācija faktiski nepastāv un tikai sāk attīstīties atsevišķās Eiropas Savienības jurisdikcijās, piemēram Maltā. Nav pietiekoši skaidrs, kuri blokķēdes pielietojumi ir legāli un kuri nē. Kriptovalūtas, kas ir tikai viens no pielietojumiem, pašlaik saņem pamatā negatīvu attieksmi no valsts institūcijām. </w:t>
      </w:r>
    </w:p>
    <w:p w14:paraId="216D6DF4" w14:textId="77777777" w:rsidR="00DB53CA" w:rsidRPr="00DB53CA" w:rsidRDefault="00DB53CA" w:rsidP="00DB53CA">
      <w:pPr>
        <w:jc w:val="both"/>
        <w:rPr>
          <w:rFonts w:ascii="Times New Roman" w:eastAsia="Times New Roman" w:hAnsi="Times New Roman" w:cs="Times New Roman"/>
          <w:sz w:val="24"/>
          <w:szCs w:val="24"/>
          <w:lang w:val="lv-LV"/>
        </w:rPr>
      </w:pPr>
    </w:p>
    <w:p w14:paraId="7E1FE667" w14:textId="75A97EB3" w:rsidR="00DB53CA" w:rsidRPr="00DB53CA" w:rsidRDefault="00DB53CA" w:rsidP="00DB53CA">
      <w:pPr>
        <w:jc w:val="both"/>
        <w:rPr>
          <w:rFonts w:ascii="Times New Roman" w:eastAsia="Times New Roman" w:hAnsi="Times New Roman" w:cs="Times New Roman"/>
          <w:sz w:val="24"/>
          <w:szCs w:val="24"/>
          <w:lang w:val="lv-LV"/>
        </w:rPr>
      </w:pPr>
      <w:r w:rsidRPr="00DB53CA">
        <w:rPr>
          <w:rFonts w:ascii="Times New Roman" w:eastAsia="Times New Roman" w:hAnsi="Times New Roman" w:cs="Times New Roman"/>
          <w:sz w:val="24"/>
          <w:szCs w:val="24"/>
          <w:lang w:val="lv-LV"/>
        </w:rPr>
        <w:t xml:space="preserve">Blokķēdē iekļautā vēsturiskā informācija ir </w:t>
      </w:r>
      <w:r w:rsidR="00C66D78">
        <w:rPr>
          <w:rFonts w:ascii="Times New Roman" w:eastAsia="Times New Roman" w:hAnsi="Times New Roman" w:cs="Times New Roman"/>
          <w:sz w:val="24"/>
          <w:szCs w:val="24"/>
          <w:lang w:val="lv-LV"/>
        </w:rPr>
        <w:t>autentiska</w:t>
      </w:r>
      <w:r w:rsidRPr="00DB53CA">
        <w:rPr>
          <w:rFonts w:ascii="Times New Roman" w:eastAsia="Times New Roman" w:hAnsi="Times New Roman" w:cs="Times New Roman"/>
          <w:sz w:val="24"/>
          <w:szCs w:val="24"/>
          <w:lang w:val="lv-LV"/>
        </w:rPr>
        <w:t xml:space="preserve"> un izmainīt to nav iespējams. Jāņem vērā, ka tas attiecās arī uz informāciju, kas </w:t>
      </w:r>
      <w:r w:rsidR="00C66D78">
        <w:rPr>
          <w:rFonts w:ascii="Times New Roman" w:eastAsia="Times New Roman" w:hAnsi="Times New Roman" w:cs="Times New Roman"/>
          <w:sz w:val="24"/>
          <w:szCs w:val="24"/>
          <w:lang w:val="lv-LV"/>
        </w:rPr>
        <w:t xml:space="preserve">nav korekta, un kas </w:t>
      </w:r>
      <w:r w:rsidRPr="00DB53CA">
        <w:rPr>
          <w:rFonts w:ascii="Times New Roman" w:eastAsia="Times New Roman" w:hAnsi="Times New Roman" w:cs="Times New Roman"/>
          <w:sz w:val="24"/>
          <w:szCs w:val="24"/>
          <w:lang w:val="lv-LV"/>
        </w:rPr>
        <w:t>noteiktu apstākļu dēļ iepriekš tika iekļauta blokķēdē un to arī nav iespējams izmainīt. Blokķēdē nav skaidra atbildības sadale, ja notiek šāda vai līdzīga situācija, kurā kādam būtu jāuzņemas atbildība un nav skaidras procedūras, ar kurām var objektīvi novērtēt negatīvi ietekmētas blokķēdes daļu, ja tā tiek uzlauzta. Šādi, kā arī vairāki citi aspekti būtu jāatrunā specializētajā regulējumā, kas varētu veicināt tehnoloģijas drošāku un efektīvāku izmantošanu dažādos ekonomikas sektoros.</w:t>
      </w:r>
    </w:p>
    <w:p w14:paraId="28D70989" w14:textId="77777777" w:rsidR="00DB53CA" w:rsidRPr="00DB53CA" w:rsidRDefault="00DB53CA" w:rsidP="00DB53CA">
      <w:pPr>
        <w:jc w:val="both"/>
        <w:rPr>
          <w:rFonts w:ascii="Times New Roman" w:eastAsia="Times New Roman" w:hAnsi="Times New Roman" w:cs="Times New Roman"/>
          <w:sz w:val="24"/>
          <w:szCs w:val="24"/>
          <w:lang w:val="lv-LV"/>
        </w:rPr>
      </w:pPr>
    </w:p>
    <w:p w14:paraId="5C959A05" w14:textId="77777777" w:rsidR="00DB53CA" w:rsidRPr="00DB53CA" w:rsidRDefault="00DB53CA" w:rsidP="00DB53CA">
      <w:pPr>
        <w:pStyle w:val="ListParagraph"/>
        <w:widowControl w:val="0"/>
        <w:numPr>
          <w:ilvl w:val="0"/>
          <w:numId w:val="10"/>
        </w:numPr>
        <w:jc w:val="both"/>
        <w:rPr>
          <w:rFonts w:ascii="Times New Roman" w:eastAsia="Times New Roman" w:hAnsi="Times New Roman" w:cs="Times New Roman"/>
          <w:b/>
          <w:sz w:val="24"/>
          <w:szCs w:val="24"/>
          <w:lang w:val="lv-LV"/>
        </w:rPr>
      </w:pPr>
      <w:r w:rsidRPr="00DB53CA">
        <w:rPr>
          <w:rFonts w:ascii="Times New Roman" w:eastAsia="Times New Roman" w:hAnsi="Times New Roman" w:cs="Times New Roman"/>
          <w:b/>
          <w:sz w:val="24"/>
          <w:szCs w:val="24"/>
          <w:lang w:val="lv-LV"/>
        </w:rPr>
        <w:t>Privātums</w:t>
      </w:r>
    </w:p>
    <w:p w14:paraId="72429611" w14:textId="77777777" w:rsidR="00DB53CA" w:rsidRPr="00DB53CA" w:rsidRDefault="00DB53CA" w:rsidP="00DB53CA">
      <w:pPr>
        <w:jc w:val="both"/>
        <w:rPr>
          <w:rFonts w:ascii="Times New Roman" w:eastAsia="Times New Roman" w:hAnsi="Times New Roman" w:cs="Times New Roman"/>
          <w:sz w:val="24"/>
          <w:szCs w:val="24"/>
          <w:lang w:val="lv-LV"/>
        </w:rPr>
      </w:pPr>
      <w:r w:rsidRPr="00DB53CA">
        <w:rPr>
          <w:rFonts w:ascii="Times New Roman" w:eastAsia="Times New Roman" w:hAnsi="Times New Roman" w:cs="Times New Roman"/>
          <w:sz w:val="24"/>
          <w:szCs w:val="24"/>
          <w:lang w:val="lv-LV"/>
        </w:rPr>
        <w:t>Privātums blokķēdē ir divējādas dabas. No vienas puses, izstrādātāji šobrīd cenšas nodrošināt gala lietotāja anonimitāti, kas ir salīdzinoši grūti. No otras puses, ja gala lietotājs ir publiski zināms, tad visas viņa darbības, kas reģistrētas blokķēdē, arī ir publiskas, kas var apdraudēt lietotāja privātumu.</w:t>
      </w:r>
    </w:p>
    <w:p w14:paraId="7F840BB9" w14:textId="77777777" w:rsidR="00197442" w:rsidRPr="007D2EC2" w:rsidRDefault="00197442" w:rsidP="00DB53CA">
      <w:pPr>
        <w:rPr>
          <w:rFonts w:ascii="Times New Roman" w:eastAsia="Times New Roman" w:hAnsi="Times New Roman" w:cs="Times New Roman"/>
          <w:sz w:val="24"/>
          <w:szCs w:val="24"/>
          <w:lang w:val="lv-LV"/>
        </w:rPr>
      </w:pPr>
    </w:p>
    <w:p w14:paraId="07C2BAA9" w14:textId="1456879E" w:rsidR="00DB53CA" w:rsidRPr="002E1BC8" w:rsidRDefault="00414142" w:rsidP="002E1BC8">
      <w:pPr>
        <w:ind w:firstLine="357"/>
        <w:rPr>
          <w:rFonts w:ascii="Times New Roman" w:hAnsi="Times New Roman" w:cs="Times New Roman"/>
          <w:b/>
          <w:i/>
          <w:sz w:val="24"/>
          <w:szCs w:val="24"/>
          <w:lang w:val="lv-LV"/>
        </w:rPr>
      </w:pPr>
      <w:r w:rsidRPr="002E1BC8">
        <w:rPr>
          <w:rFonts w:ascii="Times New Roman" w:hAnsi="Times New Roman" w:cs="Times New Roman"/>
          <w:b/>
          <w:i/>
          <w:sz w:val="24"/>
          <w:szCs w:val="24"/>
          <w:lang w:val="lv-LV"/>
        </w:rPr>
        <w:t>4</w:t>
      </w:r>
      <w:r w:rsidR="00197442" w:rsidRPr="002E1BC8">
        <w:rPr>
          <w:rFonts w:ascii="Times New Roman" w:hAnsi="Times New Roman" w:cs="Times New Roman"/>
          <w:b/>
          <w:i/>
          <w:sz w:val="24"/>
          <w:szCs w:val="24"/>
          <w:lang w:val="lv-LV"/>
        </w:rPr>
        <w:t xml:space="preserve">.4. </w:t>
      </w:r>
      <w:r w:rsidR="00DB53CA" w:rsidRPr="002E1BC8">
        <w:rPr>
          <w:rFonts w:ascii="Times New Roman" w:hAnsi="Times New Roman" w:cs="Times New Roman"/>
          <w:b/>
          <w:i/>
          <w:sz w:val="24"/>
          <w:szCs w:val="24"/>
          <w:lang w:val="lv-LV"/>
        </w:rPr>
        <w:t>Tehnoloģijas potenciāls</w:t>
      </w:r>
    </w:p>
    <w:p w14:paraId="547FA203" w14:textId="77777777" w:rsidR="00DB53CA" w:rsidRPr="00DB53CA" w:rsidRDefault="00DB53CA" w:rsidP="00DB53CA">
      <w:pPr>
        <w:jc w:val="both"/>
        <w:rPr>
          <w:rFonts w:ascii="Times New Roman" w:eastAsia="Times New Roman" w:hAnsi="Times New Roman" w:cs="Times New Roman"/>
          <w:sz w:val="24"/>
          <w:szCs w:val="24"/>
          <w:lang w:val="lv-LV"/>
        </w:rPr>
      </w:pPr>
    </w:p>
    <w:p w14:paraId="3F7724E8" w14:textId="61AA83F0" w:rsidR="00DB53CA" w:rsidRPr="00DB53CA" w:rsidRDefault="00A07637" w:rsidP="00DB53CA">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DB53CA" w:rsidRPr="00DB53CA">
        <w:rPr>
          <w:rFonts w:ascii="Times New Roman" w:eastAsia="Times New Roman" w:hAnsi="Times New Roman" w:cs="Times New Roman"/>
          <w:sz w:val="24"/>
          <w:szCs w:val="24"/>
          <w:lang w:val="lv-LV"/>
        </w:rPr>
        <w:t>Pateicoties tam, ka tehnoloģija ļauj optimizēt daudzus procesus, īpaši finanšu jomā, tai šobrīd saredz liel</w:t>
      </w:r>
      <w:r w:rsidR="007F3DCF">
        <w:rPr>
          <w:rFonts w:ascii="Times New Roman" w:eastAsia="Times New Roman" w:hAnsi="Times New Roman" w:cs="Times New Roman"/>
          <w:sz w:val="24"/>
          <w:szCs w:val="24"/>
          <w:lang w:val="lv-LV"/>
        </w:rPr>
        <w:t>as attīstības iespējas nākotnē</w:t>
      </w:r>
      <w:r w:rsidR="00DB53CA" w:rsidRPr="00DB53CA">
        <w:rPr>
          <w:rFonts w:ascii="Times New Roman" w:eastAsia="Times New Roman" w:hAnsi="Times New Roman" w:cs="Times New Roman"/>
          <w:sz w:val="24"/>
          <w:szCs w:val="24"/>
          <w:lang w:val="lv-LV"/>
        </w:rPr>
        <w:t xml:space="preserve">. Tā kā datu drošību sargā algoritms, kā arī tāpēc, ka, tīkla dalībnieki parasti var konstatēt ierakstos izdarītās izmaiņas, šī tehnoloģija varētu padarīt sarežģītāku krāpniecisku darījumu veikšanu. Ieguvums varētu būt arī efektivitātes ziņā, jo šādi tiek nodrošināta automatizēta uzskaite, tādējādi potenciāli novēršot cilvēka pieļautu kļūdu iespēju un vienkāršojot procesu, kas citādi var būt ļoti komplicēts. Tehnoloģiskās priekšrocības var veicināt darījumu un transakciju izmaksu samazinājumu un ātrāku darījumu nodrošināšanu. Daži </w:t>
      </w:r>
      <w:r w:rsidR="00F7422D">
        <w:rPr>
          <w:rFonts w:ascii="Times New Roman" w:eastAsia="Times New Roman" w:hAnsi="Times New Roman" w:cs="Times New Roman"/>
          <w:sz w:val="24"/>
          <w:szCs w:val="24"/>
          <w:lang w:val="lv-LV"/>
        </w:rPr>
        <w:t xml:space="preserve">šīs jomas eksperti </w:t>
      </w:r>
      <w:r w:rsidR="00DB53CA" w:rsidRPr="00DB53CA">
        <w:rPr>
          <w:rFonts w:ascii="Times New Roman" w:eastAsia="Times New Roman" w:hAnsi="Times New Roman" w:cs="Times New Roman"/>
          <w:sz w:val="24"/>
          <w:szCs w:val="24"/>
          <w:lang w:val="lv-LV"/>
        </w:rPr>
        <w:t>ir pārliecināti, ka tehnoloģija varētu pašos pamatos mainīt veidu, kā darbojas finanšu tirgi, izslēdzot no spēles starpniekus. Neskatoties uz to, ka finanšu sektora lielākie dalībnieki jau vairāk nekā gadu aktīvi testē tehnoloģiju un attīsta uz tās balstītos risinājumus savu iekšējo procesu optimizācijai, tehnoloģijas izmantošana reālajā dzīvē vēl nav plaši izplatīta. Dažās jomās, piemēram maksājumu sistēmu jomā, testu rezultātā tika atzīts, ka tehnoloģija vēl nav nobriedusi un tai būtu vēl jāattīstās, lai spētu sniegt lielākus ieguvumus nekā jaunākie sasniegumi tradicionālajās tehnoloģijās šobrīd. Paredzams, ka tuvākajā nākotnē tehnoloģija attīstīsies un kalpos ne tikai datu ierakstiem, bet arī digitālo aktīvu īpašumtiesību reģistrācijai un maiņai, kā arī t.s. viedo līgumu izpildei starp darījuma partneriem, kā arī likumu piemērošanai un izpildei tiešsaistē.</w:t>
      </w:r>
    </w:p>
    <w:p w14:paraId="58CFADA0" w14:textId="77777777" w:rsidR="00DB53CA" w:rsidRPr="00DB53CA" w:rsidRDefault="00A07637" w:rsidP="00DB53CA">
      <w:pPr>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DB53CA" w:rsidRPr="00DB53CA">
        <w:rPr>
          <w:rFonts w:ascii="Times New Roman" w:hAnsi="Times New Roman" w:cs="Times New Roman"/>
          <w:sz w:val="24"/>
          <w:szCs w:val="24"/>
          <w:lang w:val="lv-LV"/>
        </w:rPr>
        <w:t>Blokķēdes potenciāla pielietojuma jomu saraksts ir plašs. Varētu izcelt šādas jomas, kurās šobrīd jau notiek izstrādes un saredzams lielākais potenciāls:</w:t>
      </w:r>
    </w:p>
    <w:p w14:paraId="41CE8FB5" w14:textId="77777777" w:rsidR="008F1253" w:rsidRPr="00DB53CA" w:rsidRDefault="008F1253" w:rsidP="00DB53CA">
      <w:pPr>
        <w:jc w:val="both"/>
        <w:rPr>
          <w:rFonts w:ascii="Times New Roman" w:hAnsi="Times New Roman" w:cs="Times New Roman"/>
          <w:sz w:val="24"/>
          <w:szCs w:val="24"/>
          <w:lang w:val="lv-LV"/>
        </w:rPr>
      </w:pPr>
    </w:p>
    <w:p w14:paraId="0F0878C7" w14:textId="77777777" w:rsidR="00DB53CA" w:rsidRPr="00DB53CA" w:rsidRDefault="00DB53CA" w:rsidP="00DB53CA">
      <w:pPr>
        <w:pStyle w:val="ListParagraph"/>
        <w:widowControl w:val="0"/>
        <w:numPr>
          <w:ilvl w:val="0"/>
          <w:numId w:val="10"/>
        </w:numPr>
        <w:jc w:val="both"/>
        <w:rPr>
          <w:rFonts w:ascii="Times New Roman" w:hAnsi="Times New Roman" w:cs="Times New Roman"/>
          <w:b/>
          <w:sz w:val="24"/>
          <w:szCs w:val="24"/>
          <w:lang w:val="lv-LV"/>
        </w:rPr>
      </w:pPr>
      <w:r w:rsidRPr="00DB53CA">
        <w:rPr>
          <w:rFonts w:ascii="Times New Roman" w:hAnsi="Times New Roman" w:cs="Times New Roman"/>
          <w:b/>
          <w:sz w:val="24"/>
          <w:szCs w:val="24"/>
          <w:lang w:val="lv-LV"/>
        </w:rPr>
        <w:t>Finanses</w:t>
      </w:r>
    </w:p>
    <w:p w14:paraId="530E220A" w14:textId="77777777" w:rsidR="00DB53CA" w:rsidRPr="00DB53CA" w:rsidRDefault="00DB53CA" w:rsidP="00DB53CA">
      <w:pPr>
        <w:jc w:val="both"/>
        <w:rPr>
          <w:rFonts w:ascii="Times New Roman" w:hAnsi="Times New Roman" w:cs="Times New Roman"/>
          <w:sz w:val="24"/>
          <w:szCs w:val="24"/>
          <w:lang w:val="lv-LV"/>
        </w:rPr>
      </w:pPr>
      <w:r w:rsidRPr="00DB53CA">
        <w:rPr>
          <w:rFonts w:ascii="Times New Roman" w:hAnsi="Times New Roman" w:cs="Times New Roman"/>
          <w:sz w:val="24"/>
          <w:szCs w:val="24"/>
          <w:lang w:val="lv-LV"/>
        </w:rPr>
        <w:t>Banku iekšējie procesi (ātrākas, lētākas, drošākas un caurskatāmākas transakcijas), apdrošināšana (viedie līgumi apdrošināšanas līguma slēgšanai, atlīdzības pieteikšana un pārvaldība, norēķini, krāpniecības samazināšana), maksājumi (starpvalūtu maksājumi); vērtspapīru tirdzniecība un investēšana (automātiski finanšu servisi, pēc darījumu apstrāde); kreditēšana un pūļa finansēšana (dokumentu apstrādes un informācijas apmaiņas starp vairākiem dalībniekiem optimizācija, viedie līgumi starp finanšu resursu devējiem un saņēmējiem).</w:t>
      </w:r>
    </w:p>
    <w:p w14:paraId="603CB8DD" w14:textId="77777777" w:rsidR="00DB53CA" w:rsidRPr="00DB53CA" w:rsidRDefault="00DB53CA" w:rsidP="00DB53CA">
      <w:pPr>
        <w:jc w:val="both"/>
        <w:rPr>
          <w:rFonts w:ascii="Times New Roman" w:hAnsi="Times New Roman" w:cs="Times New Roman"/>
          <w:sz w:val="24"/>
          <w:szCs w:val="24"/>
          <w:lang w:val="lv-LV"/>
        </w:rPr>
      </w:pPr>
    </w:p>
    <w:p w14:paraId="148CF152" w14:textId="77777777" w:rsidR="00DB53CA" w:rsidRPr="00DB53CA" w:rsidRDefault="00DB53CA" w:rsidP="00DB53CA">
      <w:pPr>
        <w:pStyle w:val="ListParagraph"/>
        <w:widowControl w:val="0"/>
        <w:numPr>
          <w:ilvl w:val="0"/>
          <w:numId w:val="10"/>
        </w:numPr>
        <w:jc w:val="both"/>
        <w:rPr>
          <w:rFonts w:ascii="Times New Roman" w:hAnsi="Times New Roman" w:cs="Times New Roman"/>
          <w:b/>
          <w:sz w:val="24"/>
          <w:szCs w:val="24"/>
          <w:lang w:val="lv-LV"/>
        </w:rPr>
      </w:pPr>
      <w:r w:rsidRPr="00DB53CA">
        <w:rPr>
          <w:rFonts w:ascii="Times New Roman" w:hAnsi="Times New Roman" w:cs="Times New Roman"/>
          <w:b/>
          <w:sz w:val="24"/>
          <w:szCs w:val="24"/>
          <w:lang w:val="lv-LV"/>
        </w:rPr>
        <w:t>Lietu internets</w:t>
      </w:r>
    </w:p>
    <w:p w14:paraId="7E129401" w14:textId="77777777" w:rsidR="00DB53CA" w:rsidRPr="00DB53CA" w:rsidRDefault="00DB53CA" w:rsidP="00DB53CA">
      <w:pPr>
        <w:jc w:val="both"/>
        <w:rPr>
          <w:rFonts w:ascii="Times New Roman" w:hAnsi="Times New Roman" w:cs="Times New Roman"/>
          <w:sz w:val="24"/>
          <w:szCs w:val="24"/>
          <w:lang w:val="lv-LV"/>
        </w:rPr>
      </w:pPr>
      <w:r w:rsidRPr="00DB53CA">
        <w:rPr>
          <w:rFonts w:ascii="Times New Roman" w:hAnsi="Times New Roman" w:cs="Times New Roman"/>
          <w:sz w:val="24"/>
          <w:szCs w:val="24"/>
          <w:lang w:val="lv-LV"/>
        </w:rPr>
        <w:lastRenderedPageBreak/>
        <w:t>Patērētājs-ierīce un ierīce-ierīce sadarbības nodrošināšana, piemēram, viedā rezervācija (māju/dzīvokļu  īre/izmantošana, automašīnu/riteņu īre); viedās ierīces (TV, mūzikas iekārtas, ledusskapji, veļas mazgājamās mašīnas); saistītie transportlīdzekļi (visu transportlīdzekļa raksturlielumu un notikumu uzkrāšana, problēmu diagnosticēšana, kontakti ar servisu sniedzējiem).</w:t>
      </w:r>
    </w:p>
    <w:p w14:paraId="29C4D390" w14:textId="77777777" w:rsidR="00DB53CA" w:rsidRPr="00DB53CA" w:rsidRDefault="00DB53CA" w:rsidP="00DB53CA">
      <w:pPr>
        <w:jc w:val="both"/>
        <w:rPr>
          <w:rFonts w:ascii="Times New Roman" w:hAnsi="Times New Roman" w:cs="Times New Roman"/>
          <w:sz w:val="24"/>
          <w:szCs w:val="24"/>
          <w:lang w:val="lv-LV"/>
        </w:rPr>
      </w:pPr>
    </w:p>
    <w:p w14:paraId="7EF5160C" w14:textId="77777777" w:rsidR="00DB53CA" w:rsidRPr="00DB53CA" w:rsidRDefault="00DB53CA" w:rsidP="00DB53CA">
      <w:pPr>
        <w:pStyle w:val="ListParagraph"/>
        <w:widowControl w:val="0"/>
        <w:numPr>
          <w:ilvl w:val="0"/>
          <w:numId w:val="10"/>
        </w:numPr>
        <w:jc w:val="both"/>
        <w:rPr>
          <w:rFonts w:ascii="Times New Roman" w:hAnsi="Times New Roman" w:cs="Times New Roman"/>
          <w:b/>
          <w:sz w:val="24"/>
          <w:szCs w:val="24"/>
          <w:lang w:val="lv-LV"/>
        </w:rPr>
      </w:pPr>
      <w:r w:rsidRPr="00DB53CA">
        <w:rPr>
          <w:rFonts w:ascii="Times New Roman" w:hAnsi="Times New Roman" w:cs="Times New Roman"/>
          <w:b/>
          <w:sz w:val="24"/>
          <w:szCs w:val="24"/>
          <w:lang w:val="lv-LV"/>
        </w:rPr>
        <w:t>Industrija un rūpniecība</w:t>
      </w:r>
    </w:p>
    <w:p w14:paraId="1B5BC94A" w14:textId="77777777" w:rsidR="00DB53CA" w:rsidRPr="00DB53CA" w:rsidRDefault="00DB53CA" w:rsidP="00DB53CA">
      <w:pPr>
        <w:jc w:val="both"/>
        <w:rPr>
          <w:rFonts w:ascii="Times New Roman" w:hAnsi="Times New Roman" w:cs="Times New Roman"/>
          <w:sz w:val="24"/>
          <w:szCs w:val="24"/>
          <w:lang w:val="lv-LV"/>
        </w:rPr>
      </w:pPr>
      <w:r w:rsidRPr="00DB53CA">
        <w:rPr>
          <w:rFonts w:ascii="Times New Roman" w:hAnsi="Times New Roman" w:cs="Times New Roman"/>
          <w:sz w:val="24"/>
          <w:szCs w:val="24"/>
          <w:lang w:val="lv-LV"/>
        </w:rPr>
        <w:t>Labāka iekārtu automatizācija; attālināta iekārtu diagnosticēšana un kontrole; efektīvāka loģistikas nodrošināšana, piemēram, ražošana pēc pieprasījuma (iekārta sāk ražot specifisku lietu atbilstoši pieprasījumam); viedā diagnostika un iekārtu uzturēšana; izsekojamība produktiem vai notikumiem; piegādes ķēžu pārvaldība; produktu sertificēšana; patērētājs-ierīce un ierīce-ierīce transakciju nodrošināšana; sadarbības partnera identitātes un reputācijas noskaidrošana; aktīvu reģistrācija un inventarizācija.</w:t>
      </w:r>
    </w:p>
    <w:p w14:paraId="2B45EA56" w14:textId="77777777" w:rsidR="00DB53CA" w:rsidRPr="00DB53CA" w:rsidRDefault="00DB53CA" w:rsidP="00DB53CA">
      <w:pPr>
        <w:jc w:val="both"/>
        <w:rPr>
          <w:rFonts w:ascii="Times New Roman" w:hAnsi="Times New Roman" w:cs="Times New Roman"/>
          <w:sz w:val="24"/>
          <w:szCs w:val="24"/>
          <w:lang w:val="lv-LV"/>
        </w:rPr>
      </w:pPr>
    </w:p>
    <w:p w14:paraId="343B9F8A" w14:textId="77777777" w:rsidR="00DB53CA" w:rsidRPr="00DB53CA" w:rsidRDefault="00DB53CA" w:rsidP="00DB53CA">
      <w:pPr>
        <w:pStyle w:val="ListParagraph"/>
        <w:widowControl w:val="0"/>
        <w:numPr>
          <w:ilvl w:val="0"/>
          <w:numId w:val="10"/>
        </w:numPr>
        <w:jc w:val="both"/>
        <w:rPr>
          <w:rFonts w:ascii="Times New Roman" w:hAnsi="Times New Roman" w:cs="Times New Roman"/>
          <w:b/>
          <w:sz w:val="24"/>
          <w:szCs w:val="24"/>
          <w:lang w:val="lv-LV"/>
        </w:rPr>
      </w:pPr>
      <w:r w:rsidRPr="00DB53CA">
        <w:rPr>
          <w:rFonts w:ascii="Times New Roman" w:hAnsi="Times New Roman" w:cs="Times New Roman"/>
          <w:b/>
          <w:sz w:val="24"/>
          <w:szCs w:val="24"/>
          <w:lang w:val="lv-LV"/>
        </w:rPr>
        <w:t>Enerģija</w:t>
      </w:r>
    </w:p>
    <w:p w14:paraId="6E6430BF" w14:textId="77777777" w:rsidR="00DB53CA" w:rsidRPr="00DB53CA" w:rsidRDefault="00DB53CA" w:rsidP="00DB53CA">
      <w:pPr>
        <w:jc w:val="both"/>
        <w:rPr>
          <w:rFonts w:ascii="Times New Roman" w:hAnsi="Times New Roman" w:cs="Times New Roman"/>
          <w:sz w:val="24"/>
          <w:szCs w:val="24"/>
          <w:lang w:val="lv-LV"/>
        </w:rPr>
      </w:pPr>
      <w:r w:rsidRPr="00DB53CA">
        <w:rPr>
          <w:rFonts w:ascii="Times New Roman" w:hAnsi="Times New Roman" w:cs="Times New Roman"/>
          <w:sz w:val="24"/>
          <w:szCs w:val="24"/>
          <w:lang w:val="lv-LV"/>
        </w:rPr>
        <w:t>Tirdzniecība ar enerģiju, piemēram, personas iekārtu uzlāde attālinātās saules bateriju stacijās; uzņēmumu un iedzīvotāju savstarpēja enerģijas pirkšana/pārdošana atjaunojamajai enerģijai (piemēram, saules bateriju paneļi).</w:t>
      </w:r>
    </w:p>
    <w:p w14:paraId="14AEF165" w14:textId="77777777" w:rsidR="00DB53CA" w:rsidRPr="00DB53CA" w:rsidRDefault="00DB53CA" w:rsidP="00DB53CA">
      <w:pPr>
        <w:jc w:val="both"/>
        <w:rPr>
          <w:rFonts w:ascii="Times New Roman" w:hAnsi="Times New Roman" w:cs="Times New Roman"/>
          <w:sz w:val="24"/>
          <w:szCs w:val="24"/>
          <w:lang w:val="lv-LV"/>
        </w:rPr>
      </w:pPr>
    </w:p>
    <w:p w14:paraId="166F79A6" w14:textId="77777777" w:rsidR="00DB53CA" w:rsidRPr="00DB53CA" w:rsidRDefault="00DB53CA" w:rsidP="00DB53CA">
      <w:pPr>
        <w:pStyle w:val="ListParagraph"/>
        <w:widowControl w:val="0"/>
        <w:numPr>
          <w:ilvl w:val="0"/>
          <w:numId w:val="10"/>
        </w:numPr>
        <w:jc w:val="both"/>
        <w:rPr>
          <w:rFonts w:ascii="Times New Roman" w:hAnsi="Times New Roman" w:cs="Times New Roman"/>
          <w:b/>
          <w:sz w:val="24"/>
          <w:szCs w:val="24"/>
          <w:lang w:val="lv-LV"/>
        </w:rPr>
      </w:pPr>
      <w:r w:rsidRPr="00DB53CA">
        <w:rPr>
          <w:rFonts w:ascii="Times New Roman" w:hAnsi="Times New Roman" w:cs="Times New Roman"/>
          <w:b/>
          <w:sz w:val="24"/>
          <w:szCs w:val="24"/>
          <w:lang w:val="lv-LV"/>
        </w:rPr>
        <w:t>Piegādes ķēdes un loģistika</w:t>
      </w:r>
    </w:p>
    <w:p w14:paraId="4D9A937F" w14:textId="77777777" w:rsidR="00DB53CA" w:rsidRPr="00DB53CA" w:rsidRDefault="00DB53CA" w:rsidP="00DB53CA">
      <w:pPr>
        <w:jc w:val="both"/>
        <w:rPr>
          <w:rFonts w:ascii="Times New Roman" w:hAnsi="Times New Roman" w:cs="Times New Roman"/>
          <w:sz w:val="24"/>
          <w:szCs w:val="24"/>
          <w:lang w:val="lv-LV"/>
        </w:rPr>
      </w:pPr>
      <w:r w:rsidRPr="00DB53CA">
        <w:rPr>
          <w:rFonts w:ascii="Times New Roman" w:hAnsi="Times New Roman" w:cs="Times New Roman"/>
          <w:sz w:val="24"/>
          <w:szCs w:val="24"/>
          <w:lang w:val="lv-LV"/>
        </w:rPr>
        <w:t>Piegādes ķēžu pārvaldība un izsekojamība; preces piegādes ceļa izsekojamība.</w:t>
      </w:r>
    </w:p>
    <w:p w14:paraId="7DC17703" w14:textId="77777777" w:rsidR="00554E64" w:rsidRPr="00DB53CA" w:rsidRDefault="00554E64" w:rsidP="00DB53CA">
      <w:pPr>
        <w:jc w:val="both"/>
        <w:rPr>
          <w:rFonts w:ascii="Times New Roman" w:hAnsi="Times New Roman" w:cs="Times New Roman"/>
          <w:sz w:val="24"/>
          <w:szCs w:val="24"/>
          <w:lang w:val="lv-LV"/>
        </w:rPr>
      </w:pPr>
    </w:p>
    <w:p w14:paraId="69B2C045" w14:textId="77777777" w:rsidR="00DB53CA" w:rsidRPr="00DB53CA" w:rsidRDefault="00DB53CA" w:rsidP="00DB53CA">
      <w:pPr>
        <w:pStyle w:val="ListParagraph"/>
        <w:widowControl w:val="0"/>
        <w:numPr>
          <w:ilvl w:val="0"/>
          <w:numId w:val="10"/>
        </w:numPr>
        <w:jc w:val="both"/>
        <w:rPr>
          <w:rFonts w:ascii="Times New Roman" w:hAnsi="Times New Roman" w:cs="Times New Roman"/>
          <w:b/>
          <w:sz w:val="24"/>
          <w:szCs w:val="24"/>
          <w:lang w:val="lv-LV"/>
        </w:rPr>
      </w:pPr>
      <w:r w:rsidRPr="00DB53CA">
        <w:rPr>
          <w:rFonts w:ascii="Times New Roman" w:hAnsi="Times New Roman" w:cs="Times New Roman"/>
          <w:b/>
          <w:sz w:val="24"/>
          <w:szCs w:val="24"/>
          <w:lang w:val="lv-LV"/>
        </w:rPr>
        <w:t>Identitātes un faktu reģistrācija</w:t>
      </w:r>
    </w:p>
    <w:p w14:paraId="0986F481" w14:textId="77777777" w:rsidR="00DB53CA" w:rsidRPr="00DB53CA" w:rsidRDefault="00DB53CA" w:rsidP="00DB53CA">
      <w:pPr>
        <w:jc w:val="both"/>
        <w:rPr>
          <w:rFonts w:ascii="Times New Roman" w:hAnsi="Times New Roman" w:cs="Times New Roman"/>
          <w:sz w:val="24"/>
          <w:szCs w:val="24"/>
          <w:lang w:val="lv-LV"/>
        </w:rPr>
      </w:pPr>
      <w:r w:rsidRPr="00DB53CA">
        <w:rPr>
          <w:rFonts w:ascii="Times New Roman" w:hAnsi="Times New Roman" w:cs="Times New Roman"/>
          <w:sz w:val="24"/>
          <w:szCs w:val="24"/>
          <w:lang w:val="lv-LV"/>
        </w:rPr>
        <w:t>Personas digitālā identitāte; objektu digitālā identitāte; dokumentu verifikācija; sertifikāti un apliecinājumi (piemēram, laulībai, dzimšanai, izglītības dokumentiem); transportlīdzekļu raksturlielumu un notikumu reģistrēšana/apliecināšana; nekustāmā īpašuma reģistrs (vismaz īpašumtiesību apliecināšana); autortiesību aizsargāšana.</w:t>
      </w:r>
    </w:p>
    <w:p w14:paraId="195EBFC0" w14:textId="77777777" w:rsidR="00DB53CA" w:rsidRPr="00DB53CA" w:rsidRDefault="00DB53CA" w:rsidP="00DB53CA">
      <w:pPr>
        <w:jc w:val="both"/>
        <w:rPr>
          <w:rFonts w:ascii="Times New Roman" w:hAnsi="Times New Roman" w:cs="Times New Roman"/>
          <w:sz w:val="24"/>
          <w:szCs w:val="24"/>
          <w:lang w:val="lv-LV"/>
        </w:rPr>
      </w:pPr>
    </w:p>
    <w:p w14:paraId="62EED5C8" w14:textId="77777777" w:rsidR="00DB53CA" w:rsidRPr="00DB53CA" w:rsidRDefault="00DB53CA" w:rsidP="00DB53CA">
      <w:pPr>
        <w:pStyle w:val="ListParagraph"/>
        <w:widowControl w:val="0"/>
        <w:numPr>
          <w:ilvl w:val="0"/>
          <w:numId w:val="10"/>
        </w:numPr>
        <w:jc w:val="both"/>
        <w:rPr>
          <w:rFonts w:ascii="Times New Roman" w:hAnsi="Times New Roman" w:cs="Times New Roman"/>
          <w:b/>
          <w:sz w:val="24"/>
          <w:szCs w:val="24"/>
          <w:lang w:val="lv-LV"/>
        </w:rPr>
      </w:pPr>
      <w:r w:rsidRPr="00DB53CA">
        <w:rPr>
          <w:rFonts w:ascii="Times New Roman" w:hAnsi="Times New Roman" w:cs="Times New Roman"/>
          <w:b/>
          <w:sz w:val="24"/>
          <w:szCs w:val="24"/>
          <w:lang w:val="lv-LV"/>
        </w:rPr>
        <w:t>Veselības aprūpe</w:t>
      </w:r>
    </w:p>
    <w:p w14:paraId="7F8C39DC" w14:textId="77777777" w:rsidR="00DB53CA" w:rsidRPr="00DB53CA" w:rsidRDefault="00DB53CA" w:rsidP="00DB53CA">
      <w:pPr>
        <w:jc w:val="both"/>
        <w:rPr>
          <w:rFonts w:ascii="Times New Roman" w:hAnsi="Times New Roman" w:cs="Times New Roman"/>
          <w:sz w:val="24"/>
          <w:szCs w:val="24"/>
          <w:lang w:val="lv-LV"/>
        </w:rPr>
      </w:pPr>
      <w:r w:rsidRPr="00DB53CA">
        <w:rPr>
          <w:rFonts w:ascii="Times New Roman" w:hAnsi="Times New Roman" w:cs="Times New Roman"/>
          <w:sz w:val="24"/>
          <w:szCs w:val="24"/>
          <w:lang w:val="lv-LV"/>
        </w:rPr>
        <w:t>Personu veselības datu datubāzes, veselības pakalpojumu sniedzēju datubāzes, darbošanās piekrišanu reģistrācija; droša informācijas apmaiņa starp ieinteresētajām pusēm.</w:t>
      </w:r>
    </w:p>
    <w:p w14:paraId="4194B5D1" w14:textId="77777777" w:rsidR="00DB53CA" w:rsidRPr="00DB53CA" w:rsidRDefault="00DB53CA" w:rsidP="00DB53CA">
      <w:pPr>
        <w:jc w:val="both"/>
        <w:rPr>
          <w:rFonts w:ascii="Times New Roman" w:hAnsi="Times New Roman" w:cs="Times New Roman"/>
          <w:sz w:val="24"/>
          <w:szCs w:val="24"/>
          <w:lang w:val="lv-LV"/>
        </w:rPr>
      </w:pPr>
    </w:p>
    <w:p w14:paraId="010FE760" w14:textId="77777777" w:rsidR="00DB53CA" w:rsidRPr="00DB53CA" w:rsidRDefault="00DB53CA" w:rsidP="00DB53CA">
      <w:pPr>
        <w:pStyle w:val="ListParagraph"/>
        <w:widowControl w:val="0"/>
        <w:numPr>
          <w:ilvl w:val="0"/>
          <w:numId w:val="10"/>
        </w:numPr>
        <w:jc w:val="both"/>
        <w:rPr>
          <w:rFonts w:ascii="Times New Roman" w:hAnsi="Times New Roman" w:cs="Times New Roman"/>
          <w:b/>
          <w:sz w:val="24"/>
          <w:szCs w:val="24"/>
          <w:lang w:val="lv-LV"/>
        </w:rPr>
      </w:pPr>
      <w:r w:rsidRPr="00DB53CA">
        <w:rPr>
          <w:rFonts w:ascii="Times New Roman" w:hAnsi="Times New Roman" w:cs="Times New Roman"/>
          <w:b/>
          <w:sz w:val="24"/>
          <w:szCs w:val="24"/>
          <w:lang w:val="lv-LV"/>
        </w:rPr>
        <w:t>Valsts pārvaldība</w:t>
      </w:r>
    </w:p>
    <w:p w14:paraId="5A2BF62F" w14:textId="77777777" w:rsidR="00DB53CA" w:rsidRPr="00DB53CA" w:rsidRDefault="00DB53CA" w:rsidP="00DB53CA">
      <w:pPr>
        <w:jc w:val="both"/>
        <w:rPr>
          <w:rFonts w:ascii="Times New Roman" w:hAnsi="Times New Roman" w:cs="Times New Roman"/>
          <w:sz w:val="24"/>
          <w:szCs w:val="24"/>
          <w:lang w:val="lv-LV"/>
        </w:rPr>
      </w:pPr>
      <w:r w:rsidRPr="00DB53CA">
        <w:rPr>
          <w:rFonts w:ascii="Times New Roman" w:hAnsi="Times New Roman" w:cs="Times New Roman"/>
          <w:sz w:val="24"/>
          <w:szCs w:val="24"/>
          <w:lang w:val="lv-LV"/>
        </w:rPr>
        <w:t>Vēlēšanu, referendumu un aptauju atbalsts; dokumentu un faktu apstiprināšana.</w:t>
      </w:r>
    </w:p>
    <w:p w14:paraId="04A34F1B" w14:textId="77777777" w:rsidR="003609BF" w:rsidRPr="00DB53CA" w:rsidRDefault="003609BF" w:rsidP="00DB53CA">
      <w:pPr>
        <w:jc w:val="both"/>
        <w:rPr>
          <w:rFonts w:ascii="Times New Roman" w:hAnsi="Times New Roman" w:cs="Times New Roman"/>
          <w:sz w:val="24"/>
          <w:szCs w:val="24"/>
          <w:lang w:val="lv-LV"/>
        </w:rPr>
      </w:pPr>
    </w:p>
    <w:p w14:paraId="348B784B" w14:textId="569D8054" w:rsidR="00DB53CA" w:rsidRPr="002E1BC8" w:rsidRDefault="00414142" w:rsidP="002E1BC8">
      <w:pPr>
        <w:ind w:firstLine="357"/>
        <w:rPr>
          <w:rFonts w:ascii="Times New Roman" w:hAnsi="Times New Roman" w:cs="Times New Roman"/>
          <w:b/>
          <w:i/>
          <w:sz w:val="24"/>
          <w:szCs w:val="24"/>
          <w:lang w:val="lv-LV"/>
        </w:rPr>
      </w:pPr>
      <w:r w:rsidRPr="002E1BC8">
        <w:rPr>
          <w:rFonts w:ascii="Times New Roman" w:hAnsi="Times New Roman" w:cs="Times New Roman"/>
          <w:b/>
          <w:i/>
          <w:sz w:val="24"/>
          <w:szCs w:val="24"/>
          <w:lang w:val="lv-LV"/>
        </w:rPr>
        <w:t>4</w:t>
      </w:r>
      <w:r w:rsidR="00DA7EE4" w:rsidRPr="002E1BC8">
        <w:rPr>
          <w:rFonts w:ascii="Times New Roman" w:hAnsi="Times New Roman" w:cs="Times New Roman"/>
          <w:b/>
          <w:i/>
          <w:sz w:val="24"/>
          <w:szCs w:val="24"/>
          <w:lang w:val="lv-LV"/>
        </w:rPr>
        <w:t xml:space="preserve">.5. </w:t>
      </w:r>
      <w:r w:rsidR="00DB53CA" w:rsidRPr="002E1BC8">
        <w:rPr>
          <w:rFonts w:ascii="Times New Roman" w:hAnsi="Times New Roman" w:cs="Times New Roman"/>
          <w:b/>
          <w:i/>
          <w:sz w:val="24"/>
          <w:szCs w:val="24"/>
          <w:lang w:val="lv-LV"/>
        </w:rPr>
        <w:t>Uz blokķēdes tehnoloģijas attīstību un izmantošanu vērstā Eiropas Savienības politika</w:t>
      </w:r>
    </w:p>
    <w:p w14:paraId="6592B05B" w14:textId="77777777" w:rsidR="00DB53CA" w:rsidRPr="00DB53CA" w:rsidRDefault="00DB53CA" w:rsidP="00DB53CA">
      <w:pPr>
        <w:jc w:val="both"/>
        <w:rPr>
          <w:rFonts w:ascii="Times New Roman" w:eastAsia="Times New Roman" w:hAnsi="Times New Roman" w:cs="Times New Roman"/>
          <w:sz w:val="24"/>
          <w:szCs w:val="24"/>
          <w:lang w:val="lv-LV"/>
        </w:rPr>
      </w:pPr>
    </w:p>
    <w:p w14:paraId="47848E77" w14:textId="77777777" w:rsidR="00DB53CA" w:rsidRPr="00DB53CA" w:rsidRDefault="00A07637" w:rsidP="00DB53CA">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DB53CA" w:rsidRPr="00DB53CA">
        <w:rPr>
          <w:rFonts w:ascii="Times New Roman" w:eastAsia="Times New Roman" w:hAnsi="Times New Roman" w:cs="Times New Roman"/>
          <w:sz w:val="24"/>
          <w:szCs w:val="24"/>
          <w:lang w:val="lv-LV"/>
        </w:rPr>
        <w:t xml:space="preserve">Būtisku atbalstu tehnoloģijas tālākai attīstībai un tās potenciāla izpētei valsts pakalpojumu sniegšanai sabiedrībai vēl labākā kvalitātē sniedz Eiropas Komisijas š.g. 8. martā publicētais </w:t>
      </w:r>
      <w:r w:rsidR="00DB53CA" w:rsidRPr="00DB53CA">
        <w:rPr>
          <w:rFonts w:ascii="Times New Roman" w:eastAsia="Times New Roman" w:hAnsi="Times New Roman" w:cs="Times New Roman"/>
          <w:i/>
          <w:sz w:val="24"/>
          <w:szCs w:val="24"/>
          <w:lang w:val="lv-LV"/>
        </w:rPr>
        <w:t>FinTech Action Plan</w:t>
      </w:r>
      <w:r w:rsidR="00DB53CA" w:rsidRPr="00DB53CA">
        <w:rPr>
          <w:rFonts w:ascii="Times New Roman" w:eastAsia="Times New Roman" w:hAnsi="Times New Roman" w:cs="Times New Roman"/>
          <w:sz w:val="24"/>
          <w:szCs w:val="24"/>
          <w:lang w:val="lv-LV"/>
        </w:rPr>
        <w:t xml:space="preserve">, kas t.sk. iekļauj darbību virzienu tehnoloģijas attīstībai, risinājumu standartizācijai, ciešai sadarbības ar privāto sektoru caur </w:t>
      </w:r>
      <w:r w:rsidR="00DB53CA" w:rsidRPr="00DB53CA">
        <w:rPr>
          <w:rFonts w:ascii="Times New Roman" w:eastAsia="Times New Roman" w:hAnsi="Times New Roman" w:cs="Times New Roman"/>
          <w:i/>
          <w:sz w:val="24"/>
          <w:szCs w:val="24"/>
          <w:lang w:val="lv-LV"/>
        </w:rPr>
        <w:t>EU Blockchain Observatory and Forum</w:t>
      </w:r>
      <w:r w:rsidR="00DB53CA" w:rsidRPr="00DB53CA">
        <w:rPr>
          <w:rFonts w:ascii="Times New Roman" w:eastAsia="Times New Roman" w:hAnsi="Times New Roman" w:cs="Times New Roman"/>
          <w:sz w:val="24"/>
          <w:szCs w:val="24"/>
          <w:lang w:val="lv-LV"/>
        </w:rPr>
        <w:t xml:space="preserve"> iniciatīvu.</w:t>
      </w:r>
    </w:p>
    <w:p w14:paraId="435A4B4A" w14:textId="28C6EE14" w:rsidR="00DB53CA" w:rsidRPr="00DB53CA" w:rsidRDefault="00A07637" w:rsidP="00DB53CA">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t>Šā gada</w:t>
      </w:r>
      <w:r w:rsidR="00DB53CA" w:rsidRPr="00DB53CA">
        <w:rPr>
          <w:rFonts w:ascii="Times New Roman" w:eastAsia="Times New Roman" w:hAnsi="Times New Roman" w:cs="Times New Roman"/>
          <w:sz w:val="24"/>
          <w:szCs w:val="24"/>
          <w:lang w:val="lv-LV"/>
        </w:rPr>
        <w:t xml:space="preserve"> 10. aprīlī Latvija kopā ar citā</w:t>
      </w:r>
      <w:r w:rsidR="004275B2">
        <w:rPr>
          <w:rFonts w:ascii="Times New Roman" w:eastAsia="Times New Roman" w:hAnsi="Times New Roman" w:cs="Times New Roman"/>
          <w:sz w:val="24"/>
          <w:szCs w:val="24"/>
          <w:lang w:val="lv-LV"/>
        </w:rPr>
        <w:t>m</w:t>
      </w:r>
      <w:r w:rsidR="00DB53CA" w:rsidRPr="00DB53CA">
        <w:rPr>
          <w:rFonts w:ascii="Times New Roman" w:eastAsia="Times New Roman" w:hAnsi="Times New Roman" w:cs="Times New Roman"/>
          <w:sz w:val="24"/>
          <w:szCs w:val="24"/>
          <w:lang w:val="lv-LV"/>
        </w:rPr>
        <w:t xml:space="preserve"> Eiropas Savienības dalībvalstīm ir parakstījusi deklarāciju par Eiropas partnerības izveidi blokķēdes tehnoloģijas izmantošanai, kas paredz kopīgu blokķēdes tehnoloģijas potenciāla izpēti valsts pakalpojumiem un šo pakalpojumu </w:t>
      </w:r>
      <w:r w:rsidR="00DB53CA" w:rsidRPr="00DB53CA">
        <w:rPr>
          <w:rFonts w:ascii="Times New Roman" w:eastAsia="Times New Roman" w:hAnsi="Times New Roman" w:cs="Times New Roman"/>
          <w:sz w:val="24"/>
          <w:szCs w:val="24"/>
          <w:lang w:val="lv-LV"/>
        </w:rPr>
        <w:lastRenderedPageBreak/>
        <w:t>sadarb</w:t>
      </w:r>
      <w:r w:rsidR="004275B2">
        <w:rPr>
          <w:rFonts w:ascii="Times New Roman" w:eastAsia="Times New Roman" w:hAnsi="Times New Roman" w:cs="Times New Roman"/>
          <w:sz w:val="24"/>
          <w:szCs w:val="24"/>
          <w:lang w:val="lv-LV"/>
        </w:rPr>
        <w:t xml:space="preserve">ības </w:t>
      </w:r>
      <w:r w:rsidR="00DB53CA" w:rsidRPr="00DB53CA">
        <w:rPr>
          <w:rFonts w:ascii="Times New Roman" w:eastAsia="Times New Roman" w:hAnsi="Times New Roman" w:cs="Times New Roman"/>
          <w:sz w:val="24"/>
          <w:szCs w:val="24"/>
          <w:lang w:val="lv-LV"/>
        </w:rPr>
        <w:t>spējai un harmonizācijai Eiropas līmenī. Latvijas līdzdarbošanās deklarācijas mērķu sasniegšanā ir Ekonomikas ministrijas kompetencē.</w:t>
      </w:r>
    </w:p>
    <w:p w14:paraId="2ECBDFE2" w14:textId="567A6BD1" w:rsidR="00554E64" w:rsidRDefault="00A07637" w:rsidP="0043663F">
      <w:pPr>
        <w:jc w:val="both"/>
        <w:rPr>
          <w:rFonts w:ascii="Times New Roman" w:eastAsia="Times New Roman" w:hAnsi="Times New Roman" w:cs="Times New Roman"/>
          <w:sz w:val="24"/>
          <w:szCs w:val="24"/>
          <w:lang w:val="lv-LV"/>
        </w:rPr>
      </w:pPr>
      <w:bookmarkStart w:id="6" w:name="_30j0zll"/>
      <w:bookmarkEnd w:id="6"/>
      <w:r>
        <w:rPr>
          <w:rFonts w:ascii="Times New Roman" w:eastAsia="Times New Roman" w:hAnsi="Times New Roman" w:cs="Times New Roman"/>
          <w:sz w:val="24"/>
          <w:szCs w:val="24"/>
          <w:lang w:val="lv-LV"/>
        </w:rPr>
        <w:tab/>
      </w:r>
      <w:r w:rsidR="00DB53CA" w:rsidRPr="00DB53CA">
        <w:rPr>
          <w:rFonts w:ascii="Times New Roman" w:eastAsia="Times New Roman" w:hAnsi="Times New Roman" w:cs="Times New Roman"/>
          <w:sz w:val="24"/>
          <w:szCs w:val="24"/>
          <w:lang w:val="lv-LV"/>
        </w:rPr>
        <w:t xml:space="preserve">Papildus jāatzīmē, ka sadalītās virsgrāmatas un blokķēdes tehnoloģijas izpēte, risinājumu izstrāde un testēšana šobrīd ir kļuvusi par pilnvērtīgu un progresīvu virzienu IT jomā. Daudzas valstis, cenšoties atbalstīt šī virziena attīstību un piesaistīt labākus tehnoloģijas ekspertus, attīsta nacionālo likumdošanu, veido dažādas stimulējošās akseleratora programmas un sadarbības platformas. Tehnoloģijai paredzama plaša pielietojamība globāli, tādējādi uz tehnoloģiju balstītie risinājumi un pakalpojumi izmantojami ne tikai nacionāli, bet arī globālā mērogā, tātad, eksportējami kā Latvijas produkti un pakalpojumi. </w:t>
      </w:r>
    </w:p>
    <w:p w14:paraId="7FF566EE" w14:textId="3EDC8199" w:rsidR="00DA7EE4" w:rsidRDefault="00DA7EE4" w:rsidP="00DA7EE4">
      <w:pPr>
        <w:jc w:val="both"/>
        <w:rPr>
          <w:rFonts w:ascii="Times New Roman" w:eastAsia="Times New Roman" w:hAnsi="Times New Roman" w:cs="Times New Roman"/>
          <w:sz w:val="24"/>
          <w:szCs w:val="24"/>
          <w:lang w:val="lv-LV"/>
        </w:rPr>
      </w:pPr>
    </w:p>
    <w:p w14:paraId="047AA5C9" w14:textId="7350FEBD" w:rsidR="00DB53CA" w:rsidRPr="008A3F17" w:rsidRDefault="00414142" w:rsidP="008A3F17">
      <w:pPr>
        <w:ind w:firstLine="357"/>
        <w:rPr>
          <w:rFonts w:ascii="Times New Roman" w:hAnsi="Times New Roman" w:cs="Times New Roman"/>
          <w:b/>
          <w:i/>
          <w:sz w:val="24"/>
          <w:szCs w:val="24"/>
          <w:lang w:val="lv-LV"/>
        </w:rPr>
      </w:pPr>
      <w:r w:rsidRPr="008A3F17">
        <w:rPr>
          <w:rFonts w:ascii="Times New Roman" w:hAnsi="Times New Roman" w:cs="Times New Roman"/>
          <w:b/>
          <w:i/>
          <w:sz w:val="24"/>
          <w:szCs w:val="24"/>
          <w:lang w:val="lv-LV"/>
        </w:rPr>
        <w:t>4</w:t>
      </w:r>
      <w:r w:rsidR="00DA7EE4" w:rsidRPr="008A3F17">
        <w:rPr>
          <w:rFonts w:ascii="Times New Roman" w:hAnsi="Times New Roman" w:cs="Times New Roman"/>
          <w:b/>
          <w:i/>
          <w:sz w:val="24"/>
          <w:szCs w:val="24"/>
          <w:lang w:val="lv-LV"/>
        </w:rPr>
        <w:t xml:space="preserve">.6. </w:t>
      </w:r>
      <w:r w:rsidR="00DB53CA" w:rsidRPr="008A3F17">
        <w:rPr>
          <w:rFonts w:ascii="Times New Roman" w:hAnsi="Times New Roman" w:cs="Times New Roman"/>
          <w:b/>
          <w:i/>
          <w:sz w:val="24"/>
          <w:szCs w:val="24"/>
          <w:lang w:val="lv-LV"/>
        </w:rPr>
        <w:t>Priekšlikumi tehnoloģijas attīstības un izmantošanas veicināšanai Latvijā</w:t>
      </w:r>
    </w:p>
    <w:p w14:paraId="7036C418" w14:textId="77777777" w:rsidR="00DB53CA" w:rsidRPr="00DB53CA" w:rsidRDefault="00DB53CA" w:rsidP="00DB53CA">
      <w:pPr>
        <w:jc w:val="both"/>
        <w:rPr>
          <w:rFonts w:ascii="Times New Roman" w:eastAsia="Times New Roman" w:hAnsi="Times New Roman" w:cs="Times New Roman"/>
          <w:b/>
          <w:sz w:val="24"/>
          <w:szCs w:val="24"/>
          <w:lang w:val="lv-LV"/>
        </w:rPr>
      </w:pPr>
    </w:p>
    <w:p w14:paraId="000DAFC7" w14:textId="6160B982" w:rsidR="00DB53CA" w:rsidRPr="00F9022C" w:rsidRDefault="00A07637" w:rsidP="00DB53CA">
      <w:pPr>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ab/>
      </w:r>
      <w:r w:rsidR="00D8037F">
        <w:rPr>
          <w:rFonts w:ascii="Times New Roman" w:eastAsia="Times New Roman" w:hAnsi="Times New Roman" w:cs="Times New Roman"/>
          <w:b/>
          <w:sz w:val="24"/>
          <w:szCs w:val="24"/>
          <w:lang w:val="lv-LV"/>
        </w:rPr>
        <w:t xml:space="preserve"> </w:t>
      </w:r>
      <w:r w:rsidR="00DB53CA" w:rsidRPr="00DB53CA">
        <w:rPr>
          <w:rFonts w:ascii="Times New Roman" w:eastAsia="Times New Roman" w:hAnsi="Times New Roman" w:cs="Times New Roman"/>
          <w:b/>
          <w:sz w:val="24"/>
          <w:szCs w:val="24"/>
          <w:lang w:val="lv-LV"/>
        </w:rPr>
        <w:t>Tehnoloģijas izmantošanas un attīstības veicināšanai</w:t>
      </w:r>
      <w:r w:rsidR="00DB53CA" w:rsidRPr="00DB53CA">
        <w:rPr>
          <w:rFonts w:ascii="Times New Roman" w:eastAsia="Times New Roman" w:hAnsi="Times New Roman" w:cs="Times New Roman"/>
          <w:sz w:val="24"/>
          <w:szCs w:val="24"/>
          <w:lang w:val="lv-LV"/>
        </w:rPr>
        <w:t xml:space="preserve"> ir būtiski iegūt </w:t>
      </w:r>
      <w:r w:rsidR="00DB53CA" w:rsidRPr="00DB53CA">
        <w:rPr>
          <w:rFonts w:ascii="Times New Roman" w:eastAsia="Times New Roman" w:hAnsi="Times New Roman" w:cs="Times New Roman"/>
          <w:b/>
          <w:sz w:val="24"/>
          <w:szCs w:val="24"/>
          <w:lang w:val="lv-LV"/>
        </w:rPr>
        <w:t>konsekventu redzējumu</w:t>
      </w:r>
      <w:r w:rsidR="00DB53CA" w:rsidRPr="00DB53CA">
        <w:rPr>
          <w:rFonts w:ascii="Times New Roman" w:eastAsia="Times New Roman" w:hAnsi="Times New Roman" w:cs="Times New Roman"/>
          <w:sz w:val="24"/>
          <w:szCs w:val="24"/>
          <w:lang w:val="lv-LV"/>
        </w:rPr>
        <w:t xml:space="preserve"> un </w:t>
      </w:r>
      <w:r w:rsidR="00DB53CA" w:rsidRPr="00DB53CA">
        <w:rPr>
          <w:rFonts w:ascii="Times New Roman" w:eastAsia="Times New Roman" w:hAnsi="Times New Roman" w:cs="Times New Roman"/>
          <w:b/>
          <w:sz w:val="24"/>
          <w:szCs w:val="24"/>
          <w:lang w:val="lv-LV"/>
        </w:rPr>
        <w:t>valsts stratēģiju</w:t>
      </w:r>
      <w:r w:rsidR="00DB53CA" w:rsidRPr="00DB53CA">
        <w:rPr>
          <w:rFonts w:ascii="Times New Roman" w:eastAsia="Times New Roman" w:hAnsi="Times New Roman" w:cs="Times New Roman"/>
          <w:sz w:val="24"/>
          <w:szCs w:val="24"/>
          <w:lang w:val="lv-LV"/>
        </w:rPr>
        <w:t xml:space="preserve">, progresīvi </w:t>
      </w:r>
      <w:r w:rsidR="00DB53CA" w:rsidRPr="00DB53CA">
        <w:rPr>
          <w:rFonts w:ascii="Times New Roman" w:eastAsia="Times New Roman" w:hAnsi="Times New Roman" w:cs="Times New Roman"/>
          <w:b/>
          <w:sz w:val="24"/>
          <w:szCs w:val="24"/>
          <w:lang w:val="lv-LV"/>
        </w:rPr>
        <w:t>jāveido specializētais ietvars</w:t>
      </w:r>
      <w:r w:rsidR="00DB53CA" w:rsidRPr="00DB53CA">
        <w:rPr>
          <w:rFonts w:ascii="Times New Roman" w:eastAsia="Times New Roman" w:hAnsi="Times New Roman" w:cs="Times New Roman"/>
          <w:sz w:val="24"/>
          <w:szCs w:val="24"/>
          <w:lang w:val="lv-LV"/>
        </w:rPr>
        <w:t xml:space="preserve"> uz kura pamata blokķēdē </w:t>
      </w:r>
      <w:r w:rsidR="00DB53CA" w:rsidRPr="00DB53CA">
        <w:rPr>
          <w:rFonts w:ascii="Times New Roman" w:eastAsia="Times New Roman" w:hAnsi="Times New Roman" w:cs="Times New Roman"/>
          <w:b/>
          <w:sz w:val="24"/>
          <w:szCs w:val="24"/>
          <w:lang w:val="lv-LV"/>
        </w:rPr>
        <w:t>reģistrētie darījumi tiktu atzīti par leģitīmiem</w:t>
      </w:r>
      <w:r w:rsidR="00DB53CA" w:rsidRPr="00DB53CA">
        <w:rPr>
          <w:rFonts w:ascii="Times New Roman" w:eastAsia="Times New Roman" w:hAnsi="Times New Roman" w:cs="Times New Roman"/>
          <w:sz w:val="24"/>
          <w:szCs w:val="24"/>
          <w:lang w:val="lv-LV"/>
        </w:rPr>
        <w:t xml:space="preserve">. </w:t>
      </w:r>
      <w:r w:rsidR="00DB53CA" w:rsidRPr="00DB53CA">
        <w:rPr>
          <w:rFonts w:ascii="Times New Roman" w:eastAsia="Times New Roman" w:hAnsi="Times New Roman" w:cs="Times New Roman"/>
          <w:b/>
          <w:sz w:val="24"/>
          <w:szCs w:val="24"/>
          <w:lang w:val="lv-LV"/>
        </w:rPr>
        <w:t>Jāstimulē IT uzņēmumu izstrādes</w:t>
      </w:r>
      <w:r w:rsidR="00DB53CA" w:rsidRPr="00DB53CA">
        <w:rPr>
          <w:rFonts w:ascii="Times New Roman" w:eastAsia="Times New Roman" w:hAnsi="Times New Roman" w:cs="Times New Roman"/>
          <w:sz w:val="24"/>
          <w:szCs w:val="24"/>
          <w:lang w:val="lv-LV"/>
        </w:rPr>
        <w:t xml:space="preserve"> šajā jomā, tomēr vienlaicīgi </w:t>
      </w:r>
      <w:r w:rsidR="00DB53CA" w:rsidRPr="00DB53CA">
        <w:rPr>
          <w:rFonts w:ascii="Times New Roman" w:eastAsia="Times New Roman" w:hAnsi="Times New Roman" w:cs="Times New Roman"/>
          <w:b/>
          <w:sz w:val="24"/>
          <w:szCs w:val="24"/>
          <w:lang w:val="lv-LV"/>
        </w:rPr>
        <w:t>jāmazina iestāžu un banku</w:t>
      </w:r>
      <w:r w:rsidR="00DB53CA" w:rsidRPr="00DB53CA">
        <w:rPr>
          <w:rFonts w:ascii="Times New Roman" w:eastAsia="Times New Roman" w:hAnsi="Times New Roman" w:cs="Times New Roman"/>
          <w:sz w:val="24"/>
          <w:szCs w:val="24"/>
          <w:lang w:val="lv-LV"/>
        </w:rPr>
        <w:t xml:space="preserve"> bieži vien </w:t>
      </w:r>
      <w:r w:rsidR="00DB53CA" w:rsidRPr="00DB53CA">
        <w:rPr>
          <w:rFonts w:ascii="Times New Roman" w:eastAsia="Times New Roman" w:hAnsi="Times New Roman" w:cs="Times New Roman"/>
          <w:b/>
          <w:sz w:val="24"/>
          <w:szCs w:val="24"/>
          <w:lang w:val="lv-LV"/>
        </w:rPr>
        <w:t>nekorekta</w:t>
      </w:r>
      <w:r w:rsidR="00DB53CA" w:rsidRPr="00DB53CA">
        <w:rPr>
          <w:rFonts w:ascii="Times New Roman" w:eastAsia="Times New Roman" w:hAnsi="Times New Roman" w:cs="Times New Roman"/>
          <w:sz w:val="24"/>
          <w:szCs w:val="24"/>
          <w:lang w:val="lv-LV"/>
        </w:rPr>
        <w:t xml:space="preserve"> </w:t>
      </w:r>
      <w:r w:rsidR="00DB53CA" w:rsidRPr="00DB53CA">
        <w:rPr>
          <w:rFonts w:ascii="Times New Roman" w:eastAsia="Times New Roman" w:hAnsi="Times New Roman" w:cs="Times New Roman"/>
          <w:b/>
          <w:sz w:val="24"/>
          <w:szCs w:val="24"/>
          <w:lang w:val="lv-LV"/>
        </w:rPr>
        <w:t>šī</w:t>
      </w:r>
      <w:r w:rsidR="00DB53CA" w:rsidRPr="00DB53CA">
        <w:rPr>
          <w:rFonts w:ascii="Times New Roman" w:eastAsia="Times New Roman" w:hAnsi="Times New Roman" w:cs="Times New Roman"/>
          <w:sz w:val="24"/>
          <w:szCs w:val="24"/>
          <w:lang w:val="lv-LV"/>
        </w:rPr>
        <w:t xml:space="preserve"> </w:t>
      </w:r>
      <w:r w:rsidR="00DB53CA" w:rsidRPr="00DB53CA">
        <w:rPr>
          <w:rFonts w:ascii="Times New Roman" w:eastAsia="Times New Roman" w:hAnsi="Times New Roman" w:cs="Times New Roman"/>
          <w:b/>
          <w:sz w:val="24"/>
          <w:szCs w:val="24"/>
          <w:lang w:val="lv-LV"/>
        </w:rPr>
        <w:t>IT virziena sasaiste ar virtuālajām valūtām</w:t>
      </w:r>
      <w:r w:rsidR="00DB53CA" w:rsidRPr="00DB53CA">
        <w:rPr>
          <w:rFonts w:ascii="Times New Roman" w:eastAsia="Times New Roman" w:hAnsi="Times New Roman" w:cs="Times New Roman"/>
          <w:sz w:val="24"/>
          <w:szCs w:val="24"/>
          <w:lang w:val="lv-LV"/>
        </w:rPr>
        <w:t xml:space="preserve"> un nepamatota ierobežošana. </w:t>
      </w:r>
      <w:r w:rsidR="00DB53CA" w:rsidRPr="00F9022C">
        <w:rPr>
          <w:rFonts w:ascii="Times New Roman" w:eastAsia="Times New Roman" w:hAnsi="Times New Roman" w:cs="Times New Roman"/>
          <w:b/>
          <w:sz w:val="24"/>
          <w:szCs w:val="24"/>
          <w:lang w:val="lv-LV"/>
        </w:rPr>
        <w:t>Lai izvērtētu tehnoloģijas potenciālu uzlabot valsts pārvaldes pakalpojumu efektivitāti un drošību, veicināt tehnoloģijas izmantošanu privātajā sektorā, identificēt barjeras un sagatavot priekšlikumus pasākumiem tehnoloģijas atbalstam</w:t>
      </w:r>
      <w:r w:rsidR="005F7AB3" w:rsidRPr="00F9022C">
        <w:rPr>
          <w:rFonts w:ascii="Times New Roman" w:eastAsia="Times New Roman" w:hAnsi="Times New Roman" w:cs="Times New Roman"/>
          <w:b/>
          <w:sz w:val="24"/>
          <w:szCs w:val="24"/>
          <w:lang w:val="lv-LV"/>
        </w:rPr>
        <w:t>,</w:t>
      </w:r>
      <w:r w:rsidR="00DB53CA" w:rsidRPr="00F9022C">
        <w:rPr>
          <w:rFonts w:ascii="Times New Roman" w:eastAsia="Times New Roman" w:hAnsi="Times New Roman" w:cs="Times New Roman"/>
          <w:b/>
          <w:sz w:val="24"/>
          <w:szCs w:val="24"/>
          <w:lang w:val="lv-LV"/>
        </w:rPr>
        <w:t xml:space="preserve"> </w:t>
      </w:r>
      <w:r w:rsidR="005F7AB3" w:rsidRPr="00F9022C">
        <w:rPr>
          <w:rFonts w:ascii="Times New Roman" w:eastAsia="Times New Roman" w:hAnsi="Times New Roman" w:cs="Times New Roman"/>
          <w:b/>
          <w:sz w:val="24"/>
          <w:szCs w:val="24"/>
          <w:lang w:val="lv-LV"/>
        </w:rPr>
        <w:t>izveidot</w:t>
      </w:r>
      <w:r w:rsidR="00DB53CA" w:rsidRPr="00F9022C">
        <w:rPr>
          <w:rFonts w:ascii="Times New Roman" w:eastAsia="Times New Roman" w:hAnsi="Times New Roman" w:cs="Times New Roman"/>
          <w:b/>
          <w:sz w:val="24"/>
          <w:szCs w:val="24"/>
          <w:lang w:val="lv-LV"/>
        </w:rPr>
        <w:t xml:space="preserve"> ekspertu darba grup</w:t>
      </w:r>
      <w:r w:rsidR="009D4B90" w:rsidRPr="00F9022C">
        <w:rPr>
          <w:rFonts w:ascii="Times New Roman" w:eastAsia="Times New Roman" w:hAnsi="Times New Roman" w:cs="Times New Roman"/>
          <w:b/>
          <w:sz w:val="24"/>
          <w:szCs w:val="24"/>
          <w:lang w:val="lv-LV"/>
        </w:rPr>
        <w:t>u</w:t>
      </w:r>
      <w:r w:rsidR="00DB53CA" w:rsidRPr="00F9022C">
        <w:rPr>
          <w:rFonts w:ascii="Times New Roman" w:eastAsia="Times New Roman" w:hAnsi="Times New Roman" w:cs="Times New Roman"/>
          <w:b/>
          <w:sz w:val="24"/>
          <w:szCs w:val="24"/>
          <w:lang w:val="lv-LV"/>
        </w:rPr>
        <w:t xml:space="preserve"> Ekonomikas ministrijas vadībā</w:t>
      </w:r>
      <w:r w:rsidR="005F7AB3" w:rsidRPr="00F9022C">
        <w:rPr>
          <w:rFonts w:ascii="Times New Roman" w:eastAsia="Times New Roman" w:hAnsi="Times New Roman" w:cs="Times New Roman"/>
          <w:b/>
          <w:sz w:val="24"/>
          <w:szCs w:val="24"/>
          <w:lang w:val="lv-LV"/>
        </w:rPr>
        <w:t>.</w:t>
      </w:r>
      <w:r w:rsidR="00DB53CA" w:rsidRPr="00F9022C">
        <w:rPr>
          <w:rFonts w:ascii="Times New Roman" w:eastAsia="Times New Roman" w:hAnsi="Times New Roman" w:cs="Times New Roman"/>
          <w:b/>
          <w:sz w:val="24"/>
          <w:szCs w:val="24"/>
          <w:lang w:val="lv-LV"/>
        </w:rPr>
        <w:t xml:space="preserve"> Darba grupas viens no uzdevumiem būtu padziļināti izvērtēt iepriekšminētos jautājumus un sagatavot priekšlikumus efektīvai un drošai tehnoloģijas izmantošanai valsts pārvaldē un privātajā sektorā. </w:t>
      </w:r>
    </w:p>
    <w:p w14:paraId="000F8673" w14:textId="2E5D32B2" w:rsidR="005F7AB3" w:rsidRDefault="005F7AB3" w:rsidP="00DB53CA">
      <w:pPr>
        <w:jc w:val="both"/>
        <w:rPr>
          <w:rFonts w:ascii="Times New Roman" w:eastAsia="Times New Roman" w:hAnsi="Times New Roman" w:cs="Times New Roman"/>
          <w:b/>
          <w:sz w:val="24"/>
          <w:szCs w:val="24"/>
          <w:u w:val="single"/>
          <w:lang w:val="lv-LV"/>
        </w:rPr>
      </w:pPr>
    </w:p>
    <w:p w14:paraId="6EA59EC0" w14:textId="63C57B7A" w:rsidR="005F7AB3" w:rsidRDefault="005F7AB3" w:rsidP="00DB53CA">
      <w:pPr>
        <w:jc w:val="both"/>
        <w:rPr>
          <w:rFonts w:ascii="Times New Roman" w:eastAsia="Times New Roman" w:hAnsi="Times New Roman" w:cs="Times New Roman"/>
          <w:sz w:val="24"/>
          <w:szCs w:val="24"/>
          <w:lang w:val="lv-LV"/>
        </w:rPr>
      </w:pPr>
    </w:p>
    <w:p w14:paraId="52C8A82C" w14:textId="74D758CD" w:rsidR="00441794" w:rsidRPr="005F7AB3" w:rsidRDefault="00441794" w:rsidP="00DB53CA">
      <w:pPr>
        <w:jc w:val="both"/>
        <w:rPr>
          <w:rFonts w:ascii="Times New Roman" w:eastAsia="Times New Roman" w:hAnsi="Times New Roman" w:cs="Times New Roman"/>
          <w:sz w:val="24"/>
          <w:szCs w:val="24"/>
          <w:lang w:val="lv-LV"/>
        </w:rPr>
      </w:pPr>
    </w:p>
    <w:p w14:paraId="77900B66" w14:textId="04C487C6" w:rsidR="00167F4E" w:rsidRDefault="009233C1" w:rsidP="00CF59E2">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Finanšu ministr</w:t>
      </w:r>
      <w:r w:rsidR="00F8423C">
        <w:rPr>
          <w:rFonts w:ascii="Times New Roman" w:eastAsia="Times New Roman" w:hAnsi="Times New Roman" w:cs="Times New Roman"/>
          <w:sz w:val="24"/>
          <w:szCs w:val="24"/>
          <w:lang w:val="lv-LV"/>
        </w:rPr>
        <w:t>a</w:t>
      </w:r>
      <w:r w:rsidR="00827A2C">
        <w:rPr>
          <w:rFonts w:ascii="Times New Roman" w:eastAsia="Times New Roman" w:hAnsi="Times New Roman" w:cs="Times New Roman"/>
          <w:sz w:val="24"/>
          <w:szCs w:val="24"/>
          <w:lang w:val="lv-LV"/>
        </w:rPr>
        <w:t xml:space="preserve"> </w:t>
      </w:r>
      <w:r w:rsidR="00361BDA">
        <w:rPr>
          <w:rFonts w:ascii="Times New Roman" w:eastAsia="Times New Roman" w:hAnsi="Times New Roman" w:cs="Times New Roman"/>
          <w:sz w:val="24"/>
          <w:szCs w:val="24"/>
          <w:lang w:val="lv-LV"/>
        </w:rPr>
        <w:t>vietā</w:t>
      </w:r>
      <w:r w:rsidR="00F8423C">
        <w:rPr>
          <w:rFonts w:ascii="Times New Roman" w:eastAsia="Times New Roman" w:hAnsi="Times New Roman" w:cs="Times New Roman"/>
          <w:sz w:val="24"/>
          <w:szCs w:val="24"/>
          <w:lang w:val="lv-LV"/>
        </w:rPr>
        <w:t xml:space="preserve"> </w:t>
      </w:r>
      <w:r w:rsidR="00167F4E">
        <w:rPr>
          <w:rFonts w:ascii="Times New Roman" w:eastAsia="Times New Roman" w:hAnsi="Times New Roman" w:cs="Times New Roman"/>
          <w:sz w:val="24"/>
          <w:szCs w:val="24"/>
          <w:lang w:val="lv-LV"/>
        </w:rPr>
        <w:t>–</w:t>
      </w:r>
      <w:r w:rsidR="00F8423C">
        <w:rPr>
          <w:rFonts w:ascii="Times New Roman" w:eastAsia="Times New Roman" w:hAnsi="Times New Roman" w:cs="Times New Roman"/>
          <w:sz w:val="24"/>
          <w:szCs w:val="24"/>
          <w:lang w:val="lv-LV"/>
        </w:rPr>
        <w:t xml:space="preserve"> </w:t>
      </w:r>
    </w:p>
    <w:p w14:paraId="578DF7F0" w14:textId="56DC933E" w:rsidR="00BA01A6" w:rsidRPr="00CF59E2" w:rsidRDefault="00A4760F" w:rsidP="00CF59E2">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w:t>
      </w:r>
      <w:r w:rsidR="00827A2C">
        <w:rPr>
          <w:rFonts w:ascii="Times New Roman" w:eastAsia="Times New Roman" w:hAnsi="Times New Roman" w:cs="Times New Roman"/>
          <w:sz w:val="24"/>
          <w:szCs w:val="24"/>
          <w:lang w:val="lv-LV"/>
        </w:rPr>
        <w:t>atiksmes ministrs</w:t>
      </w:r>
      <w:r w:rsidR="005F7AB3">
        <w:rPr>
          <w:rFonts w:ascii="Times New Roman" w:eastAsia="Times New Roman" w:hAnsi="Times New Roman" w:cs="Times New Roman"/>
          <w:sz w:val="24"/>
          <w:szCs w:val="24"/>
          <w:lang w:val="lv-LV"/>
        </w:rPr>
        <w:tab/>
      </w:r>
      <w:r w:rsidR="00490368">
        <w:rPr>
          <w:rFonts w:ascii="Times New Roman" w:eastAsia="Times New Roman" w:hAnsi="Times New Roman" w:cs="Times New Roman"/>
          <w:sz w:val="24"/>
          <w:szCs w:val="24"/>
          <w:lang w:val="lv-LV"/>
        </w:rPr>
        <w:t xml:space="preserve"> </w:t>
      </w:r>
      <w:r w:rsidR="005F7AB3">
        <w:rPr>
          <w:rFonts w:ascii="Times New Roman" w:eastAsia="Times New Roman" w:hAnsi="Times New Roman" w:cs="Times New Roman"/>
          <w:sz w:val="24"/>
          <w:szCs w:val="24"/>
          <w:lang w:val="lv-LV"/>
        </w:rPr>
        <w:tab/>
      </w:r>
      <w:r w:rsidR="005F7AB3">
        <w:rPr>
          <w:rFonts w:ascii="Times New Roman" w:eastAsia="Times New Roman" w:hAnsi="Times New Roman" w:cs="Times New Roman"/>
          <w:sz w:val="24"/>
          <w:szCs w:val="24"/>
          <w:lang w:val="lv-LV"/>
        </w:rPr>
        <w:tab/>
      </w:r>
      <w:r w:rsidR="005F7AB3">
        <w:rPr>
          <w:rFonts w:ascii="Times New Roman" w:eastAsia="Times New Roman" w:hAnsi="Times New Roman" w:cs="Times New Roman"/>
          <w:sz w:val="24"/>
          <w:szCs w:val="24"/>
          <w:lang w:val="lv-LV"/>
        </w:rPr>
        <w:tab/>
      </w:r>
      <w:r w:rsidR="00F9022C">
        <w:rPr>
          <w:rFonts w:ascii="Times New Roman" w:eastAsia="Times New Roman" w:hAnsi="Times New Roman" w:cs="Times New Roman"/>
          <w:sz w:val="24"/>
          <w:szCs w:val="24"/>
          <w:lang w:val="lv-LV"/>
        </w:rPr>
        <w:t xml:space="preserve">  </w:t>
      </w:r>
      <w:r w:rsidR="00167F4E">
        <w:rPr>
          <w:rFonts w:ascii="Times New Roman" w:eastAsia="Times New Roman" w:hAnsi="Times New Roman" w:cs="Times New Roman"/>
          <w:sz w:val="24"/>
          <w:szCs w:val="24"/>
          <w:lang w:val="lv-LV"/>
        </w:rPr>
        <w:tab/>
      </w:r>
      <w:r w:rsidR="00167F4E">
        <w:rPr>
          <w:rFonts w:ascii="Times New Roman" w:eastAsia="Times New Roman" w:hAnsi="Times New Roman" w:cs="Times New Roman"/>
          <w:sz w:val="24"/>
          <w:szCs w:val="24"/>
          <w:lang w:val="lv-LV"/>
        </w:rPr>
        <w:tab/>
      </w:r>
      <w:r w:rsidR="00167F4E">
        <w:rPr>
          <w:rFonts w:ascii="Times New Roman" w:eastAsia="Times New Roman" w:hAnsi="Times New Roman" w:cs="Times New Roman"/>
          <w:sz w:val="24"/>
          <w:szCs w:val="24"/>
          <w:lang w:val="lv-LV"/>
        </w:rPr>
        <w:tab/>
      </w:r>
      <w:r w:rsidR="00167F4E">
        <w:rPr>
          <w:rFonts w:ascii="Times New Roman" w:eastAsia="Times New Roman" w:hAnsi="Times New Roman" w:cs="Times New Roman"/>
          <w:sz w:val="24"/>
          <w:szCs w:val="24"/>
          <w:lang w:val="lv-LV"/>
        </w:rPr>
        <w:tab/>
      </w:r>
      <w:r w:rsidR="00F9022C">
        <w:rPr>
          <w:rFonts w:ascii="Times New Roman" w:eastAsia="Times New Roman" w:hAnsi="Times New Roman" w:cs="Times New Roman"/>
          <w:sz w:val="24"/>
          <w:szCs w:val="24"/>
          <w:lang w:val="lv-LV"/>
        </w:rPr>
        <w:t xml:space="preserve">  </w:t>
      </w:r>
      <w:r w:rsidR="00827A2C">
        <w:rPr>
          <w:rFonts w:ascii="Times New Roman" w:eastAsia="Times New Roman" w:hAnsi="Times New Roman" w:cs="Times New Roman"/>
          <w:sz w:val="24"/>
          <w:szCs w:val="24"/>
          <w:lang w:val="lv-LV"/>
        </w:rPr>
        <w:t>U</w:t>
      </w:r>
      <w:r w:rsidR="005F7AB3">
        <w:rPr>
          <w:rFonts w:ascii="Times New Roman" w:eastAsia="Times New Roman" w:hAnsi="Times New Roman" w:cs="Times New Roman"/>
          <w:sz w:val="24"/>
          <w:szCs w:val="24"/>
          <w:lang w:val="lv-LV"/>
        </w:rPr>
        <w:t>.</w:t>
      </w:r>
      <w:r w:rsidR="00827A2C">
        <w:rPr>
          <w:rFonts w:ascii="Times New Roman" w:eastAsia="Times New Roman" w:hAnsi="Times New Roman" w:cs="Times New Roman"/>
          <w:sz w:val="24"/>
          <w:szCs w:val="24"/>
          <w:lang w:val="lv-LV"/>
        </w:rPr>
        <w:t>Augulis</w:t>
      </w:r>
    </w:p>
    <w:sectPr w:rsidR="00BA01A6" w:rsidRPr="00CF59E2" w:rsidSect="003C7620">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024CD" w14:textId="77777777" w:rsidR="00547CBC" w:rsidRDefault="00547CBC" w:rsidP="00110F60">
      <w:r>
        <w:separator/>
      </w:r>
    </w:p>
  </w:endnote>
  <w:endnote w:type="continuationSeparator" w:id="0">
    <w:p w14:paraId="19673BC6" w14:textId="77777777" w:rsidR="00547CBC" w:rsidRDefault="00547CBC" w:rsidP="0011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Cond">
    <w:altName w:val="Times New Roman"/>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7069" w14:textId="0D05EA57" w:rsidR="00110F60" w:rsidRPr="00110F60" w:rsidRDefault="00FF654F" w:rsidP="00110F60">
    <w:pPr>
      <w:jc w:val="both"/>
      <w:rPr>
        <w:rFonts w:ascii="Times New Roman" w:hAnsi="Times New Roman" w:cs="Times New Roman"/>
        <w:sz w:val="20"/>
        <w:szCs w:val="20"/>
        <w:lang w:val="lv-LV"/>
      </w:rPr>
    </w:pPr>
    <w:r>
      <w:rPr>
        <w:rFonts w:ascii="Times New Roman" w:hAnsi="Times New Roman" w:cs="Times New Roman"/>
        <w:sz w:val="20"/>
        <w:szCs w:val="20"/>
      </w:rPr>
      <w:t>FMz</w:t>
    </w:r>
    <w:r w:rsidR="00110F60" w:rsidRPr="00110F60">
      <w:rPr>
        <w:rFonts w:ascii="Times New Roman" w:hAnsi="Times New Roman" w:cs="Times New Roman"/>
        <w:sz w:val="20"/>
        <w:szCs w:val="20"/>
      </w:rPr>
      <w:t>in_</w:t>
    </w:r>
    <w:r w:rsidR="007C4C23">
      <w:rPr>
        <w:rFonts w:ascii="Times New Roman" w:hAnsi="Times New Roman" w:cs="Times New Roman"/>
        <w:sz w:val="20"/>
        <w:szCs w:val="20"/>
      </w:rPr>
      <w:t>2</w:t>
    </w:r>
    <w:r w:rsidR="00931AB9">
      <w:rPr>
        <w:rFonts w:ascii="Times New Roman" w:hAnsi="Times New Roman" w:cs="Times New Roman"/>
        <w:sz w:val="20"/>
        <w:szCs w:val="20"/>
      </w:rPr>
      <w:t>5</w:t>
    </w:r>
    <w:r w:rsidR="00EC61CD">
      <w:rPr>
        <w:rFonts w:ascii="Times New Roman" w:hAnsi="Times New Roman" w:cs="Times New Roman"/>
        <w:sz w:val="20"/>
        <w:szCs w:val="20"/>
      </w:rPr>
      <w:t>07</w:t>
    </w:r>
    <w:r w:rsidR="00110F60" w:rsidRPr="00110F60">
      <w:rPr>
        <w:rFonts w:ascii="Times New Roman" w:hAnsi="Times New Roman" w:cs="Times New Roman"/>
        <w:sz w:val="20"/>
        <w:szCs w:val="20"/>
      </w:rPr>
      <w:t>18_</w:t>
    </w:r>
    <w:r w:rsidR="00931AB9">
      <w:rPr>
        <w:rFonts w:ascii="Times New Roman" w:hAnsi="Times New Roman" w:cs="Times New Roman"/>
        <w:sz w:val="20"/>
        <w:szCs w:val="20"/>
      </w:rPr>
      <w:t>VV</w:t>
    </w:r>
  </w:p>
  <w:p w14:paraId="1A4747EF" w14:textId="77777777" w:rsidR="00110F60" w:rsidRDefault="00110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D34E" w14:textId="0A47E2E0" w:rsidR="004474C7" w:rsidRPr="004474C7" w:rsidRDefault="004474C7" w:rsidP="004474C7">
    <w:pPr>
      <w:jc w:val="both"/>
      <w:rPr>
        <w:rFonts w:ascii="Times New Roman" w:hAnsi="Times New Roman" w:cs="Times New Roman"/>
        <w:sz w:val="20"/>
        <w:szCs w:val="20"/>
        <w:lang w:val="lv-LV"/>
      </w:rPr>
    </w:pPr>
    <w:r>
      <w:rPr>
        <w:rFonts w:ascii="Times New Roman" w:hAnsi="Times New Roman" w:cs="Times New Roman"/>
        <w:sz w:val="20"/>
        <w:szCs w:val="20"/>
      </w:rPr>
      <w:t>FMz</w:t>
    </w:r>
    <w:r w:rsidRPr="00110F60">
      <w:rPr>
        <w:rFonts w:ascii="Times New Roman" w:hAnsi="Times New Roman" w:cs="Times New Roman"/>
        <w:sz w:val="20"/>
        <w:szCs w:val="20"/>
      </w:rPr>
      <w:t>in_</w:t>
    </w:r>
    <w:r>
      <w:rPr>
        <w:rFonts w:ascii="Times New Roman" w:hAnsi="Times New Roman" w:cs="Times New Roman"/>
        <w:sz w:val="20"/>
        <w:szCs w:val="20"/>
      </w:rPr>
      <w:t>2507</w:t>
    </w:r>
    <w:r w:rsidRPr="00110F60">
      <w:rPr>
        <w:rFonts w:ascii="Times New Roman" w:hAnsi="Times New Roman" w:cs="Times New Roman"/>
        <w:sz w:val="20"/>
        <w:szCs w:val="20"/>
      </w:rPr>
      <w:t>18_</w:t>
    </w:r>
    <w:r>
      <w:rPr>
        <w:rFonts w:ascii="Times New Roman" w:hAnsi="Times New Roman" w:cs="Times New Roman"/>
        <w:sz w:val="20"/>
        <w:szCs w:val="20"/>
      </w:rPr>
      <w:t>VV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459C2" w14:textId="77777777" w:rsidR="00547CBC" w:rsidRDefault="00547CBC" w:rsidP="00110F60">
      <w:r>
        <w:separator/>
      </w:r>
    </w:p>
  </w:footnote>
  <w:footnote w:type="continuationSeparator" w:id="0">
    <w:p w14:paraId="697D52C2" w14:textId="77777777" w:rsidR="00547CBC" w:rsidRDefault="00547CBC" w:rsidP="00110F60">
      <w:r>
        <w:continuationSeparator/>
      </w:r>
    </w:p>
  </w:footnote>
  <w:footnote w:id="1">
    <w:p w14:paraId="6C2BB300" w14:textId="4C9EEE19" w:rsidR="001710C3" w:rsidRPr="00AF5A52" w:rsidRDefault="001710C3">
      <w:pPr>
        <w:pStyle w:val="FootnoteText"/>
        <w:rPr>
          <w:lang w:val="lv-LV"/>
        </w:rPr>
      </w:pPr>
      <w:r>
        <w:rPr>
          <w:rStyle w:val="FootnoteReference"/>
        </w:rPr>
        <w:footnoteRef/>
      </w:r>
      <w:r>
        <w:t xml:space="preserve"> </w:t>
      </w:r>
      <w:hyperlink r:id="rId1" w:history="1">
        <w:r w:rsidRPr="00633986">
          <w:rPr>
            <w:rStyle w:val="Hyperlink"/>
            <w:rFonts w:ascii="Times New Roman" w:hAnsi="Times New Roman" w:cs="Times New Roman"/>
            <w:color w:val="auto"/>
            <w:u w:val="none"/>
          </w:rPr>
          <w:t>https://www.reuters.com/article/us-g20-argentina-bitcoin/g20-agrees-to-monitor-cryptocurrencies-but-no-action-yet-idUSKBN1GW2IO</w:t>
        </w:r>
      </w:hyperlink>
      <w:r w:rsidRPr="007C4C23">
        <w:t xml:space="preserve"> </w:t>
      </w:r>
    </w:p>
  </w:footnote>
  <w:footnote w:id="2">
    <w:p w14:paraId="5CB29ECB" w14:textId="64B5636C" w:rsidR="00496916" w:rsidRPr="00F9022C" w:rsidRDefault="00496916" w:rsidP="00496916">
      <w:pPr>
        <w:pStyle w:val="FootnoteText"/>
        <w:rPr>
          <w:rFonts w:ascii="Times New Roman" w:hAnsi="Times New Roman" w:cs="Times New Roman"/>
          <w:lang w:val="lv-LV"/>
        </w:rPr>
      </w:pPr>
      <w:r w:rsidRPr="00F9022C">
        <w:rPr>
          <w:rStyle w:val="FootnoteReference"/>
          <w:rFonts w:ascii="Times New Roman" w:hAnsi="Times New Roman" w:cs="Times New Roman"/>
          <w:lang w:val="lv-LV"/>
        </w:rPr>
        <w:footnoteRef/>
      </w:r>
      <w:r w:rsidRPr="00F9022C">
        <w:rPr>
          <w:rFonts w:ascii="Times New Roman" w:hAnsi="Times New Roman" w:cs="Times New Roman"/>
          <w:lang w:val="lv-LV"/>
        </w:rPr>
        <w:t xml:space="preserve"> Fiziskajai personai </w:t>
      </w:r>
      <w:r w:rsidR="00554E64" w:rsidRPr="00F9022C">
        <w:rPr>
          <w:rFonts w:ascii="Times New Roman" w:hAnsi="Times New Roman" w:cs="Times New Roman"/>
          <w:lang w:val="lv-LV"/>
        </w:rPr>
        <w:t>jāuzliek pienākums atklāt, ja Kontroles dienests</w:t>
      </w:r>
      <w:r w:rsidRPr="00F9022C">
        <w:rPr>
          <w:rFonts w:ascii="Times New Roman" w:hAnsi="Times New Roman" w:cs="Times New Roman"/>
          <w:lang w:val="lv-LV"/>
        </w:rPr>
        <w:t xml:space="preserve"> prasa. </w:t>
      </w:r>
    </w:p>
  </w:footnote>
  <w:footnote w:id="3">
    <w:p w14:paraId="4B82B52D" w14:textId="77777777" w:rsidR="00496916" w:rsidRPr="00C11160" w:rsidRDefault="00496916" w:rsidP="00496916">
      <w:pPr>
        <w:pStyle w:val="FootnoteText"/>
        <w:rPr>
          <w:rFonts w:ascii="Book Antiqua" w:hAnsi="Book Antiqua"/>
          <w:sz w:val="18"/>
          <w:szCs w:val="18"/>
        </w:rPr>
      </w:pPr>
      <w:r w:rsidRPr="00F9022C">
        <w:rPr>
          <w:rStyle w:val="FootnoteReference"/>
          <w:rFonts w:ascii="Times New Roman" w:hAnsi="Times New Roman" w:cs="Times New Roman"/>
          <w:lang w:val="lv-LV"/>
        </w:rPr>
        <w:footnoteRef/>
      </w:r>
      <w:r w:rsidRPr="00F9022C">
        <w:rPr>
          <w:rFonts w:ascii="Times New Roman" w:hAnsi="Times New Roman" w:cs="Times New Roman"/>
          <w:lang w:val="lv-LV"/>
        </w:rPr>
        <w:t xml:space="preserve"> Maku deklarēšana būs jāparedz, iespējams, pat vairākos likumos.</w:t>
      </w:r>
    </w:p>
  </w:footnote>
  <w:footnote w:id="4">
    <w:p w14:paraId="02E2B4FD" w14:textId="2C151891" w:rsidR="00070E37" w:rsidRPr="00F9022C" w:rsidRDefault="00070E37" w:rsidP="00070E37">
      <w:pPr>
        <w:pStyle w:val="FootnoteText"/>
        <w:rPr>
          <w:rFonts w:ascii="Times New Roman" w:hAnsi="Times New Roman" w:cs="Times New Roman"/>
        </w:rPr>
      </w:pPr>
      <w:r w:rsidRPr="00F9022C">
        <w:rPr>
          <w:rStyle w:val="FootnoteReference"/>
          <w:rFonts w:ascii="Times New Roman" w:hAnsi="Times New Roman" w:cs="Times New Roman"/>
        </w:rPr>
        <w:footnoteRef/>
      </w:r>
      <w:r w:rsidRPr="00F9022C">
        <w:rPr>
          <w:rFonts w:ascii="Times New Roman" w:hAnsi="Times New Roman" w:cs="Times New Roman"/>
        </w:rPr>
        <w:t xml:space="preserve"> </w:t>
      </w:r>
      <w:r w:rsidR="007C4C23" w:rsidRPr="00F9022C">
        <w:rPr>
          <w:rFonts w:ascii="Times New Roman" w:hAnsi="Times New Roman" w:cs="Times New Roman"/>
        </w:rPr>
        <w:t>S</w:t>
      </w:r>
      <w:r w:rsidRPr="00F9022C">
        <w:rPr>
          <w:rFonts w:ascii="Times New Roman" w:hAnsi="Times New Roman" w:cs="Times New Roman"/>
        </w:rPr>
        <w:t>k</w:t>
      </w:r>
      <w:r w:rsidR="007C4C23" w:rsidRPr="00F9022C">
        <w:rPr>
          <w:rFonts w:ascii="Times New Roman" w:hAnsi="Times New Roman" w:cs="Times New Roman"/>
        </w:rPr>
        <w:t>atīt</w:t>
      </w:r>
      <w:r w:rsidRPr="00F9022C">
        <w:rPr>
          <w:rFonts w:ascii="Times New Roman" w:hAnsi="Times New Roman" w:cs="Times New Roman"/>
        </w:rPr>
        <w:t xml:space="preserve"> https://www.lka.org.lv/wp-content/uploads/2017/12/LKA_politika_LV</w:t>
      </w:r>
      <w:r w:rsidR="007D608D" w:rsidRPr="00F9022C">
        <w:rPr>
          <w:rFonts w:ascii="Times New Roman" w:hAnsi="Times New Roman" w:cs="Times New Roman"/>
        </w:rPr>
        <w:t>-2.pdf 31. punktu.</w:t>
      </w:r>
    </w:p>
  </w:footnote>
  <w:footnote w:id="5">
    <w:p w14:paraId="1FCD1921" w14:textId="06020C7A" w:rsidR="00ED2A25" w:rsidRPr="00633986" w:rsidRDefault="00ED2A25" w:rsidP="00ED2A25">
      <w:pPr>
        <w:rPr>
          <w:rFonts w:ascii="Times New Roman" w:eastAsia="Calibri" w:hAnsi="Times New Roman" w:cs="Times New Roman"/>
          <w:color w:val="000000" w:themeColor="text1"/>
          <w:sz w:val="20"/>
          <w:szCs w:val="20"/>
          <w:lang w:val="lv-LV"/>
        </w:rPr>
      </w:pPr>
      <w:r w:rsidRPr="00BE28B1">
        <w:rPr>
          <w:rStyle w:val="FootnoteReference"/>
        </w:rPr>
        <w:footnoteRef/>
      </w:r>
      <w:r w:rsidRPr="00BE28B1">
        <w:rPr>
          <w:rFonts w:ascii="Times New Roman" w:eastAsia="Calibri" w:hAnsi="Times New Roman" w:cs="Times New Roman"/>
          <w:color w:val="000000" w:themeColor="text1"/>
          <w:sz w:val="20"/>
          <w:szCs w:val="20"/>
          <w:lang w:val="lv-LV"/>
        </w:rPr>
        <w:t xml:space="preserve"> </w:t>
      </w:r>
      <w:hyperlink r:id="rId2" w:history="1">
        <w:r w:rsidRPr="00633986">
          <w:rPr>
            <w:rFonts w:ascii="Times New Roman" w:eastAsia="Calibri" w:hAnsi="Times New Roman" w:cs="Times New Roman"/>
            <w:color w:val="000000" w:themeColor="text1"/>
            <w:sz w:val="20"/>
            <w:szCs w:val="20"/>
            <w:lang w:val="lv-LV"/>
          </w:rPr>
          <w:t>https://www.asb.or.jp/en/wp-content/uploads/2018-0315_2_e.pdf</w:t>
        </w:r>
      </w:hyperlink>
    </w:p>
  </w:footnote>
  <w:footnote w:id="6">
    <w:p w14:paraId="1A49D8E3" w14:textId="14732E41" w:rsidR="00ED2A25" w:rsidRPr="00224FF8" w:rsidRDefault="00ED2A25" w:rsidP="00ED2A25">
      <w:pPr>
        <w:rPr>
          <w:rFonts w:ascii="Times New Roman" w:eastAsia="Calibri" w:hAnsi="Times New Roman" w:cs="Times New Roman"/>
          <w:lang w:val="lv-LV"/>
        </w:rPr>
      </w:pPr>
      <w:r w:rsidRPr="00633986">
        <w:rPr>
          <w:rStyle w:val="FootnoteReference"/>
          <w:rFonts w:ascii="Times New Roman" w:hAnsi="Times New Roman" w:cs="Times New Roman"/>
          <w:color w:val="000000" w:themeColor="text1"/>
          <w:sz w:val="20"/>
          <w:szCs w:val="20"/>
        </w:rPr>
        <w:footnoteRef/>
      </w:r>
      <w:r w:rsidRPr="00633986">
        <w:rPr>
          <w:rFonts w:ascii="Times New Roman" w:hAnsi="Times New Roman" w:cs="Times New Roman"/>
          <w:color w:val="000000" w:themeColor="text1"/>
          <w:sz w:val="20"/>
          <w:szCs w:val="20"/>
        </w:rPr>
        <w:t xml:space="preserve"> </w:t>
      </w:r>
      <w:hyperlink r:id="rId3" w:history="1">
        <w:r w:rsidR="00556E4E" w:rsidRPr="00757AE1">
          <w:rPr>
            <w:rFonts w:eastAsia="Calibri"/>
            <w:color w:val="000000" w:themeColor="text1"/>
            <w:sz w:val="20"/>
            <w:szCs w:val="20"/>
            <w:lang w:val="lv-LV"/>
          </w:rPr>
          <w:t>http://www.avnt.lt/assets/Veiklos-sritys/Apskaita/VAS/Euras-ir-kriptovaliuta/2018-06-07-Cryptocurrencies-accounting-guidance.pdf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30797"/>
      <w:docPartObj>
        <w:docPartGallery w:val="Page Numbers (Top of Page)"/>
        <w:docPartUnique/>
      </w:docPartObj>
    </w:sdtPr>
    <w:sdtEndPr>
      <w:rPr>
        <w:noProof/>
      </w:rPr>
    </w:sdtEndPr>
    <w:sdtContent>
      <w:p w14:paraId="66F04304" w14:textId="5063EABD" w:rsidR="00DD7F30" w:rsidRDefault="00DD7F30">
        <w:pPr>
          <w:pStyle w:val="Header"/>
          <w:jc w:val="center"/>
        </w:pPr>
        <w:r>
          <w:fldChar w:fldCharType="begin"/>
        </w:r>
        <w:r>
          <w:instrText xml:space="preserve"> PAGE   \* MERGEFORMAT </w:instrText>
        </w:r>
        <w:r>
          <w:fldChar w:fldCharType="separate"/>
        </w:r>
        <w:r w:rsidR="002C7689">
          <w:rPr>
            <w:noProof/>
          </w:rPr>
          <w:t>2</w:t>
        </w:r>
        <w:r>
          <w:rPr>
            <w:noProof/>
          </w:rPr>
          <w:fldChar w:fldCharType="end"/>
        </w:r>
      </w:p>
    </w:sdtContent>
  </w:sdt>
  <w:p w14:paraId="2A47DC5A" w14:textId="77777777" w:rsidR="00DD7F30" w:rsidRDefault="00DD7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536"/>
    <w:multiLevelType w:val="hybridMultilevel"/>
    <w:tmpl w:val="26E238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2F63A9"/>
    <w:multiLevelType w:val="hybridMultilevel"/>
    <w:tmpl w:val="37C85A14"/>
    <w:lvl w:ilvl="0" w:tplc="326600EA">
      <w:start w:val="1"/>
      <w:numFmt w:val="bullet"/>
      <w:lvlText w:val="•"/>
      <w:lvlJc w:val="left"/>
      <w:pPr>
        <w:tabs>
          <w:tab w:val="num" w:pos="720"/>
        </w:tabs>
        <w:ind w:left="720" w:hanging="360"/>
      </w:pPr>
      <w:rPr>
        <w:rFonts w:ascii="Myriad Pro Cond" w:hAnsi="Myriad Pro Cond" w:hint="default"/>
      </w:rPr>
    </w:lvl>
    <w:lvl w:ilvl="1" w:tplc="5E7A02EA" w:tentative="1">
      <w:start w:val="1"/>
      <w:numFmt w:val="bullet"/>
      <w:lvlText w:val="•"/>
      <w:lvlJc w:val="left"/>
      <w:pPr>
        <w:tabs>
          <w:tab w:val="num" w:pos="1440"/>
        </w:tabs>
        <w:ind w:left="1440" w:hanging="360"/>
      </w:pPr>
      <w:rPr>
        <w:rFonts w:ascii="Myriad Pro Cond" w:hAnsi="Myriad Pro Cond" w:hint="default"/>
      </w:rPr>
    </w:lvl>
    <w:lvl w:ilvl="2" w:tplc="46EEA89A" w:tentative="1">
      <w:start w:val="1"/>
      <w:numFmt w:val="bullet"/>
      <w:lvlText w:val="•"/>
      <w:lvlJc w:val="left"/>
      <w:pPr>
        <w:tabs>
          <w:tab w:val="num" w:pos="2160"/>
        </w:tabs>
        <w:ind w:left="2160" w:hanging="360"/>
      </w:pPr>
      <w:rPr>
        <w:rFonts w:ascii="Myriad Pro Cond" w:hAnsi="Myriad Pro Cond" w:hint="default"/>
      </w:rPr>
    </w:lvl>
    <w:lvl w:ilvl="3" w:tplc="B622C294" w:tentative="1">
      <w:start w:val="1"/>
      <w:numFmt w:val="bullet"/>
      <w:lvlText w:val="•"/>
      <w:lvlJc w:val="left"/>
      <w:pPr>
        <w:tabs>
          <w:tab w:val="num" w:pos="2880"/>
        </w:tabs>
        <w:ind w:left="2880" w:hanging="360"/>
      </w:pPr>
      <w:rPr>
        <w:rFonts w:ascii="Myriad Pro Cond" w:hAnsi="Myriad Pro Cond" w:hint="default"/>
      </w:rPr>
    </w:lvl>
    <w:lvl w:ilvl="4" w:tplc="4D0E8A7C" w:tentative="1">
      <w:start w:val="1"/>
      <w:numFmt w:val="bullet"/>
      <w:lvlText w:val="•"/>
      <w:lvlJc w:val="left"/>
      <w:pPr>
        <w:tabs>
          <w:tab w:val="num" w:pos="3600"/>
        </w:tabs>
        <w:ind w:left="3600" w:hanging="360"/>
      </w:pPr>
      <w:rPr>
        <w:rFonts w:ascii="Myriad Pro Cond" w:hAnsi="Myriad Pro Cond" w:hint="default"/>
      </w:rPr>
    </w:lvl>
    <w:lvl w:ilvl="5" w:tplc="3A5427E8" w:tentative="1">
      <w:start w:val="1"/>
      <w:numFmt w:val="bullet"/>
      <w:lvlText w:val="•"/>
      <w:lvlJc w:val="left"/>
      <w:pPr>
        <w:tabs>
          <w:tab w:val="num" w:pos="4320"/>
        </w:tabs>
        <w:ind w:left="4320" w:hanging="360"/>
      </w:pPr>
      <w:rPr>
        <w:rFonts w:ascii="Myriad Pro Cond" w:hAnsi="Myriad Pro Cond" w:hint="default"/>
      </w:rPr>
    </w:lvl>
    <w:lvl w:ilvl="6" w:tplc="6714FC42" w:tentative="1">
      <w:start w:val="1"/>
      <w:numFmt w:val="bullet"/>
      <w:lvlText w:val="•"/>
      <w:lvlJc w:val="left"/>
      <w:pPr>
        <w:tabs>
          <w:tab w:val="num" w:pos="5040"/>
        </w:tabs>
        <w:ind w:left="5040" w:hanging="360"/>
      </w:pPr>
      <w:rPr>
        <w:rFonts w:ascii="Myriad Pro Cond" w:hAnsi="Myriad Pro Cond" w:hint="default"/>
      </w:rPr>
    </w:lvl>
    <w:lvl w:ilvl="7" w:tplc="1190171A" w:tentative="1">
      <w:start w:val="1"/>
      <w:numFmt w:val="bullet"/>
      <w:lvlText w:val="•"/>
      <w:lvlJc w:val="left"/>
      <w:pPr>
        <w:tabs>
          <w:tab w:val="num" w:pos="5760"/>
        </w:tabs>
        <w:ind w:left="5760" w:hanging="360"/>
      </w:pPr>
      <w:rPr>
        <w:rFonts w:ascii="Myriad Pro Cond" w:hAnsi="Myriad Pro Cond" w:hint="default"/>
      </w:rPr>
    </w:lvl>
    <w:lvl w:ilvl="8" w:tplc="82928740" w:tentative="1">
      <w:start w:val="1"/>
      <w:numFmt w:val="bullet"/>
      <w:lvlText w:val="•"/>
      <w:lvlJc w:val="left"/>
      <w:pPr>
        <w:tabs>
          <w:tab w:val="num" w:pos="6480"/>
        </w:tabs>
        <w:ind w:left="6480" w:hanging="360"/>
      </w:pPr>
      <w:rPr>
        <w:rFonts w:ascii="Myriad Pro Cond" w:hAnsi="Myriad Pro Cond" w:hint="default"/>
      </w:rPr>
    </w:lvl>
  </w:abstractNum>
  <w:abstractNum w:abstractNumId="2" w15:restartNumberingAfterBreak="0">
    <w:nsid w:val="085E4195"/>
    <w:multiLevelType w:val="hybridMultilevel"/>
    <w:tmpl w:val="BE2E83F4"/>
    <w:lvl w:ilvl="0" w:tplc="1F8EE7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A2408E"/>
    <w:multiLevelType w:val="hybridMultilevel"/>
    <w:tmpl w:val="9D9033E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FDA41D8"/>
    <w:multiLevelType w:val="hybridMultilevel"/>
    <w:tmpl w:val="91201DA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B8045A8"/>
    <w:multiLevelType w:val="hybridMultilevel"/>
    <w:tmpl w:val="7EA28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996A31"/>
    <w:multiLevelType w:val="hybridMultilevel"/>
    <w:tmpl w:val="C760684A"/>
    <w:lvl w:ilvl="0" w:tplc="4C2EDD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1B66179"/>
    <w:multiLevelType w:val="multilevel"/>
    <w:tmpl w:val="6BD648FA"/>
    <w:lvl w:ilvl="0">
      <w:start w:val="1"/>
      <w:numFmt w:val="bullet"/>
      <w:lvlText w:val="▪"/>
      <w:lvlJc w:val="left"/>
      <w:pPr>
        <w:ind w:left="720" w:hanging="360"/>
      </w:pPr>
      <w:rPr>
        <w:rFonts w:ascii="Noto Sans Symbols" w:hAnsi="Noto Sans Symbols" w:cs="Noto Sans Symbol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32F81BB5"/>
    <w:multiLevelType w:val="hybridMultilevel"/>
    <w:tmpl w:val="F3F80AD2"/>
    <w:lvl w:ilvl="0" w:tplc="2788D5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7834C75"/>
    <w:multiLevelType w:val="hybridMultilevel"/>
    <w:tmpl w:val="AB9C0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28274F"/>
    <w:multiLevelType w:val="hybridMultilevel"/>
    <w:tmpl w:val="9432D8FC"/>
    <w:lvl w:ilvl="0" w:tplc="C69A984C">
      <w:start w:val="1"/>
      <w:numFmt w:val="bullet"/>
      <w:lvlText w:val="•"/>
      <w:lvlJc w:val="left"/>
      <w:pPr>
        <w:tabs>
          <w:tab w:val="num" w:pos="720"/>
        </w:tabs>
        <w:ind w:left="720" w:hanging="360"/>
      </w:pPr>
      <w:rPr>
        <w:rFonts w:ascii="Myriad Pro Cond" w:hAnsi="Myriad Pro Cond" w:hint="default"/>
      </w:rPr>
    </w:lvl>
    <w:lvl w:ilvl="1" w:tplc="42DA1914" w:tentative="1">
      <w:start w:val="1"/>
      <w:numFmt w:val="bullet"/>
      <w:lvlText w:val="•"/>
      <w:lvlJc w:val="left"/>
      <w:pPr>
        <w:tabs>
          <w:tab w:val="num" w:pos="1440"/>
        </w:tabs>
        <w:ind w:left="1440" w:hanging="360"/>
      </w:pPr>
      <w:rPr>
        <w:rFonts w:ascii="Myriad Pro Cond" w:hAnsi="Myriad Pro Cond" w:hint="default"/>
      </w:rPr>
    </w:lvl>
    <w:lvl w:ilvl="2" w:tplc="95D6DB76" w:tentative="1">
      <w:start w:val="1"/>
      <w:numFmt w:val="bullet"/>
      <w:lvlText w:val="•"/>
      <w:lvlJc w:val="left"/>
      <w:pPr>
        <w:tabs>
          <w:tab w:val="num" w:pos="2160"/>
        </w:tabs>
        <w:ind w:left="2160" w:hanging="360"/>
      </w:pPr>
      <w:rPr>
        <w:rFonts w:ascii="Myriad Pro Cond" w:hAnsi="Myriad Pro Cond" w:hint="default"/>
      </w:rPr>
    </w:lvl>
    <w:lvl w:ilvl="3" w:tplc="D748A574" w:tentative="1">
      <w:start w:val="1"/>
      <w:numFmt w:val="bullet"/>
      <w:lvlText w:val="•"/>
      <w:lvlJc w:val="left"/>
      <w:pPr>
        <w:tabs>
          <w:tab w:val="num" w:pos="2880"/>
        </w:tabs>
        <w:ind w:left="2880" w:hanging="360"/>
      </w:pPr>
      <w:rPr>
        <w:rFonts w:ascii="Myriad Pro Cond" w:hAnsi="Myriad Pro Cond" w:hint="default"/>
      </w:rPr>
    </w:lvl>
    <w:lvl w:ilvl="4" w:tplc="C4D00072" w:tentative="1">
      <w:start w:val="1"/>
      <w:numFmt w:val="bullet"/>
      <w:lvlText w:val="•"/>
      <w:lvlJc w:val="left"/>
      <w:pPr>
        <w:tabs>
          <w:tab w:val="num" w:pos="3600"/>
        </w:tabs>
        <w:ind w:left="3600" w:hanging="360"/>
      </w:pPr>
      <w:rPr>
        <w:rFonts w:ascii="Myriad Pro Cond" w:hAnsi="Myriad Pro Cond" w:hint="default"/>
      </w:rPr>
    </w:lvl>
    <w:lvl w:ilvl="5" w:tplc="5E6CBDDA" w:tentative="1">
      <w:start w:val="1"/>
      <w:numFmt w:val="bullet"/>
      <w:lvlText w:val="•"/>
      <w:lvlJc w:val="left"/>
      <w:pPr>
        <w:tabs>
          <w:tab w:val="num" w:pos="4320"/>
        </w:tabs>
        <w:ind w:left="4320" w:hanging="360"/>
      </w:pPr>
      <w:rPr>
        <w:rFonts w:ascii="Myriad Pro Cond" w:hAnsi="Myriad Pro Cond" w:hint="default"/>
      </w:rPr>
    </w:lvl>
    <w:lvl w:ilvl="6" w:tplc="DC346CC8" w:tentative="1">
      <w:start w:val="1"/>
      <w:numFmt w:val="bullet"/>
      <w:lvlText w:val="•"/>
      <w:lvlJc w:val="left"/>
      <w:pPr>
        <w:tabs>
          <w:tab w:val="num" w:pos="5040"/>
        </w:tabs>
        <w:ind w:left="5040" w:hanging="360"/>
      </w:pPr>
      <w:rPr>
        <w:rFonts w:ascii="Myriad Pro Cond" w:hAnsi="Myriad Pro Cond" w:hint="default"/>
      </w:rPr>
    </w:lvl>
    <w:lvl w:ilvl="7" w:tplc="9CDE870A" w:tentative="1">
      <w:start w:val="1"/>
      <w:numFmt w:val="bullet"/>
      <w:lvlText w:val="•"/>
      <w:lvlJc w:val="left"/>
      <w:pPr>
        <w:tabs>
          <w:tab w:val="num" w:pos="5760"/>
        </w:tabs>
        <w:ind w:left="5760" w:hanging="360"/>
      </w:pPr>
      <w:rPr>
        <w:rFonts w:ascii="Myriad Pro Cond" w:hAnsi="Myriad Pro Cond" w:hint="default"/>
      </w:rPr>
    </w:lvl>
    <w:lvl w:ilvl="8" w:tplc="06C2B1AC" w:tentative="1">
      <w:start w:val="1"/>
      <w:numFmt w:val="bullet"/>
      <w:lvlText w:val="•"/>
      <w:lvlJc w:val="left"/>
      <w:pPr>
        <w:tabs>
          <w:tab w:val="num" w:pos="6480"/>
        </w:tabs>
        <w:ind w:left="6480" w:hanging="360"/>
      </w:pPr>
      <w:rPr>
        <w:rFonts w:ascii="Myriad Pro Cond" w:hAnsi="Myriad Pro Cond" w:hint="default"/>
      </w:rPr>
    </w:lvl>
  </w:abstractNum>
  <w:abstractNum w:abstractNumId="11" w15:restartNumberingAfterBreak="0">
    <w:nsid w:val="3F666806"/>
    <w:multiLevelType w:val="hybridMultilevel"/>
    <w:tmpl w:val="464EAEDC"/>
    <w:lvl w:ilvl="0" w:tplc="F738AF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5725994"/>
    <w:multiLevelType w:val="hybridMultilevel"/>
    <w:tmpl w:val="8F6804A2"/>
    <w:lvl w:ilvl="0" w:tplc="04260005">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32D22D0"/>
    <w:multiLevelType w:val="hybridMultilevel"/>
    <w:tmpl w:val="8B6E819A"/>
    <w:lvl w:ilvl="0" w:tplc="5198BB3C">
      <w:start w:val="1"/>
      <w:numFmt w:val="decimal"/>
      <w:lvlText w:val="%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435640"/>
    <w:multiLevelType w:val="hybridMultilevel"/>
    <w:tmpl w:val="A8BCAAD8"/>
    <w:lvl w:ilvl="0" w:tplc="F36882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0D21394"/>
    <w:multiLevelType w:val="hybridMultilevel"/>
    <w:tmpl w:val="268A09F8"/>
    <w:lvl w:ilvl="0" w:tplc="EBB076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71B215D"/>
    <w:multiLevelType w:val="hybridMultilevel"/>
    <w:tmpl w:val="CDC0C5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8C45413"/>
    <w:multiLevelType w:val="hybridMultilevel"/>
    <w:tmpl w:val="3FC038A8"/>
    <w:lvl w:ilvl="0" w:tplc="DB62F6D2">
      <w:start w:val="1"/>
      <w:numFmt w:val="bullet"/>
      <w:lvlText w:val="•"/>
      <w:lvlJc w:val="left"/>
      <w:pPr>
        <w:tabs>
          <w:tab w:val="num" w:pos="720"/>
        </w:tabs>
        <w:ind w:left="720" w:hanging="360"/>
      </w:pPr>
      <w:rPr>
        <w:rFonts w:ascii="Arial" w:hAnsi="Arial" w:hint="default"/>
      </w:rPr>
    </w:lvl>
    <w:lvl w:ilvl="1" w:tplc="5B2E8ABC" w:tentative="1">
      <w:start w:val="1"/>
      <w:numFmt w:val="bullet"/>
      <w:lvlText w:val="•"/>
      <w:lvlJc w:val="left"/>
      <w:pPr>
        <w:tabs>
          <w:tab w:val="num" w:pos="1440"/>
        </w:tabs>
        <w:ind w:left="1440" w:hanging="360"/>
      </w:pPr>
      <w:rPr>
        <w:rFonts w:ascii="Arial" w:hAnsi="Arial" w:hint="default"/>
      </w:rPr>
    </w:lvl>
    <w:lvl w:ilvl="2" w:tplc="BF78E802" w:tentative="1">
      <w:start w:val="1"/>
      <w:numFmt w:val="bullet"/>
      <w:lvlText w:val="•"/>
      <w:lvlJc w:val="left"/>
      <w:pPr>
        <w:tabs>
          <w:tab w:val="num" w:pos="2160"/>
        </w:tabs>
        <w:ind w:left="2160" w:hanging="360"/>
      </w:pPr>
      <w:rPr>
        <w:rFonts w:ascii="Arial" w:hAnsi="Arial" w:hint="default"/>
      </w:rPr>
    </w:lvl>
    <w:lvl w:ilvl="3" w:tplc="4692D6D8" w:tentative="1">
      <w:start w:val="1"/>
      <w:numFmt w:val="bullet"/>
      <w:lvlText w:val="•"/>
      <w:lvlJc w:val="left"/>
      <w:pPr>
        <w:tabs>
          <w:tab w:val="num" w:pos="2880"/>
        </w:tabs>
        <w:ind w:left="2880" w:hanging="360"/>
      </w:pPr>
      <w:rPr>
        <w:rFonts w:ascii="Arial" w:hAnsi="Arial" w:hint="default"/>
      </w:rPr>
    </w:lvl>
    <w:lvl w:ilvl="4" w:tplc="CE1474E2" w:tentative="1">
      <w:start w:val="1"/>
      <w:numFmt w:val="bullet"/>
      <w:lvlText w:val="•"/>
      <w:lvlJc w:val="left"/>
      <w:pPr>
        <w:tabs>
          <w:tab w:val="num" w:pos="3600"/>
        </w:tabs>
        <w:ind w:left="3600" w:hanging="360"/>
      </w:pPr>
      <w:rPr>
        <w:rFonts w:ascii="Arial" w:hAnsi="Arial" w:hint="default"/>
      </w:rPr>
    </w:lvl>
    <w:lvl w:ilvl="5" w:tplc="669A939A" w:tentative="1">
      <w:start w:val="1"/>
      <w:numFmt w:val="bullet"/>
      <w:lvlText w:val="•"/>
      <w:lvlJc w:val="left"/>
      <w:pPr>
        <w:tabs>
          <w:tab w:val="num" w:pos="4320"/>
        </w:tabs>
        <w:ind w:left="4320" w:hanging="360"/>
      </w:pPr>
      <w:rPr>
        <w:rFonts w:ascii="Arial" w:hAnsi="Arial" w:hint="default"/>
      </w:rPr>
    </w:lvl>
    <w:lvl w:ilvl="6" w:tplc="E7A8B762" w:tentative="1">
      <w:start w:val="1"/>
      <w:numFmt w:val="bullet"/>
      <w:lvlText w:val="•"/>
      <w:lvlJc w:val="left"/>
      <w:pPr>
        <w:tabs>
          <w:tab w:val="num" w:pos="5040"/>
        </w:tabs>
        <w:ind w:left="5040" w:hanging="360"/>
      </w:pPr>
      <w:rPr>
        <w:rFonts w:ascii="Arial" w:hAnsi="Arial" w:hint="default"/>
      </w:rPr>
    </w:lvl>
    <w:lvl w:ilvl="7" w:tplc="CD16733C" w:tentative="1">
      <w:start w:val="1"/>
      <w:numFmt w:val="bullet"/>
      <w:lvlText w:val="•"/>
      <w:lvlJc w:val="left"/>
      <w:pPr>
        <w:tabs>
          <w:tab w:val="num" w:pos="5760"/>
        </w:tabs>
        <w:ind w:left="5760" w:hanging="360"/>
      </w:pPr>
      <w:rPr>
        <w:rFonts w:ascii="Arial" w:hAnsi="Arial" w:hint="default"/>
      </w:rPr>
    </w:lvl>
    <w:lvl w:ilvl="8" w:tplc="2EDAA7A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2"/>
  </w:num>
  <w:num w:numId="3">
    <w:abstractNumId w:val="17"/>
  </w:num>
  <w:num w:numId="4">
    <w:abstractNumId w:val="10"/>
  </w:num>
  <w:num w:numId="5">
    <w:abstractNumId w:val="1"/>
  </w:num>
  <w:num w:numId="6">
    <w:abstractNumId w:val="3"/>
  </w:num>
  <w:num w:numId="7">
    <w:abstractNumId w:val="15"/>
  </w:num>
  <w:num w:numId="8">
    <w:abstractNumId w:val="14"/>
  </w:num>
  <w:num w:numId="9">
    <w:abstractNumId w:val="7"/>
  </w:num>
  <w:num w:numId="10">
    <w:abstractNumId w:val="16"/>
  </w:num>
  <w:num w:numId="11">
    <w:abstractNumId w:val="6"/>
  </w:num>
  <w:num w:numId="12">
    <w:abstractNumId w:val="5"/>
  </w:num>
  <w:num w:numId="13">
    <w:abstractNumId w:val="9"/>
  </w:num>
  <w:num w:numId="14">
    <w:abstractNumId w:val="4"/>
  </w:num>
  <w:num w:numId="15">
    <w:abstractNumId w:val="13"/>
  </w:num>
  <w:num w:numId="16">
    <w:abstractNumId w:val="0"/>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50"/>
    <w:rsid w:val="00000125"/>
    <w:rsid w:val="00002E19"/>
    <w:rsid w:val="00006C6A"/>
    <w:rsid w:val="00007F74"/>
    <w:rsid w:val="00010E82"/>
    <w:rsid w:val="000234C6"/>
    <w:rsid w:val="00025A43"/>
    <w:rsid w:val="000343FA"/>
    <w:rsid w:val="00035006"/>
    <w:rsid w:val="00035194"/>
    <w:rsid w:val="0004794C"/>
    <w:rsid w:val="00051D4F"/>
    <w:rsid w:val="00053556"/>
    <w:rsid w:val="00070E37"/>
    <w:rsid w:val="000841DB"/>
    <w:rsid w:val="00086814"/>
    <w:rsid w:val="00092AB6"/>
    <w:rsid w:val="00095E82"/>
    <w:rsid w:val="00096322"/>
    <w:rsid w:val="000A6865"/>
    <w:rsid w:val="000C0357"/>
    <w:rsid w:val="000C038B"/>
    <w:rsid w:val="000C31C7"/>
    <w:rsid w:val="000D01E4"/>
    <w:rsid w:val="000D632A"/>
    <w:rsid w:val="000E3CB1"/>
    <w:rsid w:val="000F6042"/>
    <w:rsid w:val="000F7BF8"/>
    <w:rsid w:val="00105749"/>
    <w:rsid w:val="00110F60"/>
    <w:rsid w:val="00115C56"/>
    <w:rsid w:val="001243BC"/>
    <w:rsid w:val="00125794"/>
    <w:rsid w:val="0012797D"/>
    <w:rsid w:val="0013263B"/>
    <w:rsid w:val="001356C3"/>
    <w:rsid w:val="00145395"/>
    <w:rsid w:val="00146911"/>
    <w:rsid w:val="001476DA"/>
    <w:rsid w:val="0015024B"/>
    <w:rsid w:val="00151323"/>
    <w:rsid w:val="00154D66"/>
    <w:rsid w:val="0015720E"/>
    <w:rsid w:val="001577E4"/>
    <w:rsid w:val="0016242D"/>
    <w:rsid w:val="0016704F"/>
    <w:rsid w:val="00167F4E"/>
    <w:rsid w:val="001710C3"/>
    <w:rsid w:val="00172262"/>
    <w:rsid w:val="00173290"/>
    <w:rsid w:val="00176F40"/>
    <w:rsid w:val="00192541"/>
    <w:rsid w:val="00196339"/>
    <w:rsid w:val="00197442"/>
    <w:rsid w:val="001A1E69"/>
    <w:rsid w:val="001B0B9B"/>
    <w:rsid w:val="001B0BE3"/>
    <w:rsid w:val="001B0C31"/>
    <w:rsid w:val="001C3877"/>
    <w:rsid w:val="001D3DB7"/>
    <w:rsid w:val="001D46EE"/>
    <w:rsid w:val="001E3160"/>
    <w:rsid w:val="001F228F"/>
    <w:rsid w:val="00217D9E"/>
    <w:rsid w:val="0022603B"/>
    <w:rsid w:val="0023178E"/>
    <w:rsid w:val="002325CB"/>
    <w:rsid w:val="002537D1"/>
    <w:rsid w:val="00266D5F"/>
    <w:rsid w:val="002717CB"/>
    <w:rsid w:val="002741E3"/>
    <w:rsid w:val="002919C5"/>
    <w:rsid w:val="002A4B51"/>
    <w:rsid w:val="002A6BBB"/>
    <w:rsid w:val="002A6F2A"/>
    <w:rsid w:val="002C48FA"/>
    <w:rsid w:val="002C651F"/>
    <w:rsid w:val="002C7689"/>
    <w:rsid w:val="002D2E29"/>
    <w:rsid w:val="002D5793"/>
    <w:rsid w:val="002E1BC8"/>
    <w:rsid w:val="002E79F8"/>
    <w:rsid w:val="0030355C"/>
    <w:rsid w:val="00305CCA"/>
    <w:rsid w:val="0031420B"/>
    <w:rsid w:val="00320972"/>
    <w:rsid w:val="00323D27"/>
    <w:rsid w:val="0032450A"/>
    <w:rsid w:val="003263D2"/>
    <w:rsid w:val="00351CED"/>
    <w:rsid w:val="00353E10"/>
    <w:rsid w:val="00354E26"/>
    <w:rsid w:val="00356605"/>
    <w:rsid w:val="003609BF"/>
    <w:rsid w:val="003616DC"/>
    <w:rsid w:val="00361BDA"/>
    <w:rsid w:val="003660A8"/>
    <w:rsid w:val="00376DF0"/>
    <w:rsid w:val="00381AFD"/>
    <w:rsid w:val="00382D64"/>
    <w:rsid w:val="00395ACC"/>
    <w:rsid w:val="003A747F"/>
    <w:rsid w:val="003B1332"/>
    <w:rsid w:val="003B3FBC"/>
    <w:rsid w:val="003B5B6C"/>
    <w:rsid w:val="003C1358"/>
    <w:rsid w:val="003C7620"/>
    <w:rsid w:val="003D0208"/>
    <w:rsid w:val="003D13F4"/>
    <w:rsid w:val="003E01BA"/>
    <w:rsid w:val="003E3617"/>
    <w:rsid w:val="003E4B24"/>
    <w:rsid w:val="003E632C"/>
    <w:rsid w:val="003F287F"/>
    <w:rsid w:val="003F3808"/>
    <w:rsid w:val="003F590D"/>
    <w:rsid w:val="004011FB"/>
    <w:rsid w:val="004062B8"/>
    <w:rsid w:val="00414142"/>
    <w:rsid w:val="0042010E"/>
    <w:rsid w:val="00421BF3"/>
    <w:rsid w:val="00423C3D"/>
    <w:rsid w:val="004275B2"/>
    <w:rsid w:val="00431E05"/>
    <w:rsid w:val="00431EC4"/>
    <w:rsid w:val="004333EA"/>
    <w:rsid w:val="00433EAC"/>
    <w:rsid w:val="0043617F"/>
    <w:rsid w:val="0043663F"/>
    <w:rsid w:val="00441794"/>
    <w:rsid w:val="00443CD9"/>
    <w:rsid w:val="004447C6"/>
    <w:rsid w:val="00444FB6"/>
    <w:rsid w:val="00446291"/>
    <w:rsid w:val="004474C7"/>
    <w:rsid w:val="00447F5B"/>
    <w:rsid w:val="00450EB9"/>
    <w:rsid w:val="00465B15"/>
    <w:rsid w:val="00477CBA"/>
    <w:rsid w:val="00487927"/>
    <w:rsid w:val="00490368"/>
    <w:rsid w:val="004937D6"/>
    <w:rsid w:val="00496916"/>
    <w:rsid w:val="004B0A36"/>
    <w:rsid w:val="004B2B4B"/>
    <w:rsid w:val="004C0245"/>
    <w:rsid w:val="004C5CAE"/>
    <w:rsid w:val="004D0850"/>
    <w:rsid w:val="004D424F"/>
    <w:rsid w:val="004D5E55"/>
    <w:rsid w:val="004D7033"/>
    <w:rsid w:val="004D79F8"/>
    <w:rsid w:val="004F7126"/>
    <w:rsid w:val="00506686"/>
    <w:rsid w:val="005144C3"/>
    <w:rsid w:val="00520FEC"/>
    <w:rsid w:val="00521652"/>
    <w:rsid w:val="005254C8"/>
    <w:rsid w:val="0052717C"/>
    <w:rsid w:val="0052717E"/>
    <w:rsid w:val="0053025C"/>
    <w:rsid w:val="00535C49"/>
    <w:rsid w:val="00542777"/>
    <w:rsid w:val="00547CBC"/>
    <w:rsid w:val="00554E64"/>
    <w:rsid w:val="00556E4E"/>
    <w:rsid w:val="0056247F"/>
    <w:rsid w:val="005660C8"/>
    <w:rsid w:val="005715F6"/>
    <w:rsid w:val="00574F5A"/>
    <w:rsid w:val="005825F5"/>
    <w:rsid w:val="00587E22"/>
    <w:rsid w:val="00595B91"/>
    <w:rsid w:val="005C40C6"/>
    <w:rsid w:val="005C6906"/>
    <w:rsid w:val="005D0F03"/>
    <w:rsid w:val="005D28D7"/>
    <w:rsid w:val="005E36B1"/>
    <w:rsid w:val="005E5D70"/>
    <w:rsid w:val="005F7AB3"/>
    <w:rsid w:val="0060794B"/>
    <w:rsid w:val="00611102"/>
    <w:rsid w:val="00633986"/>
    <w:rsid w:val="00635C4A"/>
    <w:rsid w:val="006514F3"/>
    <w:rsid w:val="00660B67"/>
    <w:rsid w:val="006637A9"/>
    <w:rsid w:val="006775BF"/>
    <w:rsid w:val="00685BEA"/>
    <w:rsid w:val="006A0D02"/>
    <w:rsid w:val="006B7225"/>
    <w:rsid w:val="006C4619"/>
    <w:rsid w:val="006D1599"/>
    <w:rsid w:val="006F2D3A"/>
    <w:rsid w:val="006F4C22"/>
    <w:rsid w:val="00706BAC"/>
    <w:rsid w:val="00724B58"/>
    <w:rsid w:val="00730962"/>
    <w:rsid w:val="00730A2B"/>
    <w:rsid w:val="007342D0"/>
    <w:rsid w:val="00742CCA"/>
    <w:rsid w:val="007463AC"/>
    <w:rsid w:val="007478FC"/>
    <w:rsid w:val="00753DAD"/>
    <w:rsid w:val="00757AE1"/>
    <w:rsid w:val="007670B7"/>
    <w:rsid w:val="007673CF"/>
    <w:rsid w:val="00767EFB"/>
    <w:rsid w:val="007954C3"/>
    <w:rsid w:val="007A1970"/>
    <w:rsid w:val="007A1CA0"/>
    <w:rsid w:val="007A3C0D"/>
    <w:rsid w:val="007A52F7"/>
    <w:rsid w:val="007B0F38"/>
    <w:rsid w:val="007B2DCE"/>
    <w:rsid w:val="007B5E85"/>
    <w:rsid w:val="007C4C23"/>
    <w:rsid w:val="007D2E38"/>
    <w:rsid w:val="007D2EC2"/>
    <w:rsid w:val="007D3EA4"/>
    <w:rsid w:val="007D608D"/>
    <w:rsid w:val="007D72F6"/>
    <w:rsid w:val="007E0F45"/>
    <w:rsid w:val="007F1C02"/>
    <w:rsid w:val="007F3D07"/>
    <w:rsid w:val="007F3DCF"/>
    <w:rsid w:val="007F70E6"/>
    <w:rsid w:val="008150BD"/>
    <w:rsid w:val="00815AE2"/>
    <w:rsid w:val="00827A2C"/>
    <w:rsid w:val="00835B34"/>
    <w:rsid w:val="0084057A"/>
    <w:rsid w:val="00845776"/>
    <w:rsid w:val="00851942"/>
    <w:rsid w:val="00866573"/>
    <w:rsid w:val="00883478"/>
    <w:rsid w:val="00884682"/>
    <w:rsid w:val="00884A34"/>
    <w:rsid w:val="008929D8"/>
    <w:rsid w:val="008A3F17"/>
    <w:rsid w:val="008A4D3B"/>
    <w:rsid w:val="008A73A0"/>
    <w:rsid w:val="008B072E"/>
    <w:rsid w:val="008B2D8F"/>
    <w:rsid w:val="008C3092"/>
    <w:rsid w:val="008D5EBF"/>
    <w:rsid w:val="008F1253"/>
    <w:rsid w:val="008F7883"/>
    <w:rsid w:val="00900C39"/>
    <w:rsid w:val="00903EEF"/>
    <w:rsid w:val="00914841"/>
    <w:rsid w:val="0091784B"/>
    <w:rsid w:val="009233C1"/>
    <w:rsid w:val="00925500"/>
    <w:rsid w:val="009263A0"/>
    <w:rsid w:val="009264D0"/>
    <w:rsid w:val="009303E7"/>
    <w:rsid w:val="00931AB9"/>
    <w:rsid w:val="00931D14"/>
    <w:rsid w:val="009430A6"/>
    <w:rsid w:val="00954C8E"/>
    <w:rsid w:val="009559E8"/>
    <w:rsid w:val="00956254"/>
    <w:rsid w:val="00963182"/>
    <w:rsid w:val="00963279"/>
    <w:rsid w:val="00970F9C"/>
    <w:rsid w:val="00974ABA"/>
    <w:rsid w:val="00984FD7"/>
    <w:rsid w:val="00995D7A"/>
    <w:rsid w:val="00996A1C"/>
    <w:rsid w:val="009D4B90"/>
    <w:rsid w:val="009D680D"/>
    <w:rsid w:val="009E09AA"/>
    <w:rsid w:val="009E2FB3"/>
    <w:rsid w:val="009E3B6E"/>
    <w:rsid w:val="009E6308"/>
    <w:rsid w:val="009F2AAA"/>
    <w:rsid w:val="009F312E"/>
    <w:rsid w:val="00A059F0"/>
    <w:rsid w:val="00A07637"/>
    <w:rsid w:val="00A11CE0"/>
    <w:rsid w:val="00A127E2"/>
    <w:rsid w:val="00A16E5F"/>
    <w:rsid w:val="00A2179E"/>
    <w:rsid w:val="00A23B62"/>
    <w:rsid w:val="00A4057E"/>
    <w:rsid w:val="00A4760F"/>
    <w:rsid w:val="00A47F2A"/>
    <w:rsid w:val="00A76651"/>
    <w:rsid w:val="00A766CE"/>
    <w:rsid w:val="00A83FED"/>
    <w:rsid w:val="00A8556A"/>
    <w:rsid w:val="00A85971"/>
    <w:rsid w:val="00A9031F"/>
    <w:rsid w:val="00A911A1"/>
    <w:rsid w:val="00A91A92"/>
    <w:rsid w:val="00AA1B1B"/>
    <w:rsid w:val="00AA20FE"/>
    <w:rsid w:val="00AA33DB"/>
    <w:rsid w:val="00AA6385"/>
    <w:rsid w:val="00AB5D20"/>
    <w:rsid w:val="00AD7E9C"/>
    <w:rsid w:val="00AE5C99"/>
    <w:rsid w:val="00AE6407"/>
    <w:rsid w:val="00AF1158"/>
    <w:rsid w:val="00AF5A52"/>
    <w:rsid w:val="00B00866"/>
    <w:rsid w:val="00B03B6F"/>
    <w:rsid w:val="00B115BA"/>
    <w:rsid w:val="00B16F30"/>
    <w:rsid w:val="00B227AA"/>
    <w:rsid w:val="00B2535E"/>
    <w:rsid w:val="00B42A3C"/>
    <w:rsid w:val="00B53B6E"/>
    <w:rsid w:val="00B635EC"/>
    <w:rsid w:val="00B6388D"/>
    <w:rsid w:val="00B72B5C"/>
    <w:rsid w:val="00B75CA2"/>
    <w:rsid w:val="00B81022"/>
    <w:rsid w:val="00B93993"/>
    <w:rsid w:val="00BA01A6"/>
    <w:rsid w:val="00BA3812"/>
    <w:rsid w:val="00BA7439"/>
    <w:rsid w:val="00BC35B3"/>
    <w:rsid w:val="00BC5CDD"/>
    <w:rsid w:val="00BD3F0B"/>
    <w:rsid w:val="00BE28B1"/>
    <w:rsid w:val="00BE40BC"/>
    <w:rsid w:val="00BE488F"/>
    <w:rsid w:val="00BF1F71"/>
    <w:rsid w:val="00BF4FEF"/>
    <w:rsid w:val="00C0159F"/>
    <w:rsid w:val="00C04D05"/>
    <w:rsid w:val="00C063FA"/>
    <w:rsid w:val="00C112AC"/>
    <w:rsid w:val="00C34488"/>
    <w:rsid w:val="00C471EA"/>
    <w:rsid w:val="00C55206"/>
    <w:rsid w:val="00C553BE"/>
    <w:rsid w:val="00C62A55"/>
    <w:rsid w:val="00C64372"/>
    <w:rsid w:val="00C66D78"/>
    <w:rsid w:val="00C70B61"/>
    <w:rsid w:val="00C717BB"/>
    <w:rsid w:val="00C7467D"/>
    <w:rsid w:val="00C7758C"/>
    <w:rsid w:val="00C871A3"/>
    <w:rsid w:val="00C92405"/>
    <w:rsid w:val="00C9721E"/>
    <w:rsid w:val="00CB1F0E"/>
    <w:rsid w:val="00CB5F9B"/>
    <w:rsid w:val="00CC2770"/>
    <w:rsid w:val="00CC54DE"/>
    <w:rsid w:val="00CF58EC"/>
    <w:rsid w:val="00CF59E2"/>
    <w:rsid w:val="00CF64CB"/>
    <w:rsid w:val="00D15DA1"/>
    <w:rsid w:val="00D17F35"/>
    <w:rsid w:val="00D320C8"/>
    <w:rsid w:val="00D3476F"/>
    <w:rsid w:val="00D43CF2"/>
    <w:rsid w:val="00D449AC"/>
    <w:rsid w:val="00D5502D"/>
    <w:rsid w:val="00D5638D"/>
    <w:rsid w:val="00D563EC"/>
    <w:rsid w:val="00D56BD5"/>
    <w:rsid w:val="00D7086C"/>
    <w:rsid w:val="00D8037F"/>
    <w:rsid w:val="00D876E6"/>
    <w:rsid w:val="00D909B1"/>
    <w:rsid w:val="00DA6140"/>
    <w:rsid w:val="00DA7EE4"/>
    <w:rsid w:val="00DB53CA"/>
    <w:rsid w:val="00DB578D"/>
    <w:rsid w:val="00DB764F"/>
    <w:rsid w:val="00DC0305"/>
    <w:rsid w:val="00DC73CA"/>
    <w:rsid w:val="00DD38CF"/>
    <w:rsid w:val="00DD602C"/>
    <w:rsid w:val="00DD7F30"/>
    <w:rsid w:val="00DE1AD6"/>
    <w:rsid w:val="00DE3E3E"/>
    <w:rsid w:val="00DF0052"/>
    <w:rsid w:val="00DF13A1"/>
    <w:rsid w:val="00E01BE9"/>
    <w:rsid w:val="00E0267B"/>
    <w:rsid w:val="00E053E1"/>
    <w:rsid w:val="00E07376"/>
    <w:rsid w:val="00E27865"/>
    <w:rsid w:val="00E27B93"/>
    <w:rsid w:val="00E43D34"/>
    <w:rsid w:val="00E44D9F"/>
    <w:rsid w:val="00E47BE1"/>
    <w:rsid w:val="00E53AA5"/>
    <w:rsid w:val="00E63716"/>
    <w:rsid w:val="00E70AD0"/>
    <w:rsid w:val="00E74408"/>
    <w:rsid w:val="00E8107C"/>
    <w:rsid w:val="00E941A3"/>
    <w:rsid w:val="00EC21C2"/>
    <w:rsid w:val="00EC46A5"/>
    <w:rsid w:val="00EC61CD"/>
    <w:rsid w:val="00EC7B4D"/>
    <w:rsid w:val="00ED1E5E"/>
    <w:rsid w:val="00ED1FD5"/>
    <w:rsid w:val="00ED2A25"/>
    <w:rsid w:val="00ED44A2"/>
    <w:rsid w:val="00ED5F4C"/>
    <w:rsid w:val="00EE1A97"/>
    <w:rsid w:val="00EE6148"/>
    <w:rsid w:val="00EF45C1"/>
    <w:rsid w:val="00F01845"/>
    <w:rsid w:val="00F21C5A"/>
    <w:rsid w:val="00F23C85"/>
    <w:rsid w:val="00F26A1A"/>
    <w:rsid w:val="00F27BD5"/>
    <w:rsid w:val="00F4238C"/>
    <w:rsid w:val="00F44E0B"/>
    <w:rsid w:val="00F463C7"/>
    <w:rsid w:val="00F51B9B"/>
    <w:rsid w:val="00F55D07"/>
    <w:rsid w:val="00F64498"/>
    <w:rsid w:val="00F7213D"/>
    <w:rsid w:val="00F7422D"/>
    <w:rsid w:val="00F82681"/>
    <w:rsid w:val="00F8423C"/>
    <w:rsid w:val="00F85328"/>
    <w:rsid w:val="00F9022C"/>
    <w:rsid w:val="00F97AC2"/>
    <w:rsid w:val="00FA6DEE"/>
    <w:rsid w:val="00FA7F64"/>
    <w:rsid w:val="00FB6DDC"/>
    <w:rsid w:val="00FD0C1D"/>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3A4D42"/>
  <w15:chartTrackingRefBased/>
  <w15:docId w15:val="{BDC2F304-816C-4BA1-9F95-94966AC5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DCE"/>
    <w:pPr>
      <w:ind w:left="720"/>
      <w:contextualSpacing/>
    </w:pPr>
  </w:style>
  <w:style w:type="paragraph" w:styleId="CommentText">
    <w:name w:val="annotation text"/>
    <w:basedOn w:val="Normal"/>
    <w:link w:val="CommentTextChar"/>
    <w:uiPriority w:val="99"/>
    <w:rsid w:val="00C717BB"/>
    <w:pPr>
      <w:tabs>
        <w:tab w:val="left" w:pos="284"/>
      </w:tabs>
      <w:jc w:val="both"/>
    </w:pPr>
    <w:rPr>
      <w:rFonts w:ascii="Times New Roman" w:eastAsia="Times New Roman" w:hAnsi="Times New Roman" w:cs="Times New Roman"/>
      <w:sz w:val="20"/>
      <w:szCs w:val="20"/>
      <w:lang w:val="lv-LV"/>
    </w:rPr>
  </w:style>
  <w:style w:type="character" w:customStyle="1" w:styleId="CommentTextChar">
    <w:name w:val="Comment Text Char"/>
    <w:basedOn w:val="DefaultParagraphFont"/>
    <w:link w:val="CommentText"/>
    <w:uiPriority w:val="99"/>
    <w:rsid w:val="00C717BB"/>
    <w:rPr>
      <w:rFonts w:ascii="Times New Roman" w:eastAsia="Times New Roman" w:hAnsi="Times New Roman" w:cs="Times New Roman"/>
      <w:sz w:val="20"/>
      <w:szCs w:val="20"/>
      <w:lang w:val="lv-LV"/>
    </w:rPr>
  </w:style>
  <w:style w:type="paragraph" w:styleId="Header">
    <w:name w:val="header"/>
    <w:basedOn w:val="Normal"/>
    <w:link w:val="HeaderChar"/>
    <w:uiPriority w:val="99"/>
    <w:unhideWhenUsed/>
    <w:rsid w:val="00110F60"/>
    <w:pPr>
      <w:tabs>
        <w:tab w:val="center" w:pos="4153"/>
        <w:tab w:val="right" w:pos="8306"/>
      </w:tabs>
    </w:pPr>
  </w:style>
  <w:style w:type="character" w:customStyle="1" w:styleId="HeaderChar">
    <w:name w:val="Header Char"/>
    <w:basedOn w:val="DefaultParagraphFont"/>
    <w:link w:val="Header"/>
    <w:uiPriority w:val="99"/>
    <w:rsid w:val="00110F60"/>
  </w:style>
  <w:style w:type="paragraph" w:styleId="Footer">
    <w:name w:val="footer"/>
    <w:basedOn w:val="Normal"/>
    <w:link w:val="FooterChar"/>
    <w:uiPriority w:val="99"/>
    <w:unhideWhenUsed/>
    <w:rsid w:val="00110F60"/>
    <w:pPr>
      <w:tabs>
        <w:tab w:val="center" w:pos="4153"/>
        <w:tab w:val="right" w:pos="8306"/>
      </w:tabs>
    </w:pPr>
  </w:style>
  <w:style w:type="character" w:customStyle="1" w:styleId="FooterChar">
    <w:name w:val="Footer Char"/>
    <w:basedOn w:val="DefaultParagraphFont"/>
    <w:link w:val="Footer"/>
    <w:uiPriority w:val="99"/>
    <w:rsid w:val="00110F60"/>
  </w:style>
  <w:style w:type="paragraph" w:styleId="BalloonText">
    <w:name w:val="Balloon Text"/>
    <w:basedOn w:val="Normal"/>
    <w:link w:val="BalloonTextChar"/>
    <w:uiPriority w:val="99"/>
    <w:semiHidden/>
    <w:unhideWhenUsed/>
    <w:rsid w:val="00B16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30"/>
    <w:rPr>
      <w:rFonts w:ascii="Segoe UI" w:hAnsi="Segoe UI" w:cs="Segoe UI"/>
      <w:sz w:val="18"/>
      <w:szCs w:val="18"/>
    </w:rPr>
  </w:style>
  <w:style w:type="character" w:styleId="CommentReference">
    <w:name w:val="annotation reference"/>
    <w:basedOn w:val="DefaultParagraphFont"/>
    <w:uiPriority w:val="99"/>
    <w:semiHidden/>
    <w:unhideWhenUsed/>
    <w:rsid w:val="00172262"/>
    <w:rPr>
      <w:sz w:val="16"/>
      <w:szCs w:val="16"/>
    </w:rPr>
  </w:style>
  <w:style w:type="paragraph" w:customStyle="1" w:styleId="Teksts1">
    <w:name w:val="Teksts1"/>
    <w:basedOn w:val="Normal"/>
    <w:rsid w:val="00172262"/>
    <w:pPr>
      <w:spacing w:after="320"/>
      <w:jc w:val="both"/>
    </w:pPr>
    <w:rPr>
      <w:rFonts w:ascii="Times New Roman" w:eastAsia="Times New Roman" w:hAnsi="Times New Roman" w:cs="Times New Roman"/>
      <w:sz w:val="24"/>
      <w:szCs w:val="20"/>
      <w:lang w:val="lv-LV"/>
    </w:rPr>
  </w:style>
  <w:style w:type="paragraph" w:styleId="FootnoteText">
    <w:name w:val="footnote text"/>
    <w:basedOn w:val="Normal"/>
    <w:link w:val="FootnoteTextChar"/>
    <w:uiPriority w:val="99"/>
    <w:semiHidden/>
    <w:unhideWhenUsed/>
    <w:rsid w:val="00E27865"/>
    <w:rPr>
      <w:sz w:val="20"/>
      <w:szCs w:val="20"/>
    </w:rPr>
  </w:style>
  <w:style w:type="character" w:customStyle="1" w:styleId="FootnoteTextChar">
    <w:name w:val="Footnote Text Char"/>
    <w:basedOn w:val="DefaultParagraphFont"/>
    <w:link w:val="FootnoteText"/>
    <w:uiPriority w:val="99"/>
    <w:semiHidden/>
    <w:rsid w:val="00E27865"/>
    <w:rPr>
      <w:sz w:val="20"/>
      <w:szCs w:val="20"/>
    </w:rPr>
  </w:style>
  <w:style w:type="character" w:styleId="FootnoteReference">
    <w:name w:val="footnote reference"/>
    <w:basedOn w:val="DefaultParagraphFont"/>
    <w:uiPriority w:val="99"/>
    <w:semiHidden/>
    <w:unhideWhenUsed/>
    <w:rsid w:val="00E27865"/>
    <w:rPr>
      <w:vertAlign w:val="superscript"/>
    </w:rPr>
  </w:style>
  <w:style w:type="paragraph" w:styleId="NoSpacing">
    <w:name w:val="No Spacing"/>
    <w:uiPriority w:val="1"/>
    <w:qFormat/>
    <w:rsid w:val="00496916"/>
    <w:rPr>
      <w:lang w:val="lv-LV"/>
    </w:rPr>
  </w:style>
  <w:style w:type="paragraph" w:styleId="CommentSubject">
    <w:name w:val="annotation subject"/>
    <w:basedOn w:val="CommentText"/>
    <w:next w:val="CommentText"/>
    <w:link w:val="CommentSubjectChar"/>
    <w:uiPriority w:val="99"/>
    <w:semiHidden/>
    <w:unhideWhenUsed/>
    <w:rsid w:val="000A6865"/>
    <w:pPr>
      <w:tabs>
        <w:tab w:val="clear" w:pos="284"/>
      </w:tabs>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A6865"/>
    <w:rPr>
      <w:rFonts w:ascii="Times New Roman" w:eastAsia="Times New Roman" w:hAnsi="Times New Roman" w:cs="Times New Roman"/>
      <w:b/>
      <w:bCs/>
      <w:sz w:val="20"/>
      <w:szCs w:val="20"/>
      <w:lang w:val="lv-LV"/>
    </w:rPr>
  </w:style>
  <w:style w:type="character" w:styleId="Strong">
    <w:name w:val="Strong"/>
    <w:basedOn w:val="DefaultParagraphFont"/>
    <w:uiPriority w:val="22"/>
    <w:qFormat/>
    <w:rsid w:val="001577E4"/>
    <w:rPr>
      <w:b/>
      <w:bCs/>
    </w:rPr>
  </w:style>
  <w:style w:type="character" w:styleId="Hyperlink">
    <w:name w:val="Hyperlink"/>
    <w:basedOn w:val="DefaultParagraphFont"/>
    <w:uiPriority w:val="99"/>
    <w:unhideWhenUsed/>
    <w:rsid w:val="007A1970"/>
    <w:rPr>
      <w:color w:val="0000FF" w:themeColor="hyperlink"/>
      <w:u w:val="single"/>
    </w:rPr>
  </w:style>
  <w:style w:type="character" w:styleId="FollowedHyperlink">
    <w:name w:val="FollowedHyperlink"/>
    <w:basedOn w:val="DefaultParagraphFont"/>
    <w:uiPriority w:val="99"/>
    <w:semiHidden/>
    <w:unhideWhenUsed/>
    <w:rsid w:val="00433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7779-gada-parskatu-un-konsolideto-gada-parskat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vnt.lt/assets/Veiklos-sritys/Apskaita/VAS/Euras-ir-kriptovaliuta/2018-06-07-Cryptocurrencies-accounting-guidance.pdf" TargetMode="External"/><Relationship Id="rId2" Type="http://schemas.openxmlformats.org/officeDocument/2006/relationships/hyperlink" Target="https://www.asb.or.jp/en/wp-content/uploads/2018-0315_2_e.pdf" TargetMode="External"/><Relationship Id="rId1" Type="http://schemas.openxmlformats.org/officeDocument/2006/relationships/hyperlink" Target="https://www.reuters.com/article/us-g20-argentina-bitcoin/g20-agrees-to-monitor-cryptocurrencies-but-no-action-yet-idUSKBN1GW2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55E1-5E30-449E-833F-07C26A75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17</Pages>
  <Words>36272</Words>
  <Characters>20676</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Informatīvais ziņojums "Par virtuālo valūtu izmantošanas ieguvumiem un riskiem, un tālāko rīcību jomas attīstības veicināšanai un identificēto risku mazināšanai"</vt:lpstr>
    </vt:vector>
  </TitlesOfParts>
  <Company>Finanšu Ministrija</Company>
  <LinksUpToDate>false</LinksUpToDate>
  <CharactersWithSpaces>56835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virtuālo valūtu izmantošanas ieguvumiem un riskiem, un tālāko rīcību jomas attīstības veicināšanai un identificēto risku mazināšanai"</dc:title>
  <dc:subject>Informatīvais ziņojums</dc:subject>
  <dc:creator>Raimonds Grīnbergs</dc:creator>
  <cp:keywords>Informatīvais ziņojums</cp:keywords>
  <dc:description>67083935, raimonds.grinbergs@fm.gov.lv</dc:description>
  <cp:lastModifiedBy>Raimonds Grīnbergs</cp:lastModifiedBy>
  <cp:revision>221</cp:revision>
  <cp:lastPrinted>2018-07-23T11:01:00Z</cp:lastPrinted>
  <dcterms:created xsi:type="dcterms:W3CDTF">2018-07-13T11:15:00Z</dcterms:created>
  <dcterms:modified xsi:type="dcterms:W3CDTF">2018-07-26T06:47:00Z</dcterms:modified>
</cp:coreProperties>
</file>