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E138" w14:textId="77777777" w:rsidR="00BD5588" w:rsidRPr="009D2D72" w:rsidRDefault="00BD5588" w:rsidP="000F6ECD">
      <w:pPr>
        <w:pStyle w:val="Title"/>
        <w:spacing w:line="260" w:lineRule="exact"/>
        <w:jc w:val="both"/>
        <w:rPr>
          <w:color w:val="0D0D0D" w:themeColor="text1" w:themeTint="F2"/>
          <w:sz w:val="24"/>
          <w:szCs w:val="24"/>
        </w:rPr>
      </w:pPr>
    </w:p>
    <w:p w14:paraId="78D827D6" w14:textId="77777777" w:rsidR="0031438D" w:rsidRPr="009D2D72" w:rsidRDefault="0031438D" w:rsidP="0031438D">
      <w:pPr>
        <w:jc w:val="center"/>
        <w:rPr>
          <w:b/>
          <w:color w:val="0D0D0D" w:themeColor="text1" w:themeTint="F2"/>
        </w:rPr>
      </w:pPr>
      <w:r w:rsidRPr="009D2D72">
        <w:rPr>
          <w:b/>
          <w:bCs/>
          <w:color w:val="0D0D0D" w:themeColor="text1" w:themeTint="F2"/>
        </w:rPr>
        <w:t>Likumprojekta „</w:t>
      </w:r>
      <w:r w:rsidRPr="009D2D72">
        <w:rPr>
          <w:b/>
          <w:color w:val="0D0D0D" w:themeColor="text1" w:themeTint="F2"/>
        </w:rPr>
        <w:t>Grozījumi Elektronisko sakaru likumā</w:t>
      </w:r>
      <w:r w:rsidRPr="009D2D72">
        <w:rPr>
          <w:b/>
          <w:bCs/>
          <w:color w:val="0D0D0D" w:themeColor="text1" w:themeTint="F2"/>
        </w:rPr>
        <w:t>” sākotnējās ietekmes novērtējuma ziņojums (anotācija)</w:t>
      </w:r>
    </w:p>
    <w:p w14:paraId="177D3EBF" w14:textId="77777777" w:rsidR="00BD5588" w:rsidRPr="009D2D72" w:rsidRDefault="00BD5588" w:rsidP="000F6ECD">
      <w:pPr>
        <w:pStyle w:val="Title"/>
        <w:spacing w:line="260" w:lineRule="exact"/>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4"/>
        <w:gridCol w:w="5807"/>
      </w:tblGrid>
      <w:tr w:rsidR="009D2D72" w:rsidRPr="009D2D72" w14:paraId="4652DE21" w14:textId="77777777" w:rsidTr="00771352">
        <w:trPr>
          <w:cantSplit/>
        </w:trPr>
        <w:tc>
          <w:tcPr>
            <w:tcW w:w="9581" w:type="dxa"/>
            <w:gridSpan w:val="2"/>
            <w:shd w:val="clear" w:color="auto" w:fill="auto"/>
            <w:vAlign w:val="center"/>
            <w:hideMark/>
          </w:tcPr>
          <w:p w14:paraId="3ADCDE8F" w14:textId="77777777" w:rsidR="00BD5588" w:rsidRPr="009D2D72" w:rsidRDefault="006E2E27" w:rsidP="000F6ECD">
            <w:pPr>
              <w:jc w:val="center"/>
              <w:rPr>
                <w:b/>
                <w:iCs/>
                <w:color w:val="0D0D0D" w:themeColor="text1" w:themeTint="F2"/>
                <w:lang w:eastAsia="en-US"/>
              </w:rPr>
            </w:pPr>
            <w:r w:rsidRPr="009D2D72">
              <w:rPr>
                <w:b/>
                <w:iCs/>
                <w:color w:val="0D0D0D" w:themeColor="text1" w:themeTint="F2"/>
                <w:lang w:eastAsia="en-US"/>
              </w:rPr>
              <w:t>Tiesību akta projekta anotācijas kopsavilkums</w:t>
            </w:r>
          </w:p>
        </w:tc>
      </w:tr>
      <w:tr w:rsidR="009D2D72" w:rsidRPr="009D2D72" w14:paraId="43C2362B" w14:textId="77777777" w:rsidTr="00771352">
        <w:trPr>
          <w:cantSplit/>
        </w:trPr>
        <w:tc>
          <w:tcPr>
            <w:tcW w:w="3430" w:type="dxa"/>
            <w:shd w:val="clear" w:color="auto" w:fill="auto"/>
            <w:hideMark/>
          </w:tcPr>
          <w:p w14:paraId="74206B15" w14:textId="77777777" w:rsidR="00BD5588" w:rsidRPr="009D2D72" w:rsidRDefault="006E2E27" w:rsidP="000F6ECD">
            <w:pPr>
              <w:rPr>
                <w:iCs/>
                <w:color w:val="0D0D0D" w:themeColor="text1" w:themeTint="F2"/>
                <w:lang w:eastAsia="en-US"/>
              </w:rPr>
            </w:pPr>
            <w:r w:rsidRPr="009D2D72">
              <w:rPr>
                <w:iCs/>
                <w:color w:val="0D0D0D" w:themeColor="text1" w:themeTint="F2"/>
                <w:lang w:eastAsia="en-US"/>
              </w:rPr>
              <w:t>Mērķis, risinājums un projekta spēkā stāšanās laiks (500 zīmes bez atstarpēm)</w:t>
            </w:r>
          </w:p>
        </w:tc>
        <w:tc>
          <w:tcPr>
            <w:tcW w:w="6151" w:type="dxa"/>
            <w:shd w:val="clear" w:color="auto" w:fill="auto"/>
            <w:hideMark/>
          </w:tcPr>
          <w:p w14:paraId="1AB8EF54" w14:textId="77777777" w:rsidR="006A4D3C" w:rsidRPr="006A4D3C" w:rsidRDefault="006A4D3C" w:rsidP="00BC7CDC">
            <w:pPr>
              <w:widowControl w:val="0"/>
              <w:tabs>
                <w:tab w:val="left" w:pos="560"/>
              </w:tabs>
              <w:ind w:firstLine="492"/>
              <w:jc w:val="both"/>
              <w:outlineLvl w:val="2"/>
              <w:rPr>
                <w:color w:val="0D0D0D" w:themeColor="text1" w:themeTint="F2"/>
              </w:rPr>
            </w:pPr>
            <w:r w:rsidRPr="009D2D72">
              <w:rPr>
                <w:color w:val="0D0D0D" w:themeColor="text1" w:themeTint="F2"/>
              </w:rPr>
              <w:t xml:space="preserve">Latvijā pastāvošais administratīvās atbildības regulējums ietverts </w:t>
            </w:r>
            <w:r w:rsidRPr="00771352">
              <w:rPr>
                <w:color w:val="0D0D0D" w:themeColor="text1" w:themeTint="F2"/>
                <w:shd w:val="clear" w:color="auto" w:fill="FFFFFF" w:themeFill="background1"/>
              </w:rPr>
              <w:t>Latvijas Administratīvo pārkāpumu kodeksā (turpmāk- kodekss).</w:t>
            </w:r>
            <w:r w:rsidRPr="009D2D72">
              <w:rPr>
                <w:color w:val="0D0D0D" w:themeColor="text1" w:themeTint="F2"/>
              </w:rPr>
              <w:t xml:space="preserve"> </w:t>
            </w:r>
            <w:r>
              <w:rPr>
                <w:color w:val="0D0D0D" w:themeColor="text1" w:themeTint="F2"/>
              </w:rPr>
              <w:t>Ar</w:t>
            </w:r>
            <w:r w:rsidRPr="009D2D72">
              <w:rPr>
                <w:color w:val="0D0D0D" w:themeColor="text1" w:themeTint="F2"/>
              </w:rPr>
              <w:t xml:space="preserve"> Ministru kabineta 2013.gada 4.februāra rīkojumu Nr.38 „Par Administratīvo sodu sistēmas attīst</w:t>
            </w:r>
            <w:r>
              <w:rPr>
                <w:color w:val="0D0D0D" w:themeColor="text1" w:themeTint="F2"/>
              </w:rPr>
              <w:t>ības koncepciju” tika atbalstīta</w:t>
            </w:r>
            <w:r w:rsidRPr="009D2D72">
              <w:rPr>
                <w:color w:val="0D0D0D" w:themeColor="text1" w:themeTint="F2"/>
              </w:rPr>
              <w:t xml:space="preserve"> nozaru administratīvo pārkāpumu kodifikāciju.</w:t>
            </w:r>
            <w:r>
              <w:rPr>
                <w:color w:val="0D0D0D" w:themeColor="text1" w:themeTint="F2"/>
              </w:rPr>
              <w:t xml:space="preserve"> N</w:t>
            </w:r>
            <w:r w:rsidRPr="009D2D72">
              <w:rPr>
                <w:color w:val="0D0D0D" w:themeColor="text1" w:themeTint="F2"/>
              </w:rPr>
              <w:t>ozaru ministrijām tika</w:t>
            </w:r>
            <w:r w:rsidR="00BC7CDC">
              <w:rPr>
                <w:color w:val="0D0D0D" w:themeColor="text1" w:themeTint="F2"/>
              </w:rPr>
              <w:t xml:space="preserve"> uzdots</w:t>
            </w:r>
            <w:r w:rsidRPr="009D2D72">
              <w:rPr>
                <w:color w:val="0D0D0D" w:themeColor="text1" w:themeTint="F2"/>
              </w:rPr>
              <w:t xml:space="preserve"> izvērtēt </w:t>
            </w:r>
            <w:r>
              <w:rPr>
                <w:color w:val="0D0D0D" w:themeColor="text1" w:themeTint="F2"/>
              </w:rPr>
              <w:t xml:space="preserve">to </w:t>
            </w:r>
            <w:r w:rsidRPr="009D2D72">
              <w:rPr>
                <w:color w:val="0D0D0D" w:themeColor="text1" w:themeTint="F2"/>
              </w:rPr>
              <w:t>kompetencē esošos administratīvos pārkāpumus</w:t>
            </w:r>
            <w:r w:rsidR="00BC7CDC">
              <w:rPr>
                <w:color w:val="0D0D0D" w:themeColor="text1" w:themeTint="F2"/>
              </w:rPr>
              <w:t>.</w:t>
            </w:r>
            <w:r>
              <w:rPr>
                <w:color w:val="0D0D0D" w:themeColor="text1" w:themeTint="F2"/>
              </w:rPr>
              <w:t xml:space="preserve"> Aktuālie k</w:t>
            </w:r>
            <w:r w:rsidRPr="009D2D72">
              <w:rPr>
                <w:color w:val="0D0D0D" w:themeColor="text1" w:themeTint="F2"/>
              </w:rPr>
              <w:t>odeksā paredzētie administratīvo pārkāpumu sastāvi tiek saglabāti un integrēti Elektronisko sakaru likumā</w:t>
            </w:r>
            <w:r>
              <w:rPr>
                <w:color w:val="0D0D0D" w:themeColor="text1" w:themeTint="F2"/>
              </w:rPr>
              <w:t>.</w:t>
            </w:r>
            <w:r>
              <w:t xml:space="preserve"> Likums stājas spēkā vienlaikus ar Administratīvo pārkāpumu procesa likumu.</w:t>
            </w:r>
          </w:p>
        </w:tc>
      </w:tr>
    </w:tbl>
    <w:p w14:paraId="0CA4E27F" w14:textId="77777777" w:rsidR="00BD5588" w:rsidRPr="009D2D72" w:rsidRDefault="00BD5588" w:rsidP="000F6ECD">
      <w:pPr>
        <w:pStyle w:val="Title"/>
        <w:spacing w:line="260" w:lineRule="exact"/>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712180B0" w14:textId="77777777" w:rsidTr="00737785">
        <w:trPr>
          <w:cantSplit/>
        </w:trPr>
        <w:tc>
          <w:tcPr>
            <w:tcW w:w="5000" w:type="pct"/>
            <w:gridSpan w:val="3"/>
            <w:vAlign w:val="center"/>
            <w:hideMark/>
          </w:tcPr>
          <w:p w14:paraId="2C91D191" w14:textId="77777777" w:rsidR="00BD5588" w:rsidRPr="009D2D72" w:rsidRDefault="006E2E27" w:rsidP="000F6ECD">
            <w:pPr>
              <w:jc w:val="center"/>
              <w:rPr>
                <w:b/>
                <w:bCs/>
                <w:color w:val="0D0D0D" w:themeColor="text1" w:themeTint="F2"/>
              </w:rPr>
            </w:pPr>
            <w:r w:rsidRPr="009D2D72">
              <w:rPr>
                <w:b/>
                <w:bCs/>
                <w:color w:val="0D0D0D" w:themeColor="text1" w:themeTint="F2"/>
              </w:rPr>
              <w:t>I. Tiesību akta projekta izstrādes nepieciešamība</w:t>
            </w:r>
          </w:p>
        </w:tc>
      </w:tr>
      <w:tr w:rsidR="009D2D72" w:rsidRPr="009D2D72" w14:paraId="6FA8504B" w14:textId="77777777" w:rsidTr="006D2925">
        <w:tc>
          <w:tcPr>
            <w:tcW w:w="311" w:type="pct"/>
            <w:hideMark/>
          </w:tcPr>
          <w:p w14:paraId="2D52D80D" w14:textId="77777777" w:rsidR="00BD5588" w:rsidRPr="009D2D72" w:rsidRDefault="006E2E27" w:rsidP="000F6ECD">
            <w:pPr>
              <w:jc w:val="center"/>
              <w:rPr>
                <w:color w:val="0D0D0D" w:themeColor="text1" w:themeTint="F2"/>
              </w:rPr>
            </w:pPr>
            <w:r w:rsidRPr="009D2D72">
              <w:rPr>
                <w:color w:val="0D0D0D" w:themeColor="text1" w:themeTint="F2"/>
              </w:rPr>
              <w:t>1.</w:t>
            </w:r>
          </w:p>
        </w:tc>
        <w:tc>
          <w:tcPr>
            <w:tcW w:w="1479" w:type="pct"/>
            <w:hideMark/>
          </w:tcPr>
          <w:p w14:paraId="5E3724CA" w14:textId="77777777" w:rsidR="00BD5588" w:rsidRPr="009D2D72" w:rsidRDefault="006E2E27" w:rsidP="000F6ECD">
            <w:pPr>
              <w:rPr>
                <w:color w:val="0D0D0D" w:themeColor="text1" w:themeTint="F2"/>
              </w:rPr>
            </w:pPr>
            <w:r w:rsidRPr="009D2D72">
              <w:rPr>
                <w:color w:val="0D0D0D" w:themeColor="text1" w:themeTint="F2"/>
              </w:rPr>
              <w:t>Pamatojums</w:t>
            </w:r>
          </w:p>
        </w:tc>
        <w:tc>
          <w:tcPr>
            <w:tcW w:w="3210" w:type="pct"/>
            <w:hideMark/>
          </w:tcPr>
          <w:p w14:paraId="048B50D3" w14:textId="77777777" w:rsidR="00BD5588" w:rsidRPr="009D2D72" w:rsidRDefault="0031438D" w:rsidP="005F276C">
            <w:pPr>
              <w:pStyle w:val="Standard"/>
              <w:widowControl/>
              <w:ind w:firstLine="284"/>
              <w:jc w:val="both"/>
              <w:rPr>
                <w:rFonts w:cs="Times New Roman"/>
                <w:color w:val="0D0D0D" w:themeColor="text1" w:themeTint="F2"/>
              </w:rPr>
            </w:pPr>
            <w:r w:rsidRPr="009D2D72">
              <w:rPr>
                <w:rFonts w:cs="Times New Roman"/>
                <w:bCs/>
                <w:color w:val="0D0D0D" w:themeColor="text1" w:themeTint="F2"/>
              </w:rPr>
              <w:t xml:space="preserve">Likumprojekts „Grozījumi Elektronisko sakaru likumā” (turpmāk – Likumprojekts) izstrādāts atbilstoši Ministru kabineta </w:t>
            </w:r>
            <w:r w:rsidRPr="009D2D72">
              <w:rPr>
                <w:rFonts w:cs="Times New Roman"/>
                <w:color w:val="0D0D0D" w:themeColor="text1" w:themeTint="F2"/>
              </w:rPr>
              <w:t xml:space="preserve">2014.gada 22.aprīļa </w:t>
            </w:r>
            <w:r w:rsidRPr="009D2D72">
              <w:rPr>
                <w:rFonts w:cs="Times New Roman"/>
                <w:bCs/>
                <w:color w:val="0D0D0D" w:themeColor="text1" w:themeTint="F2"/>
              </w:rPr>
              <w:t>sēdes protokola</w:t>
            </w:r>
            <w:r w:rsidRPr="009D2D72">
              <w:rPr>
                <w:rFonts w:cs="Times New Roman"/>
                <w:color w:val="0D0D0D" w:themeColor="text1" w:themeTint="F2"/>
              </w:rPr>
              <w:t xml:space="preserve"> Nr.24 26.§</w:t>
            </w:r>
            <w:r w:rsidRPr="009D2D72">
              <w:rPr>
                <w:rFonts w:cs="Times New Roman"/>
                <w:bCs/>
                <w:color w:val="0D0D0D" w:themeColor="text1" w:themeTint="F2"/>
              </w:rPr>
              <w:t xml:space="preserve"> „</w:t>
            </w:r>
            <w:r w:rsidRPr="009D2D72">
              <w:rPr>
                <w:rFonts w:cs="Times New Roman"/>
                <w:color w:val="0D0D0D" w:themeColor="text1" w:themeTint="F2"/>
              </w:rPr>
              <w:t>Informatīvais ziņojums „Nozaru administratīvo pārkāpumu kodifikācijas ieviešanas sistēma”” 2.punktā dotajam uzdevumam.</w:t>
            </w:r>
          </w:p>
        </w:tc>
      </w:tr>
      <w:tr w:rsidR="009D2D72" w:rsidRPr="009D2D72" w14:paraId="43BCF0C4" w14:textId="77777777" w:rsidTr="0031438D">
        <w:tc>
          <w:tcPr>
            <w:tcW w:w="311" w:type="pct"/>
            <w:hideMark/>
          </w:tcPr>
          <w:p w14:paraId="271D3C71" w14:textId="77777777" w:rsidR="0031438D" w:rsidRPr="009D2D72" w:rsidRDefault="0031438D" w:rsidP="0031438D">
            <w:pPr>
              <w:jc w:val="center"/>
              <w:rPr>
                <w:color w:val="0D0D0D" w:themeColor="text1" w:themeTint="F2"/>
              </w:rPr>
            </w:pPr>
            <w:r w:rsidRPr="009D2D72">
              <w:rPr>
                <w:color w:val="0D0D0D" w:themeColor="text1" w:themeTint="F2"/>
              </w:rPr>
              <w:t>2.</w:t>
            </w:r>
          </w:p>
        </w:tc>
        <w:tc>
          <w:tcPr>
            <w:tcW w:w="1479" w:type="pct"/>
            <w:hideMark/>
          </w:tcPr>
          <w:p w14:paraId="27A483CF" w14:textId="77777777" w:rsidR="00E80DB8" w:rsidRPr="009D2D72" w:rsidRDefault="0031438D" w:rsidP="0031438D">
            <w:pPr>
              <w:rPr>
                <w:color w:val="0D0D0D" w:themeColor="text1" w:themeTint="F2"/>
              </w:rPr>
            </w:pPr>
            <w:r w:rsidRPr="009D2D72">
              <w:rPr>
                <w:color w:val="0D0D0D" w:themeColor="text1" w:themeTint="F2"/>
              </w:rPr>
              <w:t>Pašreizējā situācija un problēmas, kuru risināšanai tiesību akta projekts izstrādāts, tiesiskā regulējuma mērķis un būtība</w:t>
            </w:r>
          </w:p>
          <w:p w14:paraId="6D615DFC" w14:textId="77777777" w:rsidR="00E80DB8" w:rsidRPr="009D2D72" w:rsidRDefault="00E80DB8" w:rsidP="00E80DB8">
            <w:pPr>
              <w:rPr>
                <w:color w:val="0D0D0D" w:themeColor="text1" w:themeTint="F2"/>
              </w:rPr>
            </w:pPr>
          </w:p>
          <w:p w14:paraId="4B5F78D1" w14:textId="77777777" w:rsidR="00E80DB8" w:rsidRPr="009D2D72" w:rsidRDefault="00E80DB8" w:rsidP="00E80DB8">
            <w:pPr>
              <w:rPr>
                <w:color w:val="0D0D0D" w:themeColor="text1" w:themeTint="F2"/>
              </w:rPr>
            </w:pPr>
          </w:p>
          <w:p w14:paraId="28AAD5E6" w14:textId="77777777" w:rsidR="00E80DB8" w:rsidRPr="009D2D72" w:rsidRDefault="00E80DB8" w:rsidP="00E80DB8">
            <w:pPr>
              <w:rPr>
                <w:color w:val="0D0D0D" w:themeColor="text1" w:themeTint="F2"/>
              </w:rPr>
            </w:pPr>
          </w:p>
          <w:p w14:paraId="3CDCA894" w14:textId="77777777" w:rsidR="00E80DB8" w:rsidRPr="009D2D72" w:rsidRDefault="00E80DB8" w:rsidP="00E80DB8">
            <w:pPr>
              <w:rPr>
                <w:color w:val="0D0D0D" w:themeColor="text1" w:themeTint="F2"/>
              </w:rPr>
            </w:pPr>
          </w:p>
          <w:p w14:paraId="783C0F4D" w14:textId="77777777" w:rsidR="00E80DB8" w:rsidRPr="009D2D72" w:rsidRDefault="00E80DB8" w:rsidP="00E80DB8">
            <w:pPr>
              <w:rPr>
                <w:color w:val="0D0D0D" w:themeColor="text1" w:themeTint="F2"/>
              </w:rPr>
            </w:pPr>
          </w:p>
          <w:p w14:paraId="3323FF80" w14:textId="77777777" w:rsidR="00E80DB8" w:rsidRPr="009D2D72" w:rsidRDefault="00E80DB8" w:rsidP="00E80DB8">
            <w:pPr>
              <w:rPr>
                <w:color w:val="0D0D0D" w:themeColor="text1" w:themeTint="F2"/>
              </w:rPr>
            </w:pPr>
          </w:p>
          <w:p w14:paraId="070D952A" w14:textId="77777777" w:rsidR="00E80DB8" w:rsidRPr="009D2D72" w:rsidRDefault="00E80DB8" w:rsidP="00E80DB8">
            <w:pPr>
              <w:rPr>
                <w:color w:val="0D0D0D" w:themeColor="text1" w:themeTint="F2"/>
              </w:rPr>
            </w:pPr>
          </w:p>
          <w:p w14:paraId="2F20208F" w14:textId="77777777" w:rsidR="00E80DB8" w:rsidRPr="009D2D72" w:rsidRDefault="00E80DB8" w:rsidP="00E80DB8">
            <w:pPr>
              <w:rPr>
                <w:color w:val="0D0D0D" w:themeColor="text1" w:themeTint="F2"/>
              </w:rPr>
            </w:pPr>
          </w:p>
          <w:p w14:paraId="7E8DDF8B" w14:textId="77777777" w:rsidR="00E80DB8" w:rsidRPr="009D2D72" w:rsidRDefault="00E80DB8" w:rsidP="00E80DB8">
            <w:pPr>
              <w:rPr>
                <w:color w:val="0D0D0D" w:themeColor="text1" w:themeTint="F2"/>
              </w:rPr>
            </w:pPr>
          </w:p>
          <w:p w14:paraId="23C5D048" w14:textId="77777777" w:rsidR="00E80DB8" w:rsidRPr="009D2D72" w:rsidRDefault="00E80DB8" w:rsidP="00E80DB8">
            <w:pPr>
              <w:rPr>
                <w:color w:val="0D0D0D" w:themeColor="text1" w:themeTint="F2"/>
              </w:rPr>
            </w:pPr>
          </w:p>
          <w:p w14:paraId="76D42C80" w14:textId="77777777" w:rsidR="00E80DB8" w:rsidRPr="009D2D72" w:rsidRDefault="00E80DB8" w:rsidP="00E80DB8">
            <w:pPr>
              <w:rPr>
                <w:color w:val="0D0D0D" w:themeColor="text1" w:themeTint="F2"/>
              </w:rPr>
            </w:pPr>
          </w:p>
          <w:p w14:paraId="44BC1C3E" w14:textId="77777777" w:rsidR="00E80DB8" w:rsidRPr="009D2D72" w:rsidRDefault="00E80DB8" w:rsidP="00E80DB8">
            <w:pPr>
              <w:rPr>
                <w:color w:val="0D0D0D" w:themeColor="text1" w:themeTint="F2"/>
              </w:rPr>
            </w:pPr>
          </w:p>
          <w:p w14:paraId="7F94462B" w14:textId="77777777" w:rsidR="00E80DB8" w:rsidRPr="009D2D72" w:rsidRDefault="00E80DB8" w:rsidP="00E80DB8">
            <w:pPr>
              <w:rPr>
                <w:color w:val="0D0D0D" w:themeColor="text1" w:themeTint="F2"/>
              </w:rPr>
            </w:pPr>
          </w:p>
          <w:p w14:paraId="7654E30B" w14:textId="77777777" w:rsidR="00E80DB8" w:rsidRPr="009D2D72" w:rsidRDefault="00E80DB8" w:rsidP="00E80DB8">
            <w:pPr>
              <w:rPr>
                <w:color w:val="0D0D0D" w:themeColor="text1" w:themeTint="F2"/>
              </w:rPr>
            </w:pPr>
          </w:p>
          <w:p w14:paraId="31970DEA" w14:textId="77777777" w:rsidR="00E80DB8" w:rsidRPr="009D2D72" w:rsidRDefault="00E80DB8" w:rsidP="00E80DB8">
            <w:pPr>
              <w:rPr>
                <w:color w:val="0D0D0D" w:themeColor="text1" w:themeTint="F2"/>
              </w:rPr>
            </w:pPr>
          </w:p>
          <w:p w14:paraId="0AFD99A9" w14:textId="77777777" w:rsidR="00E80DB8" w:rsidRPr="009D2D72" w:rsidRDefault="00E80DB8" w:rsidP="00E80DB8">
            <w:pPr>
              <w:rPr>
                <w:color w:val="0D0D0D" w:themeColor="text1" w:themeTint="F2"/>
              </w:rPr>
            </w:pPr>
          </w:p>
          <w:p w14:paraId="3DFC9F18" w14:textId="77777777" w:rsidR="00E80DB8" w:rsidRPr="009D2D72" w:rsidRDefault="00E80DB8" w:rsidP="00E80DB8">
            <w:pPr>
              <w:rPr>
                <w:color w:val="0D0D0D" w:themeColor="text1" w:themeTint="F2"/>
              </w:rPr>
            </w:pPr>
          </w:p>
          <w:p w14:paraId="1F702620" w14:textId="77777777" w:rsidR="00E80DB8" w:rsidRPr="009D2D72" w:rsidRDefault="00E80DB8" w:rsidP="00E80DB8">
            <w:pPr>
              <w:rPr>
                <w:color w:val="0D0D0D" w:themeColor="text1" w:themeTint="F2"/>
              </w:rPr>
            </w:pPr>
          </w:p>
          <w:p w14:paraId="2C735B44" w14:textId="77777777" w:rsidR="00E80DB8" w:rsidRPr="009D2D72" w:rsidRDefault="00E80DB8" w:rsidP="00E80DB8">
            <w:pPr>
              <w:rPr>
                <w:color w:val="0D0D0D" w:themeColor="text1" w:themeTint="F2"/>
              </w:rPr>
            </w:pPr>
          </w:p>
          <w:p w14:paraId="6080F7AC" w14:textId="77777777" w:rsidR="00E80DB8" w:rsidRPr="009D2D72" w:rsidRDefault="00E80DB8" w:rsidP="00E80DB8">
            <w:pPr>
              <w:rPr>
                <w:color w:val="0D0D0D" w:themeColor="text1" w:themeTint="F2"/>
              </w:rPr>
            </w:pPr>
          </w:p>
          <w:p w14:paraId="4EAA759F" w14:textId="77777777" w:rsidR="00E80DB8" w:rsidRPr="009D2D72" w:rsidRDefault="00E80DB8" w:rsidP="00E80DB8">
            <w:pPr>
              <w:rPr>
                <w:color w:val="0D0D0D" w:themeColor="text1" w:themeTint="F2"/>
              </w:rPr>
            </w:pPr>
          </w:p>
          <w:p w14:paraId="7C6F436D" w14:textId="77777777" w:rsidR="00E80DB8" w:rsidRPr="009D2D72" w:rsidRDefault="00E80DB8" w:rsidP="00E80DB8">
            <w:pPr>
              <w:rPr>
                <w:color w:val="0D0D0D" w:themeColor="text1" w:themeTint="F2"/>
              </w:rPr>
            </w:pPr>
          </w:p>
          <w:p w14:paraId="537AB7AA" w14:textId="77777777" w:rsidR="00E80DB8" w:rsidRPr="009D2D72" w:rsidRDefault="00E80DB8" w:rsidP="00E80DB8">
            <w:pPr>
              <w:rPr>
                <w:color w:val="0D0D0D" w:themeColor="text1" w:themeTint="F2"/>
              </w:rPr>
            </w:pPr>
          </w:p>
          <w:p w14:paraId="25E4D365" w14:textId="77777777" w:rsidR="00E80DB8" w:rsidRPr="009D2D72" w:rsidRDefault="00E80DB8" w:rsidP="00E80DB8">
            <w:pPr>
              <w:rPr>
                <w:color w:val="0D0D0D" w:themeColor="text1" w:themeTint="F2"/>
              </w:rPr>
            </w:pPr>
          </w:p>
          <w:p w14:paraId="568E8CFA" w14:textId="77777777" w:rsidR="00E80DB8" w:rsidRPr="009D2D72" w:rsidRDefault="00E80DB8" w:rsidP="00E80DB8">
            <w:pPr>
              <w:rPr>
                <w:color w:val="0D0D0D" w:themeColor="text1" w:themeTint="F2"/>
              </w:rPr>
            </w:pPr>
          </w:p>
          <w:p w14:paraId="35C33102" w14:textId="77777777" w:rsidR="00E80DB8" w:rsidRPr="009D2D72" w:rsidRDefault="00E80DB8" w:rsidP="00E80DB8">
            <w:pPr>
              <w:rPr>
                <w:color w:val="0D0D0D" w:themeColor="text1" w:themeTint="F2"/>
              </w:rPr>
            </w:pPr>
          </w:p>
          <w:p w14:paraId="1C3BD991" w14:textId="77777777" w:rsidR="00E80DB8" w:rsidRPr="009D2D72" w:rsidRDefault="00E80DB8" w:rsidP="00E80DB8">
            <w:pPr>
              <w:rPr>
                <w:color w:val="0D0D0D" w:themeColor="text1" w:themeTint="F2"/>
              </w:rPr>
            </w:pPr>
          </w:p>
          <w:p w14:paraId="3F166039" w14:textId="77777777" w:rsidR="0031438D" w:rsidRPr="009D2D72" w:rsidRDefault="0031438D" w:rsidP="00E80DB8">
            <w:pPr>
              <w:jc w:val="center"/>
              <w:rPr>
                <w:color w:val="0D0D0D" w:themeColor="text1" w:themeTint="F2"/>
              </w:rPr>
            </w:pPr>
          </w:p>
        </w:tc>
        <w:tc>
          <w:tcPr>
            <w:tcW w:w="3210" w:type="pct"/>
          </w:tcPr>
          <w:p w14:paraId="58764EA9" w14:textId="35055E0F" w:rsidR="0031438D" w:rsidRPr="00E21798" w:rsidRDefault="0031438D" w:rsidP="00771352">
            <w:pPr>
              <w:widowControl w:val="0"/>
              <w:shd w:val="clear" w:color="auto" w:fill="FFFFFF" w:themeFill="background1"/>
              <w:tabs>
                <w:tab w:val="left" w:pos="560"/>
              </w:tabs>
              <w:ind w:firstLine="492"/>
              <w:jc w:val="both"/>
              <w:outlineLvl w:val="2"/>
              <w:rPr>
                <w:color w:val="0D0D0D" w:themeColor="text1" w:themeTint="F2"/>
              </w:rPr>
            </w:pPr>
            <w:r w:rsidRPr="00E21798">
              <w:rPr>
                <w:color w:val="0D0D0D" w:themeColor="text1" w:themeTint="F2"/>
              </w:rPr>
              <w:lastRenderedPageBreak/>
              <w:t xml:space="preserve">Saskaņā ar Ministru kabineta 2014.gada 22.aprīļa sēdes </w:t>
            </w:r>
            <w:proofErr w:type="spellStart"/>
            <w:r w:rsidRPr="00E21798">
              <w:rPr>
                <w:color w:val="0D0D0D" w:themeColor="text1" w:themeTint="F2"/>
              </w:rPr>
              <w:t>protokollēmuma</w:t>
            </w:r>
            <w:proofErr w:type="spellEnd"/>
            <w:r w:rsidRPr="00E21798">
              <w:rPr>
                <w:color w:val="0D0D0D" w:themeColor="text1" w:themeTint="F2"/>
              </w:rPr>
              <w:t xml:space="preserve"> (prot. Nr.24 26.§) „Informatīvais ziņojums „Nozaru administratīvo pārkāpumu kodifikācijas ieviešanas sistēma”” 2.punktu </w:t>
            </w:r>
            <w:r w:rsidRPr="00E21798">
              <w:rPr>
                <w:rFonts w:eastAsia="Calibri"/>
                <w:color w:val="0D0D0D" w:themeColor="text1" w:themeTint="F2"/>
              </w:rPr>
              <w:t>Satiksmes ministrijai</w:t>
            </w:r>
            <w:r w:rsidRPr="00E21798">
              <w:rPr>
                <w:color w:val="0D0D0D" w:themeColor="text1" w:themeTint="F2"/>
              </w:rPr>
              <w:t xml:space="preserve">, ievērojot informatīvā ziņojuma 2.pielikumā noteikto nozaru administratīvo pārkāpumu kodifikācijas laika grafiku, </w:t>
            </w:r>
            <w:r w:rsidRPr="00E21798">
              <w:rPr>
                <w:rFonts w:eastAsia="Calibri"/>
                <w:color w:val="0D0D0D" w:themeColor="text1" w:themeTint="F2"/>
              </w:rPr>
              <w:t>tika uzdots</w:t>
            </w:r>
            <w:r w:rsidRPr="00E21798">
              <w:rPr>
                <w:color w:val="0D0D0D" w:themeColor="text1" w:themeTint="F2"/>
              </w:rPr>
              <w:t xml:space="preserve"> izstrādāt attiec</w:t>
            </w:r>
            <w:r w:rsidRPr="00771352">
              <w:rPr>
                <w:color w:val="0D0D0D" w:themeColor="text1" w:themeTint="F2"/>
                <w:shd w:val="clear" w:color="auto" w:fill="FFFFFF" w:themeFill="background1"/>
              </w:rPr>
              <w:t xml:space="preserve">īgo likumprojektu </w:t>
            </w:r>
            <w:r w:rsidRPr="00771352">
              <w:rPr>
                <w:bCs/>
                <w:color w:val="0D0D0D" w:themeColor="text1" w:themeTint="F2"/>
                <w:shd w:val="clear" w:color="auto" w:fill="FFFFFF" w:themeFill="background1"/>
              </w:rPr>
              <w:t>„</w:t>
            </w:r>
            <w:r w:rsidRPr="00771352">
              <w:rPr>
                <w:color w:val="0D0D0D" w:themeColor="text1" w:themeTint="F2"/>
                <w:shd w:val="clear" w:color="auto" w:fill="FFFFFF" w:themeFill="background1"/>
              </w:rPr>
              <w:t>Grozījumi Elektronisko sakaru likumā</w:t>
            </w:r>
            <w:r w:rsidRPr="00771352">
              <w:rPr>
                <w:bCs/>
                <w:color w:val="0D0D0D" w:themeColor="text1" w:themeTint="F2"/>
                <w:shd w:val="clear" w:color="auto" w:fill="FFFFFF" w:themeFill="background1"/>
              </w:rPr>
              <w:t>”</w:t>
            </w:r>
            <w:r w:rsidR="00463864" w:rsidRPr="00771352">
              <w:rPr>
                <w:color w:val="0D0D0D" w:themeColor="text1" w:themeTint="F2"/>
                <w:shd w:val="clear" w:color="auto" w:fill="FFFFFF" w:themeFill="background1"/>
              </w:rPr>
              <w:t>.</w:t>
            </w:r>
          </w:p>
          <w:p w14:paraId="4DB48F12" w14:textId="29F62883" w:rsidR="0031438D" w:rsidRPr="00E21798" w:rsidRDefault="0031438D" w:rsidP="00771352">
            <w:pPr>
              <w:widowControl w:val="0"/>
              <w:shd w:val="clear" w:color="auto" w:fill="FFFFFF" w:themeFill="background1"/>
              <w:tabs>
                <w:tab w:val="left" w:pos="560"/>
              </w:tabs>
              <w:ind w:firstLine="492"/>
              <w:jc w:val="both"/>
              <w:outlineLvl w:val="2"/>
              <w:rPr>
                <w:color w:val="0D0D0D" w:themeColor="text1" w:themeTint="F2"/>
              </w:rPr>
            </w:pPr>
            <w:r w:rsidRPr="00E21798">
              <w:rPr>
                <w:color w:val="0D0D0D" w:themeColor="text1" w:themeTint="F2"/>
              </w:rPr>
              <w:t xml:space="preserve">Saskaņā ar Ministru kabineta 2013.gada 4.februāra rīkojumu Nr.38 „Administratīvo sodu sistēmas attīstības koncepcijas kopsavilkums” (turpmāk - Koncepcijas kopsavilkums) </w:t>
            </w:r>
            <w:r w:rsidRPr="00771352">
              <w:rPr>
                <w:color w:val="0D0D0D" w:themeColor="text1" w:themeTint="F2"/>
              </w:rPr>
              <w:t>Latvijā pastāvošais administratīvās atbildības regulējums ietverts kodeksā</w:t>
            </w:r>
            <w:r w:rsidR="008A0062" w:rsidRPr="00771352">
              <w:rPr>
                <w:color w:val="0D0D0D" w:themeColor="text1" w:themeTint="F2"/>
              </w:rPr>
              <w:t>.</w:t>
            </w:r>
            <w:r w:rsidRPr="00771352">
              <w:rPr>
                <w:color w:val="0D0D0D" w:themeColor="text1" w:themeTint="F2"/>
              </w:rPr>
              <w:t xml:space="preserve"> (</w:t>
            </w:r>
            <w:r w:rsidRPr="00E21798">
              <w:rPr>
                <w:color w:val="0D0D0D" w:themeColor="text1" w:themeTint="F2"/>
              </w:rPr>
              <w:t>Kodekss ir spēkā no 1985.gada 1.jūlija. Ar Latvijas Republikas Augstākās Padomes 1991.gada 29.augusta lēmumu tika noteikts, ka līdz attiecīgo Latvijas Republikas kodeksu vai citu likumdošanas aktu pieņemšanai Latvijas Republikas teritorijā piemēro Latvijas PSR Administratīvo pārkāpumu kodeksu. No kodeksa spēkā stāšanās līdz šim laikam tas ir grozīts vairāk nekā 130 reizes.</w:t>
            </w:r>
          </w:p>
          <w:p w14:paraId="22E1920A" w14:textId="77777777" w:rsidR="0031438D" w:rsidRPr="009D2D72" w:rsidRDefault="0031438D" w:rsidP="0031438D">
            <w:pPr>
              <w:widowControl w:val="0"/>
              <w:tabs>
                <w:tab w:val="left" w:pos="560"/>
              </w:tabs>
              <w:ind w:firstLine="492"/>
              <w:jc w:val="both"/>
              <w:outlineLvl w:val="2"/>
              <w:rPr>
                <w:color w:val="0D0D0D" w:themeColor="text1" w:themeTint="F2"/>
              </w:rPr>
            </w:pPr>
            <w:r w:rsidRPr="00E21798">
              <w:rPr>
                <w:color w:val="0D0D0D" w:themeColor="text1" w:themeTint="F2"/>
              </w:rPr>
              <w:t>Atbilstoši Ministru kabineta 2013.gada 4.februāra rīkoju</w:t>
            </w:r>
            <w:r w:rsidR="006A4D3C" w:rsidRPr="00E21798">
              <w:rPr>
                <w:color w:val="0D0D0D" w:themeColor="text1" w:themeTint="F2"/>
              </w:rPr>
              <w:t>mam</w:t>
            </w:r>
            <w:r w:rsidRPr="00E21798">
              <w:rPr>
                <w:color w:val="0D0D0D" w:themeColor="text1" w:themeTint="F2"/>
              </w:rPr>
              <w:t xml:space="preserve"> Nr.38 „Par Administratīvo sodu sistēmas attīstības koncepciju” tika atbalstīti Koncepcijas kopsavilkumā ietvertie risinājumi, tostarp paredzot nozaru administratīvo pārkāpumu kodifikāciju.</w:t>
            </w:r>
          </w:p>
          <w:p w14:paraId="42AC3DB5" w14:textId="77777777" w:rsidR="0031438D" w:rsidRPr="00E21798" w:rsidRDefault="0031438D" w:rsidP="0031438D">
            <w:pPr>
              <w:widowControl w:val="0"/>
              <w:tabs>
                <w:tab w:val="left" w:pos="560"/>
              </w:tabs>
              <w:ind w:firstLine="492"/>
              <w:jc w:val="both"/>
              <w:outlineLvl w:val="2"/>
              <w:rPr>
                <w:color w:val="0D0D0D" w:themeColor="text1" w:themeTint="F2"/>
              </w:rPr>
            </w:pPr>
            <w:r w:rsidRPr="00E21798">
              <w:rPr>
                <w:color w:val="0D0D0D" w:themeColor="text1" w:themeTint="F2"/>
              </w:rPr>
              <w:t xml:space="preserve">Kā izriet no 2014.gada informatīvā ziņojuma „Nozaru administratīvo pārkāpumu kodifikācijas ieviešanas sistēma” (TA-775) nozaru ministrijām tika paredzēts uzdevums sadarbībā ar institūcijām, kuras šobrīd piemēro </w:t>
            </w:r>
            <w:r w:rsidRPr="00E21798">
              <w:rPr>
                <w:color w:val="0D0D0D" w:themeColor="text1" w:themeTint="F2"/>
              </w:rPr>
              <w:lastRenderedPageBreak/>
              <w:t>administratīvos sodus, izvērtēt kompetencē esošos administratīvos pārkāpumus, cita starpā ņemot vērā nodarījuma aktualitāti, proti, vai kodeksā noteiktie administratīvie sodi nav novecojuši, vai izvērtējot pēdējo triju gadu statistikas datus, faktiski tiek piemēroti kodeksā noteiktie administratīvie sodi.</w:t>
            </w:r>
          </w:p>
          <w:p w14:paraId="64C82BCF" w14:textId="77777777" w:rsidR="0031438D" w:rsidRPr="00E21798" w:rsidRDefault="0031438D" w:rsidP="0031438D">
            <w:pPr>
              <w:widowControl w:val="0"/>
              <w:tabs>
                <w:tab w:val="left" w:pos="560"/>
              </w:tabs>
              <w:ind w:firstLine="492"/>
              <w:jc w:val="both"/>
              <w:outlineLvl w:val="2"/>
              <w:rPr>
                <w:bCs/>
                <w:iCs/>
                <w:color w:val="0D0D0D" w:themeColor="text1" w:themeTint="F2"/>
              </w:rPr>
            </w:pPr>
            <w:r w:rsidRPr="00E21798">
              <w:rPr>
                <w:color w:val="0D0D0D" w:themeColor="text1" w:themeTint="F2"/>
              </w:rPr>
              <w:t xml:space="preserve">Kodeksā paredzētie administratīvo pārkāpumu sastāvi tiek saglabāti un integrēti Elektronisko sakaru likumā, atbilstoši Ministru kabineta 2014.gada 22.aprīļa sēdē izskatītā Tieslietu ministrijas sagatavotā informatīvā ziņojuma “Nozaru administratīvo pārkāpumu ieviešanas sistēma” 1.pielikuma “Nozaru administratīvo pārkāpumu ieviešanas shēma” noteiktajam par VAS “Elektroniskie sakari”, Valsts policijas un Sabiedrisko pakalpojumu regulēšanas komisijas (turpmāk – Regulators) kompetenci, un, ņemot vērā kopš minētā informatīvā ziņojuma sagatavošanas pieņemtās izmaiņas kodeksā. </w:t>
            </w:r>
          </w:p>
          <w:p w14:paraId="6E4582FB" w14:textId="77777777" w:rsidR="0031438D" w:rsidRPr="00E21798" w:rsidRDefault="007708F8" w:rsidP="0031438D">
            <w:pPr>
              <w:autoSpaceDE w:val="0"/>
              <w:autoSpaceDN w:val="0"/>
              <w:adjustRightInd w:val="0"/>
              <w:jc w:val="both"/>
              <w:rPr>
                <w:color w:val="0D0D0D" w:themeColor="text1" w:themeTint="F2"/>
              </w:rPr>
            </w:pPr>
            <w:r w:rsidRPr="00E21798">
              <w:rPr>
                <w:color w:val="0D0D0D" w:themeColor="text1" w:themeTint="F2"/>
              </w:rPr>
              <w:t xml:space="preserve">           </w:t>
            </w:r>
            <w:r w:rsidR="0031438D" w:rsidRPr="00E21798">
              <w:rPr>
                <w:color w:val="0D0D0D" w:themeColor="text1" w:themeTint="F2"/>
              </w:rPr>
              <w:t xml:space="preserve">Saskaņā ar Iekšlietu ministrijas Informācijas centra </w:t>
            </w:r>
            <w:r w:rsidR="0031438D" w:rsidRPr="00E21798">
              <w:rPr>
                <w:noProof/>
                <w:color w:val="0D0D0D" w:themeColor="text1" w:themeTint="F2"/>
              </w:rPr>
              <w:t xml:space="preserve">datiem Sodu reģistrā laika periodā no 2013.gada </w:t>
            </w:r>
            <w:r w:rsidR="0031438D" w:rsidRPr="00E21798">
              <w:rPr>
                <w:color w:val="0D0D0D" w:themeColor="text1" w:themeTint="F2"/>
              </w:rPr>
              <w:t>par kodeksa 148.</w:t>
            </w:r>
            <w:r w:rsidR="0031438D" w:rsidRPr="00E21798">
              <w:rPr>
                <w:color w:val="0D0D0D" w:themeColor="text1" w:themeTint="F2"/>
                <w:vertAlign w:val="superscript"/>
              </w:rPr>
              <w:t>2</w:t>
            </w:r>
            <w:r w:rsidR="0031438D" w:rsidRPr="00E21798">
              <w:rPr>
                <w:color w:val="0D0D0D" w:themeColor="text1" w:themeTint="F2"/>
              </w:rPr>
              <w:t xml:space="preserve"> pantā noteikto administratīvo pārkāpumu (</w:t>
            </w:r>
            <w:r w:rsidR="0031438D" w:rsidRPr="00E21798">
              <w:rPr>
                <w:bCs/>
                <w:color w:val="0D0D0D" w:themeColor="text1" w:themeTint="F2"/>
              </w:rPr>
              <w:t>Datu, programmatūras un iekārtu iegūšana, izgatavošana, izmainīšana, glabāšana un izplatīšana nelikumīgām darbībām ar elektronisko sakaru tīklu galiekārtām)</w:t>
            </w:r>
            <w:r w:rsidR="0031438D" w:rsidRPr="00E21798">
              <w:rPr>
                <w:color w:val="0D0D0D" w:themeColor="text1" w:themeTint="F2"/>
              </w:rPr>
              <w:t xml:space="preserve"> nav reģistrēta neviena administratīvā pārkāpuma lieta.</w:t>
            </w:r>
            <w:r w:rsidR="006D36C2">
              <w:rPr>
                <w:color w:val="0D0D0D" w:themeColor="text1" w:themeTint="F2"/>
              </w:rPr>
              <w:t xml:space="preserve"> </w:t>
            </w:r>
          </w:p>
          <w:p w14:paraId="7BBECEC4" w14:textId="77777777" w:rsidR="0031438D" w:rsidRPr="00E21798" w:rsidRDefault="00541887" w:rsidP="0031438D">
            <w:pPr>
              <w:autoSpaceDE w:val="0"/>
              <w:autoSpaceDN w:val="0"/>
              <w:adjustRightInd w:val="0"/>
              <w:jc w:val="both"/>
              <w:rPr>
                <w:color w:val="0D0D0D" w:themeColor="text1" w:themeTint="F2"/>
              </w:rPr>
            </w:pPr>
            <w:r w:rsidRPr="00E21798">
              <w:rPr>
                <w:color w:val="0D0D0D" w:themeColor="text1" w:themeTint="F2"/>
              </w:rPr>
              <w:t xml:space="preserve">       </w:t>
            </w:r>
            <w:r w:rsidR="0031438D" w:rsidRPr="00E21798">
              <w:rPr>
                <w:color w:val="0D0D0D" w:themeColor="text1" w:themeTint="F2"/>
              </w:rPr>
              <w:t>Pamatojoties uz kodeksa 235.pantā noteikto                 kompetenci administratīvo sodu piemērošanā, valsts akciju sabiedrība „Elektroniskie sakari” ir sniegusi datus par administratīvo sodu piemērošanas statistiku:</w:t>
            </w:r>
          </w:p>
          <w:p w14:paraId="620F3182" w14:textId="77777777" w:rsidR="0031438D" w:rsidRPr="00E21798" w:rsidRDefault="007708F8" w:rsidP="0031438D">
            <w:pPr>
              <w:autoSpaceDE w:val="0"/>
              <w:autoSpaceDN w:val="0"/>
              <w:adjustRightInd w:val="0"/>
              <w:jc w:val="both"/>
              <w:rPr>
                <w:color w:val="0D0D0D" w:themeColor="text1" w:themeTint="F2"/>
              </w:rPr>
            </w:pPr>
            <w:r w:rsidRPr="00E21798">
              <w:rPr>
                <w:color w:val="0D0D0D" w:themeColor="text1" w:themeTint="F2"/>
              </w:rPr>
              <w:t xml:space="preserve">       </w:t>
            </w:r>
            <w:r w:rsidR="0031438D" w:rsidRPr="00E21798">
              <w:rPr>
                <w:color w:val="0D0D0D" w:themeColor="text1" w:themeTint="F2"/>
              </w:rPr>
              <w:t>1) par 2013., 2014. un 2015.gadā ierosinātajām administratīvo pārkāpumu, kas paredzēti kodeksa 145. – 148.pantā un 149.</w:t>
            </w:r>
            <w:r w:rsidR="0031438D" w:rsidRPr="00E21798">
              <w:rPr>
                <w:color w:val="0D0D0D" w:themeColor="text1" w:themeTint="F2"/>
                <w:vertAlign w:val="superscript"/>
              </w:rPr>
              <w:t>1</w:t>
            </w:r>
            <w:r w:rsidR="0031438D" w:rsidRPr="00E21798">
              <w:rPr>
                <w:color w:val="0D0D0D" w:themeColor="text1" w:themeTint="F2"/>
              </w:rPr>
              <w:t xml:space="preserve"> pantā, lietām un piemērotajiem administratīvajiem sodiem;</w:t>
            </w:r>
          </w:p>
          <w:p w14:paraId="7BEB2F40" w14:textId="77777777" w:rsidR="0031438D" w:rsidRDefault="007708F8" w:rsidP="0031438D">
            <w:pPr>
              <w:autoSpaceDE w:val="0"/>
              <w:autoSpaceDN w:val="0"/>
              <w:adjustRightInd w:val="0"/>
              <w:jc w:val="both"/>
              <w:rPr>
                <w:color w:val="0D0D0D" w:themeColor="text1" w:themeTint="F2"/>
              </w:rPr>
            </w:pPr>
            <w:r w:rsidRPr="00E21798">
              <w:rPr>
                <w:color w:val="0D0D0D" w:themeColor="text1" w:themeTint="F2"/>
              </w:rPr>
              <w:t xml:space="preserve">       </w:t>
            </w:r>
            <w:r w:rsidR="0031438D" w:rsidRPr="00E21798">
              <w:rPr>
                <w:color w:val="0D0D0D" w:themeColor="text1" w:themeTint="F2"/>
              </w:rPr>
              <w:t>2) par laika periodā no 2013.gada līdz 2014.gada 3.jūlijam, kad stājās spēkā 2014.gada 19.jūnija likums “Grozījumi Latvijas Administratīvo pārkāpumu kodeksā”, kodeksa 152.</w:t>
            </w:r>
            <w:r w:rsidR="0031438D" w:rsidRPr="00E21798">
              <w:rPr>
                <w:color w:val="0D0D0D" w:themeColor="text1" w:themeTint="F2"/>
                <w:vertAlign w:val="superscript"/>
              </w:rPr>
              <w:t>4</w:t>
            </w:r>
            <w:r w:rsidR="0031438D" w:rsidRPr="00E21798">
              <w:rPr>
                <w:color w:val="0D0D0D" w:themeColor="text1" w:themeTint="F2"/>
              </w:rPr>
              <w:t xml:space="preserve"> un 152.</w:t>
            </w:r>
            <w:r w:rsidR="0031438D" w:rsidRPr="00E21798">
              <w:rPr>
                <w:color w:val="0D0D0D" w:themeColor="text1" w:themeTint="F2"/>
                <w:vertAlign w:val="superscript"/>
              </w:rPr>
              <w:t>5</w:t>
            </w:r>
            <w:r w:rsidR="0031438D" w:rsidRPr="00E21798">
              <w:rPr>
                <w:color w:val="0D0D0D" w:themeColor="text1" w:themeTint="F2"/>
              </w:rPr>
              <w:t>pantā paredzētajiem administratīvajiem pārkāpumiem.</w:t>
            </w:r>
          </w:p>
          <w:p w14:paraId="0880A117" w14:textId="77777777" w:rsidR="0031438D" w:rsidRDefault="00987516" w:rsidP="00987516">
            <w:pPr>
              <w:autoSpaceDE w:val="0"/>
              <w:autoSpaceDN w:val="0"/>
              <w:adjustRightInd w:val="0"/>
              <w:jc w:val="both"/>
              <w:rPr>
                <w:color w:val="0D0D0D" w:themeColor="text1" w:themeTint="F2"/>
              </w:rPr>
            </w:pPr>
            <w:r>
              <w:rPr>
                <w:color w:val="0D0D0D" w:themeColor="text1" w:themeTint="F2"/>
              </w:rPr>
              <w:t xml:space="preserve">        </w:t>
            </w:r>
            <w:r w:rsidR="0031438D" w:rsidRPr="00E21798">
              <w:rPr>
                <w:color w:val="0D0D0D" w:themeColor="text1" w:themeTint="F2"/>
              </w:rPr>
              <w:t xml:space="preserve">Satiksmes ministrijas ieskatā administratīvās lietvedības neierosināšana par noteikta veida administratīvo pārkāpumu lietām vai neliels skaits ierosināto administratīvo lietu par attiecīgā kodeksa pantā ietverto administratīvā pārkāpuma sastāvu pēdējo triju gadu laikā nevar būt pamats atzīt minētos nodarījumus par aktualitāti zaudējušiem. Administratīvā pārkāpumu sastāvu saglabāšana un integrēšana </w:t>
            </w:r>
            <w:r w:rsidR="0031438D" w:rsidRPr="000E1CF9">
              <w:rPr>
                <w:color w:val="0D0D0D" w:themeColor="text1" w:themeTint="F2"/>
              </w:rPr>
              <w:t>Elektronisko sakaru likumā (turpmāk – ESL),</w:t>
            </w:r>
            <w:r w:rsidR="0031438D" w:rsidRPr="00E21798">
              <w:rPr>
                <w:color w:val="0D0D0D" w:themeColor="text1" w:themeTint="F2"/>
              </w:rPr>
              <w:t xml:space="preserve"> atbilstoši Ministru kabineta 2014.gada 22.aprīļa sēdē izskatītā Tieslietu ministrijas sagatavotā informatīvā ziņojuma “Nozaru administratīvo pārkāpumu ieviešanas sistēma” 1.pielikumam “Nozaru administratīvo pārkāpumu ieviešanas shēma”, ir nepieciešama, jo administratīvais sods cita starpā veic administratīvo pārkāpumu preventīvo funkciju, atturot fiziskas un juridiskas personas no normatīvajos aktos aizliegto darbību veikšanas.</w:t>
            </w:r>
          </w:p>
          <w:p w14:paraId="49B0A621" w14:textId="77777777" w:rsidR="0031438D" w:rsidRPr="00E21798" w:rsidRDefault="00987516" w:rsidP="00AA3A28">
            <w:pPr>
              <w:autoSpaceDE w:val="0"/>
              <w:autoSpaceDN w:val="0"/>
              <w:adjustRightInd w:val="0"/>
              <w:jc w:val="both"/>
              <w:rPr>
                <w:bCs/>
                <w:color w:val="0D0D0D" w:themeColor="text1" w:themeTint="F2"/>
              </w:rPr>
            </w:pPr>
            <w:r>
              <w:rPr>
                <w:color w:val="0D0D0D" w:themeColor="text1" w:themeTint="F2"/>
              </w:rPr>
              <w:t xml:space="preserve">       </w:t>
            </w:r>
            <w:r w:rsidR="0031438D" w:rsidRPr="00E21798">
              <w:rPr>
                <w:bCs/>
                <w:color w:val="0D0D0D" w:themeColor="text1" w:themeTint="F2"/>
              </w:rPr>
              <w:t>Likumprojekts nepārņem šādas kodeksa normas:</w:t>
            </w:r>
          </w:p>
          <w:p w14:paraId="18E2115D" w14:textId="77777777" w:rsidR="0031438D" w:rsidRPr="00E21798" w:rsidRDefault="0031438D" w:rsidP="00050F6B">
            <w:pPr>
              <w:widowControl w:val="0"/>
              <w:tabs>
                <w:tab w:val="left" w:pos="560"/>
              </w:tabs>
              <w:ind w:firstLine="492"/>
              <w:jc w:val="both"/>
              <w:outlineLvl w:val="2"/>
              <w:rPr>
                <w:bCs/>
                <w:color w:val="0D0D0D" w:themeColor="text1" w:themeTint="F2"/>
              </w:rPr>
            </w:pPr>
            <w:r w:rsidRPr="00E21798">
              <w:rPr>
                <w:bCs/>
                <w:color w:val="0D0D0D" w:themeColor="text1" w:themeTint="F2"/>
              </w:rPr>
              <w:t>-146.</w:t>
            </w:r>
            <w:r w:rsidRPr="00E21798">
              <w:rPr>
                <w:bCs/>
                <w:color w:val="0D0D0D" w:themeColor="text1" w:themeTint="F2"/>
                <w:vertAlign w:val="superscript"/>
              </w:rPr>
              <w:t>2</w:t>
            </w:r>
            <w:r w:rsidRPr="00E21798">
              <w:rPr>
                <w:bCs/>
                <w:color w:val="0D0D0D" w:themeColor="text1" w:themeTint="F2"/>
              </w:rPr>
              <w:t xml:space="preserve"> pantu “Radiosakarus reglamentējošo normatīvo aktu pārkāpšana”, jo minētais pants dublē citas likumprojektā iekļautās tiesību normas par konkrētiem </w:t>
            </w:r>
            <w:r w:rsidRPr="006F7FBA">
              <w:rPr>
                <w:bCs/>
                <w:color w:val="0D0D0D" w:themeColor="text1" w:themeTint="F2"/>
              </w:rPr>
              <w:t>radiosakarus reglamentējošo normatīvo aktu pārkāpumiem</w:t>
            </w:r>
            <w:r w:rsidR="00493218" w:rsidRPr="006F7FBA">
              <w:rPr>
                <w:bCs/>
                <w:color w:val="0D0D0D" w:themeColor="text1" w:themeTint="F2"/>
              </w:rPr>
              <w:t xml:space="preserve"> </w:t>
            </w:r>
            <w:r w:rsidR="000C3CF0" w:rsidRPr="006F7FBA">
              <w:rPr>
                <w:bCs/>
                <w:color w:val="0D0D0D" w:themeColor="text1" w:themeTint="F2"/>
              </w:rPr>
              <w:t xml:space="preserve">, kas pārņem </w:t>
            </w:r>
            <w:r w:rsidR="00493218" w:rsidRPr="006F7FBA">
              <w:rPr>
                <w:bCs/>
                <w:color w:val="0D0D0D" w:themeColor="text1" w:themeTint="F2"/>
              </w:rPr>
              <w:t>kodeksa 145., 146., 146</w:t>
            </w:r>
            <w:r w:rsidR="007C6728" w:rsidRPr="006F7FBA">
              <w:rPr>
                <w:bCs/>
                <w:color w:val="0D0D0D" w:themeColor="text1" w:themeTint="F2"/>
              </w:rPr>
              <w:t>.</w:t>
            </w:r>
            <w:r w:rsidR="00493218" w:rsidRPr="006F7FBA">
              <w:rPr>
                <w:bCs/>
                <w:color w:val="0D0D0D" w:themeColor="text1" w:themeTint="F2"/>
                <w:vertAlign w:val="superscript"/>
              </w:rPr>
              <w:t>1</w:t>
            </w:r>
            <w:r w:rsidR="00493218" w:rsidRPr="006F7FBA">
              <w:rPr>
                <w:bCs/>
                <w:color w:val="0D0D0D" w:themeColor="text1" w:themeTint="F2"/>
              </w:rPr>
              <w:t>,</w:t>
            </w:r>
            <w:r w:rsidR="007C6728" w:rsidRPr="006F7FBA">
              <w:rPr>
                <w:bCs/>
                <w:color w:val="0D0D0D" w:themeColor="text1" w:themeTint="F2"/>
              </w:rPr>
              <w:t xml:space="preserve"> </w:t>
            </w:r>
            <w:r w:rsidR="00FE4CDD" w:rsidRPr="006F7FBA">
              <w:rPr>
                <w:bCs/>
                <w:color w:val="0D0D0D" w:themeColor="text1" w:themeTint="F2"/>
              </w:rPr>
              <w:t>146.</w:t>
            </w:r>
            <w:r w:rsidR="00FE4CDD" w:rsidRPr="006F7FBA">
              <w:rPr>
                <w:bCs/>
                <w:color w:val="0D0D0D" w:themeColor="text1" w:themeTint="F2"/>
                <w:vertAlign w:val="superscript"/>
              </w:rPr>
              <w:t>3</w:t>
            </w:r>
            <w:r w:rsidR="00E8039A" w:rsidRPr="006F7FBA">
              <w:rPr>
                <w:bCs/>
                <w:color w:val="0D0D0D" w:themeColor="text1" w:themeTint="F2"/>
              </w:rPr>
              <w:t xml:space="preserve"> </w:t>
            </w:r>
            <w:r w:rsidR="00FE4CDD" w:rsidRPr="006F7FBA">
              <w:rPr>
                <w:bCs/>
                <w:color w:val="0D0D0D" w:themeColor="text1" w:themeTint="F2"/>
              </w:rPr>
              <w:t>pantu</w:t>
            </w:r>
            <w:r w:rsidR="000C3CF0" w:rsidRPr="006F7FBA">
              <w:rPr>
                <w:bCs/>
                <w:color w:val="0D0D0D" w:themeColor="text1" w:themeTint="F2"/>
              </w:rPr>
              <w:t xml:space="preserve"> regulējumu</w:t>
            </w:r>
            <w:r w:rsidRPr="006F7FBA">
              <w:rPr>
                <w:bCs/>
                <w:color w:val="0D0D0D" w:themeColor="text1" w:themeTint="F2"/>
              </w:rPr>
              <w:t>;</w:t>
            </w:r>
          </w:p>
          <w:p w14:paraId="33C0DA4D" w14:textId="5EA4B994" w:rsidR="00966F2E" w:rsidRPr="007325FA" w:rsidRDefault="0031438D" w:rsidP="00966F2E">
            <w:pPr>
              <w:widowControl w:val="0"/>
              <w:tabs>
                <w:tab w:val="left" w:pos="560"/>
              </w:tabs>
              <w:ind w:firstLine="492"/>
              <w:jc w:val="both"/>
              <w:outlineLvl w:val="2"/>
              <w:rPr>
                <w:bCs/>
                <w:color w:val="000000" w:themeColor="text1"/>
              </w:rPr>
            </w:pPr>
            <w:r w:rsidRPr="00E21798">
              <w:rPr>
                <w:bCs/>
                <w:color w:val="0D0D0D" w:themeColor="text1" w:themeTint="F2"/>
              </w:rPr>
              <w:t>- 146.</w:t>
            </w:r>
            <w:r w:rsidRPr="00E21798">
              <w:rPr>
                <w:bCs/>
                <w:color w:val="0D0D0D" w:themeColor="text1" w:themeTint="F2"/>
                <w:vertAlign w:val="superscript"/>
              </w:rPr>
              <w:t>4</w:t>
            </w:r>
            <w:r w:rsidRPr="00E21798">
              <w:rPr>
                <w:bCs/>
                <w:color w:val="0D0D0D" w:themeColor="text1" w:themeTint="F2"/>
              </w:rPr>
              <w:t xml:space="preserve"> pantu “Sakaru iekārtu izplatīšanas noteikumu pārkāpšana”,</w:t>
            </w:r>
            <w:r w:rsidR="008D44EE">
              <w:rPr>
                <w:bCs/>
                <w:color w:val="0D0D0D" w:themeColor="text1" w:themeTint="F2"/>
              </w:rPr>
              <w:t xml:space="preserve"> </w:t>
            </w:r>
            <w:r w:rsidRPr="00E21798">
              <w:rPr>
                <w:color w:val="0D0D0D" w:themeColor="text1" w:themeTint="F2"/>
                <w:spacing w:val="1"/>
              </w:rPr>
              <w:t xml:space="preserve"> </w:t>
            </w:r>
            <w:r w:rsidRPr="00E21798">
              <w:rPr>
                <w:bCs/>
                <w:color w:val="0D0D0D" w:themeColor="text1" w:themeTint="F2"/>
              </w:rPr>
              <w:t xml:space="preserve">jo 2014. gada 16. aprīlī tika pieņemta Direktīva 2014/53/ES, kura paredz ar 2016. gada 13. jūniju atcelt paziņošanas kārtību attiecībā uz radioiekārtu </w:t>
            </w:r>
            <w:r w:rsidRPr="007325FA">
              <w:rPr>
                <w:bCs/>
                <w:color w:val="000000" w:themeColor="text1"/>
              </w:rPr>
              <w:t>izplatīšanu, līdz ar to attiecīgajai kodeksa tiesību normai vairs nav pamatojuma.</w:t>
            </w:r>
          </w:p>
          <w:p w14:paraId="20EB08C7" w14:textId="77777777" w:rsidR="0064283B" w:rsidRPr="007325FA" w:rsidRDefault="0064283B" w:rsidP="0064283B">
            <w:pPr>
              <w:widowControl w:val="0"/>
              <w:tabs>
                <w:tab w:val="left" w:pos="560"/>
              </w:tabs>
              <w:ind w:firstLine="492"/>
              <w:jc w:val="both"/>
              <w:outlineLvl w:val="2"/>
              <w:rPr>
                <w:color w:val="000000" w:themeColor="text1"/>
              </w:rPr>
            </w:pPr>
            <w:r w:rsidRPr="007325FA">
              <w:rPr>
                <w:color w:val="000000" w:themeColor="text1"/>
              </w:rPr>
              <w:t>- 146.</w:t>
            </w:r>
            <w:r w:rsidRPr="007325FA">
              <w:rPr>
                <w:color w:val="000000" w:themeColor="text1"/>
                <w:vertAlign w:val="superscript"/>
              </w:rPr>
              <w:t>5</w:t>
            </w:r>
            <w:r w:rsidRPr="007325FA">
              <w:rPr>
                <w:color w:val="000000" w:themeColor="text1"/>
              </w:rPr>
              <w:t xml:space="preserve"> pantu </w:t>
            </w:r>
            <w:r w:rsidRPr="007325FA">
              <w:rPr>
                <w:bCs/>
                <w:color w:val="000000" w:themeColor="text1"/>
              </w:rPr>
              <w:t xml:space="preserve">“Informācijas nesniegšana numerācijas datu bāzes un atrašanās vietas informācijas datu bāzes uzturēšanai”. </w:t>
            </w:r>
            <w:r w:rsidRPr="007325FA">
              <w:rPr>
                <w:color w:val="000000" w:themeColor="text1"/>
              </w:rPr>
              <w:t xml:space="preserve">Tieslietu ministrijas patstāvīgā darba </w:t>
            </w:r>
            <w:proofErr w:type="spellStart"/>
            <w:r w:rsidRPr="007325FA">
              <w:rPr>
                <w:color w:val="000000" w:themeColor="text1"/>
              </w:rPr>
              <w:t>grupa,ņemot</w:t>
            </w:r>
            <w:proofErr w:type="spellEnd"/>
            <w:r w:rsidRPr="007325FA">
              <w:rPr>
                <w:color w:val="000000" w:themeColor="text1"/>
              </w:rPr>
              <w:t xml:space="preserve"> vērā, ka  līdzīgi pārkāpumi ir paredzēti arī daudzās citās jomās, nolēma kodeksa 146.</w:t>
            </w:r>
            <w:r w:rsidRPr="007325FA">
              <w:rPr>
                <w:color w:val="000000" w:themeColor="text1"/>
                <w:vertAlign w:val="superscript"/>
              </w:rPr>
              <w:t>5</w:t>
            </w:r>
            <w:r w:rsidRPr="007325FA">
              <w:rPr>
                <w:color w:val="000000" w:themeColor="text1"/>
              </w:rPr>
              <w:t xml:space="preserve"> pantā </w:t>
            </w:r>
            <w:r w:rsidRPr="007325FA">
              <w:rPr>
                <w:bCs/>
                <w:color w:val="000000" w:themeColor="text1"/>
              </w:rPr>
              <w:t xml:space="preserve">“Informācijas nesniegšana numerācijas datu bāzes un atrašanās vietas informācijas datu bāzes uzturēšanai” </w:t>
            </w:r>
            <w:r w:rsidRPr="007325FA">
              <w:rPr>
                <w:color w:val="000000" w:themeColor="text1"/>
              </w:rPr>
              <w:t xml:space="preserve">noteikto administratīvo pārkāpumu  iekļaut Administratīvās atbildības par pārkāpumiem pārvaldes, sabiedriskās kārtības un valsts valodas lietošanas jomā likumā.  </w:t>
            </w:r>
          </w:p>
          <w:p w14:paraId="08839AB0" w14:textId="4B7E2137" w:rsidR="0078695F" w:rsidRPr="00771352" w:rsidRDefault="0078695F" w:rsidP="004306D5">
            <w:pPr>
              <w:widowControl w:val="0"/>
              <w:tabs>
                <w:tab w:val="left" w:pos="560"/>
              </w:tabs>
              <w:ind w:firstLine="492"/>
              <w:jc w:val="both"/>
              <w:outlineLvl w:val="2"/>
            </w:pPr>
            <w:r w:rsidRPr="007325FA">
              <w:rPr>
                <w:color w:val="000000" w:themeColor="text1"/>
              </w:rPr>
              <w:t xml:space="preserve">Ņemot vērā administratīvo pārkāpumu jomā uzsākto atteikšanos normatīvajos aktos noteikt </w:t>
            </w:r>
            <w:r w:rsidRPr="00771352">
              <w:t xml:space="preserve">atsevišķus administratīvo pārkāpumu sastāvus par atkārtotiem pārkāpumiem, arī Likumprojektā tādi nav paredzēti. </w:t>
            </w:r>
          </w:p>
          <w:p w14:paraId="3BD1F5D4" w14:textId="77777777" w:rsidR="0031438D" w:rsidRPr="00771352" w:rsidRDefault="004101E6" w:rsidP="004101E6">
            <w:pPr>
              <w:widowControl w:val="0"/>
              <w:tabs>
                <w:tab w:val="left" w:pos="560"/>
              </w:tabs>
              <w:jc w:val="both"/>
              <w:outlineLvl w:val="2"/>
              <w:rPr>
                <w:bCs/>
                <w:color w:val="0D0D0D" w:themeColor="text1" w:themeTint="F2"/>
              </w:rPr>
            </w:pPr>
            <w:r w:rsidRPr="00771352">
              <w:rPr>
                <w:bCs/>
                <w:color w:val="0D0D0D" w:themeColor="text1" w:themeTint="F2"/>
              </w:rPr>
              <w:t xml:space="preserve">           </w:t>
            </w:r>
            <w:r w:rsidR="003D758A" w:rsidRPr="00771352">
              <w:rPr>
                <w:bCs/>
                <w:color w:val="0D0D0D" w:themeColor="text1" w:themeTint="F2"/>
              </w:rPr>
              <w:t>Kodeksa 145.</w:t>
            </w:r>
            <w:r w:rsidR="0031438D" w:rsidRPr="00771352">
              <w:rPr>
                <w:bCs/>
                <w:color w:val="0D0D0D" w:themeColor="text1" w:themeTint="F2"/>
              </w:rPr>
              <w:t xml:space="preserve">pants “Radioamatieru darbības noteikumu pārkāpšana” iekļauts likumprojekta 76.panta </w:t>
            </w:r>
            <w:r w:rsidR="00AD454D" w:rsidRPr="00771352">
              <w:rPr>
                <w:bCs/>
                <w:color w:val="0D0D0D" w:themeColor="text1" w:themeTint="F2"/>
              </w:rPr>
              <w:t xml:space="preserve">pirmajā daļā </w:t>
            </w:r>
            <w:r w:rsidR="0031438D" w:rsidRPr="00771352">
              <w:rPr>
                <w:bCs/>
                <w:color w:val="0D0D0D" w:themeColor="text1" w:themeTint="F2"/>
              </w:rPr>
              <w:t>“</w:t>
            </w:r>
            <w:r w:rsidR="0031438D" w:rsidRPr="00771352">
              <w:rPr>
                <w:color w:val="0D0D0D" w:themeColor="text1" w:themeTint="F2"/>
              </w:rPr>
              <w:t>Administratīvā atbildība radiosakaru jomā”</w:t>
            </w:r>
            <w:r w:rsidR="00EC2D6E" w:rsidRPr="00771352">
              <w:rPr>
                <w:color w:val="0D0D0D" w:themeColor="text1" w:themeTint="F2"/>
              </w:rPr>
              <w:t>, nemainot soda sankcijas apmēru</w:t>
            </w:r>
            <w:r w:rsidR="00AA3A28" w:rsidRPr="00771352">
              <w:rPr>
                <w:color w:val="0D0D0D" w:themeColor="text1" w:themeTint="F2"/>
              </w:rPr>
              <w:t>.</w:t>
            </w:r>
          </w:p>
          <w:p w14:paraId="00D0A015" w14:textId="61AB70F4" w:rsidR="0031438D" w:rsidRPr="00771352" w:rsidRDefault="004101E6" w:rsidP="004101E6">
            <w:pPr>
              <w:widowControl w:val="0"/>
              <w:tabs>
                <w:tab w:val="left" w:pos="560"/>
              </w:tabs>
              <w:jc w:val="both"/>
              <w:outlineLvl w:val="2"/>
              <w:rPr>
                <w:bCs/>
                <w:color w:val="0D0D0D" w:themeColor="text1" w:themeTint="F2"/>
              </w:rPr>
            </w:pPr>
            <w:r w:rsidRPr="00771352">
              <w:rPr>
                <w:bCs/>
                <w:color w:val="0D0D0D" w:themeColor="text1" w:themeTint="F2"/>
              </w:rPr>
              <w:t xml:space="preserve">           </w:t>
            </w:r>
            <w:r w:rsidR="0031438D" w:rsidRPr="00771352">
              <w:rPr>
                <w:bCs/>
                <w:color w:val="0D0D0D" w:themeColor="text1" w:themeTint="F2"/>
              </w:rPr>
              <w:t xml:space="preserve">Kodeksa 146.panta </w:t>
            </w:r>
            <w:r w:rsidR="00AA4FE0" w:rsidRPr="00771352">
              <w:rPr>
                <w:bCs/>
                <w:color w:val="0D0D0D" w:themeColor="text1" w:themeTint="F2"/>
              </w:rPr>
              <w:t>“Radioiekārtu uzstādīšana un lietošana bez atļaujas vai pārkāpjot tās</w:t>
            </w:r>
            <w:r w:rsidR="00AA4FE0" w:rsidRPr="00771352">
              <w:rPr>
                <w:b/>
                <w:bCs/>
                <w:color w:val="0D0D0D" w:themeColor="text1" w:themeTint="F2"/>
              </w:rPr>
              <w:t xml:space="preserve"> </w:t>
            </w:r>
            <w:r w:rsidR="00AA4FE0" w:rsidRPr="00771352">
              <w:rPr>
                <w:bCs/>
                <w:color w:val="0D0D0D" w:themeColor="text1" w:themeTint="F2"/>
              </w:rPr>
              <w:t xml:space="preserve">nosacījumus” </w:t>
            </w:r>
            <w:r w:rsidR="0031438D" w:rsidRPr="00771352">
              <w:rPr>
                <w:bCs/>
                <w:color w:val="0D0D0D" w:themeColor="text1" w:themeTint="F2"/>
              </w:rPr>
              <w:t>pirmā daļa  iekļauta likumprojekta  76.panta otrajā daļā</w:t>
            </w:r>
            <w:r w:rsidR="0078695F" w:rsidRPr="00771352">
              <w:rPr>
                <w:bCs/>
                <w:color w:val="0D0D0D" w:themeColor="text1" w:themeTint="F2"/>
              </w:rPr>
              <w:t>,</w:t>
            </w:r>
            <w:r w:rsidR="00C32A65" w:rsidRPr="00771352">
              <w:t xml:space="preserve"> paredz</w:t>
            </w:r>
            <w:r w:rsidR="0078695F" w:rsidRPr="00771352">
              <w:t>ot</w:t>
            </w:r>
            <w:r w:rsidR="00C32A65" w:rsidRPr="00771352">
              <w:t xml:space="preserve"> </w:t>
            </w:r>
            <w:r w:rsidR="008709BF" w:rsidRPr="00771352">
              <w:t>soda sankcijas galēj</w:t>
            </w:r>
            <w:r w:rsidR="0078695F" w:rsidRPr="00771352">
              <w:t>o</w:t>
            </w:r>
            <w:r w:rsidR="008709BF" w:rsidRPr="00771352">
              <w:t xml:space="preserve"> robež</w:t>
            </w:r>
            <w:r w:rsidR="0078695F" w:rsidRPr="00771352">
              <w:t>u</w:t>
            </w:r>
            <w:r w:rsidR="008709BF" w:rsidRPr="00771352">
              <w:t xml:space="preserve"> </w:t>
            </w:r>
            <w:r w:rsidR="00463864" w:rsidRPr="00771352">
              <w:t>k</w:t>
            </w:r>
            <w:r w:rsidR="00C32A65" w:rsidRPr="00771352">
              <w:t>odeksa 146. panta</w:t>
            </w:r>
            <w:r w:rsidR="0078695F" w:rsidRPr="00771352">
              <w:t xml:space="preserve"> </w:t>
            </w:r>
            <w:r w:rsidR="003A7C3B" w:rsidRPr="00771352">
              <w:t>trešās</w:t>
            </w:r>
            <w:r w:rsidR="0078695F" w:rsidRPr="00771352">
              <w:t xml:space="preserve"> daļas </w:t>
            </w:r>
            <w:r w:rsidR="00C32A65" w:rsidRPr="00771352">
              <w:t xml:space="preserve"> galējās robežas par atkārtotu pārkāpumu</w:t>
            </w:r>
            <w:r w:rsidR="0078695F" w:rsidRPr="00771352">
              <w:t xml:space="preserve"> veikšanas</w:t>
            </w:r>
            <w:r w:rsidR="00C32A65" w:rsidRPr="00771352">
              <w:t xml:space="preserve"> </w:t>
            </w:r>
            <w:r w:rsidR="008709BF" w:rsidRPr="00771352">
              <w:t>apmēr</w:t>
            </w:r>
            <w:r w:rsidR="00C32A65" w:rsidRPr="00771352">
              <w:t xml:space="preserve">ā </w:t>
            </w:r>
            <w:r w:rsidR="0031438D" w:rsidRPr="00771352">
              <w:rPr>
                <w:bCs/>
                <w:color w:val="0D0D0D" w:themeColor="text1" w:themeTint="F2"/>
              </w:rPr>
              <w:t>par koplietojamo radiofrekvenču piešķīruma lietošanas atļaujas nosacījumu pārkāpšanu</w:t>
            </w:r>
            <w:r w:rsidR="00AA3A28" w:rsidRPr="00771352">
              <w:rPr>
                <w:bCs/>
                <w:color w:val="0D0D0D" w:themeColor="text1" w:themeTint="F2"/>
              </w:rPr>
              <w:t>.</w:t>
            </w:r>
          </w:p>
          <w:p w14:paraId="5E9A05D7" w14:textId="77777777" w:rsidR="0031438D" w:rsidRPr="009D2D72" w:rsidRDefault="004101E6" w:rsidP="004101E6">
            <w:pPr>
              <w:widowControl w:val="0"/>
              <w:tabs>
                <w:tab w:val="left" w:pos="560"/>
              </w:tabs>
              <w:jc w:val="both"/>
              <w:outlineLvl w:val="2"/>
              <w:rPr>
                <w:bCs/>
                <w:color w:val="0D0D0D" w:themeColor="text1" w:themeTint="F2"/>
              </w:rPr>
            </w:pPr>
            <w:r w:rsidRPr="00771352">
              <w:rPr>
                <w:bCs/>
                <w:color w:val="0D0D0D" w:themeColor="text1" w:themeTint="F2"/>
              </w:rPr>
              <w:t xml:space="preserve">           </w:t>
            </w:r>
            <w:r w:rsidR="00AD454D" w:rsidRPr="00771352">
              <w:rPr>
                <w:bCs/>
                <w:color w:val="0D0D0D" w:themeColor="text1" w:themeTint="F2"/>
              </w:rPr>
              <w:t xml:space="preserve">Kodeksa 146.panta otrā daļa </w:t>
            </w:r>
            <w:r w:rsidR="0031438D" w:rsidRPr="00771352">
              <w:rPr>
                <w:bCs/>
                <w:color w:val="0D0D0D" w:themeColor="text1" w:themeTint="F2"/>
              </w:rPr>
              <w:t>iekļauta likumprojekta 76.panta trešajā daļā</w:t>
            </w:r>
            <w:r w:rsidR="007B1235" w:rsidRPr="00771352">
              <w:rPr>
                <w:bCs/>
                <w:color w:val="0D0D0D" w:themeColor="text1" w:themeTint="F2"/>
              </w:rPr>
              <w:t>,</w:t>
            </w:r>
            <w:r w:rsidR="0031438D" w:rsidRPr="00771352">
              <w:rPr>
                <w:bCs/>
                <w:color w:val="0D0D0D" w:themeColor="text1" w:themeTint="F2"/>
              </w:rPr>
              <w:t xml:space="preserve"> </w:t>
            </w:r>
            <w:r w:rsidR="0078695F" w:rsidRPr="00771352">
              <w:rPr>
                <w:bCs/>
                <w:color w:val="0D0D0D" w:themeColor="text1" w:themeTint="F2"/>
              </w:rPr>
              <w:t>p</w:t>
            </w:r>
            <w:r w:rsidR="00813A50" w:rsidRPr="00771352">
              <w:rPr>
                <w:bCs/>
                <w:color w:val="0D0D0D" w:themeColor="text1" w:themeTint="F2"/>
              </w:rPr>
              <w:t>aredzot soda galējo robežu</w:t>
            </w:r>
            <w:r w:rsidR="0031438D" w:rsidRPr="00771352">
              <w:rPr>
                <w:bCs/>
                <w:color w:val="0D0D0D" w:themeColor="text1" w:themeTint="F2"/>
              </w:rPr>
              <w:t xml:space="preserve"> par radioiekārtu uzstādīšanu vai</w:t>
            </w:r>
            <w:r w:rsidR="0031438D" w:rsidRPr="009D2D72">
              <w:rPr>
                <w:bCs/>
                <w:color w:val="0D0D0D" w:themeColor="text1" w:themeTint="F2"/>
              </w:rPr>
              <w:t xml:space="preserve"> lietošanu bez Elektronisko sakaru direkcijas radiofrekvences piešķīruma lietošanas atļaujas</w:t>
            </w:r>
            <w:r w:rsidR="00813A50">
              <w:rPr>
                <w:bCs/>
                <w:color w:val="0D0D0D" w:themeColor="text1" w:themeTint="F2"/>
              </w:rPr>
              <w:t xml:space="preserve"> Kodeksa 146.panta </w:t>
            </w:r>
            <w:r w:rsidR="003A7C3B">
              <w:rPr>
                <w:bCs/>
                <w:color w:val="0D0D0D" w:themeColor="text1" w:themeTint="F2"/>
              </w:rPr>
              <w:t>trešās</w:t>
            </w:r>
            <w:r w:rsidR="00813A50">
              <w:rPr>
                <w:bCs/>
                <w:color w:val="0D0D0D" w:themeColor="text1" w:themeTint="F2"/>
              </w:rPr>
              <w:t xml:space="preserve"> daļa</w:t>
            </w:r>
            <w:r w:rsidR="00813A50" w:rsidRPr="00771352">
              <w:rPr>
                <w:bCs/>
                <w:color w:val="000000" w:themeColor="text1"/>
              </w:rPr>
              <w:t>s par atkārtotu pārkāpumu veikšanu soda galējās robežas apmērā</w:t>
            </w:r>
            <w:r w:rsidR="0031438D" w:rsidRPr="00771352">
              <w:rPr>
                <w:bCs/>
                <w:color w:val="000000" w:themeColor="text1"/>
              </w:rPr>
              <w:t>;</w:t>
            </w:r>
          </w:p>
          <w:p w14:paraId="55DEFC7F" w14:textId="77777777" w:rsidR="0031438D" w:rsidRPr="00E21798" w:rsidRDefault="004101E6" w:rsidP="004101E6">
            <w:pPr>
              <w:widowControl w:val="0"/>
              <w:tabs>
                <w:tab w:val="left" w:pos="560"/>
              </w:tabs>
              <w:jc w:val="both"/>
              <w:outlineLvl w:val="2"/>
              <w:rPr>
                <w:bCs/>
                <w:color w:val="0D0D0D" w:themeColor="text1" w:themeTint="F2"/>
              </w:rPr>
            </w:pPr>
            <w:r w:rsidRPr="009D2D72">
              <w:rPr>
                <w:bCs/>
                <w:color w:val="0D0D0D" w:themeColor="text1" w:themeTint="F2"/>
              </w:rPr>
              <w:t xml:space="preserve">            </w:t>
            </w:r>
            <w:r w:rsidR="0031438D" w:rsidRPr="004306D5">
              <w:rPr>
                <w:bCs/>
                <w:color w:val="0D0D0D" w:themeColor="text1" w:themeTint="F2"/>
              </w:rPr>
              <w:t>Kodeksa 146.</w:t>
            </w:r>
            <w:r w:rsidR="0031438D" w:rsidRPr="004306D5">
              <w:rPr>
                <w:bCs/>
                <w:color w:val="0D0D0D" w:themeColor="text1" w:themeTint="F2"/>
                <w:vertAlign w:val="superscript"/>
              </w:rPr>
              <w:t>1</w:t>
            </w:r>
            <w:r w:rsidR="0031438D" w:rsidRPr="004306D5">
              <w:rPr>
                <w:bCs/>
                <w:color w:val="0D0D0D" w:themeColor="text1" w:themeTint="F2"/>
              </w:rPr>
              <w:t xml:space="preserve"> pants. “Radioiekārtu uzstādīšanas un lietošanas noteikumu pārkāpšana” tika sadalīts, nošķirot administratīvu pārkāpumu par iekārtu uzstādīšanu, kuru </w:t>
            </w:r>
            <w:r w:rsidR="0031438D" w:rsidRPr="00771352">
              <w:rPr>
                <w:bCs/>
                <w:color w:val="0D0D0D" w:themeColor="text1" w:themeTint="F2"/>
              </w:rPr>
              <w:t xml:space="preserve">darbība rada kaitīgus </w:t>
            </w:r>
            <w:proofErr w:type="spellStart"/>
            <w:r w:rsidR="0031438D" w:rsidRPr="00771352">
              <w:rPr>
                <w:bCs/>
                <w:color w:val="0D0D0D" w:themeColor="text1" w:themeTint="F2"/>
              </w:rPr>
              <w:t>radiotraucējumus</w:t>
            </w:r>
            <w:proofErr w:type="spellEnd"/>
            <w:r w:rsidR="0031438D" w:rsidRPr="00771352">
              <w:rPr>
                <w:bCs/>
                <w:color w:val="0D0D0D" w:themeColor="text1" w:themeTint="F2"/>
              </w:rPr>
              <w:t xml:space="preserve"> (Likumprojekta 76.panta piektā daļa)</w:t>
            </w:r>
            <w:r w:rsidR="00234AEC" w:rsidRPr="00771352">
              <w:rPr>
                <w:bCs/>
                <w:color w:val="0D0D0D" w:themeColor="text1" w:themeTint="F2"/>
              </w:rPr>
              <w:t xml:space="preserve"> Ņ</w:t>
            </w:r>
            <w:r w:rsidR="0031438D" w:rsidRPr="00771352">
              <w:rPr>
                <w:bCs/>
                <w:color w:val="0D0D0D" w:themeColor="text1" w:themeTint="F2"/>
              </w:rPr>
              <w:t>emot vērā, ka traucējumu radīšana apdraud un nopietni bojā vai traucē citus radiosakarus, sods noteikts lielāks nekā sankcija par radioiekārtu uzstādīšanu vai lietošanu, pārkāpjot normatīvajos aktos noteikto radioiekārtu uzstādīšanas un lietošanas kārtību vai radiofrekvences piešķīruma lietošanas atļaujā noteiktos</w:t>
            </w:r>
            <w:r w:rsidR="0031438D" w:rsidRPr="00771352">
              <w:rPr>
                <w:bCs/>
                <w:color w:val="0D0D0D" w:themeColor="text1" w:themeTint="F2"/>
                <w:shd w:val="clear" w:color="auto" w:fill="FDE9D9" w:themeFill="accent6" w:themeFillTint="33"/>
              </w:rPr>
              <w:t xml:space="preserve"> </w:t>
            </w:r>
            <w:r w:rsidR="0031438D" w:rsidRPr="00771352">
              <w:rPr>
                <w:bCs/>
                <w:color w:val="0D0D0D" w:themeColor="text1" w:themeTint="F2"/>
              </w:rPr>
              <w:t>parametrus (</w:t>
            </w:r>
            <w:r w:rsidR="0031438D" w:rsidRPr="00771352">
              <w:rPr>
                <w:bCs/>
                <w:color w:val="0D0D0D" w:themeColor="text1" w:themeTint="F2"/>
                <w:shd w:val="clear" w:color="auto" w:fill="FFFFFF" w:themeFill="background1"/>
              </w:rPr>
              <w:t>Likumprojekta 76.panta ceturtā daļa).</w:t>
            </w:r>
          </w:p>
          <w:p w14:paraId="66896EF3" w14:textId="77777777" w:rsidR="0031438D" w:rsidRPr="00242AF5" w:rsidRDefault="004101E6" w:rsidP="004101E6">
            <w:pPr>
              <w:widowControl w:val="0"/>
              <w:tabs>
                <w:tab w:val="left" w:pos="560"/>
              </w:tabs>
              <w:jc w:val="both"/>
              <w:outlineLvl w:val="2"/>
              <w:rPr>
                <w:bCs/>
                <w:color w:val="0D0D0D" w:themeColor="text1" w:themeTint="F2"/>
              </w:rPr>
            </w:pPr>
            <w:r w:rsidRPr="004306D5">
              <w:rPr>
                <w:bCs/>
                <w:color w:val="0D0D0D" w:themeColor="text1" w:themeTint="F2"/>
              </w:rPr>
              <w:t xml:space="preserve">           </w:t>
            </w:r>
            <w:r w:rsidR="0031438D" w:rsidRPr="004306D5">
              <w:rPr>
                <w:bCs/>
                <w:color w:val="0D0D0D" w:themeColor="text1" w:themeTint="F2"/>
              </w:rPr>
              <w:t>Kodeksa 146.</w:t>
            </w:r>
            <w:r w:rsidR="0031438D" w:rsidRPr="004306D5">
              <w:rPr>
                <w:bCs/>
                <w:color w:val="0D0D0D" w:themeColor="text1" w:themeTint="F2"/>
                <w:vertAlign w:val="superscript"/>
              </w:rPr>
              <w:t>1</w:t>
            </w:r>
            <w:r w:rsidR="0031438D" w:rsidRPr="004306D5">
              <w:rPr>
                <w:bCs/>
                <w:color w:val="0D0D0D" w:themeColor="text1" w:themeTint="F2"/>
              </w:rPr>
              <w:t xml:space="preserve"> panta trešā daļa iekļauta likumprojekta </w:t>
            </w:r>
            <w:r w:rsidR="0031438D" w:rsidRPr="00771352">
              <w:rPr>
                <w:bCs/>
                <w:color w:val="0D0D0D" w:themeColor="text1" w:themeTint="F2"/>
              </w:rPr>
              <w:t>76.panta sestajā daļ</w:t>
            </w:r>
            <w:r w:rsidR="001E5E7A" w:rsidRPr="00771352">
              <w:rPr>
                <w:bCs/>
                <w:color w:val="0D0D0D" w:themeColor="text1" w:themeTint="F2"/>
              </w:rPr>
              <w:t>ā</w:t>
            </w:r>
            <w:r w:rsidR="0031438D" w:rsidRPr="00771352">
              <w:rPr>
                <w:bCs/>
                <w:color w:val="0D0D0D" w:themeColor="text1" w:themeTint="F2"/>
              </w:rPr>
              <w:t xml:space="preserve"> un</w:t>
            </w:r>
            <w:r w:rsidR="008B5C00" w:rsidRPr="00771352">
              <w:rPr>
                <w:bCs/>
                <w:color w:val="0D0D0D" w:themeColor="text1" w:themeTint="F2"/>
              </w:rPr>
              <w:t xml:space="preserve">, </w:t>
            </w:r>
            <w:r w:rsidR="00234AEC" w:rsidRPr="00771352">
              <w:rPr>
                <w:bCs/>
                <w:color w:val="0D0D0D" w:themeColor="text1" w:themeTint="F2"/>
              </w:rPr>
              <w:t>lai nodrošinātu administratīvā pārkāpuma preventīvo funkciju, atturot fiziskas un juridiskas personas no minētajā pantā aizliegto darbību veikšanas un</w:t>
            </w:r>
            <w:r w:rsidR="008B5C00" w:rsidRPr="00771352">
              <w:rPr>
                <w:bCs/>
                <w:color w:val="0D0D0D" w:themeColor="text1" w:themeTint="F2"/>
              </w:rPr>
              <w:t>, ņemot vērā sabiedrisko bīstamību</w:t>
            </w:r>
            <w:r w:rsidR="00995BD2" w:rsidRPr="00771352">
              <w:rPr>
                <w:bCs/>
                <w:color w:val="0D0D0D" w:themeColor="text1" w:themeTint="F2"/>
              </w:rPr>
              <w:t xml:space="preserve"> – tehnoloģijām attīstoties aizvien būtiskāk nodrošināt korektu radioiekārtu lietošanu, jo pretējā gadījumā, var  tikt  radīt</w:t>
            </w:r>
            <w:r w:rsidR="0085601B" w:rsidRPr="00771352">
              <w:rPr>
                <w:bCs/>
                <w:color w:val="0D0D0D" w:themeColor="text1" w:themeTint="F2"/>
              </w:rPr>
              <w:t>s</w:t>
            </w:r>
            <w:r w:rsidR="00995BD2" w:rsidRPr="00771352">
              <w:rPr>
                <w:bCs/>
                <w:color w:val="0D0D0D" w:themeColor="text1" w:themeTint="F2"/>
              </w:rPr>
              <w:t xml:space="preserve">  kaitējums citiem </w:t>
            </w:r>
            <w:r w:rsidR="00463864" w:rsidRPr="00771352">
              <w:rPr>
                <w:bCs/>
                <w:color w:val="0D0D0D" w:themeColor="text1" w:themeTint="F2"/>
              </w:rPr>
              <w:t xml:space="preserve">elektronisko </w:t>
            </w:r>
            <w:r w:rsidR="00995BD2" w:rsidRPr="00771352">
              <w:rPr>
                <w:bCs/>
                <w:color w:val="0D0D0D" w:themeColor="text1" w:themeTint="F2"/>
              </w:rPr>
              <w:t>sakaru komersantiem</w:t>
            </w:r>
            <w:r w:rsidR="00463864" w:rsidRPr="00771352">
              <w:rPr>
                <w:bCs/>
                <w:color w:val="0D0D0D" w:themeColor="text1" w:themeTint="F2"/>
              </w:rPr>
              <w:t xml:space="preserve"> un lietotājiem</w:t>
            </w:r>
            <w:r w:rsidR="00995BD2" w:rsidRPr="00771352">
              <w:rPr>
                <w:bCs/>
                <w:color w:val="0D0D0D" w:themeColor="text1" w:themeTint="F2"/>
              </w:rPr>
              <w:t>,</w:t>
            </w:r>
            <w:r w:rsidR="0031438D" w:rsidRPr="00771352">
              <w:rPr>
                <w:bCs/>
                <w:color w:val="0D0D0D" w:themeColor="text1" w:themeTint="F2"/>
              </w:rPr>
              <w:t xml:space="preserve"> </w:t>
            </w:r>
            <w:r w:rsidR="00955805" w:rsidRPr="00771352">
              <w:rPr>
                <w:bCs/>
                <w:color w:val="0D0D0D" w:themeColor="text1" w:themeTint="F2"/>
              </w:rPr>
              <w:t xml:space="preserve">palielināta </w:t>
            </w:r>
            <w:r w:rsidR="0031438D" w:rsidRPr="00771352">
              <w:rPr>
                <w:bCs/>
                <w:color w:val="0D0D0D" w:themeColor="text1" w:themeTint="F2"/>
              </w:rPr>
              <w:t>soda sankcija par tādu radioiekārtu uzstādīšanu vai lietošanu, kuru atbilstība būtiskajām prasībām nav novērtēta un apliecināta normatīvajos aktos noteiktajā kārtībā;</w:t>
            </w:r>
            <w:r w:rsidR="0031438D" w:rsidRPr="00242AF5">
              <w:rPr>
                <w:bCs/>
                <w:color w:val="0D0D0D" w:themeColor="text1" w:themeTint="F2"/>
              </w:rPr>
              <w:t xml:space="preserve"> </w:t>
            </w:r>
          </w:p>
          <w:p w14:paraId="41723FD0" w14:textId="77777777" w:rsidR="0031438D" w:rsidRPr="009D2D72" w:rsidRDefault="004101E6" w:rsidP="004101E6">
            <w:pPr>
              <w:widowControl w:val="0"/>
              <w:tabs>
                <w:tab w:val="left" w:pos="560"/>
              </w:tabs>
              <w:jc w:val="both"/>
              <w:outlineLvl w:val="2"/>
              <w:rPr>
                <w:bCs/>
                <w:color w:val="0D0D0D" w:themeColor="text1" w:themeTint="F2"/>
              </w:rPr>
            </w:pPr>
            <w:r w:rsidRPr="00242AF5">
              <w:rPr>
                <w:bCs/>
                <w:color w:val="0D0D0D" w:themeColor="text1" w:themeTint="F2"/>
              </w:rPr>
              <w:t xml:space="preserve">           </w:t>
            </w:r>
            <w:r w:rsidR="0031438D" w:rsidRPr="00242AF5">
              <w:rPr>
                <w:bCs/>
                <w:color w:val="0D0D0D" w:themeColor="text1" w:themeTint="F2"/>
              </w:rPr>
              <w:t>Kodeksa 146.</w:t>
            </w:r>
            <w:r w:rsidR="0031438D" w:rsidRPr="00242AF5">
              <w:rPr>
                <w:bCs/>
                <w:color w:val="0D0D0D" w:themeColor="text1" w:themeTint="F2"/>
                <w:vertAlign w:val="superscript"/>
              </w:rPr>
              <w:t>1</w:t>
            </w:r>
            <w:r w:rsidR="00417522">
              <w:rPr>
                <w:bCs/>
                <w:color w:val="0D0D0D" w:themeColor="text1" w:themeTint="F2"/>
              </w:rPr>
              <w:t xml:space="preserve"> </w:t>
            </w:r>
            <w:r w:rsidR="0031438D" w:rsidRPr="00242AF5">
              <w:rPr>
                <w:bCs/>
                <w:color w:val="0D0D0D" w:themeColor="text1" w:themeTint="F2"/>
              </w:rPr>
              <w:t>panta ceturtā daļa iekļauta</w:t>
            </w:r>
            <w:r w:rsidR="0031438D" w:rsidRPr="009D2D72">
              <w:rPr>
                <w:bCs/>
                <w:color w:val="0D0D0D" w:themeColor="text1" w:themeTint="F2"/>
              </w:rPr>
              <w:t xml:space="preserve"> likumprojekta 7</w:t>
            </w:r>
            <w:r w:rsidR="0031438D" w:rsidRPr="00771352">
              <w:rPr>
                <w:bCs/>
                <w:color w:val="0D0D0D" w:themeColor="text1" w:themeTint="F2"/>
              </w:rPr>
              <w:t>6.panta septītajā daļā</w:t>
            </w:r>
            <w:r w:rsidR="00A87114" w:rsidRPr="00771352">
              <w:rPr>
                <w:bCs/>
                <w:color w:val="0D0D0D" w:themeColor="text1" w:themeTint="F2"/>
              </w:rPr>
              <w:t>,</w:t>
            </w:r>
            <w:r w:rsidR="0031438D" w:rsidRPr="00771352">
              <w:rPr>
                <w:bCs/>
                <w:color w:val="0D0D0D" w:themeColor="text1" w:themeTint="F2"/>
              </w:rPr>
              <w:t xml:space="preserve"> </w:t>
            </w:r>
            <w:r w:rsidR="00995BD2" w:rsidRPr="00771352">
              <w:rPr>
                <w:bCs/>
                <w:color w:val="0D0D0D" w:themeColor="text1" w:themeTint="F2"/>
              </w:rPr>
              <w:t>paredzot soda galējo robežu</w:t>
            </w:r>
            <w:r w:rsidR="0031438D" w:rsidRPr="00771352">
              <w:rPr>
                <w:bCs/>
                <w:color w:val="0D0D0D" w:themeColor="text1" w:themeTint="F2"/>
              </w:rPr>
              <w:t xml:space="preserve"> par</w:t>
            </w:r>
            <w:r w:rsidR="0031438D" w:rsidRPr="00771352">
              <w:rPr>
                <w:b/>
                <w:bCs/>
                <w:color w:val="0D0D0D" w:themeColor="text1" w:themeTint="F2"/>
              </w:rPr>
              <w:t xml:space="preserve"> </w:t>
            </w:r>
            <w:r w:rsidR="0031438D" w:rsidRPr="00771352">
              <w:rPr>
                <w:color w:val="0D0D0D" w:themeColor="text1" w:themeTint="F2"/>
              </w:rPr>
              <w:t xml:space="preserve">jūras un gaisa kuģniecības ārkārtas situāciju, avārijas un briesmu signālu raidīšanai paredzēto radiofrekvenču izmantošanas kārtības pārkāpšanu vai tādu </w:t>
            </w:r>
            <w:proofErr w:type="spellStart"/>
            <w:r w:rsidR="0031438D" w:rsidRPr="00771352">
              <w:rPr>
                <w:color w:val="0D0D0D" w:themeColor="text1" w:themeTint="F2"/>
              </w:rPr>
              <w:t>radiotraucējumu</w:t>
            </w:r>
            <w:proofErr w:type="spellEnd"/>
            <w:r w:rsidR="0031438D" w:rsidRPr="00771352">
              <w:rPr>
                <w:color w:val="0D0D0D" w:themeColor="text1" w:themeTint="F2"/>
              </w:rPr>
              <w:t xml:space="preserve"> radīšanu, kuri kaitē</w:t>
            </w:r>
            <w:r w:rsidR="0031438D" w:rsidRPr="009D2D72">
              <w:rPr>
                <w:color w:val="0D0D0D" w:themeColor="text1" w:themeTint="F2"/>
              </w:rPr>
              <w:t xml:space="preserve"> personas vai īpašuma aizsardzībai izmantojamo radiosakaru (drošības radiosakari) vai radionavigācijas sakaru iekārtu darbībai vai var izraisīt valsts drošības, sabiedriskās kārtības, kā arī kuģošanas vai gaisa satiksmes drošības apdraudējumu</w:t>
            </w:r>
            <w:r w:rsidR="00995BD2">
              <w:rPr>
                <w:color w:val="0D0D0D" w:themeColor="text1" w:themeTint="F2"/>
              </w:rPr>
              <w:t xml:space="preserve"> </w:t>
            </w:r>
            <w:r w:rsidR="007C3875">
              <w:rPr>
                <w:color w:val="0D0D0D" w:themeColor="text1" w:themeTint="F2"/>
              </w:rPr>
              <w:t xml:space="preserve">nepārsniedzot </w:t>
            </w:r>
            <w:r w:rsidR="00995BD2">
              <w:rPr>
                <w:bCs/>
                <w:color w:val="0D0D0D" w:themeColor="text1" w:themeTint="F2"/>
              </w:rPr>
              <w:t>Kodeksa 146.</w:t>
            </w:r>
            <w:r w:rsidR="00995BD2" w:rsidRPr="00995BD2">
              <w:rPr>
                <w:bCs/>
                <w:color w:val="0D0D0D" w:themeColor="text1" w:themeTint="F2"/>
                <w:vertAlign w:val="superscript"/>
              </w:rPr>
              <w:t>1</w:t>
            </w:r>
            <w:r w:rsidR="00995BD2">
              <w:rPr>
                <w:bCs/>
                <w:color w:val="0D0D0D" w:themeColor="text1" w:themeTint="F2"/>
              </w:rPr>
              <w:t xml:space="preserve"> panta </w:t>
            </w:r>
            <w:r w:rsidR="007C3875">
              <w:rPr>
                <w:bCs/>
                <w:color w:val="0D0D0D" w:themeColor="text1" w:themeTint="F2"/>
              </w:rPr>
              <w:t>piektās</w:t>
            </w:r>
            <w:r w:rsidR="00995BD2">
              <w:rPr>
                <w:bCs/>
                <w:color w:val="0D0D0D" w:themeColor="text1" w:themeTint="F2"/>
              </w:rPr>
              <w:t xml:space="preserve"> daļas par atkārtotu pārkāpumu veikšanu soda galēj</w:t>
            </w:r>
            <w:r w:rsidR="007C3875">
              <w:rPr>
                <w:bCs/>
                <w:color w:val="0D0D0D" w:themeColor="text1" w:themeTint="F2"/>
              </w:rPr>
              <w:t>ās</w:t>
            </w:r>
            <w:r w:rsidR="00995BD2">
              <w:rPr>
                <w:bCs/>
                <w:color w:val="0D0D0D" w:themeColor="text1" w:themeTint="F2"/>
              </w:rPr>
              <w:t xml:space="preserve"> robežas apmēr</w:t>
            </w:r>
            <w:r w:rsidR="007C3875">
              <w:rPr>
                <w:bCs/>
                <w:color w:val="0D0D0D" w:themeColor="text1" w:themeTint="F2"/>
              </w:rPr>
              <w:t>u</w:t>
            </w:r>
            <w:r w:rsidR="0031438D" w:rsidRPr="009D2D72">
              <w:rPr>
                <w:color w:val="0D0D0D" w:themeColor="text1" w:themeTint="F2"/>
              </w:rPr>
              <w:t>;</w:t>
            </w:r>
          </w:p>
          <w:p w14:paraId="5706D8BE" w14:textId="77777777" w:rsidR="0031438D" w:rsidRPr="009D2D72" w:rsidRDefault="004101E6" w:rsidP="004101E6">
            <w:pPr>
              <w:widowControl w:val="0"/>
              <w:tabs>
                <w:tab w:val="left" w:pos="560"/>
              </w:tabs>
              <w:jc w:val="both"/>
              <w:outlineLvl w:val="2"/>
              <w:rPr>
                <w:bCs/>
                <w:color w:val="0D0D0D" w:themeColor="text1" w:themeTint="F2"/>
              </w:rPr>
            </w:pPr>
            <w:r w:rsidRPr="009D2D72">
              <w:rPr>
                <w:color w:val="0D0D0D" w:themeColor="text1" w:themeTint="F2"/>
              </w:rPr>
              <w:t xml:space="preserve">           </w:t>
            </w:r>
            <w:r w:rsidR="0031438D" w:rsidRPr="009D2D72">
              <w:rPr>
                <w:color w:val="0D0D0D" w:themeColor="text1" w:themeTint="F2"/>
              </w:rPr>
              <w:t>Kodeksa 146.</w:t>
            </w:r>
            <w:r w:rsidR="0031438D" w:rsidRPr="009D2D72">
              <w:rPr>
                <w:color w:val="0D0D0D" w:themeColor="text1" w:themeTint="F2"/>
                <w:vertAlign w:val="superscript"/>
              </w:rPr>
              <w:t>3</w:t>
            </w:r>
            <w:r w:rsidR="0031438D" w:rsidRPr="009D2D72">
              <w:rPr>
                <w:color w:val="0D0D0D" w:themeColor="text1" w:themeTint="F2"/>
              </w:rPr>
              <w:t xml:space="preserve"> panta “</w:t>
            </w:r>
            <w:r w:rsidR="0031438D" w:rsidRPr="009D2D72">
              <w:rPr>
                <w:bCs/>
                <w:color w:val="0D0D0D" w:themeColor="text1" w:themeTint="F2"/>
              </w:rPr>
              <w:t xml:space="preserve">Nesadarbošanās ar radioiekārtu lietošanu uzraugošajām institūcijām” </w:t>
            </w:r>
            <w:r w:rsidR="0031438D" w:rsidRPr="009D2D72">
              <w:rPr>
                <w:color w:val="0D0D0D" w:themeColor="text1" w:themeTint="F2"/>
              </w:rPr>
              <w:t xml:space="preserve"> pirmā daļa iekļauta likumpro</w:t>
            </w:r>
            <w:r w:rsidR="00A87114" w:rsidRPr="009D2D72">
              <w:rPr>
                <w:color w:val="0D0D0D" w:themeColor="text1" w:themeTint="F2"/>
              </w:rPr>
              <w:t xml:space="preserve">jekta </w:t>
            </w:r>
            <w:r w:rsidR="00A87114" w:rsidRPr="00771352">
              <w:rPr>
                <w:color w:val="0D0D0D" w:themeColor="text1" w:themeTint="F2"/>
              </w:rPr>
              <w:t>76.panta astotajā daļā</w:t>
            </w:r>
            <w:r w:rsidR="00A87114" w:rsidRPr="009D2D72">
              <w:rPr>
                <w:color w:val="0D0D0D" w:themeColor="text1" w:themeTint="F2"/>
              </w:rPr>
              <w:t xml:space="preserve"> un, </w:t>
            </w:r>
            <w:r w:rsidR="00A87114" w:rsidRPr="009D2D72">
              <w:rPr>
                <w:bCs/>
                <w:color w:val="0D0D0D" w:themeColor="text1" w:themeTint="F2"/>
              </w:rPr>
              <w:t>ievērojot  sabiedriskās bīstamības kritēriju,</w:t>
            </w:r>
            <w:r w:rsidR="009E0F72">
              <w:rPr>
                <w:bCs/>
                <w:color w:val="0D0D0D" w:themeColor="text1" w:themeTint="F2"/>
              </w:rPr>
              <w:t xml:space="preserve"> attīstoties tehnoloģijām aizvien pieaugošo nepieciešamību, operatīvi novērst p</w:t>
            </w:r>
            <w:r w:rsidR="009E0F72" w:rsidRPr="004306D5">
              <w:rPr>
                <w:bCs/>
                <w:color w:val="0D0D0D" w:themeColor="text1" w:themeTint="F2"/>
              </w:rPr>
              <w:t xml:space="preserve">ārkāpumus, lai neradītu </w:t>
            </w:r>
            <w:r w:rsidR="00A23561" w:rsidRPr="004306D5">
              <w:rPr>
                <w:bCs/>
                <w:color w:val="0D0D0D" w:themeColor="text1" w:themeTint="F2"/>
              </w:rPr>
              <w:t xml:space="preserve">kaitējumu sabiedrībai un, </w:t>
            </w:r>
            <w:r w:rsidR="00234AEC" w:rsidRPr="004306D5">
              <w:rPr>
                <w:bCs/>
                <w:color w:val="0D0D0D" w:themeColor="text1" w:themeTint="F2"/>
              </w:rPr>
              <w:t>lai nodrošinātu administratīvā pārkāpuma preventīvo funkciju,</w:t>
            </w:r>
            <w:r w:rsidR="00A87114" w:rsidRPr="004306D5">
              <w:rPr>
                <w:bCs/>
                <w:color w:val="0D0D0D" w:themeColor="text1" w:themeTint="F2"/>
              </w:rPr>
              <w:t xml:space="preserve"> paredzēts noteikt </w:t>
            </w:r>
            <w:r w:rsidR="00955805" w:rsidRPr="004306D5">
              <w:rPr>
                <w:bCs/>
                <w:color w:val="0D0D0D" w:themeColor="text1" w:themeTint="F2"/>
              </w:rPr>
              <w:t>lielāku</w:t>
            </w:r>
            <w:r w:rsidR="00A87114" w:rsidRPr="004306D5">
              <w:rPr>
                <w:bCs/>
                <w:color w:val="0D0D0D" w:themeColor="text1" w:themeTint="F2"/>
              </w:rPr>
              <w:t xml:space="preserve"> soda sankciju </w:t>
            </w:r>
            <w:r w:rsidR="0031438D" w:rsidRPr="004306D5">
              <w:rPr>
                <w:color w:val="0D0D0D" w:themeColor="text1" w:themeTint="F2"/>
              </w:rPr>
              <w:t>par atteikšanos</w:t>
            </w:r>
            <w:r w:rsidR="0031438D" w:rsidRPr="009D2D72">
              <w:rPr>
                <w:color w:val="0D0D0D" w:themeColor="text1" w:themeTint="F2"/>
              </w:rPr>
              <w:t xml:space="preserve"> nodrošināt piekļuvi radioiekārtai, lai pārbaudītu tās tehniskos parametrus, vai normatīvajos aktos noteiktās informācijas nesniegšanu radioiekārtu lietošanu uzraugošās institūcijas amatpersonai vai pilnvarotajai personai, kā arī par šo personu likumīgo norādījumu nepildīšanu.</w:t>
            </w:r>
          </w:p>
          <w:p w14:paraId="7389A7AA" w14:textId="050C0202" w:rsidR="00966F2E" w:rsidRPr="00771352" w:rsidRDefault="004101E6" w:rsidP="00771352">
            <w:pPr>
              <w:widowControl w:val="0"/>
              <w:tabs>
                <w:tab w:val="left" w:pos="560"/>
              </w:tabs>
              <w:ind w:left="79"/>
              <w:jc w:val="both"/>
              <w:outlineLvl w:val="2"/>
              <w:rPr>
                <w:color w:val="FF0000"/>
              </w:rPr>
            </w:pPr>
            <w:r w:rsidRPr="009D2D72">
              <w:rPr>
                <w:color w:val="0D0D0D" w:themeColor="text1" w:themeTint="F2"/>
              </w:rPr>
              <w:t xml:space="preserve">      </w:t>
            </w:r>
            <w:r w:rsidR="0031438D" w:rsidRPr="009D2D72">
              <w:rPr>
                <w:color w:val="0D0D0D" w:themeColor="text1" w:themeTint="F2"/>
              </w:rPr>
              <w:t>Kodeksa 146.</w:t>
            </w:r>
            <w:r w:rsidR="0031438D" w:rsidRPr="009D2D72">
              <w:rPr>
                <w:color w:val="0D0D0D" w:themeColor="text1" w:themeTint="F2"/>
                <w:vertAlign w:val="superscript"/>
              </w:rPr>
              <w:t>3</w:t>
            </w:r>
            <w:r w:rsidR="0031438D" w:rsidRPr="009D2D72">
              <w:rPr>
                <w:color w:val="0D0D0D" w:themeColor="text1" w:themeTint="F2"/>
              </w:rPr>
              <w:t xml:space="preserve"> panta </w:t>
            </w:r>
            <w:r w:rsidR="00A23561">
              <w:rPr>
                <w:color w:val="0D0D0D" w:themeColor="text1" w:themeTint="F2"/>
              </w:rPr>
              <w:t>trešā</w:t>
            </w:r>
            <w:r w:rsidR="0031438D" w:rsidRPr="009D2D72">
              <w:rPr>
                <w:color w:val="0D0D0D" w:themeColor="text1" w:themeTint="F2"/>
              </w:rPr>
              <w:t xml:space="preserve"> daļa iekļauta likum</w:t>
            </w:r>
            <w:r w:rsidR="00C95191">
              <w:rPr>
                <w:color w:val="0D0D0D" w:themeColor="text1" w:themeTint="F2"/>
              </w:rPr>
              <w:t xml:space="preserve">projekta </w:t>
            </w:r>
            <w:r w:rsidR="0031438D" w:rsidRPr="00771352">
              <w:rPr>
                <w:color w:val="0D0D0D" w:themeColor="text1" w:themeTint="F2"/>
              </w:rPr>
              <w:t>76.panta devītajā daļā</w:t>
            </w:r>
            <w:r w:rsidR="0031438D" w:rsidRPr="009D2D72">
              <w:rPr>
                <w:color w:val="0D0D0D" w:themeColor="text1" w:themeTint="F2"/>
              </w:rPr>
              <w:t xml:space="preserve"> un</w:t>
            </w:r>
            <w:r w:rsidR="00E71583">
              <w:rPr>
                <w:color w:val="0D0D0D" w:themeColor="text1" w:themeTint="F2"/>
              </w:rPr>
              <w:t>,</w:t>
            </w:r>
            <w:r w:rsidR="0031438D" w:rsidRPr="009D2D72">
              <w:rPr>
                <w:color w:val="0D0D0D" w:themeColor="text1" w:themeTint="F2"/>
              </w:rPr>
              <w:t xml:space="preserve"> </w:t>
            </w:r>
            <w:r w:rsidR="00A87114" w:rsidRPr="009D2D72">
              <w:rPr>
                <w:bCs/>
                <w:color w:val="0D0D0D" w:themeColor="text1" w:themeTint="F2"/>
              </w:rPr>
              <w:t xml:space="preserve">ievērojot  sabiedriskās bīstamības </w:t>
            </w:r>
            <w:r w:rsidR="00A87114" w:rsidRPr="004306D5">
              <w:rPr>
                <w:bCs/>
                <w:color w:val="0D0D0D" w:themeColor="text1" w:themeTint="F2"/>
              </w:rPr>
              <w:t>kritēriju,</w:t>
            </w:r>
            <w:r w:rsidR="00A23561" w:rsidRPr="004306D5">
              <w:rPr>
                <w:bCs/>
                <w:color w:val="0D0D0D" w:themeColor="text1" w:themeTint="F2"/>
              </w:rPr>
              <w:t xml:space="preserve"> ņemot vērā radītā kaitējuma radīšanas globālās sekas,</w:t>
            </w:r>
            <w:r w:rsidR="00234AEC" w:rsidRPr="004306D5">
              <w:rPr>
                <w:bCs/>
                <w:color w:val="0D0D0D" w:themeColor="text1" w:themeTint="F2"/>
              </w:rPr>
              <w:t xml:space="preserve"> lai nodrošinātu administratīvā pārkāpuma preventīvo funkciju, </w:t>
            </w:r>
            <w:r w:rsidR="00A87114" w:rsidRPr="004306D5">
              <w:rPr>
                <w:bCs/>
                <w:color w:val="0D0D0D" w:themeColor="text1" w:themeTint="F2"/>
              </w:rPr>
              <w:t xml:space="preserve">paredzēts noteikt </w:t>
            </w:r>
            <w:r w:rsidR="00955805" w:rsidRPr="004306D5">
              <w:rPr>
                <w:bCs/>
                <w:color w:val="0D0D0D" w:themeColor="text1" w:themeTint="F2"/>
              </w:rPr>
              <w:t>lielāku</w:t>
            </w:r>
            <w:r w:rsidR="00A87114" w:rsidRPr="004306D5">
              <w:rPr>
                <w:bCs/>
                <w:color w:val="0D0D0D" w:themeColor="text1" w:themeTint="F2"/>
              </w:rPr>
              <w:t xml:space="preserve"> soda sankciju </w:t>
            </w:r>
            <w:r w:rsidR="0031438D" w:rsidRPr="004306D5">
              <w:rPr>
                <w:color w:val="0D0D0D" w:themeColor="text1" w:themeTint="F2"/>
              </w:rPr>
              <w:t>par radioiekārtas darbības nepārtraukšanu gadījumos, kad radioiekārtas lietošana rada apdraudējumu radionavigācijas vai cita drošības dienesta sakaru iekārtu darbībai.</w:t>
            </w:r>
            <w:r w:rsidR="002B5130" w:rsidRPr="000E1CF9">
              <w:rPr>
                <w:bCs/>
                <w:color w:val="000000" w:themeColor="text1"/>
              </w:rPr>
              <w:t xml:space="preserve">       </w:t>
            </w:r>
          </w:p>
          <w:p w14:paraId="02F220EB" w14:textId="38B5B3E9" w:rsidR="0031438D" w:rsidRPr="003E30F3" w:rsidRDefault="004101E6" w:rsidP="004306D5">
            <w:pPr>
              <w:widowControl w:val="0"/>
              <w:tabs>
                <w:tab w:val="left" w:pos="560"/>
              </w:tabs>
              <w:jc w:val="both"/>
              <w:outlineLvl w:val="2"/>
              <w:rPr>
                <w:bCs/>
                <w:color w:val="0D0D0D" w:themeColor="text1" w:themeTint="F2"/>
              </w:rPr>
            </w:pPr>
            <w:r w:rsidRPr="00D9523A">
              <w:rPr>
                <w:bCs/>
                <w:color w:val="0D0D0D" w:themeColor="text1" w:themeTint="F2"/>
              </w:rPr>
              <w:t xml:space="preserve">        </w:t>
            </w:r>
            <w:r w:rsidR="0031438D" w:rsidRPr="00D9523A">
              <w:rPr>
                <w:bCs/>
                <w:color w:val="0D0D0D" w:themeColor="text1" w:themeTint="F2"/>
              </w:rPr>
              <w:t>Kodeksa 148.</w:t>
            </w:r>
            <w:r w:rsidR="0031438D" w:rsidRPr="00D9523A">
              <w:rPr>
                <w:bCs/>
                <w:color w:val="0D0D0D" w:themeColor="text1" w:themeTint="F2"/>
                <w:vertAlign w:val="superscript"/>
              </w:rPr>
              <w:t>2</w:t>
            </w:r>
            <w:r w:rsidR="0031438D" w:rsidRPr="00D9523A">
              <w:rPr>
                <w:bCs/>
                <w:color w:val="0D0D0D" w:themeColor="text1" w:themeTint="F2"/>
              </w:rPr>
              <w:t xml:space="preserve"> pants “Datu, programmatūras un iekārtu iegūšana, izgatavošana, izmainīšana, glabāšana un izplatīšana nelikumīgām darbībām ar elektronisko sakaru tīklu galiekārtām” iekļauts likumprojekta </w:t>
            </w:r>
            <w:r w:rsidR="003C2E1D" w:rsidRPr="00771352">
              <w:rPr>
                <w:bCs/>
                <w:color w:val="0D0D0D" w:themeColor="text1" w:themeTint="F2"/>
              </w:rPr>
              <w:t>77.</w:t>
            </w:r>
            <w:r w:rsidR="0031438D" w:rsidRPr="00771352">
              <w:rPr>
                <w:bCs/>
                <w:color w:val="0D0D0D" w:themeColor="text1" w:themeTint="F2"/>
              </w:rPr>
              <w:t>pantā</w:t>
            </w:r>
            <w:r w:rsidR="0031438D" w:rsidRPr="00D9523A">
              <w:rPr>
                <w:bCs/>
                <w:color w:val="0D0D0D" w:themeColor="text1" w:themeTint="F2"/>
              </w:rPr>
              <w:t xml:space="preserve"> “Administratīvā atbildība datu, programmatūras un iekārtu iegūšanas, izgatavošanas, izmainīšanas, glabāšanas un izplatīšana nelikumīgām darbībām ar elektronisko sakaru tīklu </w:t>
            </w:r>
            <w:r w:rsidR="00E71583" w:rsidRPr="00D9523A">
              <w:rPr>
                <w:bCs/>
                <w:color w:val="0D0D0D" w:themeColor="text1" w:themeTint="F2"/>
              </w:rPr>
              <w:t>galiekārtām jomā</w:t>
            </w:r>
            <w:r w:rsidR="00E71583" w:rsidRPr="004306D5">
              <w:rPr>
                <w:bCs/>
                <w:color w:val="0D0D0D" w:themeColor="text1" w:themeTint="F2"/>
              </w:rPr>
              <w:t>”</w:t>
            </w:r>
            <w:r w:rsidR="00D9523A" w:rsidRPr="004306D5">
              <w:rPr>
                <w:bCs/>
                <w:color w:val="0D0D0D" w:themeColor="text1" w:themeTint="F2"/>
              </w:rPr>
              <w:t>.</w:t>
            </w:r>
            <w:r w:rsidR="00D9523A" w:rsidRPr="004306D5">
              <w:rPr>
                <w:color w:val="000000" w:themeColor="text1"/>
              </w:rPr>
              <w:t xml:space="preserve"> Saskaņā ar Iekšlietu ministrijas 2016.gada 19.decembra Satiksmes ministrijai sniegto viedokli, informējot par statistiku  par laika posmu </w:t>
            </w:r>
            <w:r w:rsidR="00D9523A" w:rsidRPr="004306D5">
              <w:rPr>
                <w:color w:val="000000" w:themeColor="text1"/>
                <w:sz w:val="22"/>
                <w:szCs w:val="22"/>
              </w:rPr>
              <w:t xml:space="preserve">līdz 2016.gada 7.decembrim </w:t>
            </w:r>
            <w:r w:rsidR="00D9523A" w:rsidRPr="004306D5">
              <w:rPr>
                <w:color w:val="000000" w:themeColor="text1"/>
              </w:rPr>
              <w:t>attiecībā uz kodeksa 148.</w:t>
            </w:r>
            <w:r w:rsidR="00D9523A" w:rsidRPr="004306D5">
              <w:rPr>
                <w:color w:val="000000" w:themeColor="text1"/>
                <w:vertAlign w:val="superscript"/>
              </w:rPr>
              <w:t xml:space="preserve">2 </w:t>
            </w:r>
            <w:r w:rsidR="00D9523A" w:rsidRPr="004306D5">
              <w:rPr>
                <w:color w:val="000000" w:themeColor="text1"/>
              </w:rPr>
              <w:t>pantā paredzētajiem administratīvajiem  pārkāpumiem, valsts informācijas sistēmā “Sodu reģistrs” nav reģistrēts neviens administratīvā pārkāpuma protokols vai lēmums, ar kuru personas būtu sauktas pie administratīvās atbildības  par kodeksa 148.</w:t>
            </w:r>
            <w:r w:rsidR="00D9523A" w:rsidRPr="004306D5">
              <w:rPr>
                <w:color w:val="000000" w:themeColor="text1"/>
                <w:vertAlign w:val="superscript"/>
              </w:rPr>
              <w:t xml:space="preserve">2 </w:t>
            </w:r>
            <w:r w:rsidR="00D9523A" w:rsidRPr="004306D5">
              <w:rPr>
                <w:color w:val="000000" w:themeColor="text1"/>
              </w:rPr>
              <w:t>pantā paredzētajiem administratīvajiem pārkāpumiem.</w:t>
            </w:r>
            <w:r w:rsidR="003E30F3" w:rsidRPr="004306D5">
              <w:rPr>
                <w:bCs/>
                <w:color w:val="0D0D0D" w:themeColor="text1" w:themeTint="F2"/>
              </w:rPr>
              <w:t xml:space="preserve"> S</w:t>
            </w:r>
            <w:r w:rsidR="00D9523A" w:rsidRPr="004306D5">
              <w:rPr>
                <w:bCs/>
                <w:color w:val="0D0D0D" w:themeColor="text1" w:themeTint="F2"/>
              </w:rPr>
              <w:t>oda apmērs netiek mainīts</w:t>
            </w:r>
            <w:r w:rsidR="00E71583" w:rsidRPr="004306D5">
              <w:rPr>
                <w:bCs/>
                <w:color w:val="0D0D0D" w:themeColor="text1" w:themeTint="F2"/>
              </w:rPr>
              <w:t>.</w:t>
            </w:r>
          </w:p>
          <w:p w14:paraId="1DE58A1A" w14:textId="2DC3B96D" w:rsidR="0031438D" w:rsidRPr="003E30F3" w:rsidRDefault="0031438D" w:rsidP="003E30F3">
            <w:pPr>
              <w:widowControl w:val="0"/>
              <w:tabs>
                <w:tab w:val="left" w:pos="560"/>
              </w:tabs>
              <w:ind w:firstLine="492"/>
              <w:jc w:val="both"/>
              <w:outlineLvl w:val="2"/>
              <w:rPr>
                <w:bCs/>
                <w:color w:val="0D0D0D" w:themeColor="text1" w:themeTint="F2"/>
              </w:rPr>
            </w:pPr>
            <w:r w:rsidRPr="009D2D72">
              <w:rPr>
                <w:bCs/>
                <w:iCs/>
                <w:color w:val="0D0D0D" w:themeColor="text1" w:themeTint="F2"/>
              </w:rPr>
              <w:t>Administratīvā atbildība par viesabonēšanu publiskajos mobilo elektronisko sakaru tīklos regulējošo normatīvo aktu pārkāpšanu šobrīd ir noteikta Latvijas Administratīvo pārkāpumu kodeksa 158.</w:t>
            </w:r>
            <w:r w:rsidRPr="009D2D72">
              <w:rPr>
                <w:bCs/>
                <w:iCs/>
                <w:color w:val="0D0D0D" w:themeColor="text1" w:themeTint="F2"/>
                <w:vertAlign w:val="superscript"/>
              </w:rPr>
              <w:t>5</w:t>
            </w:r>
            <w:r w:rsidRPr="009D2D72">
              <w:rPr>
                <w:bCs/>
                <w:iCs/>
                <w:color w:val="0D0D0D" w:themeColor="text1" w:themeTint="F2"/>
              </w:rPr>
              <w:t>pantā “</w:t>
            </w:r>
            <w:r w:rsidRPr="009D2D72">
              <w:rPr>
                <w:bCs/>
                <w:color w:val="0D0D0D" w:themeColor="text1" w:themeTint="F2"/>
              </w:rPr>
              <w:t>Viesabonēšanu publiskajos mobilo elektronisko sakaru tīklos regulējošo normatīvo aktu pārkāpšana”. Minētais pants iekļauts likumprojekta.</w:t>
            </w:r>
            <w:r w:rsidR="003C2E1D">
              <w:rPr>
                <w:bCs/>
                <w:color w:val="0D0D0D" w:themeColor="text1" w:themeTint="F2"/>
              </w:rPr>
              <w:t xml:space="preserve"> 78.</w:t>
            </w:r>
            <w:r w:rsidRPr="009D2D72">
              <w:rPr>
                <w:bCs/>
                <w:color w:val="0D0D0D" w:themeColor="text1" w:themeTint="F2"/>
              </w:rPr>
              <w:t>pantā “</w:t>
            </w:r>
            <w:r w:rsidRPr="009D2D72">
              <w:rPr>
                <w:bCs/>
                <w:iCs/>
                <w:color w:val="0D0D0D" w:themeColor="text1" w:themeTint="F2"/>
              </w:rPr>
              <w:t>Viesabonēšanas publiskajos mobilo elektronisko sakaru tīklos regulējošo normatīvo aktu pārkāpšana”</w:t>
            </w:r>
            <w:r w:rsidR="003E30F3">
              <w:rPr>
                <w:bCs/>
                <w:color w:val="0D0D0D" w:themeColor="text1" w:themeTint="F2"/>
              </w:rPr>
              <w:t xml:space="preserve">. Ņemot vērā sakaru tirgus straujo attīstību, precizitātes nepieciešamību sakaru komersantu darbības nodrošināšanā, iespējamo zaudējumu apmērs tautsaimniecībai, ko varētu izraisīt </w:t>
            </w:r>
            <w:r w:rsidR="003E30F3" w:rsidRPr="009D2D72">
              <w:rPr>
                <w:bCs/>
                <w:iCs/>
                <w:color w:val="0D0D0D" w:themeColor="text1" w:themeTint="F2"/>
              </w:rPr>
              <w:t>viesabonēšan</w:t>
            </w:r>
            <w:r w:rsidR="003E30F3">
              <w:rPr>
                <w:bCs/>
                <w:iCs/>
                <w:color w:val="0D0D0D" w:themeColor="text1" w:themeTint="F2"/>
              </w:rPr>
              <w:t>as</w:t>
            </w:r>
            <w:r w:rsidR="003E30F3" w:rsidRPr="009D2D72">
              <w:rPr>
                <w:bCs/>
                <w:iCs/>
                <w:color w:val="0D0D0D" w:themeColor="text1" w:themeTint="F2"/>
              </w:rPr>
              <w:t xml:space="preserve"> publiskajos mobilo elektronisko sakaru tīklos regulējošo normatīvo aktu pārkāpšanu</w:t>
            </w:r>
            <w:r w:rsidR="003E30F3">
              <w:rPr>
                <w:bCs/>
                <w:color w:val="0D0D0D" w:themeColor="text1" w:themeTint="F2"/>
              </w:rPr>
              <w:t xml:space="preserve">, </w:t>
            </w:r>
            <w:r w:rsidR="008C78FD" w:rsidRPr="009D2D72">
              <w:rPr>
                <w:bCs/>
                <w:color w:val="0D0D0D" w:themeColor="text1" w:themeTint="F2"/>
              </w:rPr>
              <w:t>palielin</w:t>
            </w:r>
            <w:r w:rsidR="003E30F3">
              <w:rPr>
                <w:bCs/>
                <w:color w:val="0D0D0D" w:themeColor="text1" w:themeTint="F2"/>
              </w:rPr>
              <w:t>āta</w:t>
            </w:r>
            <w:r w:rsidRPr="009D2D72">
              <w:rPr>
                <w:bCs/>
                <w:color w:val="0D0D0D" w:themeColor="text1" w:themeTint="F2"/>
              </w:rPr>
              <w:t xml:space="preserve"> soda sankciju par </w:t>
            </w:r>
            <w:r w:rsidRPr="009D2D72">
              <w:rPr>
                <w:bCs/>
                <w:iCs/>
                <w:color w:val="0D0D0D" w:themeColor="text1" w:themeTint="F2"/>
              </w:rPr>
              <w:t>viesabonēšanas publiskajos mobilo elektronisko sakaru tīklos regulējošo normatīvo aktu pārkāpšanu.</w:t>
            </w:r>
          </w:p>
          <w:p w14:paraId="09EFB9CE" w14:textId="0A6769F6" w:rsidR="008C78FD" w:rsidRPr="00771352" w:rsidRDefault="0031438D" w:rsidP="0031438D">
            <w:pPr>
              <w:jc w:val="both"/>
              <w:rPr>
                <w:bCs/>
                <w:color w:val="000000" w:themeColor="text1"/>
              </w:rPr>
            </w:pPr>
            <w:r w:rsidRPr="009D2D72">
              <w:rPr>
                <w:bCs/>
                <w:iCs/>
                <w:color w:val="0D0D0D" w:themeColor="text1" w:themeTint="F2"/>
              </w:rPr>
              <w:t xml:space="preserve"> </w:t>
            </w:r>
            <w:r w:rsidR="004101E6" w:rsidRPr="009D2D72">
              <w:rPr>
                <w:bCs/>
                <w:iCs/>
                <w:color w:val="0D0D0D" w:themeColor="text1" w:themeTint="F2"/>
              </w:rPr>
              <w:t xml:space="preserve">        </w:t>
            </w:r>
            <w:r w:rsidRPr="009D2D72">
              <w:rPr>
                <w:bCs/>
                <w:iCs/>
                <w:color w:val="0D0D0D" w:themeColor="text1" w:themeTint="F2"/>
              </w:rPr>
              <w:t xml:space="preserve">Administratīvā atbildība par </w:t>
            </w:r>
            <w:r w:rsidRPr="009D2D72">
              <w:rPr>
                <w:bCs/>
                <w:color w:val="0D0D0D" w:themeColor="text1" w:themeTint="F2"/>
              </w:rPr>
              <w:t>datu plūsmas ātruma un datu apjoma prasību pārkāpšan</w:t>
            </w:r>
            <w:r w:rsidR="001441A8">
              <w:rPr>
                <w:bCs/>
                <w:color w:val="0D0D0D" w:themeColor="text1" w:themeTint="F2"/>
              </w:rPr>
              <w:t>u</w:t>
            </w:r>
            <w:r w:rsidRPr="009D2D72">
              <w:rPr>
                <w:bCs/>
                <w:color w:val="0D0D0D" w:themeColor="text1" w:themeTint="F2"/>
              </w:rPr>
              <w:t xml:space="preserve"> šobrīd ir noteikta </w:t>
            </w:r>
            <w:r w:rsidRPr="009D2D72">
              <w:rPr>
                <w:bCs/>
                <w:iCs/>
                <w:color w:val="0D0D0D" w:themeColor="text1" w:themeTint="F2"/>
              </w:rPr>
              <w:t xml:space="preserve">Latvijas Administratīvo pārkāpumu kodeksa </w:t>
            </w:r>
            <w:r w:rsidRPr="009D2D72">
              <w:rPr>
                <w:bCs/>
                <w:color w:val="0D0D0D" w:themeColor="text1" w:themeTint="F2"/>
              </w:rPr>
              <w:t>158.</w:t>
            </w:r>
            <w:r w:rsidRPr="009D2D72">
              <w:rPr>
                <w:bCs/>
                <w:color w:val="0D0D0D" w:themeColor="text1" w:themeTint="F2"/>
                <w:vertAlign w:val="superscript"/>
              </w:rPr>
              <w:t>6</w:t>
            </w:r>
            <w:r w:rsidRPr="009D2D72">
              <w:rPr>
                <w:bCs/>
                <w:color w:val="0D0D0D" w:themeColor="text1" w:themeTint="F2"/>
              </w:rPr>
              <w:t xml:space="preserve"> pantā “Normatīvajos aktos noteikto datu plūsmas ātruma un datu apjoma prasību pārkāpšana”. Minētais pants iekļauts likumprojekta </w:t>
            </w:r>
            <w:r w:rsidR="003C2E1D" w:rsidRPr="00771352">
              <w:rPr>
                <w:bCs/>
                <w:color w:val="0D0D0D" w:themeColor="text1" w:themeTint="F2"/>
              </w:rPr>
              <w:t>79.</w:t>
            </w:r>
            <w:r w:rsidRPr="009D2D72">
              <w:rPr>
                <w:bCs/>
                <w:color w:val="0D0D0D" w:themeColor="text1" w:themeTint="F2"/>
              </w:rPr>
              <w:t>pantā “Datu plūsmas ātrumu un datu apjomu regulējošo normatīvo aktu pārkāpšana”</w:t>
            </w:r>
            <w:r w:rsidR="00C4322A">
              <w:rPr>
                <w:bCs/>
                <w:color w:val="0D0D0D" w:themeColor="text1" w:themeTint="F2"/>
              </w:rPr>
              <w:t>.</w:t>
            </w:r>
            <w:r w:rsidRPr="009D2D72">
              <w:rPr>
                <w:bCs/>
                <w:color w:val="0D0D0D" w:themeColor="text1" w:themeTint="F2"/>
              </w:rPr>
              <w:t xml:space="preserve"> </w:t>
            </w:r>
            <w:r w:rsidR="00C4322A">
              <w:rPr>
                <w:bCs/>
                <w:color w:val="0D0D0D" w:themeColor="text1" w:themeTint="F2"/>
              </w:rPr>
              <w:t xml:space="preserve">Ņemot vērā tehnoloģiju attīstību, tehnoloģiskās precizitātes nozīmes ievērojamu palielināšanos, iespējamo zaudējumu apmēru tautsaimniecībai, ko varētu izraisīt </w:t>
            </w:r>
            <w:r w:rsidR="00C4322A" w:rsidRPr="009D2D72">
              <w:rPr>
                <w:bCs/>
                <w:color w:val="0D0D0D" w:themeColor="text1" w:themeTint="F2"/>
              </w:rPr>
              <w:t>datu plūsmas ātruma un datu ap</w:t>
            </w:r>
            <w:r w:rsidR="00C4322A" w:rsidRPr="00771352">
              <w:rPr>
                <w:bCs/>
                <w:color w:val="0D0D0D" w:themeColor="text1" w:themeTint="F2"/>
              </w:rPr>
              <w:t xml:space="preserve">joma prasību pārkāpšana, lai nodrošinātu </w:t>
            </w:r>
            <w:r w:rsidR="00C4322A" w:rsidRPr="00771352">
              <w:rPr>
                <w:bCs/>
                <w:color w:val="000000" w:themeColor="text1"/>
              </w:rPr>
              <w:t xml:space="preserve">administratīvā pārkāpuma preventīvo funkciju </w:t>
            </w:r>
            <w:r w:rsidRPr="00771352">
              <w:rPr>
                <w:bCs/>
                <w:color w:val="000000" w:themeColor="text1"/>
              </w:rPr>
              <w:t>paredz</w:t>
            </w:r>
            <w:r w:rsidR="00C4322A" w:rsidRPr="00771352">
              <w:rPr>
                <w:bCs/>
                <w:color w:val="000000" w:themeColor="text1"/>
              </w:rPr>
              <w:t>ēts</w:t>
            </w:r>
            <w:r w:rsidRPr="00771352">
              <w:rPr>
                <w:bCs/>
                <w:color w:val="000000" w:themeColor="text1"/>
              </w:rPr>
              <w:t xml:space="preserve"> </w:t>
            </w:r>
            <w:r w:rsidR="008C78FD" w:rsidRPr="00771352">
              <w:rPr>
                <w:bCs/>
                <w:color w:val="000000" w:themeColor="text1"/>
              </w:rPr>
              <w:t>palielināt</w:t>
            </w:r>
            <w:r w:rsidRPr="00771352">
              <w:rPr>
                <w:bCs/>
                <w:color w:val="000000" w:themeColor="text1"/>
              </w:rPr>
              <w:t xml:space="preserve"> </w:t>
            </w:r>
            <w:r w:rsidR="00415956" w:rsidRPr="00771352">
              <w:rPr>
                <w:bCs/>
                <w:iCs/>
                <w:color w:val="000000" w:themeColor="text1"/>
              </w:rPr>
              <w:t xml:space="preserve">juridiskajām personām. </w:t>
            </w:r>
            <w:r w:rsidRPr="00771352">
              <w:rPr>
                <w:bCs/>
                <w:color w:val="000000" w:themeColor="text1"/>
              </w:rPr>
              <w:t xml:space="preserve">soda sankciju par </w:t>
            </w:r>
            <w:r w:rsidR="003C2E1D" w:rsidRPr="00771352">
              <w:rPr>
                <w:bCs/>
                <w:color w:val="000000" w:themeColor="text1"/>
              </w:rPr>
              <w:t>79.</w:t>
            </w:r>
            <w:r w:rsidRPr="00771352">
              <w:rPr>
                <w:bCs/>
                <w:color w:val="000000" w:themeColor="text1"/>
              </w:rPr>
              <w:t xml:space="preserve">panta pirmajā daļā minēto pārkāpumu: </w:t>
            </w:r>
            <w:r w:rsidRPr="00771352">
              <w:rPr>
                <w:bCs/>
                <w:iCs/>
                <w:color w:val="000000" w:themeColor="text1"/>
              </w:rPr>
              <w:t>normatīvajos aktos noteikto datu plūsmas ātruma vai datu apjoma prasību pārkāpšanu, sniedzot publisko interneta piekļuves pakalpojumu</w:t>
            </w:r>
            <w:r w:rsidR="00415956" w:rsidRPr="00771352">
              <w:rPr>
                <w:bCs/>
                <w:iCs/>
                <w:color w:val="000000" w:themeColor="text1"/>
              </w:rPr>
              <w:t>.</w:t>
            </w:r>
            <w:r w:rsidRPr="00771352">
              <w:rPr>
                <w:bCs/>
                <w:iCs/>
                <w:color w:val="000000" w:themeColor="text1"/>
              </w:rPr>
              <w:t xml:space="preserve"> </w:t>
            </w:r>
          </w:p>
          <w:p w14:paraId="4CB7BA59" w14:textId="36A210ED" w:rsidR="0031438D" w:rsidRPr="009D2D72" w:rsidRDefault="004101E6" w:rsidP="0031438D">
            <w:pPr>
              <w:jc w:val="both"/>
              <w:rPr>
                <w:bCs/>
                <w:iCs/>
                <w:color w:val="0D0D0D" w:themeColor="text1" w:themeTint="F2"/>
                <w:highlight w:val="yellow"/>
              </w:rPr>
            </w:pPr>
            <w:r w:rsidRPr="00771352">
              <w:rPr>
                <w:bCs/>
                <w:iCs/>
                <w:color w:val="000000" w:themeColor="text1"/>
              </w:rPr>
              <w:t xml:space="preserve">            </w:t>
            </w:r>
            <w:r w:rsidR="008C78FD" w:rsidRPr="00771352">
              <w:rPr>
                <w:bCs/>
                <w:iCs/>
                <w:color w:val="000000" w:themeColor="text1"/>
              </w:rPr>
              <w:t xml:space="preserve">Likumprojekta </w:t>
            </w:r>
            <w:r w:rsidR="003C2E1D" w:rsidRPr="00771352">
              <w:rPr>
                <w:bCs/>
                <w:iCs/>
                <w:color w:val="000000" w:themeColor="text1"/>
              </w:rPr>
              <w:t>79.</w:t>
            </w:r>
            <w:r w:rsidR="008C78FD" w:rsidRPr="00771352">
              <w:rPr>
                <w:bCs/>
                <w:iCs/>
                <w:color w:val="000000" w:themeColor="text1"/>
              </w:rPr>
              <w:t>pantā</w:t>
            </w:r>
            <w:r w:rsidRPr="00771352">
              <w:rPr>
                <w:color w:val="000000" w:themeColor="text1"/>
              </w:rPr>
              <w:t>,</w:t>
            </w:r>
            <w:r w:rsidR="0031438D" w:rsidRPr="00771352">
              <w:rPr>
                <w:bCs/>
                <w:iCs/>
                <w:color w:val="000000" w:themeColor="text1"/>
              </w:rPr>
              <w:t xml:space="preserve"> paredzēts </w:t>
            </w:r>
            <w:r w:rsidR="008C78FD" w:rsidRPr="00771352">
              <w:rPr>
                <w:bCs/>
                <w:iCs/>
                <w:color w:val="000000" w:themeColor="text1"/>
              </w:rPr>
              <w:t xml:space="preserve">sods </w:t>
            </w:r>
            <w:r w:rsidR="0031438D" w:rsidRPr="00771352">
              <w:rPr>
                <w:bCs/>
                <w:iCs/>
                <w:color w:val="000000" w:themeColor="text1"/>
              </w:rPr>
              <w:t xml:space="preserve">par likumprojekta </w:t>
            </w:r>
            <w:r w:rsidR="003C2E1D" w:rsidRPr="00771352">
              <w:rPr>
                <w:bCs/>
                <w:iCs/>
                <w:color w:val="000000" w:themeColor="text1"/>
              </w:rPr>
              <w:t>79.</w:t>
            </w:r>
            <w:r w:rsidR="0031438D" w:rsidRPr="00771352">
              <w:rPr>
                <w:bCs/>
                <w:iCs/>
                <w:color w:val="000000" w:themeColor="text1"/>
              </w:rPr>
              <w:t xml:space="preserve">panta pirmajā daļā paredzēto pārkāpumu, ja tas tieši vai netieši ietekmējis sabiedrisko pakalpojumu tirgus pārskatāmību un konkurences </w:t>
            </w:r>
            <w:r w:rsidR="0031438D" w:rsidRPr="009D2D72">
              <w:rPr>
                <w:bCs/>
                <w:iCs/>
                <w:color w:val="0D0D0D" w:themeColor="text1" w:themeTint="F2"/>
              </w:rPr>
              <w:t>līmeni tajā, pārkāpums tieši vai netieši ietekmējis lietotāju iespējas saņemt nepārtraukti un droši sniegtu pakalpojumu par pamatotām cenām, pārkāpuma dēļ pārkāpējs ir guvis tiešu vai netiešu labumu vai ieņēmumus, vai pārkāpums ilgst vairāk par trim mēnešiem. Paredzētais soda nau</w:t>
            </w:r>
            <w:r w:rsidR="00E71583">
              <w:rPr>
                <w:bCs/>
                <w:iCs/>
                <w:color w:val="0D0D0D" w:themeColor="text1" w:themeTint="F2"/>
              </w:rPr>
              <w:t xml:space="preserve">das apjoms līdz </w:t>
            </w:r>
            <w:r w:rsidR="00E71583" w:rsidRPr="00634FF3">
              <w:rPr>
                <w:bCs/>
                <w:iCs/>
                <w:color w:val="0D0D0D" w:themeColor="text1" w:themeTint="F2"/>
              </w:rPr>
              <w:t>1</w:t>
            </w:r>
            <w:r w:rsidR="0031438D" w:rsidRPr="00634FF3">
              <w:rPr>
                <w:bCs/>
                <w:iCs/>
                <w:color w:val="0D0D0D" w:themeColor="text1" w:themeTint="F2"/>
              </w:rPr>
              <w:t>0</w:t>
            </w:r>
            <w:r w:rsidR="0031438D" w:rsidRPr="009D2D72">
              <w:rPr>
                <w:bCs/>
                <w:iCs/>
                <w:color w:val="0D0D0D" w:themeColor="text1" w:themeTint="F2"/>
              </w:rPr>
              <w:t xml:space="preserve"> procentiem no iepriekšējā pārskata gada neto apgrozījuma</w:t>
            </w:r>
            <w:r w:rsidRPr="009D2D72">
              <w:rPr>
                <w:bCs/>
                <w:iCs/>
                <w:color w:val="0D0D0D" w:themeColor="text1" w:themeTint="F2"/>
              </w:rPr>
              <w:t xml:space="preserve"> (</w:t>
            </w:r>
            <w:r w:rsidR="004E2B46" w:rsidRPr="009D2D72">
              <w:rPr>
                <w:bCs/>
                <w:iCs/>
                <w:color w:val="0D0D0D" w:themeColor="text1" w:themeTint="F2"/>
              </w:rPr>
              <w:t xml:space="preserve">Likumprojekta </w:t>
            </w:r>
            <w:r w:rsidR="004E2B46" w:rsidRPr="009D2D72">
              <w:rPr>
                <w:color w:val="0D0D0D" w:themeColor="text1" w:themeTint="F2"/>
              </w:rPr>
              <w:t>“Administratīvo pārkāpumu procesa likums” (Nr.1160/Lp11)</w:t>
            </w:r>
            <w:r w:rsidR="004E2B46" w:rsidRPr="009D2D72">
              <w:rPr>
                <w:bCs/>
                <w:iCs/>
                <w:color w:val="0D0D0D" w:themeColor="text1" w:themeTint="F2"/>
              </w:rPr>
              <w:t xml:space="preserve"> </w:t>
            </w:r>
            <w:r w:rsidR="00E71583">
              <w:rPr>
                <w:bCs/>
                <w:iCs/>
                <w:color w:val="0D0D0D" w:themeColor="text1" w:themeTint="F2"/>
              </w:rPr>
              <w:t>17.panta sestajā daļā paredzētā s</w:t>
            </w:r>
            <w:r w:rsidR="00E71583" w:rsidRPr="009D2D72">
              <w:rPr>
                <w:bCs/>
                <w:iCs/>
                <w:color w:val="0D0D0D" w:themeColor="text1" w:themeTint="F2"/>
              </w:rPr>
              <w:t xml:space="preserve">ankcijas galējā robeža </w:t>
            </w:r>
            <w:r w:rsidR="00E71583">
              <w:rPr>
                <w:bCs/>
                <w:iCs/>
                <w:color w:val="0D0D0D" w:themeColor="text1" w:themeTint="F2"/>
              </w:rPr>
              <w:t xml:space="preserve"> ir 30 procenti</w:t>
            </w:r>
            <w:r w:rsidRPr="009D2D72">
              <w:rPr>
                <w:bCs/>
                <w:iCs/>
                <w:color w:val="0D0D0D" w:themeColor="text1" w:themeTint="F2"/>
              </w:rPr>
              <w:t>).</w:t>
            </w:r>
            <w:r w:rsidR="0031438D" w:rsidRPr="009D2D72">
              <w:rPr>
                <w:bCs/>
                <w:iCs/>
                <w:color w:val="0D0D0D" w:themeColor="text1" w:themeTint="F2"/>
              </w:rPr>
              <w:t xml:space="preserve"> </w:t>
            </w:r>
          </w:p>
          <w:p w14:paraId="3F74D01C" w14:textId="356CE497" w:rsidR="0031438D" w:rsidRPr="009D2D72" w:rsidRDefault="007708F8" w:rsidP="0031438D">
            <w:pPr>
              <w:jc w:val="both"/>
              <w:rPr>
                <w:color w:val="0D0D0D" w:themeColor="text1" w:themeTint="F2"/>
              </w:rPr>
            </w:pPr>
            <w:r w:rsidRPr="009D2D72">
              <w:rPr>
                <w:bCs/>
                <w:iCs/>
                <w:color w:val="0D0D0D" w:themeColor="text1" w:themeTint="F2"/>
              </w:rPr>
              <w:t xml:space="preserve">         </w:t>
            </w:r>
            <w:r w:rsidR="0031438D" w:rsidRPr="009D2D72">
              <w:rPr>
                <w:bCs/>
                <w:iCs/>
                <w:color w:val="0D0D0D" w:themeColor="text1" w:themeTint="F2"/>
              </w:rPr>
              <w:t>Kodeksa 148. pants “</w:t>
            </w:r>
            <w:r w:rsidR="0031438D" w:rsidRPr="009D2D72">
              <w:rPr>
                <w:bCs/>
                <w:color w:val="0D0D0D" w:themeColor="text1" w:themeTint="F2"/>
              </w:rPr>
              <w:t>Elektronisko sakaru tīklu aizsardzības prasību pārkāpšana” ir sadalīts, nošķirot administratīvo pārkāpumu sastāvus un paredz</w:t>
            </w:r>
            <w:r w:rsidR="00AC1A0D">
              <w:rPr>
                <w:bCs/>
                <w:color w:val="0D0D0D" w:themeColor="text1" w:themeTint="F2"/>
              </w:rPr>
              <w:t>ot</w:t>
            </w:r>
            <w:r w:rsidR="0031438D" w:rsidRPr="009D2D72">
              <w:rPr>
                <w:bCs/>
                <w:color w:val="0D0D0D" w:themeColor="text1" w:themeTint="F2"/>
              </w:rPr>
              <w:t xml:space="preserve"> noteikt </w:t>
            </w:r>
            <w:r w:rsidR="006342F1">
              <w:rPr>
                <w:bCs/>
                <w:color w:val="0D0D0D" w:themeColor="text1" w:themeTint="F2"/>
              </w:rPr>
              <w:t xml:space="preserve">galējās robežas soda sankciju, kas nepārsniedz  </w:t>
            </w:r>
            <w:r w:rsidR="00415956">
              <w:rPr>
                <w:bCs/>
                <w:color w:val="0D0D0D" w:themeColor="text1" w:themeTint="F2"/>
              </w:rPr>
              <w:t>k</w:t>
            </w:r>
            <w:r w:rsidR="00AD35EC">
              <w:rPr>
                <w:bCs/>
                <w:color w:val="0D0D0D" w:themeColor="text1" w:themeTint="F2"/>
              </w:rPr>
              <w:t>odeksa 148.panta otrās daļas par atkārtoti gada laikā veiktu pārkāpumu galējo robežu</w:t>
            </w:r>
            <w:r w:rsidR="0031438D" w:rsidRPr="009D2D72">
              <w:rPr>
                <w:bCs/>
                <w:color w:val="0D0D0D" w:themeColor="text1" w:themeTint="F2"/>
              </w:rPr>
              <w:t xml:space="preserve"> par </w:t>
            </w:r>
            <w:r w:rsidR="0031438D" w:rsidRPr="009D2D72">
              <w:rPr>
                <w:color w:val="0D0D0D" w:themeColor="text1" w:themeTint="F2"/>
              </w:rPr>
              <w:t xml:space="preserve">elektronisko sakaru tīklu bojāšanu (Likumprojekta </w:t>
            </w:r>
            <w:r w:rsidR="003C2E1D" w:rsidRPr="00771352">
              <w:rPr>
                <w:color w:val="0D0D0D" w:themeColor="text1" w:themeTint="F2"/>
              </w:rPr>
              <w:t>80.</w:t>
            </w:r>
            <w:r w:rsidR="0031438D" w:rsidRPr="00771352">
              <w:rPr>
                <w:color w:val="0D0D0D" w:themeColor="text1" w:themeTint="F2"/>
              </w:rPr>
              <w:t>panta</w:t>
            </w:r>
            <w:r w:rsidR="0031438D" w:rsidRPr="009D2D72">
              <w:rPr>
                <w:color w:val="0D0D0D" w:themeColor="text1" w:themeTint="F2"/>
              </w:rPr>
              <w:t xml:space="preserve"> pirmā daļa) un par publisko elektronisko sakaru tīklu darbības traucēšanu, t.sk. nenodrošinot piekļuvi pie attiecīgajā īpašumā, arī </w:t>
            </w:r>
            <w:proofErr w:type="spellStart"/>
            <w:r w:rsidR="0031438D" w:rsidRPr="009D2D72">
              <w:rPr>
                <w:color w:val="0D0D0D" w:themeColor="text1" w:themeTint="F2"/>
              </w:rPr>
              <w:t>liegumzonā</w:t>
            </w:r>
            <w:proofErr w:type="spellEnd"/>
            <w:r w:rsidR="0031438D" w:rsidRPr="009D2D72">
              <w:rPr>
                <w:color w:val="0D0D0D" w:themeColor="text1" w:themeTint="F2"/>
              </w:rPr>
              <w:t xml:space="preserve">, slēgtā teritorijā vai ēkā esošajiem elektronisko sakaru tīkliem un to infrastruktūras būvēm, lai veiktu šo tīklu un attiecīgo infrastruktūras būvju pārbūvi, renovāciju, atsevišķa abonenta līnijas pieslēguma ierīkošanu pie ēkā esošā elektronisko sakaru tīkla, vai ar to ekspluatāciju </w:t>
            </w:r>
            <w:r w:rsidR="0031438D" w:rsidRPr="007325FA">
              <w:rPr>
                <w:color w:val="000000" w:themeColor="text1"/>
              </w:rPr>
              <w:t>saistītus darbus (Likumprojekta</w:t>
            </w:r>
            <w:r w:rsidR="004306D5" w:rsidRPr="007325FA">
              <w:rPr>
                <w:color w:val="000000" w:themeColor="text1"/>
              </w:rPr>
              <w:t xml:space="preserve"> 80.</w:t>
            </w:r>
            <w:r w:rsidR="0031438D" w:rsidRPr="007325FA">
              <w:rPr>
                <w:color w:val="000000" w:themeColor="text1"/>
              </w:rPr>
              <w:t xml:space="preserve">panta otrā daļa). </w:t>
            </w:r>
            <w:r w:rsidR="00E02B81" w:rsidRPr="007325FA">
              <w:rPr>
                <w:color w:val="000000" w:themeColor="text1"/>
              </w:rPr>
              <w:t>Kodeksa 148.pantā paredzētais sods par, elektronisko sakaru tīklu aizsardzībai noteikto aizsardzības zonu neievērošanu tiek pārcelts uz Aizsargjoslu likumu sa</w:t>
            </w:r>
            <w:r w:rsidR="004767B3" w:rsidRPr="007325FA">
              <w:rPr>
                <w:color w:val="000000" w:themeColor="text1"/>
              </w:rPr>
              <w:t>skaņā</w:t>
            </w:r>
            <w:r w:rsidR="00E02B81" w:rsidRPr="007325FA">
              <w:rPr>
                <w:color w:val="000000" w:themeColor="text1"/>
              </w:rPr>
              <w:t xml:space="preserve"> ar Tieslietu ministrijas Latvijas Administratīvo pārkāpumu kodeksa pastāvīgajās darba grupas konceptuālo lēmumu, ka visi aizsargjoslu tiesiskā regulējuma administratīvie pārkāpumi tiek paredzēti Aizsargjoslu likumā.</w:t>
            </w:r>
            <w:r w:rsidR="00E02B81" w:rsidRPr="007325FA">
              <w:rPr>
                <w:color w:val="000000" w:themeColor="text1"/>
                <w:sz w:val="28"/>
                <w:szCs w:val="28"/>
              </w:rPr>
              <w:t xml:space="preserve">  </w:t>
            </w:r>
          </w:p>
          <w:p w14:paraId="7F608B99" w14:textId="195F5C59" w:rsidR="0031438D" w:rsidRDefault="0031438D" w:rsidP="0031438D">
            <w:pPr>
              <w:pStyle w:val="tv2132"/>
              <w:spacing w:line="240" w:lineRule="auto"/>
              <w:jc w:val="both"/>
              <w:rPr>
                <w:bCs/>
                <w:color w:val="0D0D0D" w:themeColor="text1" w:themeTint="F2"/>
                <w:sz w:val="24"/>
                <w:szCs w:val="24"/>
              </w:rPr>
            </w:pPr>
            <w:r w:rsidRPr="009D2D72">
              <w:rPr>
                <w:bCs/>
                <w:color w:val="0D0D0D" w:themeColor="text1" w:themeTint="F2"/>
                <w:sz w:val="24"/>
                <w:szCs w:val="24"/>
              </w:rPr>
              <w:t>Kodeksa 149.</w:t>
            </w:r>
            <w:r w:rsidRPr="009D2D72">
              <w:rPr>
                <w:bCs/>
                <w:color w:val="0D0D0D" w:themeColor="text1" w:themeTint="F2"/>
                <w:sz w:val="24"/>
                <w:szCs w:val="24"/>
                <w:vertAlign w:val="superscript"/>
              </w:rPr>
              <w:t>1</w:t>
            </w:r>
            <w:r w:rsidRPr="009D2D72">
              <w:rPr>
                <w:bCs/>
                <w:color w:val="0D0D0D" w:themeColor="text1" w:themeTint="F2"/>
                <w:sz w:val="24"/>
                <w:szCs w:val="24"/>
              </w:rPr>
              <w:t xml:space="preserve"> pants “Elektronisko sakaru iekārtu patvaļīga pieslēgšana publiskajam elektronisko sakaru tīklam un patvaļīga pieslēgšanās televīzijas un skaņas apraides signālu izplatīšanas kabeļtīklu sistēmai vai tās bojāšana” trīs daļas integrētas </w:t>
            </w:r>
            <w:r w:rsidRPr="00771352">
              <w:rPr>
                <w:bCs/>
                <w:color w:val="0D0D0D" w:themeColor="text1" w:themeTint="F2"/>
                <w:sz w:val="24"/>
                <w:szCs w:val="24"/>
              </w:rPr>
              <w:t xml:space="preserve">Likumprojekta </w:t>
            </w:r>
            <w:r w:rsidR="004306D5" w:rsidRPr="00771352">
              <w:rPr>
                <w:bCs/>
                <w:color w:val="0D0D0D" w:themeColor="text1" w:themeTint="F2"/>
                <w:sz w:val="24"/>
                <w:szCs w:val="24"/>
                <w:shd w:val="clear" w:color="auto" w:fill="FFFFFF" w:themeFill="background1"/>
              </w:rPr>
              <w:t>81.</w:t>
            </w:r>
            <w:r w:rsidRPr="00771352">
              <w:rPr>
                <w:bCs/>
                <w:color w:val="0D0D0D" w:themeColor="text1" w:themeTint="F2"/>
                <w:sz w:val="24"/>
                <w:szCs w:val="24"/>
                <w:shd w:val="clear" w:color="auto" w:fill="FFFFFF" w:themeFill="background1"/>
              </w:rPr>
              <w:t>panta</w:t>
            </w:r>
            <w:r w:rsidRPr="00771352">
              <w:rPr>
                <w:bCs/>
                <w:color w:val="0D0D0D" w:themeColor="text1" w:themeTint="F2"/>
                <w:sz w:val="24"/>
                <w:szCs w:val="24"/>
              </w:rPr>
              <w:t xml:space="preserve"> vienā daļā, paredzot noteikt </w:t>
            </w:r>
            <w:r w:rsidR="00AD35EC" w:rsidRPr="00771352">
              <w:rPr>
                <w:bCs/>
                <w:color w:val="0D0D0D" w:themeColor="text1" w:themeTint="F2"/>
                <w:sz w:val="24"/>
                <w:szCs w:val="24"/>
              </w:rPr>
              <w:t xml:space="preserve">soda galējo robežu </w:t>
            </w:r>
            <w:r w:rsidR="00415956" w:rsidRPr="00771352">
              <w:rPr>
                <w:bCs/>
                <w:color w:val="0D0D0D" w:themeColor="text1" w:themeTint="F2"/>
                <w:sz w:val="24"/>
                <w:szCs w:val="24"/>
              </w:rPr>
              <w:t>k</w:t>
            </w:r>
            <w:r w:rsidR="00AD35EC" w:rsidRPr="00771352">
              <w:rPr>
                <w:bCs/>
                <w:color w:val="0D0D0D" w:themeColor="text1" w:themeTint="F2"/>
                <w:sz w:val="24"/>
                <w:szCs w:val="24"/>
              </w:rPr>
              <w:t>odeksa 149.</w:t>
            </w:r>
            <w:r w:rsidR="00AD35EC" w:rsidRPr="00771352">
              <w:rPr>
                <w:bCs/>
                <w:color w:val="0D0D0D" w:themeColor="text1" w:themeTint="F2"/>
                <w:sz w:val="24"/>
                <w:szCs w:val="24"/>
                <w:vertAlign w:val="superscript"/>
              </w:rPr>
              <w:t>1</w:t>
            </w:r>
            <w:r w:rsidR="00AD35EC" w:rsidRPr="00771352">
              <w:rPr>
                <w:bCs/>
                <w:color w:val="0D0D0D" w:themeColor="text1" w:themeTint="F2"/>
                <w:sz w:val="24"/>
                <w:szCs w:val="24"/>
              </w:rPr>
              <w:t xml:space="preserve"> panta trešās daļas galējās robežas apmērā</w:t>
            </w:r>
            <w:r w:rsidR="00AC1A0D" w:rsidRPr="00771352">
              <w:rPr>
                <w:bCs/>
                <w:color w:val="0D0D0D" w:themeColor="text1" w:themeTint="F2"/>
                <w:sz w:val="24"/>
                <w:szCs w:val="24"/>
              </w:rPr>
              <w:t>,</w:t>
            </w:r>
            <w:r w:rsidR="00AD35EC" w:rsidRPr="00771352">
              <w:rPr>
                <w:bCs/>
                <w:color w:val="0D0D0D" w:themeColor="text1" w:themeTint="F2"/>
                <w:sz w:val="24"/>
                <w:szCs w:val="24"/>
              </w:rPr>
              <w:t xml:space="preserve"> </w:t>
            </w:r>
            <w:r w:rsidRPr="00771352">
              <w:rPr>
                <w:bCs/>
                <w:color w:val="0D0D0D" w:themeColor="text1" w:themeTint="F2"/>
                <w:sz w:val="24"/>
                <w:szCs w:val="24"/>
              </w:rPr>
              <w:t>par patvaļīgu pieslēgšanos publiskajam elektronisko sakaru tīklam</w:t>
            </w:r>
            <w:r w:rsidRPr="009D2D72">
              <w:rPr>
                <w:bCs/>
                <w:color w:val="0D0D0D" w:themeColor="text1" w:themeTint="F2"/>
                <w:sz w:val="24"/>
                <w:szCs w:val="24"/>
              </w:rPr>
              <w:t xml:space="preserve"> vai tā lietošanas noteikumu pārkāpšanu.</w:t>
            </w:r>
          </w:p>
          <w:p w14:paraId="35D86D16" w14:textId="09416D52" w:rsidR="0031438D" w:rsidRPr="00771352" w:rsidRDefault="0088686F" w:rsidP="00771352">
            <w:pPr>
              <w:shd w:val="clear" w:color="auto" w:fill="FFFFFF" w:themeFill="background1"/>
              <w:spacing w:line="276" w:lineRule="auto"/>
              <w:jc w:val="both"/>
              <w:rPr>
                <w:color w:val="0D0D0D" w:themeColor="text1" w:themeTint="F2"/>
              </w:rPr>
            </w:pPr>
            <w:r>
              <w:t xml:space="preserve">     </w:t>
            </w:r>
            <w:r w:rsidR="0031438D" w:rsidRPr="009D2D72">
              <w:rPr>
                <w:color w:val="0D0D0D" w:themeColor="text1" w:themeTint="F2"/>
              </w:rPr>
              <w:t xml:space="preserve">Likumprojekta “Administratīvo pārkāpumu procesa likums” (Nr.1160/Lp11) </w:t>
            </w:r>
            <w:r w:rsidR="0031438D" w:rsidRPr="009D2D72">
              <w:rPr>
                <w:bCs/>
                <w:color w:val="0D0D0D" w:themeColor="text1" w:themeTint="F2"/>
              </w:rPr>
              <w:t xml:space="preserve">317. pantā “Kompetentās iestādes likumā noteikto sodu piemērošanai” uzskatītajā sarakstā </w:t>
            </w:r>
            <w:r w:rsidR="004A22E4">
              <w:rPr>
                <w:bCs/>
                <w:color w:val="0D0D0D" w:themeColor="text1" w:themeTint="F2"/>
              </w:rPr>
              <w:t xml:space="preserve">līdzšinējā kontroles iestāde, kas piemēroja arī attiecīgos sodus, </w:t>
            </w:r>
            <w:r w:rsidR="0031438D" w:rsidRPr="009D2D72">
              <w:rPr>
                <w:color w:val="0D0D0D" w:themeColor="text1" w:themeTint="F2"/>
              </w:rPr>
              <w:t>VAS “Elektroniskie sakari</w:t>
            </w:r>
            <w:r w:rsidR="0031438D" w:rsidRPr="004306D5">
              <w:rPr>
                <w:color w:val="0D0D0D" w:themeColor="text1" w:themeTint="F2"/>
              </w:rPr>
              <w:t>”</w:t>
            </w:r>
            <w:r w:rsidR="004A22E4">
              <w:rPr>
                <w:color w:val="0D0D0D" w:themeColor="text1" w:themeTint="F2"/>
              </w:rPr>
              <w:t xml:space="preserve"> ir aizstāta ar Vides aizsardzības un reģionālās att</w:t>
            </w:r>
            <w:r w:rsidR="00F1185E">
              <w:rPr>
                <w:color w:val="0D0D0D" w:themeColor="text1" w:themeTint="F2"/>
              </w:rPr>
              <w:t>īs</w:t>
            </w:r>
            <w:r w:rsidR="004A22E4">
              <w:rPr>
                <w:color w:val="0D0D0D" w:themeColor="text1" w:themeTint="F2"/>
              </w:rPr>
              <w:t>tības ministriju</w:t>
            </w:r>
            <w:r w:rsidR="002B6819" w:rsidRPr="004306D5">
              <w:rPr>
                <w:color w:val="0D0D0D" w:themeColor="text1" w:themeTint="F2"/>
              </w:rPr>
              <w:t xml:space="preserve">, </w:t>
            </w:r>
            <w:r w:rsidR="003C2E1D" w:rsidRPr="004306D5">
              <w:rPr>
                <w:color w:val="0D0D0D" w:themeColor="text1" w:themeTint="F2"/>
              </w:rPr>
              <w:t>jo saskaņā ar Tieslietu ministrijas pozīciju, komersants, kas Valsts pārvaldes iekārtas likuma izpratnē ir privātpersona, nevar piemērot administratīvos sodus administratīvo pārkāpumu procesā citai privātpersonai. Zvērinātu advokātu biroja “</w:t>
            </w:r>
            <w:proofErr w:type="spellStart"/>
            <w:r w:rsidR="003C2E1D" w:rsidRPr="004306D5">
              <w:rPr>
                <w:color w:val="0D0D0D" w:themeColor="text1" w:themeTint="F2"/>
              </w:rPr>
              <w:t>Eversheds</w:t>
            </w:r>
            <w:proofErr w:type="spellEnd"/>
            <w:r w:rsidR="003C2E1D" w:rsidRPr="004306D5">
              <w:rPr>
                <w:color w:val="0D0D0D" w:themeColor="text1" w:themeTint="F2"/>
              </w:rPr>
              <w:t xml:space="preserve"> Bitāns” pēc </w:t>
            </w:r>
            <w:r w:rsidR="00F1185E">
              <w:rPr>
                <w:color w:val="0D0D0D" w:themeColor="text1" w:themeTint="F2"/>
              </w:rPr>
              <w:t>V</w:t>
            </w:r>
            <w:r w:rsidR="003C2E1D" w:rsidRPr="004306D5">
              <w:rPr>
                <w:color w:val="0D0D0D" w:themeColor="text1" w:themeTint="F2"/>
              </w:rPr>
              <w:t xml:space="preserve">alsts kancelejas pasūtījuma veiktā pētījumā “Valsts pārvaldes uzdevumu nodošanas analīze un rekomendācijas” tika secināts, ka pašreizējā Latvijas tiesiskās attīstības stadijā administratīvo sodu piemērošana un sodu izpildes kontrole varētu piederēt pie tādiem pārvaldes uzdevumiem, kas pēc savas būtības ir valsts pārvaldes pamats un, kuru drīkst veikt tikai pārvaldes </w:t>
            </w:r>
            <w:r w:rsidR="003C2E1D" w:rsidRPr="00B66FE2">
              <w:rPr>
                <w:color w:val="0D0D0D" w:themeColor="text1" w:themeTint="F2"/>
                <w:shd w:val="clear" w:color="auto" w:fill="FFFFFF" w:themeFill="background1"/>
              </w:rPr>
              <w:t xml:space="preserve">iestādes. </w:t>
            </w:r>
            <w:r w:rsidR="00F1185E" w:rsidRPr="00B66FE2">
              <w:rPr>
                <w:color w:val="0D0D0D" w:themeColor="text1" w:themeTint="F2"/>
                <w:shd w:val="clear" w:color="auto" w:fill="FFFFFF" w:themeFill="background1"/>
              </w:rPr>
              <w:t>Līdz ar to, i</w:t>
            </w:r>
            <w:r w:rsidR="0031438D" w:rsidRPr="00B66FE2">
              <w:rPr>
                <w:color w:val="0D0D0D" w:themeColor="text1" w:themeTint="F2"/>
                <w:shd w:val="clear" w:color="auto" w:fill="FFFFFF" w:themeFill="background1"/>
              </w:rPr>
              <w:t>zvērtējot</w:t>
            </w:r>
            <w:r w:rsidR="0031438D" w:rsidRPr="009D2D72">
              <w:rPr>
                <w:color w:val="0D0D0D" w:themeColor="text1" w:themeTint="F2"/>
              </w:rPr>
              <w:t xml:space="preserve"> lietderības apsvērumus, ņemot vērā institūcijas kapacitāti un pieredzi, Likumprojektā kā efektīvākais regulējums ir paredzēta kompetentā iestāde elektronisko sakaru jomas administratīvo pārkāpumu lietvedības un administratīvo sodu piemērošanā – Vides </w:t>
            </w:r>
            <w:r w:rsidR="0031438D" w:rsidRPr="00771352">
              <w:rPr>
                <w:color w:val="0D0D0D" w:themeColor="text1" w:themeTint="F2"/>
              </w:rPr>
              <w:t xml:space="preserve">aizsardzības un reģionālās attīstības ministrija. </w:t>
            </w:r>
          </w:p>
          <w:p w14:paraId="4ADDAC40" w14:textId="1B25D6C6" w:rsidR="0031438D" w:rsidRPr="00771352" w:rsidRDefault="009D2D72" w:rsidP="00771352">
            <w:pPr>
              <w:widowControl w:val="0"/>
              <w:shd w:val="clear" w:color="auto" w:fill="FFFFFF" w:themeFill="background1"/>
              <w:tabs>
                <w:tab w:val="left" w:pos="560"/>
              </w:tabs>
              <w:ind w:firstLine="492"/>
              <w:jc w:val="both"/>
              <w:outlineLvl w:val="2"/>
              <w:rPr>
                <w:color w:val="0D0D0D" w:themeColor="text1" w:themeTint="F2"/>
              </w:rPr>
            </w:pPr>
            <w:r w:rsidRPr="00771352">
              <w:rPr>
                <w:color w:val="0D0D0D" w:themeColor="text1" w:themeTint="F2"/>
              </w:rPr>
              <w:t xml:space="preserve">Likumprojekta </w:t>
            </w:r>
            <w:r w:rsidR="004306D5" w:rsidRPr="00771352">
              <w:rPr>
                <w:color w:val="0D0D0D" w:themeColor="text1" w:themeTint="F2"/>
              </w:rPr>
              <w:t>82.</w:t>
            </w:r>
            <w:r w:rsidRPr="00771352">
              <w:rPr>
                <w:color w:val="0D0D0D" w:themeColor="text1" w:themeTint="F2"/>
              </w:rPr>
              <w:t>pantā</w:t>
            </w:r>
            <w:r w:rsidR="0031438D" w:rsidRPr="00771352">
              <w:rPr>
                <w:color w:val="0D0D0D" w:themeColor="text1" w:themeTint="F2"/>
              </w:rPr>
              <w:t xml:space="preserve"> paredzēta </w:t>
            </w:r>
            <w:r w:rsidR="00415956" w:rsidRPr="00771352">
              <w:rPr>
                <w:color w:val="0D0D0D" w:themeColor="text1" w:themeTint="F2"/>
              </w:rPr>
              <w:t xml:space="preserve">šāda </w:t>
            </w:r>
            <w:r w:rsidR="0031438D" w:rsidRPr="00771352">
              <w:rPr>
                <w:color w:val="0D0D0D" w:themeColor="text1" w:themeTint="F2"/>
              </w:rPr>
              <w:t>institūciju kompetence administratīvo sodu piemērošanā:</w:t>
            </w:r>
          </w:p>
          <w:p w14:paraId="3525E320" w14:textId="77777777" w:rsidR="0031438D" w:rsidRPr="00771352" w:rsidRDefault="0031438D" w:rsidP="00771352">
            <w:pPr>
              <w:pStyle w:val="ListParagraph"/>
              <w:widowControl w:val="0"/>
              <w:numPr>
                <w:ilvl w:val="0"/>
                <w:numId w:val="9"/>
              </w:numPr>
              <w:shd w:val="clear" w:color="auto" w:fill="FFFFFF" w:themeFill="background1"/>
              <w:tabs>
                <w:tab w:val="left" w:pos="560"/>
              </w:tabs>
              <w:jc w:val="both"/>
              <w:outlineLvl w:val="2"/>
              <w:rPr>
                <w:color w:val="0D0D0D" w:themeColor="text1" w:themeTint="F2"/>
                <w:u w:val="single"/>
              </w:rPr>
            </w:pPr>
            <w:r w:rsidRPr="00771352">
              <w:rPr>
                <w:color w:val="0D0D0D" w:themeColor="text1" w:themeTint="F2"/>
                <w:u w:val="single"/>
              </w:rPr>
              <w:t>Vides</w:t>
            </w:r>
            <w:r w:rsidR="00B12F1E" w:rsidRPr="00771352">
              <w:rPr>
                <w:color w:val="0D0D0D" w:themeColor="text1" w:themeTint="F2"/>
                <w:u w:val="single"/>
              </w:rPr>
              <w:t xml:space="preserve"> </w:t>
            </w:r>
            <w:r w:rsidRPr="00771352">
              <w:rPr>
                <w:color w:val="0D0D0D" w:themeColor="text1" w:themeTint="F2"/>
                <w:u w:val="single"/>
              </w:rPr>
              <w:t>aizsardzības un reģionālās attīstības ministrija:</w:t>
            </w:r>
          </w:p>
          <w:p w14:paraId="09870E3B" w14:textId="77777777" w:rsidR="0031438D" w:rsidRPr="004306D5" w:rsidRDefault="0031438D" w:rsidP="0031438D">
            <w:pPr>
              <w:widowControl w:val="0"/>
              <w:tabs>
                <w:tab w:val="left" w:pos="560"/>
              </w:tabs>
              <w:ind w:left="492"/>
              <w:jc w:val="both"/>
              <w:outlineLvl w:val="2"/>
              <w:rPr>
                <w:color w:val="0D0D0D" w:themeColor="text1" w:themeTint="F2"/>
              </w:rPr>
            </w:pPr>
            <w:r w:rsidRPr="004306D5">
              <w:rPr>
                <w:color w:val="0D0D0D" w:themeColor="text1" w:themeTint="F2"/>
              </w:rPr>
              <w:t>1.1. radiosakaru noteikumu pārkāpšana;</w:t>
            </w:r>
          </w:p>
          <w:p w14:paraId="1D39AB7A" w14:textId="1D2E97E9" w:rsidR="0031438D" w:rsidRPr="004306D5" w:rsidRDefault="0031438D" w:rsidP="0031438D">
            <w:pPr>
              <w:widowControl w:val="0"/>
              <w:tabs>
                <w:tab w:val="left" w:pos="560"/>
              </w:tabs>
              <w:ind w:firstLine="492"/>
              <w:jc w:val="both"/>
              <w:outlineLvl w:val="2"/>
              <w:rPr>
                <w:bCs/>
                <w:color w:val="0D0D0D" w:themeColor="text1" w:themeTint="F2"/>
              </w:rPr>
            </w:pPr>
            <w:r w:rsidRPr="004306D5">
              <w:rPr>
                <w:bCs/>
                <w:color w:val="0D0D0D" w:themeColor="text1" w:themeTint="F2"/>
              </w:rPr>
              <w:t>1.2. normatīvajos aktos noteiktās informācijas par numerācijas lietošanu nesniegšana numerācijas datu bāzes uzturēšanai, kā arī nepatiesas informācijas sniegšana.</w:t>
            </w:r>
          </w:p>
          <w:p w14:paraId="48742A15" w14:textId="77777777" w:rsidR="0031438D" w:rsidRPr="004306D5" w:rsidRDefault="0031438D" w:rsidP="0031438D">
            <w:pPr>
              <w:widowControl w:val="0"/>
              <w:tabs>
                <w:tab w:val="left" w:pos="560"/>
              </w:tabs>
              <w:ind w:firstLine="492"/>
              <w:jc w:val="both"/>
              <w:outlineLvl w:val="2"/>
              <w:rPr>
                <w:bCs/>
                <w:color w:val="0D0D0D" w:themeColor="text1" w:themeTint="F2"/>
                <w:u w:val="single"/>
              </w:rPr>
            </w:pPr>
            <w:r w:rsidRPr="004306D5">
              <w:rPr>
                <w:bCs/>
                <w:color w:val="0D0D0D" w:themeColor="text1" w:themeTint="F2"/>
                <w:u w:val="single"/>
              </w:rPr>
              <w:t>2. Valsts policija:</w:t>
            </w:r>
          </w:p>
          <w:p w14:paraId="2B7F3B66" w14:textId="2C22BB3B" w:rsidR="0031438D" w:rsidRPr="00415956" w:rsidRDefault="0031438D" w:rsidP="0031438D">
            <w:pPr>
              <w:widowControl w:val="0"/>
              <w:tabs>
                <w:tab w:val="left" w:pos="560"/>
              </w:tabs>
              <w:ind w:firstLine="492"/>
              <w:jc w:val="both"/>
              <w:outlineLvl w:val="2"/>
              <w:rPr>
                <w:bCs/>
                <w:color w:val="0D0D0D" w:themeColor="text1" w:themeTint="F2"/>
              </w:rPr>
            </w:pPr>
            <w:r w:rsidRPr="004306D5">
              <w:rPr>
                <w:bCs/>
                <w:color w:val="0D0D0D" w:themeColor="text1" w:themeTint="F2"/>
              </w:rPr>
              <w:t>2.1. normatīvajos aktos noteiktās informācijas nesniegšana atrašanās vietas informācijas datu bāzes uzturēšanai</w:t>
            </w:r>
            <w:r w:rsidRPr="00771352">
              <w:rPr>
                <w:bCs/>
                <w:color w:val="000000" w:themeColor="text1"/>
                <w:shd w:val="clear" w:color="auto" w:fill="FFFFFF" w:themeFill="background1"/>
              </w:rPr>
              <w:t>, kā arī</w:t>
            </w:r>
            <w:r w:rsidR="00C37830">
              <w:rPr>
                <w:bCs/>
                <w:color w:val="000000" w:themeColor="text1"/>
                <w:shd w:val="clear" w:color="auto" w:fill="FFFFFF" w:themeFill="background1"/>
              </w:rPr>
              <w:t xml:space="preserve"> </w:t>
            </w:r>
            <w:r w:rsidRPr="00771352">
              <w:rPr>
                <w:bCs/>
                <w:color w:val="000000" w:themeColor="text1"/>
                <w:shd w:val="clear" w:color="auto" w:fill="FFFFFF" w:themeFill="background1"/>
              </w:rPr>
              <w:t>nepatiesas informācijas sniegšana;</w:t>
            </w:r>
          </w:p>
          <w:p w14:paraId="4B1694BE" w14:textId="77777777" w:rsidR="0031438D" w:rsidRPr="004306D5" w:rsidRDefault="0031438D" w:rsidP="0031438D">
            <w:pPr>
              <w:widowControl w:val="0"/>
              <w:tabs>
                <w:tab w:val="left" w:pos="560"/>
              </w:tabs>
              <w:ind w:firstLine="492"/>
              <w:jc w:val="both"/>
              <w:outlineLvl w:val="2"/>
              <w:rPr>
                <w:bCs/>
                <w:color w:val="0D0D0D" w:themeColor="text1" w:themeTint="F2"/>
              </w:rPr>
            </w:pPr>
            <w:r w:rsidRPr="004306D5">
              <w:rPr>
                <w:bCs/>
                <w:color w:val="0D0D0D" w:themeColor="text1" w:themeTint="F2"/>
              </w:rPr>
              <w:t>2.2. datu, programmatūras un iekārtu iegūšana, izgatavošana, izmainīšana, glabāšana un izplatīšana nelikumīgām darbībām ar elektronisko sakaru tīklu galiekārtām.</w:t>
            </w:r>
          </w:p>
          <w:p w14:paraId="3C550AF3" w14:textId="77777777" w:rsidR="0031438D" w:rsidRPr="004306D5" w:rsidRDefault="0031438D" w:rsidP="0031438D">
            <w:pPr>
              <w:widowControl w:val="0"/>
              <w:tabs>
                <w:tab w:val="left" w:pos="560"/>
              </w:tabs>
              <w:ind w:firstLine="492"/>
              <w:jc w:val="both"/>
              <w:outlineLvl w:val="2"/>
              <w:rPr>
                <w:bCs/>
                <w:color w:val="0D0D0D" w:themeColor="text1" w:themeTint="F2"/>
                <w:u w:val="single"/>
              </w:rPr>
            </w:pPr>
            <w:r w:rsidRPr="004306D5">
              <w:rPr>
                <w:bCs/>
                <w:color w:val="0D0D0D" w:themeColor="text1" w:themeTint="F2"/>
                <w:u w:val="single"/>
              </w:rPr>
              <w:t>3. Regulators:</w:t>
            </w:r>
          </w:p>
          <w:p w14:paraId="2591E286" w14:textId="77777777" w:rsidR="0031438D" w:rsidRPr="004306D5" w:rsidRDefault="0031438D" w:rsidP="0031438D">
            <w:pPr>
              <w:widowControl w:val="0"/>
              <w:tabs>
                <w:tab w:val="left" w:pos="560"/>
              </w:tabs>
              <w:ind w:firstLine="492"/>
              <w:jc w:val="both"/>
              <w:outlineLvl w:val="2"/>
              <w:rPr>
                <w:bCs/>
                <w:iCs/>
                <w:color w:val="0D0D0D" w:themeColor="text1" w:themeTint="F2"/>
              </w:rPr>
            </w:pPr>
            <w:r w:rsidRPr="004306D5">
              <w:rPr>
                <w:bCs/>
                <w:color w:val="0D0D0D" w:themeColor="text1" w:themeTint="F2"/>
              </w:rPr>
              <w:t xml:space="preserve">3.1. </w:t>
            </w:r>
            <w:r w:rsidRPr="004306D5">
              <w:rPr>
                <w:bCs/>
                <w:iCs/>
                <w:color w:val="0D0D0D" w:themeColor="text1" w:themeTint="F2"/>
              </w:rPr>
              <w:t>viesabonēšanu publiskajos mobilo elektronisko sakaru tīklos regulējošo normatīvo aktu pārkāpšana;</w:t>
            </w:r>
          </w:p>
          <w:p w14:paraId="68ABE4C7" w14:textId="77777777" w:rsidR="0031438D" w:rsidRPr="004306D5" w:rsidRDefault="0031438D" w:rsidP="0031438D">
            <w:pPr>
              <w:widowControl w:val="0"/>
              <w:tabs>
                <w:tab w:val="left" w:pos="560"/>
              </w:tabs>
              <w:ind w:firstLine="492"/>
              <w:jc w:val="both"/>
              <w:outlineLvl w:val="2"/>
              <w:rPr>
                <w:bCs/>
                <w:iCs/>
                <w:color w:val="0D0D0D" w:themeColor="text1" w:themeTint="F2"/>
              </w:rPr>
            </w:pPr>
            <w:r w:rsidRPr="004306D5">
              <w:rPr>
                <w:bCs/>
                <w:iCs/>
                <w:color w:val="0D0D0D" w:themeColor="text1" w:themeTint="F2"/>
              </w:rPr>
              <w:t>3.2. datu plūsmas ātrumu un datu apjomu regulējošo normatīvo aktu pārkāpšana.</w:t>
            </w:r>
          </w:p>
          <w:p w14:paraId="257485AE" w14:textId="4B757F01" w:rsidR="0031438D" w:rsidRPr="009D2D72" w:rsidRDefault="007708F8" w:rsidP="0031438D">
            <w:pPr>
              <w:widowControl w:val="0"/>
              <w:tabs>
                <w:tab w:val="left" w:pos="560"/>
              </w:tabs>
              <w:jc w:val="both"/>
              <w:outlineLvl w:val="2"/>
              <w:rPr>
                <w:bCs/>
                <w:iCs/>
                <w:color w:val="0D0D0D" w:themeColor="text1" w:themeTint="F2"/>
              </w:rPr>
            </w:pPr>
            <w:r w:rsidRPr="004306D5">
              <w:rPr>
                <w:bCs/>
                <w:iCs/>
                <w:color w:val="0D0D0D" w:themeColor="text1" w:themeTint="F2"/>
              </w:rPr>
              <w:t xml:space="preserve">          </w:t>
            </w:r>
            <w:r w:rsidR="0031438D" w:rsidRPr="004306D5">
              <w:rPr>
                <w:bCs/>
                <w:iCs/>
                <w:color w:val="0D0D0D" w:themeColor="text1" w:themeTint="F2"/>
              </w:rPr>
              <w:t xml:space="preserve">Saskaņā ar </w:t>
            </w:r>
            <w:r w:rsidR="00F1185E">
              <w:rPr>
                <w:bCs/>
                <w:iCs/>
                <w:color w:val="0D0D0D" w:themeColor="text1" w:themeTint="F2"/>
              </w:rPr>
              <w:t>ESL</w:t>
            </w:r>
            <w:r w:rsidR="0031438D" w:rsidRPr="004306D5">
              <w:rPr>
                <w:bCs/>
                <w:iCs/>
                <w:color w:val="0D0D0D" w:themeColor="text1" w:themeTint="F2"/>
              </w:rPr>
              <w:t xml:space="preserve"> 8.panta pirmās daļas 14.punktu Regulatora kompetencē ietilpst normatīvo aktu ievērošanas attiecībā uz viesabonēšanu publiskajos mobilo elektronisko sakaru tīklos uzraudzība. Ņemot vērā to, ka veicot šādu pārkāpumu elektronisko sakaru komersants var aizskart liela skaita lietotāju, kā arī valsts un arī citu pakalpojumu sniedzēju intereses, ir būtiski pārņemt Likumprojektā šo kodeksa normu.</w:t>
            </w:r>
          </w:p>
          <w:p w14:paraId="3DA37B46" w14:textId="432E98EB" w:rsidR="007B2E51" w:rsidRPr="009D2D72" w:rsidRDefault="0031438D" w:rsidP="00F3794A">
            <w:pPr>
              <w:widowControl w:val="0"/>
              <w:tabs>
                <w:tab w:val="left" w:pos="560"/>
              </w:tabs>
              <w:ind w:firstLine="492"/>
              <w:jc w:val="both"/>
              <w:outlineLvl w:val="2"/>
              <w:rPr>
                <w:rFonts w:eastAsia="SimSun"/>
                <w:color w:val="0D0D0D" w:themeColor="text1" w:themeTint="F2"/>
                <w:kern w:val="3"/>
                <w:lang w:eastAsia="zh-CN" w:bidi="hi-IN"/>
              </w:rPr>
            </w:pPr>
            <w:r w:rsidRPr="009D2D72">
              <w:rPr>
                <w:bCs/>
                <w:iCs/>
                <w:color w:val="0D0D0D" w:themeColor="text1" w:themeTint="F2"/>
              </w:rPr>
              <w:t>Administratīvā atbildība par datu plūsmas ātrumu un datu apjomu regulējošo normatīvo aktu pārkāpšanas šobrīd ir noteikta Latvijas Administratīvo pārkāpumu kodeksa 158.</w:t>
            </w:r>
            <w:r w:rsidRPr="009D2D72">
              <w:rPr>
                <w:bCs/>
                <w:iCs/>
                <w:color w:val="0D0D0D" w:themeColor="text1" w:themeTint="F2"/>
                <w:vertAlign w:val="superscript"/>
              </w:rPr>
              <w:t>6</w:t>
            </w:r>
            <w:r w:rsidRPr="009D2D72">
              <w:rPr>
                <w:bCs/>
                <w:iCs/>
                <w:color w:val="0D0D0D" w:themeColor="text1" w:themeTint="F2"/>
              </w:rPr>
              <w:t>pantā. Tiesiskais regulējums par šo pārkāpumu izriet no Eiropas Parlamenta un Padomes 2015.gada 25.novembra regulas Nr.2015/2120, ar kuru nosaka pasākumus sakarā ar piekļuvi atvērtam internetam un groza Direktīvu 2002/22/EK par universālo pakalpojumu un lietotāju tiesībām uz elektronisko sakaru tīkliem un pakalpojumiem un Regulu (ES) Ne.531/2012 par viesabonēšanu publiskajos mobilo sakaru tīklos Savienībā (turpmāk – regula). Noteikt administratīvo atbildību par šo pārkāpumu nepieciešams, lai ieviestu regulas 6.pantā paredzētās iedarbīgās, samērīgās un atturošās sankcijas par regulas nosacījumu saistībā ar vienlīdzīgas un nediskriminējošas attieksmes pret datplūsmu interneta piekļuves pakalpojumu sniegšanas jomā pārkāpumiem.</w:t>
            </w:r>
          </w:p>
        </w:tc>
      </w:tr>
      <w:tr w:rsidR="009D2D72" w:rsidRPr="009D2D72" w14:paraId="01394C9C" w14:textId="77777777" w:rsidTr="0031438D">
        <w:tc>
          <w:tcPr>
            <w:tcW w:w="311" w:type="pct"/>
            <w:hideMark/>
          </w:tcPr>
          <w:p w14:paraId="426D5BDB" w14:textId="77777777" w:rsidR="0031438D" w:rsidRPr="009D2D72" w:rsidRDefault="0031438D" w:rsidP="0031438D">
            <w:pPr>
              <w:jc w:val="center"/>
              <w:rPr>
                <w:color w:val="0D0D0D" w:themeColor="text1" w:themeTint="F2"/>
              </w:rPr>
            </w:pPr>
            <w:r w:rsidRPr="009D2D72">
              <w:rPr>
                <w:color w:val="0D0D0D" w:themeColor="text1" w:themeTint="F2"/>
              </w:rPr>
              <w:lastRenderedPageBreak/>
              <w:t>3.</w:t>
            </w:r>
          </w:p>
        </w:tc>
        <w:tc>
          <w:tcPr>
            <w:tcW w:w="1479" w:type="pct"/>
            <w:hideMark/>
          </w:tcPr>
          <w:p w14:paraId="7869B36D" w14:textId="77777777" w:rsidR="0031438D" w:rsidRPr="009D2D72" w:rsidRDefault="0031438D" w:rsidP="0031438D">
            <w:pPr>
              <w:rPr>
                <w:color w:val="0D0D0D" w:themeColor="text1" w:themeTint="F2"/>
              </w:rPr>
            </w:pPr>
            <w:r w:rsidRPr="009D2D72">
              <w:rPr>
                <w:color w:val="0D0D0D" w:themeColor="text1" w:themeTint="F2"/>
              </w:rPr>
              <w:t>Projekta izstrādē iesaistītās institūcijas un publiskas personas kapitālsabiedrības</w:t>
            </w:r>
          </w:p>
        </w:tc>
        <w:tc>
          <w:tcPr>
            <w:tcW w:w="3210" w:type="pct"/>
          </w:tcPr>
          <w:p w14:paraId="6FFABD33" w14:textId="2CD8830A" w:rsidR="0031438D" w:rsidRPr="009D2D72" w:rsidRDefault="0031438D" w:rsidP="00F3794A">
            <w:pPr>
              <w:jc w:val="both"/>
              <w:rPr>
                <w:color w:val="0D0D0D" w:themeColor="text1" w:themeTint="F2"/>
              </w:rPr>
            </w:pPr>
            <w:r w:rsidRPr="009D2D72">
              <w:rPr>
                <w:color w:val="0D0D0D" w:themeColor="text1" w:themeTint="F2"/>
              </w:rPr>
              <w:t>Satiksmes ministrija, VAS “El</w:t>
            </w:r>
            <w:r w:rsidR="00374635">
              <w:rPr>
                <w:color w:val="0D0D0D" w:themeColor="text1" w:themeTint="F2"/>
              </w:rPr>
              <w:t>ektroniskie sakari”, R</w:t>
            </w:r>
            <w:r w:rsidR="00E244D2">
              <w:rPr>
                <w:color w:val="0D0D0D" w:themeColor="text1" w:themeTint="F2"/>
              </w:rPr>
              <w:t>egulators, Tieslietu ministrija, Valsts policija</w:t>
            </w:r>
            <w:r w:rsidR="00415956">
              <w:rPr>
                <w:color w:val="0D0D0D" w:themeColor="text1" w:themeTint="F2"/>
              </w:rPr>
              <w:t>, Vides aizsardzības un reģionālās attīstības ministrija</w:t>
            </w:r>
            <w:r w:rsidR="00F3794A">
              <w:rPr>
                <w:color w:val="0D0D0D" w:themeColor="text1" w:themeTint="F2"/>
              </w:rPr>
              <w:t>.</w:t>
            </w:r>
          </w:p>
        </w:tc>
      </w:tr>
      <w:tr w:rsidR="0031438D" w:rsidRPr="009D2D72" w14:paraId="45D441AE" w14:textId="77777777" w:rsidTr="0031438D">
        <w:tc>
          <w:tcPr>
            <w:tcW w:w="311" w:type="pct"/>
            <w:hideMark/>
          </w:tcPr>
          <w:p w14:paraId="0E3CB28C" w14:textId="77777777" w:rsidR="0031438D" w:rsidRPr="009D2D72" w:rsidRDefault="0031438D" w:rsidP="0031438D">
            <w:pPr>
              <w:jc w:val="center"/>
              <w:rPr>
                <w:color w:val="0D0D0D" w:themeColor="text1" w:themeTint="F2"/>
              </w:rPr>
            </w:pPr>
            <w:r w:rsidRPr="009D2D72">
              <w:rPr>
                <w:color w:val="0D0D0D" w:themeColor="text1" w:themeTint="F2"/>
              </w:rPr>
              <w:t>4.</w:t>
            </w:r>
          </w:p>
        </w:tc>
        <w:tc>
          <w:tcPr>
            <w:tcW w:w="1479" w:type="pct"/>
            <w:hideMark/>
          </w:tcPr>
          <w:p w14:paraId="499A6F57" w14:textId="77777777" w:rsidR="0031438D" w:rsidRPr="009D2D72" w:rsidRDefault="0031438D" w:rsidP="0031438D">
            <w:pPr>
              <w:rPr>
                <w:color w:val="0D0D0D" w:themeColor="text1" w:themeTint="F2"/>
              </w:rPr>
            </w:pPr>
            <w:r w:rsidRPr="009D2D72">
              <w:rPr>
                <w:color w:val="0D0D0D" w:themeColor="text1" w:themeTint="F2"/>
              </w:rPr>
              <w:t>Cita informācija</w:t>
            </w:r>
          </w:p>
        </w:tc>
        <w:tc>
          <w:tcPr>
            <w:tcW w:w="3210" w:type="pct"/>
          </w:tcPr>
          <w:p w14:paraId="44AE30B6" w14:textId="77777777" w:rsidR="00F1185E" w:rsidRDefault="00F1185E" w:rsidP="00F1185E">
            <w:pPr>
              <w:suppressAutoHyphens/>
              <w:autoSpaceDN w:val="0"/>
              <w:ind w:firstLine="284"/>
              <w:jc w:val="both"/>
              <w:textAlignment w:val="baseline"/>
              <w:rPr>
                <w:bCs/>
                <w:color w:val="0D0D0D" w:themeColor="text1" w:themeTint="F2"/>
              </w:rPr>
            </w:pPr>
            <w:r w:rsidRPr="009D2D72">
              <w:rPr>
                <w:color w:val="0D0D0D" w:themeColor="text1" w:themeTint="F2"/>
              </w:rPr>
              <w:t xml:space="preserve">Likumprojekts paredz, ka grozījumi stāsies spēkā vienlaicīgi ar </w:t>
            </w:r>
            <w:r w:rsidRPr="009D2D72">
              <w:rPr>
                <w:bCs/>
                <w:color w:val="0D0D0D" w:themeColor="text1" w:themeTint="F2"/>
              </w:rPr>
              <w:t>Administratīvo pārkāpumu procesa likumu.</w:t>
            </w:r>
          </w:p>
          <w:p w14:paraId="698F9F04" w14:textId="38070ACE" w:rsidR="0031438D" w:rsidRPr="009D2D72" w:rsidRDefault="00F1185E" w:rsidP="00F1185E">
            <w:pPr>
              <w:ind w:firstLine="284"/>
              <w:jc w:val="both"/>
              <w:rPr>
                <w:color w:val="0D0D0D" w:themeColor="text1" w:themeTint="F2"/>
              </w:rPr>
            </w:pPr>
            <w:r>
              <w:rPr>
                <w:bCs/>
                <w:iCs/>
                <w:color w:val="0D0D0D" w:themeColor="text1" w:themeTint="F2"/>
              </w:rPr>
              <w:t xml:space="preserve">    </w:t>
            </w:r>
            <w:r w:rsidRPr="00C31B4B">
              <w:rPr>
                <w:bCs/>
                <w:iCs/>
                <w:color w:val="0D0D0D" w:themeColor="text1" w:themeTint="F2"/>
              </w:rPr>
              <w:t>Projekts izskatīts un atbalstīts Tieslietu ministrijas Latvijas Administratīvo pārkāpumu kodeksa pastāvīgās darba grupas 2017. gada 23. marta sēdē (protokols Nr.33-6.1/11)</w:t>
            </w:r>
            <w:r w:rsidR="00F03F4C">
              <w:rPr>
                <w:bCs/>
                <w:iCs/>
                <w:color w:val="0D0D0D" w:themeColor="text1" w:themeTint="F2"/>
              </w:rPr>
              <w:t>, likumprojekts precizēts</w:t>
            </w:r>
            <w:r w:rsidR="00FF3693">
              <w:rPr>
                <w:bCs/>
                <w:iCs/>
                <w:color w:val="0D0D0D" w:themeColor="text1" w:themeTint="F2"/>
              </w:rPr>
              <w:t xml:space="preserve"> un saskaņots </w:t>
            </w:r>
            <w:r w:rsidR="00013DFF">
              <w:rPr>
                <w:bCs/>
                <w:iCs/>
                <w:color w:val="0D0D0D" w:themeColor="text1" w:themeTint="F2"/>
              </w:rPr>
              <w:t xml:space="preserve">ar Tieslietu ministriju </w:t>
            </w:r>
            <w:bookmarkStart w:id="0" w:name="_GoBack"/>
            <w:bookmarkEnd w:id="0"/>
            <w:r w:rsidR="00FF3693">
              <w:rPr>
                <w:bCs/>
                <w:iCs/>
                <w:color w:val="0D0D0D" w:themeColor="text1" w:themeTint="F2"/>
              </w:rPr>
              <w:t>elektroniski 2018.gada 2.augustā.</w:t>
            </w:r>
          </w:p>
        </w:tc>
      </w:tr>
    </w:tbl>
    <w:p w14:paraId="7AE89942" w14:textId="77777777" w:rsidR="00BD5588" w:rsidRPr="009D2D72" w:rsidRDefault="00BD5588" w:rsidP="00BD5588">
      <w:pPr>
        <w:pStyle w:val="Title"/>
        <w:spacing w:before="130" w:line="260" w:lineRule="exact"/>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36DD81F6" w14:textId="77777777" w:rsidTr="00737785">
        <w:trPr>
          <w:cantSplit/>
        </w:trPr>
        <w:tc>
          <w:tcPr>
            <w:tcW w:w="5000" w:type="pct"/>
            <w:gridSpan w:val="3"/>
            <w:vAlign w:val="center"/>
            <w:hideMark/>
          </w:tcPr>
          <w:p w14:paraId="484C6C24" w14:textId="77777777" w:rsidR="00BD5588" w:rsidRPr="009D2D72" w:rsidRDefault="006E2E27" w:rsidP="00737785">
            <w:pPr>
              <w:jc w:val="center"/>
              <w:rPr>
                <w:b/>
                <w:bCs/>
                <w:color w:val="0D0D0D" w:themeColor="text1" w:themeTint="F2"/>
              </w:rPr>
            </w:pPr>
            <w:r w:rsidRPr="009D2D72">
              <w:rPr>
                <w:b/>
                <w:bCs/>
                <w:color w:val="0D0D0D" w:themeColor="text1" w:themeTint="F2"/>
              </w:rPr>
              <w:t>II. Tiesību akta projekta ietekme uz sabiedrību, tautsaimniecības attīstību un administratīvo slogu</w:t>
            </w:r>
          </w:p>
        </w:tc>
      </w:tr>
      <w:tr w:rsidR="009D2D72" w:rsidRPr="009D2D72" w14:paraId="518C2A1C" w14:textId="77777777" w:rsidTr="0031438D">
        <w:tc>
          <w:tcPr>
            <w:tcW w:w="311" w:type="pct"/>
            <w:hideMark/>
          </w:tcPr>
          <w:p w14:paraId="6ACF8EE2" w14:textId="77777777" w:rsidR="00BD5588" w:rsidRPr="009D2D72" w:rsidRDefault="006E2E27" w:rsidP="00737785">
            <w:pPr>
              <w:jc w:val="center"/>
              <w:rPr>
                <w:color w:val="0D0D0D" w:themeColor="text1" w:themeTint="F2"/>
              </w:rPr>
            </w:pPr>
            <w:r w:rsidRPr="009D2D72">
              <w:rPr>
                <w:color w:val="0D0D0D" w:themeColor="text1" w:themeTint="F2"/>
              </w:rPr>
              <w:t>1.</w:t>
            </w:r>
          </w:p>
        </w:tc>
        <w:tc>
          <w:tcPr>
            <w:tcW w:w="1479" w:type="pct"/>
            <w:hideMark/>
          </w:tcPr>
          <w:p w14:paraId="37A9701C" w14:textId="77777777" w:rsidR="00BD5588" w:rsidRPr="009D2D72" w:rsidRDefault="006E2E27" w:rsidP="00737785">
            <w:pPr>
              <w:rPr>
                <w:color w:val="0D0D0D" w:themeColor="text1" w:themeTint="F2"/>
              </w:rPr>
            </w:pPr>
            <w:r w:rsidRPr="009D2D72">
              <w:rPr>
                <w:color w:val="0D0D0D" w:themeColor="text1" w:themeTint="F2"/>
              </w:rPr>
              <w:t xml:space="preserve">Sabiedrības </w:t>
            </w:r>
            <w:proofErr w:type="spellStart"/>
            <w:r w:rsidRPr="009D2D72">
              <w:rPr>
                <w:color w:val="0D0D0D" w:themeColor="text1" w:themeTint="F2"/>
              </w:rPr>
              <w:t>mērķgrupas</w:t>
            </w:r>
            <w:proofErr w:type="spellEnd"/>
            <w:r w:rsidRPr="009D2D72">
              <w:rPr>
                <w:color w:val="0D0D0D" w:themeColor="text1" w:themeTint="F2"/>
              </w:rPr>
              <w:t>, kuras tiesiskais regulējums ietekmē vai varētu ietekmēt</w:t>
            </w:r>
          </w:p>
        </w:tc>
        <w:tc>
          <w:tcPr>
            <w:tcW w:w="3210" w:type="pct"/>
          </w:tcPr>
          <w:p w14:paraId="7A3EAD52" w14:textId="77777777" w:rsidR="00951360" w:rsidRPr="009D2D72" w:rsidRDefault="00951360" w:rsidP="00372A0D">
            <w:pPr>
              <w:jc w:val="both"/>
              <w:rPr>
                <w:color w:val="0D0D0D" w:themeColor="text1" w:themeTint="F2"/>
              </w:rPr>
            </w:pPr>
            <w:r w:rsidRPr="00A64970">
              <w:rPr>
                <w:bCs/>
                <w:iCs/>
                <w:color w:val="0D0D0D" w:themeColor="text1" w:themeTint="F2"/>
              </w:rPr>
              <w:t xml:space="preserve">Normatīvā </w:t>
            </w:r>
            <w:smartTag w:uri="schemas-tilde-lv/tildestengine" w:element="veidnes">
              <w:smartTagPr>
                <w:attr w:name="baseform" w:val="akt|s"/>
                <w:attr w:name="text" w:val="akta"/>
                <w:attr w:name="id" w:val="-1"/>
              </w:smartTagPr>
              <w:r w:rsidRPr="00A64970">
                <w:rPr>
                  <w:bCs/>
                  <w:iCs/>
                  <w:color w:val="0D0D0D" w:themeColor="text1" w:themeTint="F2"/>
                </w:rPr>
                <w:t>akta</w:t>
              </w:r>
            </w:smartTag>
            <w:r w:rsidRPr="00A64970">
              <w:rPr>
                <w:bCs/>
                <w:iCs/>
                <w:color w:val="0D0D0D" w:themeColor="text1" w:themeTint="F2"/>
              </w:rPr>
              <w:t xml:space="preserve"> projekts attiecas uz </w:t>
            </w:r>
            <w:r w:rsidR="00F1185E">
              <w:rPr>
                <w:bCs/>
                <w:iCs/>
                <w:color w:val="0D0D0D" w:themeColor="text1" w:themeTint="F2"/>
              </w:rPr>
              <w:t xml:space="preserve">elektronisko sakaru </w:t>
            </w:r>
            <w:r w:rsidRPr="00A64970">
              <w:rPr>
                <w:bCs/>
                <w:iCs/>
                <w:color w:val="0D0D0D" w:themeColor="text1" w:themeTint="F2"/>
              </w:rPr>
              <w:t xml:space="preserve">komersantiem un fiziskām personām, kas pārkāpj normatīvajos </w:t>
            </w:r>
            <w:smartTag w:uri="schemas-tilde-lv/tildestengine" w:element="veidnes">
              <w:smartTagPr>
                <w:attr w:name="baseform" w:val="akt|s"/>
                <w:attr w:name="text" w:val="aktos"/>
                <w:attr w:name="id" w:val="-1"/>
              </w:smartTagPr>
              <w:r w:rsidRPr="00A64970">
                <w:rPr>
                  <w:bCs/>
                  <w:iCs/>
                  <w:color w:val="0D0D0D" w:themeColor="text1" w:themeTint="F2"/>
                </w:rPr>
                <w:t>aktos</w:t>
              </w:r>
            </w:smartTag>
            <w:r w:rsidRPr="00A64970">
              <w:rPr>
                <w:bCs/>
                <w:iCs/>
                <w:color w:val="0D0D0D" w:themeColor="text1" w:themeTint="F2"/>
              </w:rPr>
              <w:t xml:space="preserve"> noteikto kārtību elektronisko sakaru </w:t>
            </w:r>
            <w:r w:rsidR="00372A0D" w:rsidRPr="00A64970">
              <w:rPr>
                <w:bCs/>
                <w:iCs/>
                <w:color w:val="0D0D0D" w:themeColor="text1" w:themeTint="F2"/>
              </w:rPr>
              <w:t xml:space="preserve">jomā. Likumprojektā tiek pārņemtas </w:t>
            </w:r>
            <w:r w:rsidR="00A64970">
              <w:rPr>
                <w:bCs/>
                <w:iCs/>
                <w:color w:val="0D0D0D" w:themeColor="text1" w:themeTint="F2"/>
              </w:rPr>
              <w:t xml:space="preserve">aktuālās </w:t>
            </w:r>
            <w:r w:rsidR="00372A0D" w:rsidRPr="00A64970">
              <w:rPr>
                <w:bCs/>
                <w:iCs/>
                <w:color w:val="0D0D0D" w:themeColor="text1" w:themeTint="F2"/>
              </w:rPr>
              <w:t>administratīvā pārkāpuma kodeksa normas, kas attiecināmas uz elektronisko sakaru jomu.</w:t>
            </w:r>
          </w:p>
        </w:tc>
      </w:tr>
      <w:tr w:rsidR="009D2D72" w:rsidRPr="009D2D72" w14:paraId="40D99E87" w14:textId="77777777" w:rsidTr="0031438D">
        <w:tc>
          <w:tcPr>
            <w:tcW w:w="311" w:type="pct"/>
            <w:hideMark/>
          </w:tcPr>
          <w:p w14:paraId="09384FD0" w14:textId="77777777" w:rsidR="00BD5588" w:rsidRPr="009D2D72" w:rsidRDefault="006E2E27" w:rsidP="00737785">
            <w:pPr>
              <w:jc w:val="center"/>
              <w:rPr>
                <w:color w:val="0D0D0D" w:themeColor="text1" w:themeTint="F2"/>
              </w:rPr>
            </w:pPr>
            <w:r w:rsidRPr="009D2D72">
              <w:rPr>
                <w:color w:val="0D0D0D" w:themeColor="text1" w:themeTint="F2"/>
              </w:rPr>
              <w:t>2.</w:t>
            </w:r>
          </w:p>
        </w:tc>
        <w:tc>
          <w:tcPr>
            <w:tcW w:w="1479" w:type="pct"/>
            <w:hideMark/>
          </w:tcPr>
          <w:p w14:paraId="505A97A8" w14:textId="77777777" w:rsidR="00BD5588" w:rsidRPr="009D2D72" w:rsidRDefault="006E2E27" w:rsidP="00737785">
            <w:pPr>
              <w:rPr>
                <w:color w:val="0D0D0D" w:themeColor="text1" w:themeTint="F2"/>
              </w:rPr>
            </w:pPr>
            <w:r w:rsidRPr="009D2D72">
              <w:rPr>
                <w:color w:val="0D0D0D" w:themeColor="text1" w:themeTint="F2"/>
              </w:rPr>
              <w:t>Tiesiskā regulējuma ietekme uz tautsaimniecību un administratīvo slogu</w:t>
            </w:r>
          </w:p>
        </w:tc>
        <w:tc>
          <w:tcPr>
            <w:tcW w:w="3210" w:type="pct"/>
          </w:tcPr>
          <w:p w14:paraId="3E78F19B" w14:textId="50243A42" w:rsidR="00A80E88" w:rsidRPr="009D2D72" w:rsidRDefault="0031438D" w:rsidP="00A80E88">
            <w:pPr>
              <w:jc w:val="both"/>
              <w:rPr>
                <w:color w:val="0D0D0D" w:themeColor="text1" w:themeTint="F2"/>
                <w:highlight w:val="yellow"/>
              </w:rPr>
            </w:pPr>
            <w:r w:rsidRPr="009D2D72">
              <w:rPr>
                <w:color w:val="0D0D0D" w:themeColor="text1" w:themeTint="F2"/>
              </w:rPr>
              <w:t>Likumprojekta tiesiskais regulējums maina Likumprojektā noteikto administratīvo pārkāpumu subjektu tiesības un pienākumus, kā arī veicamās darbības</w:t>
            </w:r>
            <w:r w:rsidR="00A80E88">
              <w:rPr>
                <w:color w:val="0D0D0D" w:themeColor="text1" w:themeTint="F2"/>
              </w:rPr>
              <w:t>, nosakot</w:t>
            </w:r>
            <w:r w:rsidR="00A80E88" w:rsidRPr="008203F4">
              <w:t xml:space="preserve"> </w:t>
            </w:r>
            <w:r w:rsidR="00A80E88" w:rsidRPr="009D2D72">
              <w:rPr>
                <w:color w:val="0D0D0D" w:themeColor="text1" w:themeTint="F2"/>
              </w:rPr>
              <w:t>Vides aizsardzības un reģionālās attīstības ministrija</w:t>
            </w:r>
            <w:r w:rsidR="00A80E88">
              <w:rPr>
                <w:color w:val="0D0D0D" w:themeColor="text1" w:themeTint="F2"/>
              </w:rPr>
              <w:t>i</w:t>
            </w:r>
            <w:r w:rsidR="00A80E88" w:rsidRPr="008203F4">
              <w:t xml:space="preserve"> jaun</w:t>
            </w:r>
            <w:r w:rsidR="00A80E88">
              <w:t>u</w:t>
            </w:r>
            <w:r w:rsidR="00A80E88" w:rsidRPr="008203F4">
              <w:t xml:space="preserve"> funkcij</w:t>
            </w:r>
            <w:r w:rsidR="00FD15E9">
              <w:t>u</w:t>
            </w:r>
            <w:r w:rsidR="00A80E88" w:rsidRPr="008203F4">
              <w:t xml:space="preserve"> – sodu piemērošan</w:t>
            </w:r>
            <w:r w:rsidR="00FD15E9">
              <w:t>u</w:t>
            </w:r>
            <w:r w:rsidR="00A80E88" w:rsidRPr="008203F4">
              <w:t xml:space="preserve">, </w:t>
            </w:r>
            <w:r w:rsidR="00A80E88">
              <w:t>kura</w:t>
            </w:r>
            <w:r w:rsidR="00FD15E9">
              <w:t xml:space="preserve"> tiks nodrošināta esošo resursu ietvaros.</w:t>
            </w:r>
          </w:p>
        </w:tc>
      </w:tr>
      <w:tr w:rsidR="009D2D72" w:rsidRPr="009D2D72" w14:paraId="019F768D" w14:textId="77777777" w:rsidTr="0031438D">
        <w:tc>
          <w:tcPr>
            <w:tcW w:w="311" w:type="pct"/>
            <w:hideMark/>
          </w:tcPr>
          <w:p w14:paraId="77A36500" w14:textId="77777777" w:rsidR="00BD5588" w:rsidRPr="009D2D72" w:rsidRDefault="006E2E27" w:rsidP="00737785">
            <w:pPr>
              <w:jc w:val="center"/>
              <w:rPr>
                <w:color w:val="0D0D0D" w:themeColor="text1" w:themeTint="F2"/>
              </w:rPr>
            </w:pPr>
            <w:r w:rsidRPr="009D2D72">
              <w:rPr>
                <w:color w:val="0D0D0D" w:themeColor="text1" w:themeTint="F2"/>
              </w:rPr>
              <w:t>3.</w:t>
            </w:r>
          </w:p>
        </w:tc>
        <w:tc>
          <w:tcPr>
            <w:tcW w:w="1479" w:type="pct"/>
            <w:hideMark/>
          </w:tcPr>
          <w:p w14:paraId="5266A789" w14:textId="77777777" w:rsidR="00BD5588" w:rsidRPr="009D2D72" w:rsidRDefault="006E2E27" w:rsidP="00737785">
            <w:pPr>
              <w:rPr>
                <w:color w:val="0D0D0D" w:themeColor="text1" w:themeTint="F2"/>
              </w:rPr>
            </w:pPr>
            <w:r w:rsidRPr="009D2D72">
              <w:rPr>
                <w:color w:val="0D0D0D" w:themeColor="text1" w:themeTint="F2"/>
              </w:rPr>
              <w:t>Administratīvo izmaksu monetārs novērtējums</w:t>
            </w:r>
          </w:p>
        </w:tc>
        <w:tc>
          <w:tcPr>
            <w:tcW w:w="3210" w:type="pct"/>
          </w:tcPr>
          <w:p w14:paraId="47361A65" w14:textId="77777777" w:rsidR="00DD21E5" w:rsidRPr="009D2D72" w:rsidRDefault="0031438D" w:rsidP="0031438D">
            <w:pPr>
              <w:jc w:val="both"/>
              <w:rPr>
                <w:color w:val="0D0D0D" w:themeColor="text1" w:themeTint="F2"/>
              </w:rPr>
            </w:pPr>
            <w:r w:rsidRPr="009D2D72">
              <w:rPr>
                <w:color w:val="0D0D0D" w:themeColor="text1" w:themeTint="F2"/>
              </w:rPr>
              <w:t>Projekts šo jomu neskar.</w:t>
            </w:r>
          </w:p>
        </w:tc>
      </w:tr>
      <w:tr w:rsidR="009D2D72" w:rsidRPr="009D2D72" w14:paraId="34E8146D" w14:textId="77777777" w:rsidTr="0031438D">
        <w:tc>
          <w:tcPr>
            <w:tcW w:w="311" w:type="pct"/>
            <w:hideMark/>
          </w:tcPr>
          <w:p w14:paraId="5D93BB3D" w14:textId="77777777" w:rsidR="00BD5588" w:rsidRPr="009D2D72" w:rsidRDefault="006E2E27" w:rsidP="00737785">
            <w:pPr>
              <w:jc w:val="center"/>
              <w:rPr>
                <w:color w:val="0D0D0D" w:themeColor="text1" w:themeTint="F2"/>
              </w:rPr>
            </w:pPr>
            <w:r w:rsidRPr="009D2D72">
              <w:rPr>
                <w:color w:val="0D0D0D" w:themeColor="text1" w:themeTint="F2"/>
              </w:rPr>
              <w:t>4.</w:t>
            </w:r>
          </w:p>
        </w:tc>
        <w:tc>
          <w:tcPr>
            <w:tcW w:w="1479" w:type="pct"/>
            <w:hideMark/>
          </w:tcPr>
          <w:p w14:paraId="0782FFF6" w14:textId="77777777" w:rsidR="00BD5588" w:rsidRPr="009D2D72" w:rsidRDefault="006E2E27" w:rsidP="00737785">
            <w:pPr>
              <w:rPr>
                <w:color w:val="0D0D0D" w:themeColor="text1" w:themeTint="F2"/>
              </w:rPr>
            </w:pPr>
            <w:r w:rsidRPr="009D2D72">
              <w:rPr>
                <w:color w:val="0D0D0D" w:themeColor="text1" w:themeTint="F2"/>
              </w:rPr>
              <w:t>Atbilstības izmaksu monetārs novērtējums</w:t>
            </w:r>
          </w:p>
        </w:tc>
        <w:tc>
          <w:tcPr>
            <w:tcW w:w="3210" w:type="pct"/>
          </w:tcPr>
          <w:p w14:paraId="47A2356B" w14:textId="251CAC67" w:rsidR="00061A2B" w:rsidRPr="009D2D72" w:rsidRDefault="00F1185E" w:rsidP="00D13269">
            <w:pPr>
              <w:jc w:val="both"/>
              <w:rPr>
                <w:color w:val="0D0D0D" w:themeColor="text1" w:themeTint="F2"/>
              </w:rPr>
            </w:pPr>
            <w:r w:rsidRPr="009D2D72">
              <w:rPr>
                <w:color w:val="0D0D0D" w:themeColor="text1" w:themeTint="F2"/>
              </w:rPr>
              <w:t>Projekts šo jomu neskar.</w:t>
            </w:r>
          </w:p>
        </w:tc>
      </w:tr>
      <w:tr w:rsidR="00477344" w:rsidRPr="009D2D72" w14:paraId="51CC1102" w14:textId="77777777" w:rsidTr="006E22EB">
        <w:tc>
          <w:tcPr>
            <w:tcW w:w="311" w:type="pct"/>
            <w:hideMark/>
          </w:tcPr>
          <w:p w14:paraId="4664692C" w14:textId="77777777" w:rsidR="00BD5588" w:rsidRPr="009D2D72" w:rsidRDefault="006E2E27" w:rsidP="00737785">
            <w:pPr>
              <w:jc w:val="center"/>
              <w:rPr>
                <w:color w:val="0D0D0D" w:themeColor="text1" w:themeTint="F2"/>
              </w:rPr>
            </w:pPr>
            <w:r w:rsidRPr="009D2D72">
              <w:rPr>
                <w:color w:val="0D0D0D" w:themeColor="text1" w:themeTint="F2"/>
              </w:rPr>
              <w:t>5.</w:t>
            </w:r>
          </w:p>
        </w:tc>
        <w:tc>
          <w:tcPr>
            <w:tcW w:w="1479" w:type="pct"/>
            <w:hideMark/>
          </w:tcPr>
          <w:p w14:paraId="15239314" w14:textId="77777777" w:rsidR="00BD5588" w:rsidRPr="009D2D72" w:rsidRDefault="006E2E27" w:rsidP="00737785">
            <w:pPr>
              <w:rPr>
                <w:color w:val="0D0D0D" w:themeColor="text1" w:themeTint="F2"/>
              </w:rPr>
            </w:pPr>
            <w:r w:rsidRPr="009D2D72">
              <w:rPr>
                <w:color w:val="0D0D0D" w:themeColor="text1" w:themeTint="F2"/>
              </w:rPr>
              <w:t>Cita informācija</w:t>
            </w:r>
          </w:p>
        </w:tc>
        <w:tc>
          <w:tcPr>
            <w:tcW w:w="3210" w:type="pct"/>
            <w:hideMark/>
          </w:tcPr>
          <w:p w14:paraId="10CE34CB" w14:textId="77777777" w:rsidR="00C202AC" w:rsidRPr="009D2D72" w:rsidRDefault="0031438D" w:rsidP="00BA1D2B">
            <w:pPr>
              <w:jc w:val="both"/>
              <w:rPr>
                <w:color w:val="0D0D0D" w:themeColor="text1" w:themeTint="F2"/>
              </w:rPr>
            </w:pPr>
            <w:r w:rsidRPr="009D2D72">
              <w:rPr>
                <w:color w:val="0D0D0D" w:themeColor="text1" w:themeTint="F2"/>
              </w:rPr>
              <w:t>Nav.</w:t>
            </w:r>
          </w:p>
        </w:tc>
      </w:tr>
    </w:tbl>
    <w:p w14:paraId="1CB55B96" w14:textId="77777777" w:rsidR="00BD5588" w:rsidRPr="009D2D72" w:rsidRDefault="00BD5588">
      <w:pPr>
        <w:rPr>
          <w:color w:val="0D0D0D" w:themeColor="text1" w:themeTint="F2"/>
        </w:rPr>
      </w:pPr>
    </w:p>
    <w:tbl>
      <w:tblPr>
        <w:tblStyle w:val="TableGridLigh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51"/>
      </w:tblGrid>
      <w:tr w:rsidR="009D2D72" w:rsidRPr="009D2D72" w14:paraId="04827907" w14:textId="77777777" w:rsidTr="0031438D">
        <w:tc>
          <w:tcPr>
            <w:tcW w:w="5000" w:type="pct"/>
            <w:hideMark/>
          </w:tcPr>
          <w:p w14:paraId="74874582" w14:textId="77777777" w:rsidR="002460C3" w:rsidRPr="009D2D72" w:rsidRDefault="006E2E27" w:rsidP="002460C3">
            <w:pPr>
              <w:rPr>
                <w:b/>
                <w:bCs/>
                <w:color w:val="0D0D0D" w:themeColor="text1" w:themeTint="F2"/>
              </w:rPr>
            </w:pPr>
            <w:r w:rsidRPr="009D2D72">
              <w:rPr>
                <w:b/>
                <w:bCs/>
                <w:color w:val="0D0D0D" w:themeColor="text1" w:themeTint="F2"/>
              </w:rPr>
              <w:t>III. Tiesību akta projekta ietekme uz valsts budžetu un pašvaldību budžetiem</w:t>
            </w:r>
          </w:p>
        </w:tc>
      </w:tr>
      <w:tr w:rsidR="0031438D" w:rsidRPr="009D2D72" w14:paraId="1CD6E390" w14:textId="77777777" w:rsidTr="0031438D">
        <w:tc>
          <w:tcPr>
            <w:tcW w:w="5000" w:type="pct"/>
          </w:tcPr>
          <w:p w14:paraId="1C69AB21" w14:textId="77777777" w:rsidR="0031438D" w:rsidRPr="009D2D72" w:rsidRDefault="00FD15E9" w:rsidP="002460C3">
            <w:pPr>
              <w:rPr>
                <w:b/>
                <w:bCs/>
                <w:color w:val="0D0D0D" w:themeColor="text1" w:themeTint="F2"/>
              </w:rPr>
            </w:pPr>
            <w:r w:rsidRPr="009D2D72">
              <w:rPr>
                <w:iCs/>
                <w:color w:val="0D0D0D" w:themeColor="text1" w:themeTint="F2"/>
              </w:rPr>
              <w:t>Projekts šo jomu neskar.</w:t>
            </w:r>
          </w:p>
        </w:tc>
      </w:tr>
    </w:tbl>
    <w:p w14:paraId="7AE4C53B" w14:textId="77777777" w:rsidR="002460C3" w:rsidRPr="009D2D72" w:rsidRDefault="002460C3">
      <w:pPr>
        <w:rPr>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9D2D72" w:rsidRPr="009D2D72" w14:paraId="0AA70E13" w14:textId="77777777" w:rsidTr="002460C3">
        <w:tc>
          <w:tcPr>
            <w:tcW w:w="9131" w:type="dxa"/>
            <w:gridSpan w:val="3"/>
            <w:vAlign w:val="center"/>
            <w:hideMark/>
          </w:tcPr>
          <w:p w14:paraId="356F51EF" w14:textId="77777777" w:rsidR="00BD5588" w:rsidRPr="009D2D72" w:rsidRDefault="006E2E27" w:rsidP="00737785">
            <w:pPr>
              <w:jc w:val="center"/>
              <w:rPr>
                <w:b/>
                <w:bCs/>
                <w:color w:val="0D0D0D" w:themeColor="text1" w:themeTint="F2"/>
              </w:rPr>
            </w:pPr>
            <w:r w:rsidRPr="009D2D72">
              <w:rPr>
                <w:b/>
                <w:bCs/>
                <w:color w:val="0D0D0D" w:themeColor="text1" w:themeTint="F2"/>
              </w:rPr>
              <w:t>IV. Tiesību akta projekta ietekme uz spēkā esošo tiesību normu sistēmu</w:t>
            </w:r>
          </w:p>
        </w:tc>
      </w:tr>
      <w:tr w:rsidR="009D2D72" w:rsidRPr="009D2D72" w14:paraId="7BD8415C" w14:textId="77777777" w:rsidTr="0031438D">
        <w:tc>
          <w:tcPr>
            <w:tcW w:w="576" w:type="dxa"/>
            <w:hideMark/>
          </w:tcPr>
          <w:p w14:paraId="45D3B6FC" w14:textId="77777777" w:rsidR="00BD5588" w:rsidRPr="009D2D72" w:rsidRDefault="006E2E27" w:rsidP="00737785">
            <w:pPr>
              <w:jc w:val="center"/>
              <w:rPr>
                <w:color w:val="0D0D0D" w:themeColor="text1" w:themeTint="F2"/>
              </w:rPr>
            </w:pPr>
            <w:r w:rsidRPr="009D2D72">
              <w:rPr>
                <w:color w:val="0D0D0D" w:themeColor="text1" w:themeTint="F2"/>
              </w:rPr>
              <w:t>1.</w:t>
            </w:r>
          </w:p>
        </w:tc>
        <w:tc>
          <w:tcPr>
            <w:tcW w:w="2686" w:type="dxa"/>
            <w:hideMark/>
          </w:tcPr>
          <w:p w14:paraId="661FB158" w14:textId="77777777" w:rsidR="00BD5588" w:rsidRPr="009D2D72" w:rsidRDefault="006E2E27" w:rsidP="00737785">
            <w:pPr>
              <w:rPr>
                <w:color w:val="0D0D0D" w:themeColor="text1" w:themeTint="F2"/>
              </w:rPr>
            </w:pPr>
            <w:r w:rsidRPr="009D2D72">
              <w:rPr>
                <w:color w:val="0D0D0D" w:themeColor="text1" w:themeTint="F2"/>
              </w:rPr>
              <w:t>Saistītie tiesību aktu projekti</w:t>
            </w:r>
          </w:p>
        </w:tc>
        <w:tc>
          <w:tcPr>
            <w:tcW w:w="5869" w:type="dxa"/>
          </w:tcPr>
          <w:p w14:paraId="77185741" w14:textId="77777777" w:rsidR="00373211" w:rsidRPr="00417522" w:rsidRDefault="00373211" w:rsidP="00373211">
            <w:pPr>
              <w:jc w:val="both"/>
              <w:rPr>
                <w:iCs/>
                <w:color w:val="0D0D0D" w:themeColor="text1" w:themeTint="F2"/>
              </w:rPr>
            </w:pPr>
            <w:r w:rsidRPr="00417522">
              <w:rPr>
                <w:color w:val="0D0D0D" w:themeColor="text1" w:themeTint="F2"/>
              </w:rPr>
              <w:t xml:space="preserve">Ministru kabineta 2011.gada 29.marta noteikumi Nr.233 “Vides aizsardzības un reģionālās attīstības ministrijas nolikums” </w:t>
            </w:r>
          </w:p>
        </w:tc>
      </w:tr>
      <w:tr w:rsidR="009D2D72" w:rsidRPr="009D2D72" w14:paraId="3C88A021" w14:textId="77777777" w:rsidTr="0031438D">
        <w:tc>
          <w:tcPr>
            <w:tcW w:w="576" w:type="dxa"/>
            <w:hideMark/>
          </w:tcPr>
          <w:p w14:paraId="3250643A" w14:textId="77777777" w:rsidR="00BD5588" w:rsidRPr="009D2D72" w:rsidRDefault="006E2E27" w:rsidP="00737785">
            <w:pPr>
              <w:jc w:val="center"/>
              <w:rPr>
                <w:color w:val="0D0D0D" w:themeColor="text1" w:themeTint="F2"/>
              </w:rPr>
            </w:pPr>
            <w:r w:rsidRPr="009D2D72">
              <w:rPr>
                <w:color w:val="0D0D0D" w:themeColor="text1" w:themeTint="F2"/>
              </w:rPr>
              <w:t>2.</w:t>
            </w:r>
          </w:p>
        </w:tc>
        <w:tc>
          <w:tcPr>
            <w:tcW w:w="2686" w:type="dxa"/>
            <w:hideMark/>
          </w:tcPr>
          <w:p w14:paraId="5121DE02" w14:textId="77777777" w:rsidR="00BD5588" w:rsidRPr="009D2D72" w:rsidRDefault="006E2E27" w:rsidP="00737785">
            <w:pPr>
              <w:rPr>
                <w:color w:val="0D0D0D" w:themeColor="text1" w:themeTint="F2"/>
              </w:rPr>
            </w:pPr>
            <w:r w:rsidRPr="009D2D72">
              <w:rPr>
                <w:color w:val="0D0D0D" w:themeColor="text1" w:themeTint="F2"/>
              </w:rPr>
              <w:t>Atbildīgā institūcija</w:t>
            </w:r>
          </w:p>
        </w:tc>
        <w:tc>
          <w:tcPr>
            <w:tcW w:w="5869" w:type="dxa"/>
          </w:tcPr>
          <w:p w14:paraId="1B4EE3DF" w14:textId="20EBD33B" w:rsidR="00A445A7" w:rsidRPr="009D2D72" w:rsidRDefault="00F1185E" w:rsidP="001F417F">
            <w:pPr>
              <w:jc w:val="both"/>
              <w:rPr>
                <w:color w:val="0D0D0D" w:themeColor="text1" w:themeTint="F2"/>
              </w:rPr>
            </w:pPr>
            <w:r>
              <w:rPr>
                <w:color w:val="0D0D0D" w:themeColor="text1" w:themeTint="F2"/>
              </w:rPr>
              <w:t>Vides aizsardzības un reģionālās attīstības ministrija.</w:t>
            </w:r>
          </w:p>
        </w:tc>
      </w:tr>
      <w:tr w:rsidR="00477344" w:rsidRPr="009D2D72" w14:paraId="53531B25" w14:textId="77777777" w:rsidTr="0031438D">
        <w:tc>
          <w:tcPr>
            <w:tcW w:w="576" w:type="dxa"/>
            <w:hideMark/>
          </w:tcPr>
          <w:p w14:paraId="6073DBB7" w14:textId="77777777" w:rsidR="00BD5588" w:rsidRPr="009D2D72" w:rsidRDefault="006E2E27" w:rsidP="00737785">
            <w:pPr>
              <w:jc w:val="center"/>
              <w:rPr>
                <w:color w:val="0D0D0D" w:themeColor="text1" w:themeTint="F2"/>
              </w:rPr>
            </w:pPr>
            <w:r w:rsidRPr="009D2D72">
              <w:rPr>
                <w:color w:val="0D0D0D" w:themeColor="text1" w:themeTint="F2"/>
              </w:rPr>
              <w:t>3.</w:t>
            </w:r>
          </w:p>
        </w:tc>
        <w:tc>
          <w:tcPr>
            <w:tcW w:w="2686" w:type="dxa"/>
            <w:hideMark/>
          </w:tcPr>
          <w:p w14:paraId="57C0F17E" w14:textId="77777777" w:rsidR="00BD5588" w:rsidRPr="009D2D72" w:rsidRDefault="006E2E27" w:rsidP="00737785">
            <w:pPr>
              <w:rPr>
                <w:color w:val="0D0D0D" w:themeColor="text1" w:themeTint="F2"/>
              </w:rPr>
            </w:pPr>
            <w:r w:rsidRPr="009D2D72">
              <w:rPr>
                <w:color w:val="0D0D0D" w:themeColor="text1" w:themeTint="F2"/>
              </w:rPr>
              <w:t>Cita informācija</w:t>
            </w:r>
          </w:p>
        </w:tc>
        <w:tc>
          <w:tcPr>
            <w:tcW w:w="5869" w:type="dxa"/>
          </w:tcPr>
          <w:p w14:paraId="1FFD4BD6" w14:textId="77777777" w:rsidR="0043693B" w:rsidRPr="009D2D72" w:rsidRDefault="0031438D" w:rsidP="000D1C35">
            <w:pPr>
              <w:ind w:firstLine="284"/>
              <w:jc w:val="both"/>
              <w:rPr>
                <w:color w:val="0D0D0D" w:themeColor="text1" w:themeTint="F2"/>
              </w:rPr>
            </w:pPr>
            <w:r w:rsidRPr="009D2D72">
              <w:rPr>
                <w:color w:val="0D0D0D" w:themeColor="text1" w:themeTint="F2"/>
              </w:rPr>
              <w:t>Nav.</w:t>
            </w:r>
          </w:p>
        </w:tc>
      </w:tr>
    </w:tbl>
    <w:p w14:paraId="36454271" w14:textId="77777777" w:rsidR="00BD5588" w:rsidRPr="009D2D72" w:rsidRDefault="00BD5588" w:rsidP="00BD5588">
      <w:pPr>
        <w:pStyle w:val="Title"/>
        <w:spacing w:before="130" w:line="260" w:lineRule="exact"/>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D2D72" w:rsidRPr="009D2D72" w14:paraId="5D77EEBD" w14:textId="77777777" w:rsidTr="00FD25E3">
        <w:tc>
          <w:tcPr>
            <w:tcW w:w="5000" w:type="pct"/>
            <w:vAlign w:val="center"/>
            <w:hideMark/>
          </w:tcPr>
          <w:p w14:paraId="1A12C763" w14:textId="77777777" w:rsidR="00BD5588" w:rsidRPr="009D2D72" w:rsidRDefault="006E2E27" w:rsidP="00737785">
            <w:pPr>
              <w:jc w:val="center"/>
              <w:rPr>
                <w:b/>
                <w:bCs/>
                <w:color w:val="0D0D0D" w:themeColor="text1" w:themeTint="F2"/>
              </w:rPr>
            </w:pPr>
            <w:r w:rsidRPr="009D2D72">
              <w:rPr>
                <w:b/>
                <w:bCs/>
                <w:color w:val="0D0D0D" w:themeColor="text1" w:themeTint="F2"/>
              </w:rPr>
              <w:t>V. Tiesību akta projekta atbilstība Latvijas Republikas starptautiskajām saistībām</w:t>
            </w:r>
          </w:p>
        </w:tc>
      </w:tr>
      <w:tr w:rsidR="0031438D" w:rsidRPr="009D2D72" w14:paraId="189BF639" w14:textId="77777777" w:rsidTr="00FD25E3">
        <w:tc>
          <w:tcPr>
            <w:tcW w:w="5000" w:type="pct"/>
            <w:vAlign w:val="center"/>
          </w:tcPr>
          <w:p w14:paraId="5D0EB754" w14:textId="77777777" w:rsidR="0031438D" w:rsidRPr="009D2D72" w:rsidRDefault="0031438D" w:rsidP="00737785">
            <w:pPr>
              <w:jc w:val="center"/>
              <w:rPr>
                <w:b/>
                <w:bCs/>
                <w:color w:val="0D0D0D" w:themeColor="text1" w:themeTint="F2"/>
              </w:rPr>
            </w:pPr>
            <w:r w:rsidRPr="009D2D72">
              <w:rPr>
                <w:iCs/>
                <w:color w:val="0D0D0D" w:themeColor="text1" w:themeTint="F2"/>
              </w:rPr>
              <w:t>Projekts šo jomu neskar.</w:t>
            </w:r>
          </w:p>
        </w:tc>
      </w:tr>
    </w:tbl>
    <w:p w14:paraId="3241A0FB" w14:textId="77777777" w:rsidR="00BD5588" w:rsidRPr="009D2D72" w:rsidRDefault="00BD5588" w:rsidP="0031438D">
      <w:pPr>
        <w:pStyle w:val="Title"/>
        <w:spacing w:before="130" w:line="260" w:lineRule="exact"/>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3F5259C7" w14:textId="77777777" w:rsidTr="00737785">
        <w:trPr>
          <w:cantSplit/>
        </w:trPr>
        <w:tc>
          <w:tcPr>
            <w:tcW w:w="5000" w:type="pct"/>
            <w:gridSpan w:val="3"/>
            <w:vAlign w:val="center"/>
            <w:hideMark/>
          </w:tcPr>
          <w:p w14:paraId="1AC98079" w14:textId="77777777" w:rsidR="00BD5588" w:rsidRPr="009D2D72" w:rsidRDefault="006E2E27" w:rsidP="00737785">
            <w:pPr>
              <w:jc w:val="center"/>
              <w:rPr>
                <w:b/>
                <w:bCs/>
                <w:color w:val="0D0D0D" w:themeColor="text1" w:themeTint="F2"/>
              </w:rPr>
            </w:pPr>
            <w:r w:rsidRPr="009D2D72">
              <w:rPr>
                <w:b/>
                <w:bCs/>
                <w:color w:val="0D0D0D" w:themeColor="text1" w:themeTint="F2"/>
              </w:rPr>
              <w:t>VI. Sabiedrības līdzdalība un komunikācijas aktivitātes</w:t>
            </w:r>
          </w:p>
        </w:tc>
      </w:tr>
      <w:tr w:rsidR="009D2D72" w:rsidRPr="009D2D72" w14:paraId="40BC82B9" w14:textId="77777777" w:rsidTr="00737785">
        <w:trPr>
          <w:cantSplit/>
        </w:trPr>
        <w:tc>
          <w:tcPr>
            <w:tcW w:w="311" w:type="pct"/>
            <w:hideMark/>
          </w:tcPr>
          <w:p w14:paraId="554B0D7F" w14:textId="77777777" w:rsidR="00BD5588" w:rsidRPr="009D2D72" w:rsidRDefault="006E2E27" w:rsidP="00737785">
            <w:pPr>
              <w:jc w:val="center"/>
              <w:rPr>
                <w:color w:val="0D0D0D" w:themeColor="text1" w:themeTint="F2"/>
              </w:rPr>
            </w:pPr>
            <w:r w:rsidRPr="009D2D72">
              <w:rPr>
                <w:color w:val="0D0D0D" w:themeColor="text1" w:themeTint="F2"/>
              </w:rPr>
              <w:t>1.</w:t>
            </w:r>
          </w:p>
        </w:tc>
        <w:tc>
          <w:tcPr>
            <w:tcW w:w="1479" w:type="pct"/>
            <w:hideMark/>
          </w:tcPr>
          <w:p w14:paraId="3B5191AF" w14:textId="77777777" w:rsidR="00BD5588" w:rsidRPr="009D2D72" w:rsidRDefault="006E2E27" w:rsidP="00737785">
            <w:pPr>
              <w:rPr>
                <w:color w:val="0D0D0D" w:themeColor="text1" w:themeTint="F2"/>
              </w:rPr>
            </w:pPr>
            <w:r w:rsidRPr="009D2D72">
              <w:rPr>
                <w:color w:val="0D0D0D" w:themeColor="text1" w:themeTint="F2"/>
              </w:rPr>
              <w:t>Plānotās sabiedrības līdzdalības un komunikācijas aktivitātes saistībā ar projektu</w:t>
            </w:r>
          </w:p>
        </w:tc>
        <w:tc>
          <w:tcPr>
            <w:tcW w:w="3210" w:type="pct"/>
            <w:hideMark/>
          </w:tcPr>
          <w:p w14:paraId="434ECA87" w14:textId="77777777" w:rsidR="003D0AAF" w:rsidRPr="009D2D72" w:rsidRDefault="0031438D" w:rsidP="00374635">
            <w:pPr>
              <w:jc w:val="both"/>
              <w:rPr>
                <w:color w:val="0D0D0D" w:themeColor="text1" w:themeTint="F2"/>
                <w:highlight w:val="yellow"/>
              </w:rPr>
            </w:pPr>
            <w:r w:rsidRPr="009D2D72">
              <w:rPr>
                <w:color w:val="0D0D0D" w:themeColor="text1" w:themeTint="F2"/>
              </w:rPr>
              <w:t xml:space="preserve">Atbilstoši Ministru kabineta 2009.gada 25.augusta noteikumiem Nr.970 “Sabiedrības līdzdalības kārtība attīstības plānošanas procesā” par Likumprojekta izstrādi  informēti sabiedrības pārstāvji, 2016.gada 16.februārī ievietojot paziņojumu par līdzdalības iespējām tiesību akta izstrādes procesā Satiksmes ministrijas mājas lapā, kā arī nosūtot elektroniskā pasta vēstules  ar aicinājumu sniegt priekšlikumus </w:t>
            </w:r>
            <w:r w:rsidRPr="009D2D72">
              <w:rPr>
                <w:rFonts w:eastAsia="Calibri"/>
                <w:bCs/>
                <w:color w:val="0D0D0D" w:themeColor="text1" w:themeTint="F2"/>
              </w:rPr>
              <w:t xml:space="preserve">Iekšlietu ministrijai, </w:t>
            </w:r>
            <w:r w:rsidR="00374635">
              <w:rPr>
                <w:rFonts w:eastAsia="Calibri"/>
                <w:bCs/>
                <w:color w:val="0D0D0D" w:themeColor="text1" w:themeTint="F2"/>
              </w:rPr>
              <w:t>Regulators</w:t>
            </w:r>
            <w:r w:rsidRPr="009D2D72">
              <w:rPr>
                <w:rFonts w:eastAsia="Calibri"/>
                <w:bCs/>
                <w:color w:val="0D0D0D" w:themeColor="text1" w:themeTint="F2"/>
              </w:rPr>
              <w:t xml:space="preserve"> un VAS “Elektroniskie sakari”.</w:t>
            </w:r>
          </w:p>
        </w:tc>
      </w:tr>
      <w:tr w:rsidR="009D2D72" w:rsidRPr="009D2D72" w14:paraId="628B37A8" w14:textId="77777777" w:rsidTr="00737785">
        <w:trPr>
          <w:cantSplit/>
        </w:trPr>
        <w:tc>
          <w:tcPr>
            <w:tcW w:w="311" w:type="pct"/>
            <w:hideMark/>
          </w:tcPr>
          <w:p w14:paraId="1AEFB958" w14:textId="77777777" w:rsidR="00BD5588" w:rsidRPr="009D2D72" w:rsidRDefault="006E2E27" w:rsidP="00737785">
            <w:pPr>
              <w:jc w:val="center"/>
              <w:rPr>
                <w:color w:val="0D0D0D" w:themeColor="text1" w:themeTint="F2"/>
              </w:rPr>
            </w:pPr>
            <w:r w:rsidRPr="009D2D72">
              <w:rPr>
                <w:color w:val="0D0D0D" w:themeColor="text1" w:themeTint="F2"/>
              </w:rPr>
              <w:t>2.</w:t>
            </w:r>
          </w:p>
        </w:tc>
        <w:tc>
          <w:tcPr>
            <w:tcW w:w="1479" w:type="pct"/>
            <w:hideMark/>
          </w:tcPr>
          <w:p w14:paraId="79A6190A" w14:textId="77777777" w:rsidR="00BD5588" w:rsidRPr="009D2D72" w:rsidRDefault="006E2E27" w:rsidP="00737785">
            <w:pPr>
              <w:rPr>
                <w:color w:val="0D0D0D" w:themeColor="text1" w:themeTint="F2"/>
              </w:rPr>
            </w:pPr>
            <w:r w:rsidRPr="009D2D72">
              <w:rPr>
                <w:color w:val="0D0D0D" w:themeColor="text1" w:themeTint="F2"/>
              </w:rPr>
              <w:t>Sabiedrības līdzdalība projekta izstrādē</w:t>
            </w:r>
          </w:p>
        </w:tc>
        <w:tc>
          <w:tcPr>
            <w:tcW w:w="3210" w:type="pct"/>
            <w:hideMark/>
          </w:tcPr>
          <w:p w14:paraId="741B9E0C" w14:textId="77777777" w:rsidR="006F58BA" w:rsidRPr="009D2D72" w:rsidRDefault="0031438D" w:rsidP="0031438D">
            <w:pPr>
              <w:jc w:val="both"/>
              <w:rPr>
                <w:color w:val="0D0D0D" w:themeColor="text1" w:themeTint="F2"/>
                <w:highlight w:val="yellow"/>
              </w:rPr>
            </w:pPr>
            <w:r w:rsidRPr="009D2D72">
              <w:rPr>
                <w:color w:val="0D0D0D" w:themeColor="text1" w:themeTint="F2"/>
              </w:rPr>
              <w:t xml:space="preserve">Saņemti priekšlikumi no Regulatora, </w:t>
            </w:r>
            <w:r w:rsidRPr="009D2D72">
              <w:rPr>
                <w:bCs/>
                <w:color w:val="0D0D0D" w:themeColor="text1" w:themeTint="F2"/>
              </w:rPr>
              <w:t>VAS “Elektroniskie sakari”, Valsts policijas un Iekšlietu ministrijas.</w:t>
            </w:r>
          </w:p>
        </w:tc>
      </w:tr>
      <w:tr w:rsidR="009D2D72" w:rsidRPr="009D2D72" w14:paraId="75560B8D" w14:textId="77777777" w:rsidTr="00737785">
        <w:trPr>
          <w:cantSplit/>
        </w:trPr>
        <w:tc>
          <w:tcPr>
            <w:tcW w:w="311" w:type="pct"/>
            <w:hideMark/>
          </w:tcPr>
          <w:p w14:paraId="11E30745" w14:textId="77777777" w:rsidR="0031438D" w:rsidRPr="009D2D72" w:rsidRDefault="0031438D" w:rsidP="0031438D">
            <w:pPr>
              <w:jc w:val="center"/>
              <w:rPr>
                <w:color w:val="0D0D0D" w:themeColor="text1" w:themeTint="F2"/>
              </w:rPr>
            </w:pPr>
            <w:r w:rsidRPr="009D2D72">
              <w:rPr>
                <w:color w:val="0D0D0D" w:themeColor="text1" w:themeTint="F2"/>
              </w:rPr>
              <w:t>3.</w:t>
            </w:r>
          </w:p>
        </w:tc>
        <w:tc>
          <w:tcPr>
            <w:tcW w:w="1479" w:type="pct"/>
            <w:hideMark/>
          </w:tcPr>
          <w:p w14:paraId="4D9A905F" w14:textId="77777777" w:rsidR="0031438D" w:rsidRPr="009D2D72" w:rsidRDefault="0031438D" w:rsidP="0031438D">
            <w:pPr>
              <w:rPr>
                <w:color w:val="0D0D0D" w:themeColor="text1" w:themeTint="F2"/>
              </w:rPr>
            </w:pPr>
            <w:r w:rsidRPr="009D2D72">
              <w:rPr>
                <w:color w:val="0D0D0D" w:themeColor="text1" w:themeTint="F2"/>
              </w:rPr>
              <w:t>Sabiedrības līdzdalības rezultāti</w:t>
            </w:r>
          </w:p>
        </w:tc>
        <w:tc>
          <w:tcPr>
            <w:tcW w:w="3210" w:type="pct"/>
            <w:hideMark/>
          </w:tcPr>
          <w:p w14:paraId="3DA17018" w14:textId="77777777" w:rsidR="0031438D" w:rsidRPr="009D2D72" w:rsidRDefault="0031438D" w:rsidP="00374635">
            <w:pPr>
              <w:rPr>
                <w:color w:val="0D0D0D" w:themeColor="text1" w:themeTint="F2"/>
                <w:highlight w:val="yellow"/>
              </w:rPr>
            </w:pPr>
            <w:r w:rsidRPr="009D2D72">
              <w:rPr>
                <w:color w:val="0D0D0D" w:themeColor="text1" w:themeTint="F2"/>
              </w:rPr>
              <w:t>Projekta izstrādes gaitā saņemtie priekšlikumi ir ņemti vērā.</w:t>
            </w:r>
          </w:p>
        </w:tc>
      </w:tr>
      <w:tr w:rsidR="0031438D" w:rsidRPr="009D2D72" w14:paraId="10523D85" w14:textId="77777777" w:rsidTr="00737785">
        <w:trPr>
          <w:cantSplit/>
        </w:trPr>
        <w:tc>
          <w:tcPr>
            <w:tcW w:w="311" w:type="pct"/>
            <w:hideMark/>
          </w:tcPr>
          <w:p w14:paraId="01062154" w14:textId="77777777" w:rsidR="0031438D" w:rsidRPr="009D2D72" w:rsidRDefault="0031438D" w:rsidP="0031438D">
            <w:pPr>
              <w:jc w:val="center"/>
              <w:rPr>
                <w:color w:val="0D0D0D" w:themeColor="text1" w:themeTint="F2"/>
              </w:rPr>
            </w:pPr>
            <w:r w:rsidRPr="009D2D72">
              <w:rPr>
                <w:color w:val="0D0D0D" w:themeColor="text1" w:themeTint="F2"/>
              </w:rPr>
              <w:t>4.</w:t>
            </w:r>
          </w:p>
        </w:tc>
        <w:tc>
          <w:tcPr>
            <w:tcW w:w="1479" w:type="pct"/>
            <w:hideMark/>
          </w:tcPr>
          <w:p w14:paraId="633945CA" w14:textId="77777777" w:rsidR="0031438D" w:rsidRPr="009D2D72" w:rsidRDefault="0031438D" w:rsidP="0031438D">
            <w:pPr>
              <w:rPr>
                <w:color w:val="0D0D0D" w:themeColor="text1" w:themeTint="F2"/>
              </w:rPr>
            </w:pPr>
            <w:r w:rsidRPr="009D2D72">
              <w:rPr>
                <w:color w:val="0D0D0D" w:themeColor="text1" w:themeTint="F2"/>
              </w:rPr>
              <w:t>Cita informācija</w:t>
            </w:r>
          </w:p>
        </w:tc>
        <w:tc>
          <w:tcPr>
            <w:tcW w:w="3210" w:type="pct"/>
            <w:hideMark/>
          </w:tcPr>
          <w:p w14:paraId="27375204" w14:textId="77777777" w:rsidR="0031438D" w:rsidRPr="009D2D72" w:rsidRDefault="0031438D" w:rsidP="0031438D">
            <w:pPr>
              <w:rPr>
                <w:color w:val="0D0D0D" w:themeColor="text1" w:themeTint="F2"/>
                <w:highlight w:val="yellow"/>
              </w:rPr>
            </w:pPr>
            <w:r w:rsidRPr="009D2D72">
              <w:rPr>
                <w:color w:val="0D0D0D" w:themeColor="text1" w:themeTint="F2"/>
              </w:rPr>
              <w:t>Nav.</w:t>
            </w:r>
          </w:p>
        </w:tc>
      </w:tr>
    </w:tbl>
    <w:p w14:paraId="3E0ED788" w14:textId="77777777" w:rsidR="00BD5588" w:rsidRPr="009D2D72" w:rsidRDefault="00BD5588" w:rsidP="00BD5588">
      <w:pPr>
        <w:pStyle w:val="Title"/>
        <w:spacing w:before="130" w:line="260" w:lineRule="exact"/>
        <w:ind w:firstLine="539"/>
        <w:jc w:val="both"/>
        <w:rPr>
          <w:color w:val="0D0D0D" w:themeColor="text1" w:themeTint="F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D2D72" w:rsidRPr="009D2D72" w14:paraId="7A60F6AC" w14:textId="77777777" w:rsidTr="00737785">
        <w:trPr>
          <w:cantSplit/>
        </w:trPr>
        <w:tc>
          <w:tcPr>
            <w:tcW w:w="5000" w:type="pct"/>
            <w:gridSpan w:val="3"/>
            <w:vAlign w:val="center"/>
            <w:hideMark/>
          </w:tcPr>
          <w:p w14:paraId="5A6F496E" w14:textId="77777777" w:rsidR="00BD5588" w:rsidRPr="009D2D72" w:rsidRDefault="006E2E27" w:rsidP="00737785">
            <w:pPr>
              <w:jc w:val="center"/>
              <w:rPr>
                <w:b/>
                <w:bCs/>
                <w:color w:val="0D0D0D" w:themeColor="text1" w:themeTint="F2"/>
              </w:rPr>
            </w:pPr>
            <w:r w:rsidRPr="009D2D72">
              <w:rPr>
                <w:b/>
                <w:bCs/>
                <w:color w:val="0D0D0D" w:themeColor="text1" w:themeTint="F2"/>
              </w:rPr>
              <w:t>VII. Tiesību akta projekta izpildes nodrošināšana un tās ietekme uz institūcijām</w:t>
            </w:r>
          </w:p>
        </w:tc>
      </w:tr>
      <w:tr w:rsidR="009D2D72" w:rsidRPr="009D2D72" w14:paraId="37863427" w14:textId="77777777" w:rsidTr="0031438D">
        <w:tc>
          <w:tcPr>
            <w:tcW w:w="311" w:type="pct"/>
            <w:hideMark/>
          </w:tcPr>
          <w:p w14:paraId="74E40C08" w14:textId="77777777" w:rsidR="00BD5588" w:rsidRPr="009D2D72" w:rsidRDefault="006E2E27" w:rsidP="00737785">
            <w:pPr>
              <w:jc w:val="center"/>
              <w:rPr>
                <w:color w:val="0D0D0D" w:themeColor="text1" w:themeTint="F2"/>
              </w:rPr>
            </w:pPr>
            <w:r w:rsidRPr="009D2D72">
              <w:rPr>
                <w:color w:val="0D0D0D" w:themeColor="text1" w:themeTint="F2"/>
              </w:rPr>
              <w:t>1.</w:t>
            </w:r>
          </w:p>
        </w:tc>
        <w:tc>
          <w:tcPr>
            <w:tcW w:w="1479" w:type="pct"/>
            <w:hideMark/>
          </w:tcPr>
          <w:p w14:paraId="6BAE904E" w14:textId="77777777" w:rsidR="00BD5588" w:rsidRPr="009D2D72" w:rsidRDefault="006E2E27" w:rsidP="00737785">
            <w:pPr>
              <w:rPr>
                <w:color w:val="0D0D0D" w:themeColor="text1" w:themeTint="F2"/>
              </w:rPr>
            </w:pPr>
            <w:r w:rsidRPr="009D2D72">
              <w:rPr>
                <w:color w:val="0D0D0D" w:themeColor="text1" w:themeTint="F2"/>
              </w:rPr>
              <w:t>Projekta izpildē iesaistītās institūcijas</w:t>
            </w:r>
          </w:p>
        </w:tc>
        <w:tc>
          <w:tcPr>
            <w:tcW w:w="3210" w:type="pct"/>
          </w:tcPr>
          <w:p w14:paraId="77D8140D" w14:textId="6DAD4FBA" w:rsidR="00186C12" w:rsidRPr="009D2D72" w:rsidRDefault="0031438D" w:rsidP="00F3794A">
            <w:pPr>
              <w:jc w:val="both"/>
              <w:rPr>
                <w:color w:val="0D0D0D" w:themeColor="text1" w:themeTint="F2"/>
              </w:rPr>
            </w:pPr>
            <w:r w:rsidRPr="009D2D72">
              <w:rPr>
                <w:color w:val="0D0D0D" w:themeColor="text1" w:themeTint="F2"/>
              </w:rPr>
              <w:t>Valsts policija, Vides aizsardzības un reģionālās attīstības ministrija, Regulators.</w:t>
            </w:r>
          </w:p>
        </w:tc>
      </w:tr>
      <w:tr w:rsidR="009D2D72" w:rsidRPr="009D2D72" w14:paraId="6D82DD9D" w14:textId="77777777" w:rsidTr="0031438D">
        <w:tc>
          <w:tcPr>
            <w:tcW w:w="311" w:type="pct"/>
            <w:hideMark/>
          </w:tcPr>
          <w:p w14:paraId="328B98B5" w14:textId="77777777" w:rsidR="00BD5588" w:rsidRPr="009D2D72" w:rsidRDefault="006E2E27" w:rsidP="00737785">
            <w:pPr>
              <w:jc w:val="center"/>
              <w:rPr>
                <w:color w:val="0D0D0D" w:themeColor="text1" w:themeTint="F2"/>
              </w:rPr>
            </w:pPr>
            <w:r w:rsidRPr="009D2D72">
              <w:rPr>
                <w:color w:val="0D0D0D" w:themeColor="text1" w:themeTint="F2"/>
              </w:rPr>
              <w:t>2.</w:t>
            </w:r>
          </w:p>
        </w:tc>
        <w:tc>
          <w:tcPr>
            <w:tcW w:w="1479" w:type="pct"/>
            <w:hideMark/>
          </w:tcPr>
          <w:p w14:paraId="306E17BE" w14:textId="77777777" w:rsidR="00BD5588" w:rsidRPr="009D2D72" w:rsidRDefault="006E2E27" w:rsidP="00737785">
            <w:pPr>
              <w:rPr>
                <w:color w:val="0D0D0D" w:themeColor="text1" w:themeTint="F2"/>
              </w:rPr>
            </w:pPr>
            <w:r w:rsidRPr="009D2D72">
              <w:rPr>
                <w:color w:val="0D0D0D" w:themeColor="text1" w:themeTint="F2"/>
              </w:rPr>
              <w:t>Projekta izpildes ietekme uz pārvaldes funkcijām un institucionālo struktūru.</w:t>
            </w:r>
            <w:r w:rsidRPr="009D2D72">
              <w:rPr>
                <w:color w:val="0D0D0D" w:themeColor="text1" w:themeTint="F2"/>
              </w:rPr>
              <w:br/>
              <w:t>Jaunu institūciju izveide, esošu institūciju likvidācija vai reorganizācija, to ietekme uz institūcijas cilvēkresursiem</w:t>
            </w:r>
          </w:p>
        </w:tc>
        <w:tc>
          <w:tcPr>
            <w:tcW w:w="3210" w:type="pct"/>
          </w:tcPr>
          <w:p w14:paraId="0A91B283" w14:textId="77777777" w:rsidR="00A445A7" w:rsidRDefault="00E80DB8" w:rsidP="0031438D">
            <w:pPr>
              <w:jc w:val="both"/>
              <w:rPr>
                <w:color w:val="0D0D0D" w:themeColor="text1" w:themeTint="F2"/>
              </w:rPr>
            </w:pPr>
            <w:r w:rsidRPr="009D2D72">
              <w:rPr>
                <w:color w:val="0D0D0D" w:themeColor="text1" w:themeTint="F2"/>
              </w:rPr>
              <w:t>Jaunu institūciju izveide, esošu institūciju likvidācija vai reorganizācija netiek veikta.</w:t>
            </w:r>
          </w:p>
          <w:p w14:paraId="127A00F1" w14:textId="083A491E" w:rsidR="00D75968" w:rsidRPr="009D2D72" w:rsidRDefault="00F1185E" w:rsidP="0031438D">
            <w:pPr>
              <w:jc w:val="both"/>
              <w:rPr>
                <w:color w:val="0D0D0D" w:themeColor="text1" w:themeTint="F2"/>
              </w:rPr>
            </w:pPr>
            <w:r>
              <w:rPr>
                <w:color w:val="0D0D0D" w:themeColor="text1" w:themeTint="F2"/>
              </w:rPr>
              <w:t>Projekta izpildē iesaistītās institūcijas</w:t>
            </w:r>
            <w:r w:rsidR="00D75968" w:rsidRPr="00417522">
              <w:rPr>
                <w:color w:val="0D0D0D" w:themeColor="text1" w:themeTint="F2"/>
              </w:rPr>
              <w:t xml:space="preserve"> </w:t>
            </w:r>
            <w:r w:rsidR="00E46797" w:rsidRPr="00417522">
              <w:rPr>
                <w:color w:val="0D0D0D" w:themeColor="text1" w:themeTint="F2"/>
              </w:rPr>
              <w:t>nodrošinās sodu piemērošanas</w:t>
            </w:r>
            <w:r w:rsidR="00D75968" w:rsidRPr="00417522">
              <w:rPr>
                <w:color w:val="0D0D0D" w:themeColor="text1" w:themeTint="F2"/>
              </w:rPr>
              <w:t xml:space="preserve"> funkcij</w:t>
            </w:r>
            <w:r w:rsidR="00E46797" w:rsidRPr="00417522">
              <w:rPr>
                <w:color w:val="0D0D0D" w:themeColor="text1" w:themeTint="F2"/>
              </w:rPr>
              <w:t>u esošo resursu ietvaros.</w:t>
            </w:r>
          </w:p>
        </w:tc>
      </w:tr>
      <w:tr w:rsidR="00477344" w:rsidRPr="009D2D72" w14:paraId="2CB4F030" w14:textId="77777777" w:rsidTr="006E22EB">
        <w:tc>
          <w:tcPr>
            <w:tcW w:w="311" w:type="pct"/>
            <w:hideMark/>
          </w:tcPr>
          <w:p w14:paraId="507CB57D" w14:textId="77777777" w:rsidR="00BD5588" w:rsidRPr="009D2D72" w:rsidRDefault="006E2E27" w:rsidP="00737785">
            <w:pPr>
              <w:jc w:val="center"/>
              <w:rPr>
                <w:color w:val="0D0D0D" w:themeColor="text1" w:themeTint="F2"/>
              </w:rPr>
            </w:pPr>
            <w:r w:rsidRPr="009D2D72">
              <w:rPr>
                <w:color w:val="0D0D0D" w:themeColor="text1" w:themeTint="F2"/>
              </w:rPr>
              <w:t>3.</w:t>
            </w:r>
          </w:p>
        </w:tc>
        <w:tc>
          <w:tcPr>
            <w:tcW w:w="1479" w:type="pct"/>
            <w:hideMark/>
          </w:tcPr>
          <w:p w14:paraId="5B4B5426" w14:textId="77777777" w:rsidR="00BD5588" w:rsidRPr="009D2D72" w:rsidRDefault="006E2E27" w:rsidP="00737785">
            <w:pPr>
              <w:rPr>
                <w:color w:val="0D0D0D" w:themeColor="text1" w:themeTint="F2"/>
              </w:rPr>
            </w:pPr>
            <w:r w:rsidRPr="009D2D72">
              <w:rPr>
                <w:color w:val="0D0D0D" w:themeColor="text1" w:themeTint="F2"/>
              </w:rPr>
              <w:t>Cita informācija</w:t>
            </w:r>
          </w:p>
        </w:tc>
        <w:tc>
          <w:tcPr>
            <w:tcW w:w="3210" w:type="pct"/>
            <w:hideMark/>
          </w:tcPr>
          <w:p w14:paraId="73E82A8A" w14:textId="77777777" w:rsidR="00A04176" w:rsidRPr="009D2D72" w:rsidRDefault="006E2E27" w:rsidP="007B377A">
            <w:pPr>
              <w:rPr>
                <w:color w:val="0D0D0D" w:themeColor="text1" w:themeTint="F2"/>
              </w:rPr>
            </w:pPr>
            <w:r w:rsidRPr="009D2D72">
              <w:rPr>
                <w:color w:val="0D0D0D" w:themeColor="text1" w:themeTint="F2"/>
              </w:rPr>
              <w:t>Nav.</w:t>
            </w:r>
          </w:p>
        </w:tc>
      </w:tr>
    </w:tbl>
    <w:p w14:paraId="346F2540" w14:textId="77777777" w:rsidR="00E44472" w:rsidRPr="009D2D72" w:rsidRDefault="00E44472">
      <w:pPr>
        <w:rPr>
          <w:color w:val="0D0D0D" w:themeColor="text1" w:themeTint="F2"/>
        </w:rPr>
      </w:pPr>
    </w:p>
    <w:p w14:paraId="26F4CA7D" w14:textId="77777777" w:rsidR="00E80DB8" w:rsidRPr="009D2D72" w:rsidRDefault="00E80DB8" w:rsidP="00E80DB8">
      <w:pPr>
        <w:pStyle w:val="Heading3"/>
        <w:tabs>
          <w:tab w:val="left" w:pos="6840"/>
        </w:tabs>
        <w:spacing w:before="0" w:after="0"/>
        <w:rPr>
          <w:rFonts w:ascii="Times New Roman" w:hAnsi="Times New Roman"/>
          <w:b w:val="0"/>
          <w:color w:val="0D0D0D" w:themeColor="text1" w:themeTint="F2"/>
          <w:sz w:val="24"/>
          <w:szCs w:val="24"/>
          <w:lang w:val="lv-LV"/>
        </w:rPr>
      </w:pPr>
      <w:r w:rsidRPr="009D2D72">
        <w:rPr>
          <w:rFonts w:ascii="Times New Roman" w:hAnsi="Times New Roman"/>
          <w:b w:val="0"/>
          <w:color w:val="0D0D0D" w:themeColor="text1" w:themeTint="F2"/>
          <w:sz w:val="24"/>
          <w:szCs w:val="24"/>
          <w:lang w:val="lv-LV"/>
        </w:rPr>
        <w:t>Satiksmes ministrs</w:t>
      </w:r>
      <w:r w:rsidRPr="009D2D72">
        <w:rPr>
          <w:rFonts w:ascii="Times New Roman" w:hAnsi="Times New Roman"/>
          <w:b w:val="0"/>
          <w:color w:val="0D0D0D" w:themeColor="text1" w:themeTint="F2"/>
          <w:sz w:val="24"/>
          <w:szCs w:val="24"/>
          <w:lang w:val="lv-LV"/>
        </w:rPr>
        <w:tab/>
        <w:t>U.Augulis</w:t>
      </w:r>
    </w:p>
    <w:p w14:paraId="1808E6C5" w14:textId="77777777" w:rsidR="00E80DB8" w:rsidRPr="009D2D72" w:rsidRDefault="00E80DB8" w:rsidP="00E80DB8">
      <w:pPr>
        <w:pStyle w:val="Header"/>
        <w:tabs>
          <w:tab w:val="clear" w:pos="4153"/>
          <w:tab w:val="center" w:pos="4536"/>
        </w:tabs>
        <w:rPr>
          <w:color w:val="0D0D0D" w:themeColor="text1" w:themeTint="F2"/>
        </w:rPr>
      </w:pPr>
    </w:p>
    <w:p w14:paraId="47A5EE2E" w14:textId="77777777" w:rsidR="00E80DB8" w:rsidRPr="009D2D72" w:rsidRDefault="00E80DB8" w:rsidP="00E80DB8">
      <w:pPr>
        <w:pStyle w:val="Heading3"/>
        <w:tabs>
          <w:tab w:val="left" w:pos="6840"/>
        </w:tabs>
        <w:spacing w:before="0" w:after="0"/>
        <w:jc w:val="both"/>
        <w:rPr>
          <w:rFonts w:ascii="Times New Roman" w:hAnsi="Times New Roman"/>
          <w:b w:val="0"/>
          <w:color w:val="0D0D0D" w:themeColor="text1" w:themeTint="F2"/>
          <w:sz w:val="24"/>
          <w:szCs w:val="24"/>
          <w:lang w:val="lv-LV"/>
        </w:rPr>
      </w:pPr>
      <w:r w:rsidRPr="009D2D72">
        <w:rPr>
          <w:rFonts w:ascii="Times New Roman" w:hAnsi="Times New Roman"/>
          <w:b w:val="0"/>
          <w:color w:val="0D0D0D" w:themeColor="text1" w:themeTint="F2"/>
          <w:sz w:val="24"/>
          <w:szCs w:val="24"/>
          <w:lang w:val="lv-LV"/>
        </w:rPr>
        <w:t xml:space="preserve">Vīza: </w:t>
      </w:r>
    </w:p>
    <w:p w14:paraId="1C653C17" w14:textId="77777777" w:rsidR="00D47A6B" w:rsidRDefault="00E80DB8" w:rsidP="00E80DB8">
      <w:pPr>
        <w:pStyle w:val="Heading3"/>
        <w:tabs>
          <w:tab w:val="left" w:pos="6840"/>
        </w:tabs>
        <w:spacing w:before="0" w:after="0"/>
        <w:jc w:val="both"/>
        <w:rPr>
          <w:rFonts w:ascii="Times New Roman" w:hAnsi="Times New Roman"/>
          <w:b w:val="0"/>
          <w:color w:val="0D0D0D" w:themeColor="text1" w:themeTint="F2"/>
          <w:sz w:val="24"/>
          <w:szCs w:val="24"/>
          <w:lang w:val="lv-LV"/>
        </w:rPr>
      </w:pPr>
      <w:r w:rsidRPr="009D2D72">
        <w:rPr>
          <w:rFonts w:ascii="Times New Roman" w:hAnsi="Times New Roman"/>
          <w:b w:val="0"/>
          <w:color w:val="0D0D0D" w:themeColor="text1" w:themeTint="F2"/>
          <w:sz w:val="24"/>
          <w:szCs w:val="24"/>
          <w:lang w:val="lv-LV"/>
        </w:rPr>
        <w:t>Valsts sekretār</w:t>
      </w:r>
      <w:r w:rsidR="00D47A6B">
        <w:rPr>
          <w:rFonts w:ascii="Times New Roman" w:hAnsi="Times New Roman"/>
          <w:b w:val="0"/>
          <w:color w:val="0D0D0D" w:themeColor="text1" w:themeTint="F2"/>
          <w:sz w:val="24"/>
          <w:szCs w:val="24"/>
          <w:lang w:val="lv-LV"/>
        </w:rPr>
        <w:t>a vietā</w:t>
      </w:r>
    </w:p>
    <w:p w14:paraId="43AF233E" w14:textId="569C5CF6" w:rsidR="00E80DB8" w:rsidRPr="009D2D72" w:rsidRDefault="00D47A6B" w:rsidP="00E80DB8">
      <w:pPr>
        <w:pStyle w:val="Heading3"/>
        <w:tabs>
          <w:tab w:val="left" w:pos="6840"/>
        </w:tabs>
        <w:spacing w:before="0" w:after="0"/>
        <w:jc w:val="both"/>
        <w:rPr>
          <w:rFonts w:ascii="Times New Roman" w:hAnsi="Times New Roman"/>
          <w:b w:val="0"/>
          <w:color w:val="0D0D0D" w:themeColor="text1" w:themeTint="F2"/>
          <w:sz w:val="24"/>
          <w:szCs w:val="24"/>
          <w:lang w:val="lv-LV"/>
        </w:rPr>
      </w:pPr>
      <w:r>
        <w:rPr>
          <w:rFonts w:ascii="Times New Roman" w:hAnsi="Times New Roman"/>
          <w:b w:val="0"/>
          <w:color w:val="0D0D0D" w:themeColor="text1" w:themeTint="F2"/>
          <w:sz w:val="24"/>
          <w:szCs w:val="24"/>
          <w:lang w:val="lv-LV"/>
        </w:rPr>
        <w:t>valsts sekretāra vietniece</w:t>
      </w:r>
      <w:r w:rsidR="00E80DB8" w:rsidRPr="009D2D72">
        <w:rPr>
          <w:rFonts w:ascii="Times New Roman" w:hAnsi="Times New Roman"/>
          <w:b w:val="0"/>
          <w:color w:val="0D0D0D" w:themeColor="text1" w:themeTint="F2"/>
          <w:sz w:val="24"/>
          <w:szCs w:val="24"/>
          <w:lang w:val="lv-LV"/>
        </w:rPr>
        <w:tab/>
      </w:r>
      <w:proofErr w:type="spellStart"/>
      <w:r>
        <w:rPr>
          <w:rFonts w:ascii="Times New Roman" w:hAnsi="Times New Roman"/>
          <w:b w:val="0"/>
          <w:color w:val="0D0D0D" w:themeColor="text1" w:themeTint="F2"/>
          <w:sz w:val="24"/>
          <w:szCs w:val="24"/>
          <w:lang w:val="lv-LV"/>
        </w:rPr>
        <w:t>Dž.Innusa</w:t>
      </w:r>
      <w:proofErr w:type="spellEnd"/>
    </w:p>
    <w:p w14:paraId="30E7D4C5" w14:textId="77777777" w:rsidR="00E80DB8" w:rsidRPr="009D2D72" w:rsidRDefault="00E80DB8" w:rsidP="00E80DB8">
      <w:pPr>
        <w:pStyle w:val="Heading3"/>
        <w:tabs>
          <w:tab w:val="left" w:pos="6840"/>
        </w:tabs>
        <w:spacing w:before="0" w:after="0"/>
        <w:jc w:val="both"/>
        <w:rPr>
          <w:rFonts w:ascii="Times New Roman" w:hAnsi="Times New Roman"/>
          <w:b w:val="0"/>
          <w:color w:val="0D0D0D" w:themeColor="text1" w:themeTint="F2"/>
          <w:lang w:val="lv-LV"/>
        </w:rPr>
      </w:pPr>
    </w:p>
    <w:p w14:paraId="61B6C826" w14:textId="77777777" w:rsidR="005D28CA" w:rsidRPr="009D2D72" w:rsidRDefault="005D28CA" w:rsidP="005D28CA">
      <w:pPr>
        <w:rPr>
          <w:color w:val="0D0D0D" w:themeColor="text1" w:themeTint="F2"/>
        </w:rPr>
      </w:pPr>
    </w:p>
    <w:sectPr w:rsidR="005D28CA" w:rsidRPr="009D2D72" w:rsidSect="00645D21">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4AE5" w14:textId="77777777" w:rsidR="006C25E8" w:rsidRDefault="006C25E8">
      <w:r>
        <w:separator/>
      </w:r>
    </w:p>
  </w:endnote>
  <w:endnote w:type="continuationSeparator" w:id="0">
    <w:p w14:paraId="229149AB" w14:textId="77777777" w:rsidR="006C25E8" w:rsidRDefault="006C2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77777777" w:rsidR="00EA4B56" w:rsidRDefault="00EA4B56">
    <w:pPr>
      <w:pStyle w:val="Footer"/>
      <w:jc w:val="center"/>
    </w:pPr>
  </w:p>
  <w:p w14:paraId="2DEE024E" w14:textId="2DC74E54" w:rsidR="00EA4B56" w:rsidRPr="00724AEF" w:rsidRDefault="006E2E27" w:rsidP="00C017B3">
    <w:pPr>
      <w:pStyle w:val="Footer"/>
      <w:rPr>
        <w:sz w:val="20"/>
        <w:szCs w:val="20"/>
      </w:rPr>
    </w:pPr>
    <w:r w:rsidRPr="00724AEF">
      <w:rPr>
        <w:sz w:val="20"/>
        <w:szCs w:val="20"/>
      </w:rPr>
      <w:fldChar w:fldCharType="begin"/>
    </w:r>
    <w:r w:rsidRPr="00724AEF">
      <w:rPr>
        <w:sz w:val="20"/>
        <w:szCs w:val="20"/>
      </w:rPr>
      <w:instrText xml:space="preserve"> FILENAME   \* MERGEFORMAT </w:instrText>
    </w:r>
    <w:r w:rsidRPr="00724AEF">
      <w:rPr>
        <w:sz w:val="20"/>
        <w:szCs w:val="20"/>
      </w:rPr>
      <w:fldChar w:fldCharType="separate"/>
    </w:r>
    <w:r w:rsidR="00F03F4C">
      <w:rPr>
        <w:noProof/>
        <w:sz w:val="20"/>
        <w:szCs w:val="20"/>
      </w:rPr>
      <w:t>SMAnot_160818_GrozESL</w:t>
    </w:r>
    <w:r w:rsidRPr="00724AEF">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4E5D" w14:textId="3DC2A126" w:rsidR="00E80DB8" w:rsidRPr="008E3E94" w:rsidRDefault="00E80DB8" w:rsidP="00E80DB8">
    <w:pPr>
      <w:pStyle w:val="Footer"/>
      <w:jc w:val="both"/>
      <w:rPr>
        <w:sz w:val="20"/>
        <w:szCs w:val="20"/>
      </w:rPr>
    </w:pPr>
    <w:r>
      <w:rPr>
        <w:noProof/>
        <w:sz w:val="20"/>
        <w:szCs w:val="20"/>
      </w:rPr>
      <mc:AlternateContent>
        <mc:Choice Requires="wps">
          <w:drawing>
            <wp:anchor distT="0" distB="0" distL="114300" distR="114300" simplePos="0" relativeHeight="251659264" behindDoc="0" locked="0" layoutInCell="1" allowOverlap="1" wp14:anchorId="180C3628" wp14:editId="27864B4A">
              <wp:simplePos x="0" y="0"/>
              <wp:positionH relativeFrom="column">
                <wp:posOffset>-1080135</wp:posOffset>
              </wp:positionH>
              <wp:positionV relativeFrom="paragraph">
                <wp:posOffset>232410</wp:posOffset>
              </wp:positionV>
              <wp:extent cx="5943600" cy="274320"/>
              <wp:effectExtent l="0" t="0" r="0" b="0"/>
              <wp:wrapNone/>
              <wp:docPr id="156" name="Rectangle 156"/>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224A3C" id="Rectangle 156" o:spid="_x0000_s1026" style="position:absolute;margin-left:-85.05pt;margin-top:18.3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G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m59Q&#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" fillcolor="white [3212]" stroked="f" strokeweight="2pt">
              <v:fill opacity="0"/>
            </v:rect>
          </w:pict>
        </mc:Fallback>
      </mc:AlternateContent>
    </w:r>
    <w:r w:rsidR="00CB199E">
      <w:rPr>
        <w:sz w:val="20"/>
        <w:szCs w:val="20"/>
      </w:rPr>
      <w:t>SAMAnot_</w:t>
    </w:r>
    <w:r w:rsidR="009F4D79">
      <w:rPr>
        <w:sz w:val="20"/>
        <w:szCs w:val="20"/>
      </w:rPr>
      <w:t>16</w:t>
    </w:r>
    <w:r>
      <w:rPr>
        <w:sz w:val="20"/>
        <w:szCs w:val="20"/>
      </w:rPr>
      <w:t>0</w:t>
    </w:r>
    <w:r w:rsidR="009F4D79">
      <w:rPr>
        <w:sz w:val="20"/>
        <w:szCs w:val="20"/>
      </w:rPr>
      <w:t>8</w:t>
    </w:r>
    <w:r>
      <w:rPr>
        <w:sz w:val="20"/>
        <w:szCs w:val="20"/>
      </w:rPr>
      <w:t>18</w:t>
    </w:r>
    <w:r w:rsidRPr="00A94C6F">
      <w:rPr>
        <w:sz w:val="20"/>
        <w:szCs w:val="20"/>
      </w:rPr>
      <w:t>_</w:t>
    </w:r>
    <w:r>
      <w:rPr>
        <w:sz w:val="20"/>
        <w:szCs w:val="20"/>
      </w:rPr>
      <w:t>GrozESL</w:t>
    </w:r>
  </w:p>
  <w:p w14:paraId="39E435F4" w14:textId="77777777" w:rsidR="00EA4B56" w:rsidRPr="00724AEF" w:rsidRDefault="00EA4B5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D7B2" w14:textId="77777777" w:rsidR="006C25E8" w:rsidRDefault="006C25E8">
      <w:r>
        <w:separator/>
      </w:r>
    </w:p>
  </w:footnote>
  <w:footnote w:type="continuationSeparator" w:id="0">
    <w:p w14:paraId="1465369F" w14:textId="77777777" w:rsidR="006C25E8" w:rsidRDefault="006C2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8901"/>
      <w:docPartObj>
        <w:docPartGallery w:val="Page Numbers (Top of Page)"/>
        <w:docPartUnique/>
      </w:docPartObj>
    </w:sdtPr>
    <w:sdtEndPr>
      <w:rPr>
        <w:noProof/>
      </w:rPr>
    </w:sdtEndPr>
    <w:sdtContent>
      <w:p w14:paraId="0645182A" w14:textId="77777777" w:rsidR="00EA4B56" w:rsidRDefault="006E2E27">
        <w:pPr>
          <w:pStyle w:val="Header"/>
          <w:jc w:val="center"/>
        </w:pPr>
        <w:r>
          <w:fldChar w:fldCharType="begin"/>
        </w:r>
        <w:r>
          <w:instrText xml:space="preserve"> PAGE   \* MERGEFORMAT </w:instrText>
        </w:r>
        <w:r>
          <w:fldChar w:fldCharType="separate"/>
        </w:r>
        <w:r w:rsidR="00076770">
          <w:rPr>
            <w:noProof/>
          </w:rPr>
          <w:t>9</w:t>
        </w:r>
        <w:r>
          <w:rPr>
            <w:noProof/>
          </w:rPr>
          <w:fldChar w:fldCharType="end"/>
        </w:r>
      </w:p>
    </w:sdtContent>
  </w:sdt>
  <w:p w14:paraId="23BCACC5" w14:textId="77777777" w:rsidR="00EA4B56" w:rsidRDefault="00EA4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9"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0"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1"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10"/>
  </w:num>
  <w:num w:numId="7">
    <w:abstractNumId w:val="8"/>
  </w:num>
  <w:num w:numId="8">
    <w:abstractNumId w:val="2"/>
  </w:num>
  <w:num w:numId="9">
    <w:abstractNumId w:val="9"/>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426"/>
    <w:rsid w:val="00013013"/>
    <w:rsid w:val="00013DFF"/>
    <w:rsid w:val="00016532"/>
    <w:rsid w:val="00050F6B"/>
    <w:rsid w:val="00061A2B"/>
    <w:rsid w:val="00064101"/>
    <w:rsid w:val="00064E15"/>
    <w:rsid w:val="000716F8"/>
    <w:rsid w:val="0007285D"/>
    <w:rsid w:val="00073B5D"/>
    <w:rsid w:val="000750CA"/>
    <w:rsid w:val="00076770"/>
    <w:rsid w:val="00080B22"/>
    <w:rsid w:val="000827E1"/>
    <w:rsid w:val="00083D2F"/>
    <w:rsid w:val="000941F9"/>
    <w:rsid w:val="00095D84"/>
    <w:rsid w:val="0009692F"/>
    <w:rsid w:val="000A1276"/>
    <w:rsid w:val="000B4ECF"/>
    <w:rsid w:val="000C0750"/>
    <w:rsid w:val="000C3A62"/>
    <w:rsid w:val="000C3CF0"/>
    <w:rsid w:val="000D1A8E"/>
    <w:rsid w:val="000D1C35"/>
    <w:rsid w:val="000D2A18"/>
    <w:rsid w:val="000E0E0F"/>
    <w:rsid w:val="000E1CF9"/>
    <w:rsid w:val="000E3638"/>
    <w:rsid w:val="000E544A"/>
    <w:rsid w:val="000E5552"/>
    <w:rsid w:val="000E7319"/>
    <w:rsid w:val="000F6ECD"/>
    <w:rsid w:val="00107009"/>
    <w:rsid w:val="00107A3C"/>
    <w:rsid w:val="001212C7"/>
    <w:rsid w:val="0012499A"/>
    <w:rsid w:val="00136397"/>
    <w:rsid w:val="00141B45"/>
    <w:rsid w:val="00142FE9"/>
    <w:rsid w:val="001441A8"/>
    <w:rsid w:val="001470DB"/>
    <w:rsid w:val="0015360B"/>
    <w:rsid w:val="001561B1"/>
    <w:rsid w:val="00156897"/>
    <w:rsid w:val="00164414"/>
    <w:rsid w:val="0016772E"/>
    <w:rsid w:val="001838FA"/>
    <w:rsid w:val="00186C12"/>
    <w:rsid w:val="00190134"/>
    <w:rsid w:val="001924B0"/>
    <w:rsid w:val="00194622"/>
    <w:rsid w:val="001968CC"/>
    <w:rsid w:val="00197437"/>
    <w:rsid w:val="001A44A7"/>
    <w:rsid w:val="001C2F9F"/>
    <w:rsid w:val="001C7039"/>
    <w:rsid w:val="001E5E7A"/>
    <w:rsid w:val="001F25E9"/>
    <w:rsid w:val="001F417F"/>
    <w:rsid w:val="001F4937"/>
    <w:rsid w:val="00222910"/>
    <w:rsid w:val="00233C77"/>
    <w:rsid w:val="00234AEC"/>
    <w:rsid w:val="00242006"/>
    <w:rsid w:val="00242AF5"/>
    <w:rsid w:val="0024432F"/>
    <w:rsid w:val="002460C3"/>
    <w:rsid w:val="00250051"/>
    <w:rsid w:val="00254DA2"/>
    <w:rsid w:val="00257ACC"/>
    <w:rsid w:val="002624DC"/>
    <w:rsid w:val="00276EF6"/>
    <w:rsid w:val="00277AF4"/>
    <w:rsid w:val="00282F30"/>
    <w:rsid w:val="002925EF"/>
    <w:rsid w:val="002973B0"/>
    <w:rsid w:val="002A524E"/>
    <w:rsid w:val="002A68F1"/>
    <w:rsid w:val="002B15D7"/>
    <w:rsid w:val="002B2526"/>
    <w:rsid w:val="002B4811"/>
    <w:rsid w:val="002B5130"/>
    <w:rsid w:val="002B6819"/>
    <w:rsid w:val="002C28C9"/>
    <w:rsid w:val="002D363B"/>
    <w:rsid w:val="002E0C5E"/>
    <w:rsid w:val="002E1E15"/>
    <w:rsid w:val="002E553E"/>
    <w:rsid w:val="002F4E07"/>
    <w:rsid w:val="002F635E"/>
    <w:rsid w:val="00304F54"/>
    <w:rsid w:val="0031438D"/>
    <w:rsid w:val="00315987"/>
    <w:rsid w:val="0031736A"/>
    <w:rsid w:val="003222C8"/>
    <w:rsid w:val="0032633A"/>
    <w:rsid w:val="0032645A"/>
    <w:rsid w:val="0033169C"/>
    <w:rsid w:val="00333796"/>
    <w:rsid w:val="00340631"/>
    <w:rsid w:val="00345BBE"/>
    <w:rsid w:val="003506D4"/>
    <w:rsid w:val="003647D9"/>
    <w:rsid w:val="00372469"/>
    <w:rsid w:val="00372A0D"/>
    <w:rsid w:val="00373211"/>
    <w:rsid w:val="00373B35"/>
    <w:rsid w:val="00374635"/>
    <w:rsid w:val="00382272"/>
    <w:rsid w:val="00386489"/>
    <w:rsid w:val="00386BCF"/>
    <w:rsid w:val="003A166B"/>
    <w:rsid w:val="003A21B8"/>
    <w:rsid w:val="003A3C65"/>
    <w:rsid w:val="003A59A0"/>
    <w:rsid w:val="003A7C3B"/>
    <w:rsid w:val="003C0FBB"/>
    <w:rsid w:val="003C2E1D"/>
    <w:rsid w:val="003C3047"/>
    <w:rsid w:val="003D0134"/>
    <w:rsid w:val="003D0AAF"/>
    <w:rsid w:val="003D0C57"/>
    <w:rsid w:val="003D4716"/>
    <w:rsid w:val="003D758A"/>
    <w:rsid w:val="003D7616"/>
    <w:rsid w:val="003D7CB7"/>
    <w:rsid w:val="003E30F3"/>
    <w:rsid w:val="004029CF"/>
    <w:rsid w:val="004054FB"/>
    <w:rsid w:val="004101E6"/>
    <w:rsid w:val="00415956"/>
    <w:rsid w:val="00417522"/>
    <w:rsid w:val="004248D7"/>
    <w:rsid w:val="004306D5"/>
    <w:rsid w:val="00430AA0"/>
    <w:rsid w:val="0043693B"/>
    <w:rsid w:val="004421D6"/>
    <w:rsid w:val="00463864"/>
    <w:rsid w:val="004748F8"/>
    <w:rsid w:val="004767B3"/>
    <w:rsid w:val="00477344"/>
    <w:rsid w:val="0048395C"/>
    <w:rsid w:val="0049307D"/>
    <w:rsid w:val="00493218"/>
    <w:rsid w:val="00496A5E"/>
    <w:rsid w:val="00497FAC"/>
    <w:rsid w:val="004A22E4"/>
    <w:rsid w:val="004A6C6A"/>
    <w:rsid w:val="004B2030"/>
    <w:rsid w:val="004B29D5"/>
    <w:rsid w:val="004B3F31"/>
    <w:rsid w:val="004C14EF"/>
    <w:rsid w:val="004C7158"/>
    <w:rsid w:val="004C7A5A"/>
    <w:rsid w:val="004D0C3F"/>
    <w:rsid w:val="004E2B46"/>
    <w:rsid w:val="004E2E2A"/>
    <w:rsid w:val="004F3CA0"/>
    <w:rsid w:val="005037C0"/>
    <w:rsid w:val="0051573C"/>
    <w:rsid w:val="005248D5"/>
    <w:rsid w:val="00535A32"/>
    <w:rsid w:val="00541887"/>
    <w:rsid w:val="00544914"/>
    <w:rsid w:val="00544C7C"/>
    <w:rsid w:val="005559D2"/>
    <w:rsid w:val="005574ED"/>
    <w:rsid w:val="00564033"/>
    <w:rsid w:val="00566F01"/>
    <w:rsid w:val="00576387"/>
    <w:rsid w:val="0058405A"/>
    <w:rsid w:val="00584751"/>
    <w:rsid w:val="00590D47"/>
    <w:rsid w:val="005919B9"/>
    <w:rsid w:val="00594358"/>
    <w:rsid w:val="00595B12"/>
    <w:rsid w:val="005A78F1"/>
    <w:rsid w:val="005B28E5"/>
    <w:rsid w:val="005B61C6"/>
    <w:rsid w:val="005C4F7F"/>
    <w:rsid w:val="005D28CA"/>
    <w:rsid w:val="005E1041"/>
    <w:rsid w:val="005F276C"/>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A0E20"/>
    <w:rsid w:val="006A4D3C"/>
    <w:rsid w:val="006A53AB"/>
    <w:rsid w:val="006B742D"/>
    <w:rsid w:val="006C25E8"/>
    <w:rsid w:val="006C4C7A"/>
    <w:rsid w:val="006D2925"/>
    <w:rsid w:val="006D36C2"/>
    <w:rsid w:val="006E22EB"/>
    <w:rsid w:val="006E2E27"/>
    <w:rsid w:val="006E704D"/>
    <w:rsid w:val="006F1C6A"/>
    <w:rsid w:val="006F58BA"/>
    <w:rsid w:val="006F7FBA"/>
    <w:rsid w:val="00700D74"/>
    <w:rsid w:val="00720B18"/>
    <w:rsid w:val="00724AEF"/>
    <w:rsid w:val="00724C70"/>
    <w:rsid w:val="0072591A"/>
    <w:rsid w:val="007325FA"/>
    <w:rsid w:val="00737785"/>
    <w:rsid w:val="0074255A"/>
    <w:rsid w:val="00747917"/>
    <w:rsid w:val="007543DA"/>
    <w:rsid w:val="00762048"/>
    <w:rsid w:val="007708F8"/>
    <w:rsid w:val="00771352"/>
    <w:rsid w:val="00771490"/>
    <w:rsid w:val="00781F4E"/>
    <w:rsid w:val="00784FA5"/>
    <w:rsid w:val="0078695F"/>
    <w:rsid w:val="00792053"/>
    <w:rsid w:val="007A1F00"/>
    <w:rsid w:val="007A6C3C"/>
    <w:rsid w:val="007B1235"/>
    <w:rsid w:val="007B2E51"/>
    <w:rsid w:val="007B377A"/>
    <w:rsid w:val="007C3875"/>
    <w:rsid w:val="007C6728"/>
    <w:rsid w:val="007D009B"/>
    <w:rsid w:val="007E5631"/>
    <w:rsid w:val="007F6FB4"/>
    <w:rsid w:val="0080008C"/>
    <w:rsid w:val="00805A56"/>
    <w:rsid w:val="00813A50"/>
    <w:rsid w:val="008148F3"/>
    <w:rsid w:val="00814D20"/>
    <w:rsid w:val="00821908"/>
    <w:rsid w:val="00824088"/>
    <w:rsid w:val="0083396B"/>
    <w:rsid w:val="0084561F"/>
    <w:rsid w:val="0085601B"/>
    <w:rsid w:val="008709BF"/>
    <w:rsid w:val="0088241E"/>
    <w:rsid w:val="0088686F"/>
    <w:rsid w:val="008905DF"/>
    <w:rsid w:val="0089594F"/>
    <w:rsid w:val="008A0062"/>
    <w:rsid w:val="008A3252"/>
    <w:rsid w:val="008A3F1C"/>
    <w:rsid w:val="008A4554"/>
    <w:rsid w:val="008A7FF6"/>
    <w:rsid w:val="008B5C00"/>
    <w:rsid w:val="008B5F92"/>
    <w:rsid w:val="008C78FD"/>
    <w:rsid w:val="008D44EE"/>
    <w:rsid w:val="008D6E4B"/>
    <w:rsid w:val="008F0C7A"/>
    <w:rsid w:val="008F115C"/>
    <w:rsid w:val="008F3F0D"/>
    <w:rsid w:val="008F6369"/>
    <w:rsid w:val="009053F4"/>
    <w:rsid w:val="00912E12"/>
    <w:rsid w:val="0091318A"/>
    <w:rsid w:val="00914DD8"/>
    <w:rsid w:val="00915441"/>
    <w:rsid w:val="00916D31"/>
    <w:rsid w:val="0091700B"/>
    <w:rsid w:val="00920C81"/>
    <w:rsid w:val="00935AFD"/>
    <w:rsid w:val="00951360"/>
    <w:rsid w:val="00955805"/>
    <w:rsid w:val="00966568"/>
    <w:rsid w:val="00966F2E"/>
    <w:rsid w:val="00977598"/>
    <w:rsid w:val="00987516"/>
    <w:rsid w:val="00987AFB"/>
    <w:rsid w:val="00993DB9"/>
    <w:rsid w:val="00995BD2"/>
    <w:rsid w:val="009A0F54"/>
    <w:rsid w:val="009A3ADF"/>
    <w:rsid w:val="009B0562"/>
    <w:rsid w:val="009B080D"/>
    <w:rsid w:val="009B2BDE"/>
    <w:rsid w:val="009C5AD1"/>
    <w:rsid w:val="009D2D72"/>
    <w:rsid w:val="009D2FF8"/>
    <w:rsid w:val="009D4818"/>
    <w:rsid w:val="009D4ECF"/>
    <w:rsid w:val="009E0DB1"/>
    <w:rsid w:val="009E0F72"/>
    <w:rsid w:val="009F2977"/>
    <w:rsid w:val="009F4D79"/>
    <w:rsid w:val="00A04176"/>
    <w:rsid w:val="00A060BB"/>
    <w:rsid w:val="00A14BCC"/>
    <w:rsid w:val="00A2188A"/>
    <w:rsid w:val="00A23561"/>
    <w:rsid w:val="00A4039E"/>
    <w:rsid w:val="00A445A7"/>
    <w:rsid w:val="00A46721"/>
    <w:rsid w:val="00A5621E"/>
    <w:rsid w:val="00A633F1"/>
    <w:rsid w:val="00A63F44"/>
    <w:rsid w:val="00A64038"/>
    <w:rsid w:val="00A64970"/>
    <w:rsid w:val="00A66380"/>
    <w:rsid w:val="00A75F63"/>
    <w:rsid w:val="00A80E88"/>
    <w:rsid w:val="00A87114"/>
    <w:rsid w:val="00AA3A28"/>
    <w:rsid w:val="00AA4FE0"/>
    <w:rsid w:val="00AB21B3"/>
    <w:rsid w:val="00AB2B5D"/>
    <w:rsid w:val="00AC149A"/>
    <w:rsid w:val="00AC1A0D"/>
    <w:rsid w:val="00AC4885"/>
    <w:rsid w:val="00AD35EC"/>
    <w:rsid w:val="00AD454D"/>
    <w:rsid w:val="00AD7588"/>
    <w:rsid w:val="00AE5100"/>
    <w:rsid w:val="00AF1884"/>
    <w:rsid w:val="00B0125C"/>
    <w:rsid w:val="00B04762"/>
    <w:rsid w:val="00B06DAE"/>
    <w:rsid w:val="00B12951"/>
    <w:rsid w:val="00B12F1E"/>
    <w:rsid w:val="00B17784"/>
    <w:rsid w:val="00B2018E"/>
    <w:rsid w:val="00B2177B"/>
    <w:rsid w:val="00B37904"/>
    <w:rsid w:val="00B41782"/>
    <w:rsid w:val="00B42320"/>
    <w:rsid w:val="00B428E1"/>
    <w:rsid w:val="00B62FD5"/>
    <w:rsid w:val="00B66FE2"/>
    <w:rsid w:val="00B71158"/>
    <w:rsid w:val="00B7341B"/>
    <w:rsid w:val="00B778A2"/>
    <w:rsid w:val="00B81B95"/>
    <w:rsid w:val="00B85D03"/>
    <w:rsid w:val="00B94112"/>
    <w:rsid w:val="00B97298"/>
    <w:rsid w:val="00BA1D2B"/>
    <w:rsid w:val="00BB5C95"/>
    <w:rsid w:val="00BC5306"/>
    <w:rsid w:val="00BC5565"/>
    <w:rsid w:val="00BC5B3B"/>
    <w:rsid w:val="00BC7CDC"/>
    <w:rsid w:val="00BD5588"/>
    <w:rsid w:val="00BD65D2"/>
    <w:rsid w:val="00BD744C"/>
    <w:rsid w:val="00BE1AE8"/>
    <w:rsid w:val="00BF4C8F"/>
    <w:rsid w:val="00C017B3"/>
    <w:rsid w:val="00C14DCC"/>
    <w:rsid w:val="00C202AC"/>
    <w:rsid w:val="00C26900"/>
    <w:rsid w:val="00C31B4B"/>
    <w:rsid w:val="00C323E7"/>
    <w:rsid w:val="00C32A65"/>
    <w:rsid w:val="00C37830"/>
    <w:rsid w:val="00C42CF1"/>
    <w:rsid w:val="00C4322A"/>
    <w:rsid w:val="00C47F50"/>
    <w:rsid w:val="00C502A6"/>
    <w:rsid w:val="00C558FD"/>
    <w:rsid w:val="00C60491"/>
    <w:rsid w:val="00C76FB3"/>
    <w:rsid w:val="00C80BBF"/>
    <w:rsid w:val="00C81924"/>
    <w:rsid w:val="00C95191"/>
    <w:rsid w:val="00C96DE0"/>
    <w:rsid w:val="00CA36B8"/>
    <w:rsid w:val="00CA4A0B"/>
    <w:rsid w:val="00CA6888"/>
    <w:rsid w:val="00CB199E"/>
    <w:rsid w:val="00CB23AD"/>
    <w:rsid w:val="00CB43E7"/>
    <w:rsid w:val="00CB4820"/>
    <w:rsid w:val="00CC4E58"/>
    <w:rsid w:val="00CC6A6A"/>
    <w:rsid w:val="00CE273F"/>
    <w:rsid w:val="00D0727B"/>
    <w:rsid w:val="00D13269"/>
    <w:rsid w:val="00D13F72"/>
    <w:rsid w:val="00D16C38"/>
    <w:rsid w:val="00D45D9A"/>
    <w:rsid w:val="00D47A6B"/>
    <w:rsid w:val="00D553C2"/>
    <w:rsid w:val="00D646C6"/>
    <w:rsid w:val="00D75968"/>
    <w:rsid w:val="00D8110F"/>
    <w:rsid w:val="00D901A8"/>
    <w:rsid w:val="00D9523A"/>
    <w:rsid w:val="00D95D0B"/>
    <w:rsid w:val="00D976EF"/>
    <w:rsid w:val="00DA0D99"/>
    <w:rsid w:val="00DA70BA"/>
    <w:rsid w:val="00DB43F7"/>
    <w:rsid w:val="00DC3F3C"/>
    <w:rsid w:val="00DC43FE"/>
    <w:rsid w:val="00DC4915"/>
    <w:rsid w:val="00DC4E11"/>
    <w:rsid w:val="00DD21E5"/>
    <w:rsid w:val="00DD6B59"/>
    <w:rsid w:val="00DE75CF"/>
    <w:rsid w:val="00DF2E0B"/>
    <w:rsid w:val="00E02B81"/>
    <w:rsid w:val="00E10BB8"/>
    <w:rsid w:val="00E207B6"/>
    <w:rsid w:val="00E21798"/>
    <w:rsid w:val="00E244D2"/>
    <w:rsid w:val="00E24957"/>
    <w:rsid w:val="00E256A0"/>
    <w:rsid w:val="00E37F2F"/>
    <w:rsid w:val="00E41F14"/>
    <w:rsid w:val="00E434BE"/>
    <w:rsid w:val="00E44165"/>
    <w:rsid w:val="00E44472"/>
    <w:rsid w:val="00E46797"/>
    <w:rsid w:val="00E5292B"/>
    <w:rsid w:val="00E535DE"/>
    <w:rsid w:val="00E53FBF"/>
    <w:rsid w:val="00E6315A"/>
    <w:rsid w:val="00E67296"/>
    <w:rsid w:val="00E71435"/>
    <w:rsid w:val="00E71583"/>
    <w:rsid w:val="00E742BF"/>
    <w:rsid w:val="00E8039A"/>
    <w:rsid w:val="00E80DB8"/>
    <w:rsid w:val="00E8715E"/>
    <w:rsid w:val="00E8782E"/>
    <w:rsid w:val="00E87FCE"/>
    <w:rsid w:val="00EA4B56"/>
    <w:rsid w:val="00EB4FE7"/>
    <w:rsid w:val="00EC2D6E"/>
    <w:rsid w:val="00EC319D"/>
    <w:rsid w:val="00EC333F"/>
    <w:rsid w:val="00EC6A06"/>
    <w:rsid w:val="00EE2534"/>
    <w:rsid w:val="00EF0B15"/>
    <w:rsid w:val="00EF358B"/>
    <w:rsid w:val="00EF70A3"/>
    <w:rsid w:val="00F02938"/>
    <w:rsid w:val="00F032EB"/>
    <w:rsid w:val="00F03F4C"/>
    <w:rsid w:val="00F1185E"/>
    <w:rsid w:val="00F15D5B"/>
    <w:rsid w:val="00F179EA"/>
    <w:rsid w:val="00F20980"/>
    <w:rsid w:val="00F25DC9"/>
    <w:rsid w:val="00F314F0"/>
    <w:rsid w:val="00F3794A"/>
    <w:rsid w:val="00F44996"/>
    <w:rsid w:val="00F528C2"/>
    <w:rsid w:val="00F6084A"/>
    <w:rsid w:val="00F613AA"/>
    <w:rsid w:val="00F82333"/>
    <w:rsid w:val="00F83A8F"/>
    <w:rsid w:val="00F93812"/>
    <w:rsid w:val="00F9432B"/>
    <w:rsid w:val="00FA0E85"/>
    <w:rsid w:val="00FA22E1"/>
    <w:rsid w:val="00FB7757"/>
    <w:rsid w:val="00FB7AD5"/>
    <w:rsid w:val="00FC4544"/>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97B90-EA3A-4613-B025-5F302AEE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14940</Words>
  <Characters>8516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Elektronisko sakaru likums</vt:lpstr>
    </vt:vector>
  </TitlesOfParts>
  <Company>Satiksmes ministrija</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sakaru likums</dc:title>
  <dc:subject>Likumprojekta anotācija</dc:subject>
  <dc:creator>Diana Kristapsone</dc:creator>
  <dc:description>67028043, Diana.Kristapsone@sam.gov.lv</dc:description>
  <cp:lastModifiedBy>Diāna Kristapsone</cp:lastModifiedBy>
  <cp:revision>21</cp:revision>
  <cp:lastPrinted>2018-08-06T13:41:00Z</cp:lastPrinted>
  <dcterms:created xsi:type="dcterms:W3CDTF">2018-07-31T12:57:00Z</dcterms:created>
  <dcterms:modified xsi:type="dcterms:W3CDTF">2018-08-06T13:43:00Z</dcterms:modified>
</cp:coreProperties>
</file>