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7D" w:rsidRDefault="002329FC" w:rsidP="006A26E6">
      <w:pPr>
        <w:jc w:val="center"/>
        <w:rPr>
          <w:b/>
          <w:bCs/>
          <w:sz w:val="26"/>
          <w:szCs w:val="26"/>
        </w:rPr>
      </w:pPr>
      <w:bookmarkStart w:id="0" w:name="468683"/>
      <w:bookmarkStart w:id="1" w:name="_Hlk514239332"/>
      <w:bookmarkStart w:id="2" w:name="_GoBack"/>
      <w:bookmarkEnd w:id="0"/>
      <w:bookmarkEnd w:id="2"/>
      <w:r w:rsidRPr="00613172">
        <w:rPr>
          <w:b/>
          <w:bCs/>
          <w:sz w:val="26"/>
          <w:szCs w:val="26"/>
        </w:rPr>
        <w:t>Ministru kabineta noteikumu projekta</w:t>
      </w:r>
    </w:p>
    <w:p w:rsidR="006A26E6" w:rsidRPr="00613172" w:rsidRDefault="002329FC" w:rsidP="006A26E6">
      <w:pPr>
        <w:jc w:val="center"/>
        <w:rPr>
          <w:rFonts w:eastAsia="Times New Roman"/>
          <w:b/>
          <w:bCs/>
          <w:sz w:val="26"/>
          <w:szCs w:val="26"/>
          <w:lang w:eastAsia="lv-LV"/>
        </w:rPr>
      </w:pPr>
      <w:r w:rsidRPr="00613172">
        <w:rPr>
          <w:b/>
          <w:bCs/>
          <w:sz w:val="26"/>
          <w:szCs w:val="26"/>
        </w:rPr>
        <w:t xml:space="preserve"> </w:t>
      </w:r>
      <w:r w:rsidR="006A26E6" w:rsidRPr="00613172">
        <w:rPr>
          <w:b/>
          <w:bCs/>
          <w:sz w:val="26"/>
          <w:szCs w:val="26"/>
        </w:rPr>
        <w:t>“</w:t>
      </w:r>
      <w:r w:rsidR="006A26E6" w:rsidRPr="00613172">
        <w:rPr>
          <w:rFonts w:eastAsia="Times New Roman"/>
          <w:b/>
          <w:bCs/>
          <w:sz w:val="26"/>
          <w:szCs w:val="26"/>
          <w:lang w:eastAsia="lv-LV"/>
        </w:rPr>
        <w:t>Grozījumi</w:t>
      </w:r>
      <w:r w:rsidR="006A26E6" w:rsidRPr="00613172">
        <w:rPr>
          <w:sz w:val="26"/>
          <w:szCs w:val="26"/>
        </w:rPr>
        <w:t xml:space="preserve"> </w:t>
      </w:r>
      <w:r w:rsidR="006A26E6" w:rsidRPr="00613172">
        <w:rPr>
          <w:rFonts w:eastAsia="Times New Roman"/>
          <w:b/>
          <w:bCs/>
          <w:sz w:val="26"/>
          <w:szCs w:val="26"/>
          <w:lang w:eastAsia="lv-LV"/>
        </w:rPr>
        <w:t>Ministru kabineta</w:t>
      </w:r>
      <w:r w:rsidR="006A26E6" w:rsidRPr="00613172">
        <w:rPr>
          <w:sz w:val="26"/>
          <w:szCs w:val="26"/>
        </w:rPr>
        <w:t xml:space="preserve"> </w:t>
      </w:r>
      <w:r w:rsidR="006A26E6" w:rsidRPr="00613172">
        <w:rPr>
          <w:rFonts w:eastAsia="Times New Roman"/>
          <w:b/>
          <w:bCs/>
          <w:sz w:val="26"/>
          <w:szCs w:val="26"/>
          <w:lang w:eastAsia="lv-LV"/>
        </w:rPr>
        <w:t>2012.gada 21.februāra noteikumos Nr.121</w:t>
      </w:r>
      <w:r w:rsidR="006A26E6" w:rsidRPr="00613172">
        <w:rPr>
          <w:sz w:val="26"/>
          <w:szCs w:val="26"/>
        </w:rPr>
        <w:t xml:space="preserve"> “</w:t>
      </w:r>
      <w:r w:rsidR="006A26E6" w:rsidRPr="00613172">
        <w:rPr>
          <w:rFonts w:eastAsia="Times New Roman"/>
          <w:b/>
          <w:bCs/>
          <w:sz w:val="26"/>
          <w:szCs w:val="26"/>
          <w:lang w:eastAsia="lv-LV"/>
        </w:rPr>
        <w:t>Kārtība, kādā izsniedz, uz laiku aptur vai anulē speciālās atļaujas (licences) un licences kartītes komercpārvadājumu veikšanai ar autotransportu un izsniedz autopārvadājumu vadītāja profesionālās kompetences sertifikātus””</w:t>
      </w:r>
    </w:p>
    <w:p w:rsidR="003D6F09" w:rsidRPr="00613172" w:rsidRDefault="001A608F" w:rsidP="001A608F">
      <w:pPr>
        <w:jc w:val="center"/>
        <w:rPr>
          <w:b/>
          <w:bCs/>
          <w:sz w:val="26"/>
          <w:szCs w:val="26"/>
        </w:rPr>
      </w:pPr>
      <w:r w:rsidRPr="00613172">
        <w:rPr>
          <w:b/>
          <w:bCs/>
          <w:sz w:val="26"/>
          <w:szCs w:val="26"/>
        </w:rPr>
        <w:t xml:space="preserve"> </w:t>
      </w:r>
      <w:r w:rsidR="003D6F09" w:rsidRPr="00613172">
        <w:rPr>
          <w:b/>
          <w:bCs/>
          <w:sz w:val="26"/>
          <w:szCs w:val="26"/>
        </w:rPr>
        <w:t>sākotnējās ietekmes novērtējuma ziņojums (anotācija)</w:t>
      </w:r>
    </w:p>
    <w:bookmarkEnd w:id="1"/>
    <w:p w:rsidR="003B1C94" w:rsidRDefault="003B1C94" w:rsidP="003D6F09">
      <w:pPr>
        <w:ind w:firstLine="0"/>
        <w:jc w:val="center"/>
        <w:rPr>
          <w:b/>
          <w:bCs/>
        </w:rPr>
      </w:pPr>
    </w:p>
    <w:tbl>
      <w:tblPr>
        <w:tblStyle w:val="TableGrid"/>
        <w:tblW w:w="0" w:type="auto"/>
        <w:shd w:val="clear" w:color="auto" w:fill="FFFFFF" w:themeFill="background1"/>
        <w:tblLook w:val="04A0" w:firstRow="1" w:lastRow="0" w:firstColumn="1" w:lastColumn="0" w:noHBand="0" w:noVBand="1"/>
      </w:tblPr>
      <w:tblGrid>
        <w:gridCol w:w="3293"/>
        <w:gridCol w:w="5768"/>
      </w:tblGrid>
      <w:tr w:rsidR="001A608F" w:rsidRPr="001A608F" w:rsidTr="004E0A19">
        <w:tc>
          <w:tcPr>
            <w:tcW w:w="90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A608F" w:rsidRPr="001A608F" w:rsidRDefault="001A608F" w:rsidP="005B4F27">
            <w:pPr>
              <w:jc w:val="center"/>
              <w:rPr>
                <w:rFonts w:eastAsia="Times New Roman"/>
                <w:b/>
                <w:iCs/>
                <w:szCs w:val="28"/>
                <w:lang w:eastAsia="lv-LV"/>
              </w:rPr>
            </w:pPr>
            <w:r w:rsidRPr="001A608F">
              <w:rPr>
                <w:rFonts w:eastAsia="Times New Roman"/>
                <w:b/>
                <w:iCs/>
                <w:szCs w:val="28"/>
                <w:lang w:eastAsia="lv-LV"/>
              </w:rPr>
              <w:t xml:space="preserve">Tiesību akta projekta anotācijas kopsavilkums </w:t>
            </w:r>
          </w:p>
        </w:tc>
      </w:tr>
      <w:tr w:rsidR="001A608F" w:rsidRPr="001A608F" w:rsidTr="004E0A19">
        <w:tc>
          <w:tcPr>
            <w:tcW w:w="32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608F" w:rsidRPr="001A608F" w:rsidRDefault="00C93FE6" w:rsidP="00C93FE6">
            <w:pPr>
              <w:tabs>
                <w:tab w:val="left" w:pos="731"/>
              </w:tabs>
              <w:ind w:firstLine="0"/>
              <w:rPr>
                <w:rFonts w:eastAsia="Times New Roman"/>
                <w:iCs/>
                <w:szCs w:val="28"/>
                <w:lang w:eastAsia="lv-LV"/>
              </w:rPr>
            </w:pPr>
            <w:r>
              <w:rPr>
                <w:rFonts w:eastAsia="Times New Roman"/>
                <w:iCs/>
                <w:szCs w:val="28"/>
                <w:lang w:eastAsia="lv-LV"/>
              </w:rPr>
              <w:t xml:space="preserve">  </w:t>
            </w:r>
            <w:r w:rsidR="001A608F" w:rsidRPr="001A608F">
              <w:rPr>
                <w:rFonts w:eastAsia="Times New Roman"/>
                <w:iCs/>
                <w:szCs w:val="28"/>
                <w:lang w:eastAsia="lv-LV"/>
              </w:rPr>
              <w:t xml:space="preserve">Mērķis, risinājums un projekta spēkā stāšanās laiks </w:t>
            </w:r>
          </w:p>
        </w:tc>
        <w:tc>
          <w:tcPr>
            <w:tcW w:w="5768" w:type="dxa"/>
            <w:tcBorders>
              <w:top w:val="single" w:sz="4" w:space="0" w:color="auto"/>
              <w:left w:val="single" w:sz="4" w:space="0" w:color="auto"/>
              <w:bottom w:val="single" w:sz="4" w:space="0" w:color="auto"/>
              <w:right w:val="single" w:sz="4" w:space="0" w:color="auto"/>
            </w:tcBorders>
            <w:shd w:val="clear" w:color="auto" w:fill="FFFFFF" w:themeFill="background1"/>
          </w:tcPr>
          <w:p w:rsidR="001A608F" w:rsidRPr="001A608F" w:rsidRDefault="001A608F" w:rsidP="00594554">
            <w:pPr>
              <w:ind w:firstLine="0"/>
              <w:jc w:val="both"/>
              <w:rPr>
                <w:rFonts w:eastAsia="Times New Roman"/>
                <w:iCs/>
                <w:szCs w:val="28"/>
                <w:lang w:eastAsia="lv-LV"/>
              </w:rPr>
            </w:pPr>
            <w:r w:rsidRPr="00BC45F9">
              <w:t>Noteik</w:t>
            </w:r>
            <w:r>
              <w:t>umu projekt</w:t>
            </w:r>
            <w:r w:rsidR="000170BF">
              <w:t xml:space="preserve">s paredz </w:t>
            </w:r>
            <w:r w:rsidR="00415B84">
              <w:t xml:space="preserve">noteikt valsts sabiedrību ar ierobežoto atbildību “Autotransporta direkcija” (turpmāk  - </w:t>
            </w:r>
            <w:r w:rsidR="00222042">
              <w:t>ATD</w:t>
            </w:r>
            <w:r w:rsidR="00415B84">
              <w:t>) par kompetento iestādi valsts pārvaldes pakalpojuma “profesionālās kompetences sertifikāts” sniegšanai, ietverot pakalpojumā tā administrēšanu, eksāmena organizēšanu, lēmuma par sertifikāta piešķiršanu pieņemšanu, parakstīšanu un izsniegšanu</w:t>
            </w:r>
            <w:r w:rsidR="002566C8">
              <w:t xml:space="preserve"> un licences kartītes izsniegšanu elektroniskā veidā.</w:t>
            </w:r>
          </w:p>
        </w:tc>
      </w:tr>
      <w:tr w:rsidR="00C93FE6" w:rsidRPr="001A608F" w:rsidTr="004E0A19">
        <w:tc>
          <w:tcPr>
            <w:tcW w:w="3293" w:type="dxa"/>
            <w:tcBorders>
              <w:top w:val="single" w:sz="4" w:space="0" w:color="auto"/>
              <w:left w:val="single" w:sz="4" w:space="0" w:color="auto"/>
              <w:bottom w:val="single" w:sz="4" w:space="0" w:color="auto"/>
              <w:right w:val="single" w:sz="4" w:space="0" w:color="auto"/>
            </w:tcBorders>
            <w:shd w:val="clear" w:color="auto" w:fill="FFFFFF" w:themeFill="background1"/>
          </w:tcPr>
          <w:p w:rsidR="00C93FE6" w:rsidRPr="001A608F" w:rsidRDefault="00C93FE6" w:rsidP="004E0A19">
            <w:pPr>
              <w:tabs>
                <w:tab w:val="left" w:pos="780"/>
              </w:tabs>
              <w:ind w:firstLine="0"/>
              <w:rPr>
                <w:rFonts w:eastAsia="Times New Roman"/>
                <w:iCs/>
                <w:szCs w:val="28"/>
                <w:lang w:eastAsia="lv-LV"/>
              </w:rPr>
            </w:pPr>
          </w:p>
        </w:tc>
        <w:tc>
          <w:tcPr>
            <w:tcW w:w="5768" w:type="dxa"/>
            <w:tcBorders>
              <w:top w:val="single" w:sz="4" w:space="0" w:color="auto"/>
              <w:left w:val="single" w:sz="4" w:space="0" w:color="auto"/>
              <w:bottom w:val="single" w:sz="4" w:space="0" w:color="auto"/>
              <w:right w:val="single" w:sz="4" w:space="0" w:color="auto"/>
            </w:tcBorders>
            <w:shd w:val="clear" w:color="auto" w:fill="FFFFFF" w:themeFill="background1"/>
          </w:tcPr>
          <w:p w:rsidR="00C93FE6" w:rsidRPr="00BC45F9" w:rsidRDefault="00C93FE6" w:rsidP="00594554">
            <w:pPr>
              <w:ind w:firstLine="0"/>
              <w:jc w:val="both"/>
            </w:pPr>
          </w:p>
        </w:tc>
      </w:tr>
    </w:tbl>
    <w:p w:rsidR="001A608F" w:rsidRPr="003D6F09" w:rsidRDefault="001A608F" w:rsidP="003D6F09">
      <w:pPr>
        <w:ind w:firstLine="0"/>
        <w:jc w:val="center"/>
        <w:rPr>
          <w:b/>
          <w:bCs/>
        </w:rPr>
      </w:pPr>
    </w:p>
    <w:tbl>
      <w:tblPr>
        <w:tblStyle w:val="TableGrid"/>
        <w:tblpPr w:leftFromText="180" w:rightFromText="180" w:vertAnchor="text" w:tblpY="1"/>
        <w:tblOverlap w:val="never"/>
        <w:tblW w:w="5000" w:type="pct"/>
        <w:tblLook w:val="04A0" w:firstRow="1" w:lastRow="0" w:firstColumn="1" w:lastColumn="0" w:noHBand="0" w:noVBand="1"/>
      </w:tblPr>
      <w:tblGrid>
        <w:gridCol w:w="453"/>
        <w:gridCol w:w="2809"/>
        <w:gridCol w:w="5799"/>
      </w:tblGrid>
      <w:tr w:rsidR="003D6F09" w:rsidRPr="003D6F09" w:rsidTr="00811F0E">
        <w:trPr>
          <w:trHeight w:val="405"/>
        </w:trPr>
        <w:tc>
          <w:tcPr>
            <w:tcW w:w="0" w:type="auto"/>
            <w:gridSpan w:val="3"/>
            <w:hideMark/>
          </w:tcPr>
          <w:p w:rsidR="003D6F09" w:rsidRPr="003D6F09" w:rsidRDefault="003D6F09" w:rsidP="00811F0E">
            <w:pPr>
              <w:ind w:firstLine="0"/>
              <w:rPr>
                <w:b/>
                <w:bCs/>
              </w:rPr>
            </w:pPr>
            <w:r w:rsidRPr="003D6F09">
              <w:rPr>
                <w:b/>
                <w:bCs/>
              </w:rPr>
              <w:t>I. Tiesību akta projekta izstrādes nepieciešamība</w:t>
            </w:r>
          </w:p>
        </w:tc>
      </w:tr>
      <w:tr w:rsidR="003D6F09" w:rsidRPr="003D6F09" w:rsidTr="00811F0E">
        <w:trPr>
          <w:trHeight w:val="405"/>
        </w:trPr>
        <w:tc>
          <w:tcPr>
            <w:tcW w:w="247" w:type="pct"/>
            <w:hideMark/>
          </w:tcPr>
          <w:p w:rsidR="003D6F09" w:rsidRPr="003D6F09" w:rsidRDefault="003D6F09" w:rsidP="00811F0E">
            <w:pPr>
              <w:ind w:firstLine="0"/>
            </w:pPr>
            <w:r w:rsidRPr="003D6F09">
              <w:t>1.</w:t>
            </w:r>
          </w:p>
        </w:tc>
        <w:tc>
          <w:tcPr>
            <w:tcW w:w="1530" w:type="pct"/>
            <w:hideMark/>
          </w:tcPr>
          <w:p w:rsidR="003D6F09" w:rsidRPr="003D6F09" w:rsidRDefault="003D6F09" w:rsidP="00811F0E">
            <w:pPr>
              <w:ind w:firstLine="0"/>
            </w:pPr>
            <w:r w:rsidRPr="003D6F09">
              <w:t>Pamatojums</w:t>
            </w:r>
          </w:p>
        </w:tc>
        <w:tc>
          <w:tcPr>
            <w:tcW w:w="3159" w:type="pct"/>
            <w:hideMark/>
          </w:tcPr>
          <w:p w:rsidR="00415B84" w:rsidRPr="000C3D60" w:rsidRDefault="00651020" w:rsidP="00811F0E">
            <w:pPr>
              <w:ind w:firstLine="0"/>
              <w:jc w:val="both"/>
              <w:rPr>
                <w:highlight w:val="yellow"/>
              </w:rPr>
            </w:pPr>
            <w:r w:rsidRPr="00AE4DD8">
              <w:t>2018.gada 21.februāra Iekšējā</w:t>
            </w:r>
            <w:r w:rsidR="000E64FC" w:rsidRPr="00AE4DD8">
              <w:t xml:space="preserve"> audita Nr.05-01/2017/03-SM </w:t>
            </w:r>
            <w:bookmarkStart w:id="3" w:name="_Hlk506993770"/>
            <w:r w:rsidRPr="00AE4DD8">
              <w:t xml:space="preserve">Valsts pārvaldes pakalpojumu audits </w:t>
            </w:r>
            <w:r w:rsidR="0043695C">
              <w:t xml:space="preserve"> </w:t>
            </w:r>
            <w:r w:rsidR="0043695C" w:rsidRPr="0043695C">
              <w:t>Satiksmes ministrijas kapitālsabiedrībā -Valsts sabiedrība ar ierobežotu atbildību “Autotransporta direkcija”</w:t>
            </w:r>
            <w:r w:rsidRPr="00AE4DD8">
              <w:t xml:space="preserve"> </w:t>
            </w:r>
            <w:bookmarkEnd w:id="3"/>
            <w:r w:rsidR="000E64FC" w:rsidRPr="00AE4DD8">
              <w:t>ziņojum</w:t>
            </w:r>
            <w:r w:rsidR="004538FD" w:rsidRPr="00AE4DD8">
              <w:t>ā ietvertās rekomendācijas</w:t>
            </w:r>
            <w:r w:rsidR="000C3D60" w:rsidRPr="00AE4DD8">
              <w:t>.</w:t>
            </w:r>
          </w:p>
        </w:tc>
      </w:tr>
      <w:tr w:rsidR="003D6F09" w:rsidRPr="003D6F09" w:rsidTr="00811F0E">
        <w:trPr>
          <w:trHeight w:val="465"/>
        </w:trPr>
        <w:tc>
          <w:tcPr>
            <w:tcW w:w="247" w:type="pct"/>
            <w:hideMark/>
          </w:tcPr>
          <w:p w:rsidR="003D6F09" w:rsidRPr="003D6F09" w:rsidRDefault="003D6F09" w:rsidP="00811F0E">
            <w:pPr>
              <w:ind w:firstLine="0"/>
            </w:pPr>
            <w:r w:rsidRPr="003D6F09">
              <w:t>2.</w:t>
            </w:r>
          </w:p>
        </w:tc>
        <w:tc>
          <w:tcPr>
            <w:tcW w:w="1530" w:type="pct"/>
            <w:hideMark/>
          </w:tcPr>
          <w:p w:rsidR="003D6F09" w:rsidRPr="003D6F09" w:rsidRDefault="003D6F09" w:rsidP="00811F0E">
            <w:pPr>
              <w:ind w:firstLine="0"/>
            </w:pPr>
            <w:r w:rsidRPr="003D6F09">
              <w:t>Pašreizējā situācija un problēmas, kuru risināšanai tiesību akta projekts izstrādāts, tiesiskā regulējuma mērķis un būtība</w:t>
            </w:r>
          </w:p>
        </w:tc>
        <w:tc>
          <w:tcPr>
            <w:tcW w:w="3159" w:type="pct"/>
            <w:hideMark/>
          </w:tcPr>
          <w:p w:rsidR="004604F7" w:rsidRDefault="0016444C" w:rsidP="00811F0E">
            <w:pPr>
              <w:ind w:firstLine="0"/>
              <w:jc w:val="both"/>
            </w:pPr>
            <w:r>
              <w:t xml:space="preserve">Satiksmes ministrija </w:t>
            </w:r>
            <w:r w:rsidR="004604F7">
              <w:t xml:space="preserve">(turpmāk – ministrija) 2017.gadā veica </w:t>
            </w:r>
            <w:r w:rsidR="004604F7" w:rsidRPr="004604F7">
              <w:t>iekšējo auditu Nr.05-01/2017/03 – SM „Valsts pārvaldes pakalpojumu audits Satiksmes ministrijas pakalpojumu “Autopārvadājumu vadītāja profesionālās kompetences sertifikāts””</w:t>
            </w:r>
            <w:r w:rsidR="004604F7">
              <w:t xml:space="preserve"> ar mērķi novērtēt ministrijas iekšējās kontroles sistēmas darbību un efektivitāti valsts pārvaldes pakalpojumu plānošanā, izpildē un rezultātu piegādē, gūstot pārliecību, vai un kā ir iespējams:</w:t>
            </w:r>
          </w:p>
          <w:p w:rsidR="004604F7" w:rsidRDefault="004604F7" w:rsidP="00811F0E">
            <w:pPr>
              <w:ind w:firstLine="0"/>
              <w:jc w:val="both"/>
            </w:pPr>
            <w:r>
              <w:t>1)</w:t>
            </w:r>
            <w:r>
              <w:tab/>
              <w:t xml:space="preserve">uzlabot pakalpojumu sniegšanas procesa efektivitāti; </w:t>
            </w:r>
          </w:p>
          <w:p w:rsidR="00AE4DD8" w:rsidRDefault="004604F7" w:rsidP="00811F0E">
            <w:pPr>
              <w:ind w:firstLine="0"/>
              <w:jc w:val="both"/>
            </w:pPr>
            <w:r>
              <w:t>2)</w:t>
            </w:r>
            <w:r>
              <w:tab/>
              <w:t>samazināt administratīvo slogu klientiem un uzlabot pakalpojumu kvalitāti.</w:t>
            </w:r>
          </w:p>
          <w:p w:rsidR="004604F7" w:rsidRDefault="004604F7" w:rsidP="00811F0E">
            <w:pPr>
              <w:ind w:firstLine="0"/>
              <w:jc w:val="both"/>
            </w:pPr>
            <w:r w:rsidRPr="004604F7">
              <w:t xml:space="preserve">Auditā tika vērtēta un analizēta pakalpojuma pieejamība e – vidē, vai ar pakalpojuma sniegšanu tiek mazināts administratīvais slogs gan </w:t>
            </w:r>
            <w:r w:rsidRPr="004604F7">
              <w:lastRenderedPageBreak/>
              <w:t>pakalpojuma sniedzējiem, gan pakalpojuma ņēmējiem (klientiem), kā arī audita rezultātā, novērtējot iekšējās kontroles un sniedzot viedokli par kontroles efektivitāti, tika vērtēti pakalpojumu efektivitātes kritēriji.</w:t>
            </w:r>
          </w:p>
          <w:p w:rsidR="004604F7" w:rsidRDefault="004604F7" w:rsidP="00811F0E">
            <w:pPr>
              <w:ind w:firstLine="0"/>
              <w:jc w:val="both"/>
            </w:pPr>
          </w:p>
          <w:p w:rsidR="00AE4DD8" w:rsidRDefault="004604F7" w:rsidP="00811F0E">
            <w:pPr>
              <w:ind w:firstLine="0"/>
              <w:jc w:val="both"/>
            </w:pPr>
            <w:r w:rsidRPr="004604F7">
              <w:t xml:space="preserve">Ņemot vērā, ka pakalpojumu saskaņā ar Ministru kabineta (turpmāk – MK) noteikumiem Nr.121  “Kārtība, kādā izsniedz, uz laiku aptur vai anulē speciālās atļaujas (licences) un licences kartītes komercpārvadājumu veikšanai ar autotransportu un izsniedz autopārvadājumu vadītāja profesionālās kompetences sertifikātus” </w:t>
            </w:r>
            <w:r w:rsidR="00222042">
              <w:t>(</w:t>
            </w:r>
            <w:r w:rsidRPr="004604F7">
              <w:t xml:space="preserve">turpmāk- noteikumi Nr.121) nodrošina ministrija un pakalpojuma administrēšanu  nodrošina </w:t>
            </w:r>
            <w:r w:rsidRPr="00222042">
              <w:t>ATD</w:t>
            </w:r>
            <w:r w:rsidRPr="004604F7">
              <w:t>, pakalpojuma sniegšanas process tika auditēts gan ATD, gan ministrijā.</w:t>
            </w:r>
          </w:p>
          <w:p w:rsidR="00E00AA8" w:rsidRDefault="00E00AA8" w:rsidP="00811F0E">
            <w:pPr>
              <w:ind w:firstLine="0"/>
              <w:jc w:val="both"/>
            </w:pPr>
          </w:p>
          <w:p w:rsidR="007731E5" w:rsidRDefault="007731E5" w:rsidP="00811F0E">
            <w:pPr>
              <w:ind w:firstLine="0"/>
              <w:jc w:val="both"/>
            </w:pPr>
            <w:r>
              <w:t xml:space="preserve">Atbilstoši MK </w:t>
            </w:r>
            <w:r w:rsidRPr="000E64FC">
              <w:t>noteikum</w:t>
            </w:r>
            <w:r>
              <w:t>u</w:t>
            </w:r>
            <w:r w:rsidRPr="000E64FC">
              <w:t xml:space="preserve"> Nr.121</w:t>
            </w:r>
            <w:r>
              <w:t xml:space="preserve"> 3.punktam Satiksmes ministrija atbilstoši regulas Nr. </w:t>
            </w:r>
            <w:hyperlink r:id="rId7" w:tgtFrame="_blank" w:history="1">
              <w:r>
                <w:rPr>
                  <w:rStyle w:val="Hyperlink"/>
                </w:rPr>
                <w:t>1071/2009</w:t>
              </w:r>
            </w:hyperlink>
            <w:r>
              <w:t xml:space="preserve"> 8.panta 3.punktam organizē eksāmenus un izsniedz autopārvadājumu vadītāja profesionālās kompetences sertifikātus. Savukārt Autotransporta direkcija atbilstoši noteikumu 2.3.apakšpunktam veic regulas Nr. </w:t>
            </w:r>
            <w:hyperlink r:id="rId8" w:tgtFrame="_blank" w:history="1">
              <w:r>
                <w:rPr>
                  <w:rStyle w:val="Hyperlink"/>
                </w:rPr>
                <w:t>1071/2009</w:t>
              </w:r>
            </w:hyperlink>
            <w:r>
              <w:t xml:space="preserve"> 10.pantā minētās kompetentās iestādes pienākumus.</w:t>
            </w:r>
          </w:p>
          <w:p w:rsidR="008316FA" w:rsidRDefault="008316FA" w:rsidP="00811F0E">
            <w:pPr>
              <w:ind w:firstLine="0"/>
              <w:jc w:val="both"/>
            </w:pPr>
          </w:p>
          <w:p w:rsidR="008316FA" w:rsidRDefault="008316FA" w:rsidP="00811F0E">
            <w:pPr>
              <w:ind w:firstLine="0"/>
              <w:jc w:val="both"/>
            </w:pPr>
            <w:r w:rsidRPr="008316FA">
              <w:t>Audita mērķis sasniegts – gūta pārliecība, ka iekšējās kontroles sistēma darbojas, novērtētās kontroles kopumā ir pietiekamas un efektīvas, lai sniegtu pamatotu novērtējumu par pakalpojumu pārvaldības procesu, t.sk. par pakalpojumu izveidi un sniegšanu, pieejamību un pilnveidi ATD, tomēr nepieciešami uzlabojumi – konstatēti specifisku kontroļu trūkumi ministrijā.</w:t>
            </w:r>
          </w:p>
          <w:p w:rsidR="008316FA" w:rsidRDefault="008316FA" w:rsidP="00811F0E">
            <w:pPr>
              <w:ind w:firstLine="0"/>
              <w:jc w:val="both"/>
            </w:pPr>
          </w:p>
          <w:p w:rsidR="008316FA" w:rsidRDefault="008316FA" w:rsidP="00811F0E">
            <w:pPr>
              <w:ind w:firstLine="0"/>
              <w:jc w:val="both"/>
            </w:pPr>
            <w:r w:rsidRPr="008316FA">
              <w:t xml:space="preserve">Audita laikā iegūtā informācija un </w:t>
            </w:r>
            <w:r w:rsidRPr="00616C4C">
              <w:t>pārbaudēs konstatē</w:t>
            </w:r>
            <w:r w:rsidR="00616C4C" w:rsidRPr="00616C4C">
              <w:t>tais</w:t>
            </w:r>
            <w:r w:rsidRPr="00616C4C">
              <w:t xml:space="preserve"> liecina</w:t>
            </w:r>
            <w:r w:rsidRPr="008316FA">
              <w:t xml:space="preserve">, ka kopumā pakalpojuma process tiek nodrošināts atbilstoši ārējo normatīvo aktu un </w:t>
            </w:r>
            <w:r w:rsidRPr="007554AD">
              <w:t>iekšējo darbību aprakst</w:t>
            </w:r>
            <w:r w:rsidR="007554AD" w:rsidRPr="007554AD">
              <w:t>u</w:t>
            </w:r>
            <w:r w:rsidRPr="008316FA">
              <w:t xml:space="preserve"> prasībām. Pakalpojuma sniegšanā atbilstoši MK noteikumiem Nr.121 ir iesaistīti divi pakalpojuma sniedzēji – ATD, kas  nodrošina pakalpojuma </w:t>
            </w:r>
            <w:r w:rsidRPr="008316FA">
              <w:lastRenderedPageBreak/>
              <w:t>administrēšanu, t.i., pieņem iesniegumus un samaksu sertifikāta iegūšanai, nodrošina eksāmenu grupu komplektēšanu, eksāmenu organizēšanu, protokolu sagatavošanu, sertifikāta drukāšanu, reģistrēšanu un izsniegšanu klātienē, kā arī uztur sertificēto personu reģistru un ministrija, kas nodrošina eksāmena organizēšanu, lēmuma pieņemšanu par sertifikāta piešķiršanu un sertifikāta izsniegšanu. Atbilstoši eksāmenu darbu vērtējumiem identificēts, ka ATD sagatavo eksaminācijas komisijas protokolu un sertifikātus, kurus iesniedz ministrijai parakstīšanai, tādejādi pakalpojumam saņemšanai radot papildus administratīvo slogu.</w:t>
            </w:r>
          </w:p>
          <w:p w:rsidR="008316FA" w:rsidRDefault="008316FA" w:rsidP="00811F0E">
            <w:pPr>
              <w:ind w:firstLine="0"/>
              <w:jc w:val="both"/>
            </w:pPr>
          </w:p>
          <w:p w:rsidR="008316FA" w:rsidRDefault="008316FA" w:rsidP="00811F0E">
            <w:pPr>
              <w:ind w:firstLine="0"/>
              <w:jc w:val="both"/>
            </w:pPr>
            <w:r w:rsidRPr="008316FA">
              <w:t>Auditā gūta pārliecība, ka ATD veic darbības administratīvā sloga mazināšanai un pakalpojuma vienkāršošanai: 2018.gada sākumā ir aktualizēts iesniegums sertifikāta saņemšanai, piedāvājot iespēju klientam saņemt sertifikātu pa pastu, kā rezultātā klientam sertifikāta saņemšana ir vienkāršāka, kā arī paredzēts ieviest iesnieguma – pieteikuma eksāmenam iesniegšanu un eksāmena apmaksu e – pakalpojumos. Gūta pārliecība par ATD gatavību ieviest Valsts pārvaldes iekārtas likuma un spēkā esošo MK noteikumu Nr.399 “Valsts pārvaldes pakalpojumu uzskaites, kvalitātes kontroles un sniegšanas kārtība”( turpmāk-  MK noteikumi Nr.399)  prasības valsts pārvaldes pakalpojumu jomā.</w:t>
            </w:r>
          </w:p>
          <w:p w:rsidR="008316FA" w:rsidRDefault="008316FA" w:rsidP="00811F0E">
            <w:pPr>
              <w:ind w:firstLine="0"/>
              <w:jc w:val="both"/>
            </w:pPr>
          </w:p>
          <w:p w:rsidR="004604F7" w:rsidRDefault="008316FA" w:rsidP="00811F0E">
            <w:pPr>
              <w:ind w:firstLine="0"/>
              <w:jc w:val="both"/>
            </w:pPr>
            <w:r w:rsidRPr="008316FA">
              <w:t>Ministrija ir identificējusi (apzinājusi) tās kompetencē esošos valsts pārvaldes pakalpojumus, kas saistīti ar nozari, tie uzskaitīti ministrijas mājaslapā www.sam.gov.lv, tomēr ministrija šobrīd nenodrošina MK noteikumu Nr.399 prasību valsts pārvaldes pakalpojumu jomā ieviešanu, tas ir</w:t>
            </w:r>
            <w:r>
              <w:t>,</w:t>
            </w:r>
            <w:r w:rsidRPr="008316FA">
              <w:t xml:space="preserve"> ministrijai nav izstrādāts un apstiprināts valsts pārvaldes pakalpojumu saraksts, mājas lapā norādītajiem valsts pārvaldes pakalpojumiem nav pievienoti detalizētāki pakalpojuma apraksti, soļi, kas veicami, lai saņemtu pakalpojumu, ministrijas valsts pārvaldes pakalpojumi nav ievietoti www.latvija.lv, ministrija neveic valsts pārvaldes pakalpojumu klientu apmierinātības mērījumus, u.c. darbības, kas saistītas ar valsts pārvaldes pakalpojuma sniegšanu, uzskaiti, kvalitātes kontroli, saskaņā ar MK noteikumu Nr. 399 noteiktām prasībām, kā arī ministrijā nav noteiktas klientu apkalpošanas prasības atbilstoši MK noteikumiem  Nr.399, nav izstrādāts atsevišķs klientu apkalpošanas iekšējais normatīvais akts (klientu apkalpošanas standarts), kas attiektos uz visiem klientu apkalpotājiem kopā un, kas regulāri tiktu pārskatīts un nepieciešamības gadījumā aktualizēts.</w:t>
            </w:r>
          </w:p>
          <w:p w:rsidR="00380939" w:rsidRDefault="00380939" w:rsidP="00811F0E">
            <w:pPr>
              <w:ind w:firstLine="0"/>
              <w:jc w:val="both"/>
            </w:pPr>
          </w:p>
          <w:p w:rsidR="00380939" w:rsidRDefault="006F6631" w:rsidP="00811F0E">
            <w:pPr>
              <w:ind w:firstLine="0"/>
              <w:jc w:val="both"/>
            </w:pPr>
            <w:r w:rsidRPr="006F6631">
              <w:t>Audits norād</w:t>
            </w:r>
            <w:r>
              <w:t>īja</w:t>
            </w:r>
            <w:r w:rsidRPr="006F6631">
              <w:t xml:space="preserve">, ka saskaņā ar MK noteikumiem Nr.121 pakalpojuma sniedzēja ir arī ministrija, līdz ar to  ministrijai jānodrošina MK noteikumos Nr.399  noteikto prasību izpilde par valsts pārvaldes pakalpojuma sniegšanu, uzskaiti un kontroli, tomēr, ņemot vērā, ka pakalpojumu atbilstoši MK noteikumiem Nr.121 nodrošina ATD, kura daļēji jau pilda MK noteikumu Nr.399 prasības, kā arī lai nedublētu darbības, kas izriet no MK noteikumu Nr. 399 prasībām, ministrijai kā pakalpojuma sniedzējai </w:t>
            </w:r>
            <w:r>
              <w:t>jā</w:t>
            </w:r>
            <w:r w:rsidRPr="006F6631">
              <w:t>izvērtē pakalpojuma sniegšan</w:t>
            </w:r>
            <w:r>
              <w:t>as nodošana</w:t>
            </w:r>
            <w:r w:rsidRPr="006F6631">
              <w:t xml:space="preserve"> ATD, tādejādi mazinot administratīvo slogu, darbību dublēšanos, efektīvu pakalpojuma sniegšanas nodrošināšanu.</w:t>
            </w:r>
          </w:p>
          <w:p w:rsidR="00576870" w:rsidRDefault="005C419A" w:rsidP="00811F0E">
            <w:pPr>
              <w:ind w:firstLine="0"/>
              <w:jc w:val="both"/>
            </w:pPr>
            <w:r w:rsidRPr="005C419A">
              <w:t xml:space="preserve">Valsts pārvaldes pakalpojumu jomas iekšējās kontroles sistēmas pilnveidošanai sniegti vairāki norādījumi pakalpojuma procesa pilnveidei, lai novērstu riskus par normatīvo aktu prasību neizpildi, aktuālas informācijas pieejamību, informācijas sniegšanas, klientu apkalpošanas, kā arī pakalpojuma sniegšanas efektivitāti, administratīvā sloga mazināšanu, procesa caurspīdīgumu. Ņemot vērā MK noteikumos Nr.399 izvirzītās prasības valsts pārvaldes pakalpojumu uzskaites, kvalitātes kontroles un sniegšanas jomā, auditā sniegtie norādījumi vērsti uz pakalpojuma sniegšanu kopumā, tādejādi attiecināmi gan uz ATD, gan ministriju. </w:t>
            </w:r>
          </w:p>
          <w:p w:rsidR="00576870" w:rsidRDefault="00576870" w:rsidP="00811F0E">
            <w:pPr>
              <w:ind w:firstLine="0"/>
              <w:jc w:val="both"/>
            </w:pPr>
          </w:p>
          <w:p w:rsidR="00B64EC3" w:rsidRDefault="002566C8" w:rsidP="00B64EC3">
            <w:pPr>
              <w:ind w:firstLine="0"/>
              <w:jc w:val="both"/>
            </w:pPr>
            <w:r>
              <w:t xml:space="preserve">Šobrīd </w:t>
            </w:r>
            <w:r w:rsidR="00B71720">
              <w:t>licences kartītes tiek izsniegtas papīra veidā uz speciālas veidlapas, tā</w:t>
            </w:r>
            <w:r w:rsidR="00CE361C">
              <w:t>s</w:t>
            </w:r>
            <w:r w:rsidR="00B71720">
              <w:t xml:space="preserve"> oriģināls atrodas pie autovadītāja.</w:t>
            </w:r>
            <w:r w:rsidR="00B64EC3">
              <w:t xml:space="preserve"> Gada laikā vidēji ATD izsniedz </w:t>
            </w:r>
            <w:r w:rsidR="0043695C" w:rsidRPr="0043695C">
              <w:t xml:space="preserve">10000 </w:t>
            </w:r>
            <w:r w:rsidR="00B64EC3">
              <w:t>licences kartītes</w:t>
            </w:r>
            <w:r w:rsidR="00CE361C">
              <w:t>.</w:t>
            </w:r>
          </w:p>
          <w:p w:rsidR="0043695C" w:rsidRDefault="0043695C" w:rsidP="00B64EC3">
            <w:pPr>
              <w:ind w:firstLine="0"/>
              <w:jc w:val="both"/>
            </w:pPr>
          </w:p>
          <w:p w:rsidR="0043695C" w:rsidRDefault="0043695C" w:rsidP="00B64EC3">
            <w:pPr>
              <w:ind w:firstLine="0"/>
              <w:jc w:val="both"/>
            </w:pPr>
            <w:r w:rsidRPr="0043695C">
              <w:t>Saskaņā ar MK noteikumu Nr.121 31.punktu licences kartītei jābūt transportlīdzeklī, ar ko tiek veikts autotransporta komercpārvadājums un par tās esamību Latvijas teritorijā saskaņā ar MK 24.05.2011. noteikumiem Nr.411  jāpārliecinās pārvadātāju kontroles dienestiem (Valsts policija, pašvaldību kontroles dienesti), pieprasot transporta līdzekļa vadītājam vai pārvadātāja pārstāvim uzrādīt autopārvadājumus reglamentējošajos normatīvajos aktos norādītos dokumentus.</w:t>
            </w:r>
          </w:p>
          <w:p w:rsidR="00B64EC3" w:rsidRDefault="00B64EC3" w:rsidP="00B64EC3">
            <w:pPr>
              <w:ind w:firstLine="0"/>
              <w:jc w:val="both"/>
            </w:pPr>
          </w:p>
          <w:p w:rsidR="00075993" w:rsidRDefault="00B64EC3" w:rsidP="00B64EC3">
            <w:pPr>
              <w:ind w:firstLine="0"/>
              <w:jc w:val="both"/>
            </w:pPr>
            <w:r w:rsidRPr="00B32AF6">
              <w:t xml:space="preserve">Lai samazinātu administratīvo slogu, administratīvos resursus, kā arī paaugstinātu </w:t>
            </w:r>
            <w:r>
              <w:t>ATD</w:t>
            </w:r>
            <w:r w:rsidRPr="00B32AF6">
              <w:t xml:space="preserve"> sniegto pakalpojumu efektivitāti, ar izstrādātajiem grozījumiem tiek ierosināts </w:t>
            </w:r>
            <w:r>
              <w:t>licences kartītes</w:t>
            </w:r>
            <w:r w:rsidRPr="00B32AF6">
              <w:t xml:space="preserve"> publicēt tikai pasūtītāja mājaslapā, tādējādi atsakoties no faktiskas </w:t>
            </w:r>
            <w:r>
              <w:t>licences kartītes</w:t>
            </w:r>
            <w:r w:rsidRPr="00B32AF6">
              <w:t xml:space="preserve"> izsniegšanas. Minētā rezultātā </w:t>
            </w:r>
            <w:r>
              <w:t>pārvadājuma veikšanas laikā</w:t>
            </w:r>
            <w:r w:rsidRPr="00B32AF6">
              <w:t xml:space="preserve"> pie autobusa vadītāja neatrastos </w:t>
            </w:r>
            <w:r>
              <w:t>licences kartītes oriģināls</w:t>
            </w:r>
            <w:r w:rsidRPr="00B32AF6">
              <w:t xml:space="preserve">.  Kontrolējošām institūcijām, veicot pasažieru regulāro komercpārvadājumu uzraudzību un kontroli, nepieciešamo informāciju par tā izsniegšanu un spēkā esamību būs iespējams pārbaudīt </w:t>
            </w:r>
            <w:r>
              <w:t>ATD</w:t>
            </w:r>
            <w:r w:rsidRPr="00B32AF6">
              <w:t xml:space="preserve"> mājaslapā. </w:t>
            </w:r>
          </w:p>
          <w:p w:rsidR="00075993" w:rsidRDefault="00075993" w:rsidP="00B64EC3">
            <w:pPr>
              <w:ind w:firstLine="0"/>
              <w:jc w:val="both"/>
            </w:pPr>
            <w:r>
              <w:t>Š</w:t>
            </w:r>
            <w:r w:rsidR="00B64EC3" w:rsidRPr="00B32AF6">
              <w:t>āda kārtībai nav negatīva ietekme uz kontrolējoš</w:t>
            </w:r>
            <w:r>
              <w:t>u</w:t>
            </w:r>
            <w:r w:rsidR="00B64EC3" w:rsidRPr="00B32AF6">
              <w:t xml:space="preserve"> institūciju darbu un tā nepalielina kontrolējošo institūciju slogu, kā arī nepadara komercpārvadājumu uzraudzības un kontroles procesu laikietilpīgāku. </w:t>
            </w:r>
          </w:p>
          <w:p w:rsidR="00B64EC3" w:rsidRDefault="00B64EC3" w:rsidP="00B64EC3">
            <w:pPr>
              <w:ind w:firstLine="0"/>
              <w:jc w:val="both"/>
            </w:pPr>
            <w:r w:rsidRPr="00B32AF6">
              <w:t xml:space="preserve">Informācija par </w:t>
            </w:r>
            <w:r w:rsidR="00075993">
              <w:t>ATD</w:t>
            </w:r>
            <w:r w:rsidRPr="00B32AF6">
              <w:t xml:space="preserve"> sagatavoto </w:t>
            </w:r>
            <w:r>
              <w:t>licences</w:t>
            </w:r>
            <w:r w:rsidRPr="00B32AF6">
              <w:t xml:space="preserve"> </w:t>
            </w:r>
            <w:r>
              <w:t xml:space="preserve">kartīti </w:t>
            </w:r>
            <w:r w:rsidRPr="00B32AF6">
              <w:t xml:space="preserve">pārvadātājam tiks nosūtīta uz pārvadātāja e-pasta adresi. </w:t>
            </w:r>
          </w:p>
          <w:p w:rsidR="00082DF2" w:rsidRDefault="00082DF2" w:rsidP="00B64EC3">
            <w:pPr>
              <w:ind w:firstLine="0"/>
              <w:jc w:val="both"/>
            </w:pPr>
          </w:p>
          <w:p w:rsidR="00B64EC3" w:rsidRDefault="00B64EC3" w:rsidP="00B64EC3">
            <w:pPr>
              <w:ind w:firstLine="0"/>
              <w:jc w:val="both"/>
            </w:pPr>
            <w:r w:rsidRPr="00B32AF6">
              <w:t xml:space="preserve">Noteikumu projekts attiecībā uz jauno </w:t>
            </w:r>
            <w:r>
              <w:t>licences kartītes</w:t>
            </w:r>
            <w:r w:rsidRPr="00B32AF6">
              <w:t xml:space="preserve"> sagatavošanas kārtību paredz pārejas nosacījumu, nosakot, ka jaunā </w:t>
            </w:r>
            <w:r>
              <w:t>licences kartītes</w:t>
            </w:r>
            <w:r w:rsidRPr="00B32AF6">
              <w:t xml:space="preserve"> sagatavošanas kārtība piemērojama </w:t>
            </w:r>
            <w:r>
              <w:t xml:space="preserve">no 2019.gada </w:t>
            </w:r>
            <w:r w:rsidR="00082DF2" w:rsidRPr="00082DF2">
              <w:t>1</w:t>
            </w:r>
            <w:r w:rsidRPr="00082DF2">
              <w:t>.</w:t>
            </w:r>
            <w:r w:rsidR="00082DF2" w:rsidRPr="00082DF2">
              <w:t>jūnija</w:t>
            </w:r>
            <w:r w:rsidR="00082DF2">
              <w:t>,</w:t>
            </w:r>
            <w:r w:rsidRPr="00B32AF6">
              <w:t xml:space="preserve"> savukārt iepriekš izsniegt</w:t>
            </w:r>
            <w:r>
              <w:t xml:space="preserve">as licences kartītes, kas ir izsniegtas līdz grozījumu spēkā stāšanās dienai </w:t>
            </w:r>
            <w:r w:rsidR="00082DF2">
              <w:t>būs</w:t>
            </w:r>
            <w:r>
              <w:t xml:space="preserve"> spēkā </w:t>
            </w:r>
            <w:r w:rsidRPr="00082DF2">
              <w:t>līdz t</w:t>
            </w:r>
            <w:r w:rsidR="00082DF2" w:rsidRPr="00082DF2">
              <w:t>ajās</w:t>
            </w:r>
            <w:r w:rsidRPr="00082DF2">
              <w:t xml:space="preserve"> </w:t>
            </w:r>
            <w:r w:rsidR="00082DF2" w:rsidRPr="00082DF2">
              <w:t xml:space="preserve">norādītā </w:t>
            </w:r>
            <w:r w:rsidRPr="00082DF2">
              <w:t>derīguma termiņa beigām.</w:t>
            </w:r>
            <w:r w:rsidRPr="00B32AF6">
              <w:t xml:space="preserve"> </w:t>
            </w:r>
          </w:p>
          <w:p w:rsidR="002566C8" w:rsidRDefault="002566C8" w:rsidP="00811F0E">
            <w:pPr>
              <w:ind w:firstLine="0"/>
              <w:jc w:val="both"/>
            </w:pPr>
          </w:p>
          <w:p w:rsidR="00596FD7" w:rsidRPr="00BC45F9" w:rsidRDefault="00AE63EA" w:rsidP="00811F0E">
            <w:pPr>
              <w:ind w:firstLine="0"/>
              <w:jc w:val="both"/>
            </w:pPr>
            <w:r w:rsidRPr="00CE361C">
              <w:t xml:space="preserve">MK noteikumu Nr.121 grozījumu veikšanas mērķis ir  </w:t>
            </w:r>
            <w:r w:rsidR="005C419A" w:rsidRPr="00CE361C">
              <w:t xml:space="preserve">nodrošināt efektīvu, caurskatāmu, administratīvo slogu mazinošu  </w:t>
            </w:r>
            <w:r w:rsidRPr="00CE361C">
              <w:t>valsts pārvaldes pakalpojuma “profesionālās kompetences sertifikāts”</w:t>
            </w:r>
            <w:r w:rsidR="005C419A" w:rsidRPr="00CE361C">
              <w:t xml:space="preserve"> sniegšanu</w:t>
            </w:r>
            <w:r w:rsidR="0025287A" w:rsidRPr="00CE361C">
              <w:t xml:space="preserve">, nosakot, ka </w:t>
            </w:r>
            <w:r w:rsidR="00222042" w:rsidRPr="00CE361C">
              <w:t>ATD</w:t>
            </w:r>
            <w:r w:rsidR="0025287A" w:rsidRPr="00CE361C">
              <w:t xml:space="preserve"> organizē eksāmenus un izsniedz autopārvadājumu vadītāja profesionālās kompetences sertifikātus</w:t>
            </w:r>
            <w:r w:rsidR="00B64EC3" w:rsidRPr="00CE361C">
              <w:t xml:space="preserve"> un licences kartītes izsniegšanu elektroniskā veidā</w:t>
            </w:r>
            <w:r w:rsidR="0025287A" w:rsidRPr="00CE361C">
              <w:t>.</w:t>
            </w:r>
          </w:p>
        </w:tc>
      </w:tr>
      <w:tr w:rsidR="003D6F09" w:rsidRPr="003D6F09" w:rsidTr="00811F0E">
        <w:trPr>
          <w:trHeight w:val="465"/>
        </w:trPr>
        <w:tc>
          <w:tcPr>
            <w:tcW w:w="247" w:type="pct"/>
            <w:hideMark/>
          </w:tcPr>
          <w:p w:rsidR="003D6F09" w:rsidRPr="003D6F09" w:rsidRDefault="003D6F09" w:rsidP="00811F0E">
            <w:pPr>
              <w:ind w:firstLine="0"/>
            </w:pPr>
            <w:r w:rsidRPr="003D6F09">
              <w:lastRenderedPageBreak/>
              <w:t>3.</w:t>
            </w:r>
          </w:p>
        </w:tc>
        <w:tc>
          <w:tcPr>
            <w:tcW w:w="1530" w:type="pct"/>
            <w:hideMark/>
          </w:tcPr>
          <w:p w:rsidR="003D6F09" w:rsidRPr="003D6F09" w:rsidRDefault="003D6F09" w:rsidP="00811F0E">
            <w:pPr>
              <w:ind w:firstLine="0"/>
            </w:pPr>
            <w:r w:rsidRPr="003D6F09">
              <w:t>Projekta izstrādē iesaistītās institūcijas</w:t>
            </w:r>
            <w:r w:rsidR="00A82BB3">
              <w:t xml:space="preserve"> </w:t>
            </w:r>
          </w:p>
        </w:tc>
        <w:tc>
          <w:tcPr>
            <w:tcW w:w="3159" w:type="pct"/>
            <w:hideMark/>
          </w:tcPr>
          <w:p w:rsidR="001033BA" w:rsidRDefault="00A368BD" w:rsidP="00811F0E">
            <w:pPr>
              <w:ind w:firstLine="0"/>
            </w:pPr>
            <w:r>
              <w:t>ATD</w:t>
            </w:r>
            <w:r w:rsidR="00F23770">
              <w:t>,</w:t>
            </w:r>
          </w:p>
          <w:p w:rsidR="003D6F09" w:rsidRPr="003D6F09" w:rsidRDefault="001033BA" w:rsidP="00811F0E">
            <w:pPr>
              <w:ind w:firstLine="0"/>
            </w:pPr>
            <w:r>
              <w:t>Satiksmes ministrija.</w:t>
            </w:r>
          </w:p>
        </w:tc>
      </w:tr>
      <w:tr w:rsidR="003D6F09" w:rsidRPr="003D6F09" w:rsidTr="00811F0E">
        <w:tc>
          <w:tcPr>
            <w:tcW w:w="247" w:type="pct"/>
            <w:hideMark/>
          </w:tcPr>
          <w:p w:rsidR="003D6F09" w:rsidRPr="003D6F09" w:rsidRDefault="003D6F09" w:rsidP="00811F0E">
            <w:pPr>
              <w:ind w:firstLine="0"/>
            </w:pPr>
            <w:r w:rsidRPr="003D6F09">
              <w:t>4.</w:t>
            </w:r>
          </w:p>
        </w:tc>
        <w:tc>
          <w:tcPr>
            <w:tcW w:w="1530" w:type="pct"/>
            <w:hideMark/>
          </w:tcPr>
          <w:p w:rsidR="003D6F09" w:rsidRPr="003D6F09" w:rsidRDefault="003D6F09" w:rsidP="00811F0E">
            <w:pPr>
              <w:ind w:firstLine="0"/>
            </w:pPr>
            <w:r w:rsidRPr="003D6F09">
              <w:t>Cita informācija</w:t>
            </w:r>
          </w:p>
        </w:tc>
        <w:tc>
          <w:tcPr>
            <w:tcW w:w="3159" w:type="pct"/>
            <w:hideMark/>
          </w:tcPr>
          <w:p w:rsidR="003D6F09" w:rsidRPr="003D6F09" w:rsidRDefault="003965C4" w:rsidP="00811F0E">
            <w:pPr>
              <w:ind w:firstLine="0"/>
            </w:pPr>
            <w:r>
              <w:t>Nav.</w:t>
            </w:r>
          </w:p>
        </w:tc>
      </w:tr>
    </w:tbl>
    <w:p w:rsidR="003D6F09" w:rsidRPr="003D6F09" w:rsidRDefault="00811F0E" w:rsidP="003D6F09">
      <w:pPr>
        <w:ind w:firstLine="0"/>
      </w:pPr>
      <w:r>
        <w:br w:type="textWrapping" w:clear="all"/>
      </w:r>
      <w:r w:rsidR="003D6F09" w:rsidRPr="003D6F09">
        <w:t> </w:t>
      </w:r>
    </w:p>
    <w:tbl>
      <w:tblPr>
        <w:tblStyle w:val="TableGrid"/>
        <w:tblW w:w="5000" w:type="pct"/>
        <w:tblLook w:val="04A0" w:firstRow="1" w:lastRow="0" w:firstColumn="1" w:lastColumn="0" w:noHBand="0" w:noVBand="1"/>
      </w:tblPr>
      <w:tblGrid>
        <w:gridCol w:w="453"/>
        <w:gridCol w:w="2809"/>
        <w:gridCol w:w="5799"/>
      </w:tblGrid>
      <w:tr w:rsidR="003D6F09" w:rsidRPr="003D6F09" w:rsidTr="000170BF">
        <w:trPr>
          <w:trHeight w:val="555"/>
        </w:trPr>
        <w:tc>
          <w:tcPr>
            <w:tcW w:w="0" w:type="auto"/>
            <w:gridSpan w:val="3"/>
            <w:hideMark/>
          </w:tcPr>
          <w:p w:rsidR="003D6F09" w:rsidRPr="003D6F09" w:rsidRDefault="003D6F09" w:rsidP="003D6F09">
            <w:pPr>
              <w:ind w:firstLine="0"/>
              <w:rPr>
                <w:b/>
                <w:bCs/>
              </w:rPr>
            </w:pPr>
            <w:r w:rsidRPr="003D6F09">
              <w:rPr>
                <w:b/>
                <w:bCs/>
              </w:rPr>
              <w:t>II. Tiesību akta projekta ietekme uz sabiedrību, tautsaimniecības attīstību un administratīvo slogu</w:t>
            </w:r>
          </w:p>
        </w:tc>
      </w:tr>
      <w:tr w:rsidR="003D6F09" w:rsidRPr="003D6F09" w:rsidTr="000170BF">
        <w:trPr>
          <w:trHeight w:val="465"/>
        </w:trPr>
        <w:tc>
          <w:tcPr>
            <w:tcW w:w="250" w:type="pct"/>
            <w:hideMark/>
          </w:tcPr>
          <w:p w:rsidR="003D6F09" w:rsidRPr="003D6F09" w:rsidRDefault="003D6F09" w:rsidP="003D6F09">
            <w:pPr>
              <w:ind w:firstLine="0"/>
            </w:pPr>
            <w:r w:rsidRPr="003D6F09">
              <w:t>1.</w:t>
            </w:r>
          </w:p>
        </w:tc>
        <w:tc>
          <w:tcPr>
            <w:tcW w:w="1550" w:type="pct"/>
            <w:hideMark/>
          </w:tcPr>
          <w:p w:rsidR="003D6F09" w:rsidRPr="003D6F09" w:rsidRDefault="003D6F09" w:rsidP="003D6F09">
            <w:pPr>
              <w:ind w:firstLine="0"/>
            </w:pPr>
            <w:r w:rsidRPr="003D6F09">
              <w:t>Sabiedrības mēr</w:t>
            </w:r>
            <w:r w:rsidR="006C4432">
              <w:t>ķ</w:t>
            </w:r>
            <w:r w:rsidRPr="003D6F09">
              <w:t>grupas, kuras tiesiskais regulējums ietekmē vai varētu ietekmēt</w:t>
            </w:r>
          </w:p>
        </w:tc>
        <w:tc>
          <w:tcPr>
            <w:tcW w:w="3200" w:type="pct"/>
            <w:hideMark/>
          </w:tcPr>
          <w:p w:rsidR="003D6F09" w:rsidRPr="008131FC" w:rsidRDefault="00F2112B" w:rsidP="00EF0E17">
            <w:pPr>
              <w:ind w:firstLine="0"/>
              <w:jc w:val="both"/>
              <w:rPr>
                <w:highlight w:val="yellow"/>
              </w:rPr>
            </w:pPr>
            <w:r w:rsidRPr="00F2112B">
              <w:t>Noteikumu projekta tiesiskais regulējums attieksies uz</w:t>
            </w:r>
            <w:r>
              <w:t xml:space="preserve"> </w:t>
            </w:r>
            <w:r w:rsidR="00692FE8">
              <w:t xml:space="preserve">personām, kuras vēlas saņemt </w:t>
            </w:r>
            <w:r w:rsidR="00692FE8" w:rsidRPr="00692FE8">
              <w:t>autopārvadājumu vadītāja profesionālās kompetences sertifikātus</w:t>
            </w:r>
            <w:r w:rsidR="00B64EC3">
              <w:t xml:space="preserve"> un licences kartītes</w:t>
            </w:r>
            <w:r w:rsidR="00692FE8">
              <w:t>.</w:t>
            </w:r>
          </w:p>
        </w:tc>
      </w:tr>
      <w:tr w:rsidR="003624E2" w:rsidRPr="003D6F09" w:rsidTr="000170BF">
        <w:trPr>
          <w:trHeight w:val="510"/>
        </w:trPr>
        <w:tc>
          <w:tcPr>
            <w:tcW w:w="250" w:type="pct"/>
            <w:hideMark/>
          </w:tcPr>
          <w:p w:rsidR="003624E2" w:rsidRPr="003D6F09" w:rsidRDefault="003624E2" w:rsidP="003D6F09">
            <w:pPr>
              <w:ind w:firstLine="0"/>
            </w:pPr>
            <w:r w:rsidRPr="003D6F09">
              <w:t>2.</w:t>
            </w:r>
          </w:p>
        </w:tc>
        <w:tc>
          <w:tcPr>
            <w:tcW w:w="1550" w:type="pct"/>
            <w:hideMark/>
          </w:tcPr>
          <w:p w:rsidR="003624E2" w:rsidRPr="003D6F09" w:rsidRDefault="003624E2" w:rsidP="003D6F09">
            <w:pPr>
              <w:ind w:firstLine="0"/>
            </w:pPr>
            <w:r w:rsidRPr="003D6F09">
              <w:t>Tiesiskā regulējuma ietekme uz tautsaimniecību un administratīvo slogu</w:t>
            </w:r>
          </w:p>
        </w:tc>
        <w:tc>
          <w:tcPr>
            <w:tcW w:w="3200" w:type="pct"/>
          </w:tcPr>
          <w:p w:rsidR="003624E2" w:rsidRDefault="00692FE8" w:rsidP="00420829">
            <w:pPr>
              <w:ind w:firstLine="0"/>
              <w:jc w:val="both"/>
              <w:rPr>
                <w:rFonts w:eastAsia="Times New Roman"/>
                <w:szCs w:val="28"/>
                <w:lang w:eastAsia="lv-LV"/>
              </w:rPr>
            </w:pPr>
            <w:r>
              <w:rPr>
                <w:rFonts w:eastAsia="Times New Roman"/>
                <w:szCs w:val="28"/>
                <w:lang w:eastAsia="lv-LV"/>
              </w:rPr>
              <w:t>Administratīvais slogs mazināsies</w:t>
            </w:r>
            <w:r w:rsidR="002B3898">
              <w:rPr>
                <w:rFonts w:eastAsia="Times New Roman"/>
                <w:szCs w:val="28"/>
                <w:lang w:eastAsia="lv-LV"/>
              </w:rPr>
              <w:t xml:space="preserve"> ministrijai un</w:t>
            </w:r>
            <w:r>
              <w:t xml:space="preserve"> personām, kuras vēlas saņemt </w:t>
            </w:r>
            <w:r w:rsidRPr="00692FE8">
              <w:t>autopārvadājumu vadītāja profesionālās kompetences sertifikātus</w:t>
            </w:r>
            <w:r w:rsidR="009E2FE2">
              <w:t xml:space="preserve">, </w:t>
            </w:r>
            <w:r>
              <w:rPr>
                <w:rFonts w:eastAsia="Times New Roman"/>
                <w:szCs w:val="28"/>
                <w:lang w:eastAsia="lv-LV"/>
              </w:rPr>
              <w:t xml:space="preserve">jo pakalpojums tiks sniegts vienā </w:t>
            </w:r>
            <w:r w:rsidR="00B67D03">
              <w:rPr>
                <w:rFonts w:eastAsia="Times New Roman"/>
                <w:szCs w:val="28"/>
                <w:lang w:eastAsia="lv-LV"/>
              </w:rPr>
              <w:t>institūcijā</w:t>
            </w:r>
            <w:r w:rsidR="008B2CE6">
              <w:rPr>
                <w:rFonts w:eastAsia="Times New Roman"/>
                <w:szCs w:val="28"/>
                <w:lang w:eastAsia="lv-LV"/>
              </w:rPr>
              <w:t>.</w:t>
            </w:r>
          </w:p>
          <w:p w:rsidR="00B64EC3" w:rsidRPr="003624E2" w:rsidRDefault="00B64EC3" w:rsidP="00420829">
            <w:pPr>
              <w:ind w:firstLine="0"/>
              <w:jc w:val="both"/>
              <w:rPr>
                <w:szCs w:val="28"/>
              </w:rPr>
            </w:pPr>
            <w:r>
              <w:rPr>
                <w:rFonts w:eastAsia="Times New Roman"/>
                <w:szCs w:val="28"/>
                <w:lang w:eastAsia="lv-LV"/>
              </w:rPr>
              <w:t xml:space="preserve">Administratīvais slogs mazināsies </w:t>
            </w:r>
            <w:r w:rsidR="00845ABB">
              <w:rPr>
                <w:rFonts w:eastAsia="Times New Roman"/>
                <w:szCs w:val="28"/>
                <w:lang w:eastAsia="lv-LV"/>
              </w:rPr>
              <w:t xml:space="preserve">ATD un </w:t>
            </w:r>
            <w:r>
              <w:rPr>
                <w:rFonts w:eastAsia="Times New Roman"/>
                <w:szCs w:val="28"/>
                <w:lang w:eastAsia="lv-LV"/>
              </w:rPr>
              <w:t>pārvadātājiem, kuri vēlas saņemt licences kartīti.</w:t>
            </w:r>
          </w:p>
        </w:tc>
      </w:tr>
      <w:tr w:rsidR="003D6F09" w:rsidRPr="003D6F09" w:rsidTr="000170BF">
        <w:trPr>
          <w:trHeight w:val="510"/>
        </w:trPr>
        <w:tc>
          <w:tcPr>
            <w:tcW w:w="250" w:type="pct"/>
            <w:hideMark/>
          </w:tcPr>
          <w:p w:rsidR="003D6F09" w:rsidRPr="003D6F09" w:rsidRDefault="003D6F09" w:rsidP="003D6F09">
            <w:pPr>
              <w:ind w:firstLine="0"/>
            </w:pPr>
            <w:r w:rsidRPr="003D6F09">
              <w:t>3.</w:t>
            </w:r>
          </w:p>
        </w:tc>
        <w:tc>
          <w:tcPr>
            <w:tcW w:w="1550" w:type="pct"/>
            <w:hideMark/>
          </w:tcPr>
          <w:p w:rsidR="003D6F09" w:rsidRPr="003D6F09" w:rsidRDefault="003D6F09" w:rsidP="003D6F09">
            <w:pPr>
              <w:ind w:firstLine="0"/>
            </w:pPr>
            <w:r w:rsidRPr="003D6F09">
              <w:t>Administratīvo izmaksu monetārs novērtējums</w:t>
            </w:r>
          </w:p>
        </w:tc>
        <w:tc>
          <w:tcPr>
            <w:tcW w:w="3200" w:type="pct"/>
            <w:hideMark/>
          </w:tcPr>
          <w:p w:rsidR="007F0F80" w:rsidRPr="00594554" w:rsidRDefault="007F0F80" w:rsidP="007F0F80">
            <w:pPr>
              <w:ind w:firstLine="0"/>
            </w:pPr>
            <w:r w:rsidRPr="00594554">
              <w:t xml:space="preserve">Administratīvo izmaksu izmaiņas gada laikā autopārvadātājiem nepārsniedz 2000 </w:t>
            </w:r>
            <w:r w:rsidRPr="00594554">
              <w:rPr>
                <w:i/>
              </w:rPr>
              <w:t>euro</w:t>
            </w:r>
            <w:r w:rsidRPr="00594554">
              <w:t xml:space="preserve">. </w:t>
            </w:r>
          </w:p>
          <w:p w:rsidR="003D6F09" w:rsidRPr="00594554" w:rsidRDefault="003D6F09" w:rsidP="007F0F80">
            <w:pPr>
              <w:ind w:firstLine="0"/>
            </w:pPr>
          </w:p>
        </w:tc>
      </w:tr>
      <w:tr w:rsidR="000170BF" w:rsidRPr="000170BF" w:rsidTr="000170BF">
        <w:trPr>
          <w:trHeight w:val="510"/>
        </w:trPr>
        <w:tc>
          <w:tcPr>
            <w:tcW w:w="250" w:type="pct"/>
            <w:hideMark/>
          </w:tcPr>
          <w:p w:rsidR="000170BF" w:rsidRPr="000170BF" w:rsidRDefault="000170BF" w:rsidP="005B4F27">
            <w:pPr>
              <w:ind w:firstLine="0"/>
              <w:rPr>
                <w:rFonts w:eastAsia="Times New Roman"/>
                <w:szCs w:val="28"/>
                <w:lang w:eastAsia="lv-LV"/>
              </w:rPr>
            </w:pPr>
            <w:r w:rsidRPr="000170BF">
              <w:rPr>
                <w:rFonts w:eastAsia="Times New Roman"/>
                <w:szCs w:val="28"/>
                <w:lang w:eastAsia="lv-LV"/>
              </w:rPr>
              <w:t>4.</w:t>
            </w:r>
          </w:p>
        </w:tc>
        <w:tc>
          <w:tcPr>
            <w:tcW w:w="1550" w:type="pct"/>
            <w:hideMark/>
          </w:tcPr>
          <w:p w:rsidR="000170BF" w:rsidRPr="000170BF" w:rsidRDefault="000170BF" w:rsidP="005B4F27">
            <w:pPr>
              <w:ind w:firstLine="0"/>
              <w:rPr>
                <w:rFonts w:eastAsia="Times New Roman"/>
                <w:szCs w:val="28"/>
                <w:lang w:eastAsia="lv-LV"/>
              </w:rPr>
            </w:pPr>
            <w:r w:rsidRPr="000170BF">
              <w:rPr>
                <w:rFonts w:eastAsia="Times New Roman"/>
                <w:szCs w:val="28"/>
                <w:lang w:eastAsia="lv-LV"/>
              </w:rPr>
              <w:t>Atbilstības izmaksu monetārs novērtējums</w:t>
            </w:r>
          </w:p>
        </w:tc>
        <w:tc>
          <w:tcPr>
            <w:tcW w:w="3200" w:type="pct"/>
            <w:hideMark/>
          </w:tcPr>
          <w:p w:rsidR="000170BF" w:rsidRPr="00594554" w:rsidRDefault="000170BF" w:rsidP="005B4F27">
            <w:pPr>
              <w:ind w:firstLine="0"/>
              <w:rPr>
                <w:rFonts w:eastAsia="Times New Roman"/>
                <w:szCs w:val="28"/>
                <w:lang w:eastAsia="lv-LV"/>
              </w:rPr>
            </w:pPr>
            <w:r w:rsidRPr="00594554">
              <w:t>Projekts šo jomu neskar.</w:t>
            </w:r>
          </w:p>
        </w:tc>
      </w:tr>
      <w:tr w:rsidR="003D6F09" w:rsidRPr="003D6F09" w:rsidTr="000170BF">
        <w:trPr>
          <w:trHeight w:val="345"/>
        </w:trPr>
        <w:tc>
          <w:tcPr>
            <w:tcW w:w="250" w:type="pct"/>
            <w:hideMark/>
          </w:tcPr>
          <w:p w:rsidR="003D6F09" w:rsidRPr="003D6F09" w:rsidRDefault="000170BF" w:rsidP="003D6F09">
            <w:pPr>
              <w:ind w:firstLine="0"/>
            </w:pPr>
            <w:r>
              <w:t>5</w:t>
            </w:r>
            <w:r w:rsidR="003D6F09" w:rsidRPr="003D6F09">
              <w:t>.</w:t>
            </w:r>
          </w:p>
        </w:tc>
        <w:tc>
          <w:tcPr>
            <w:tcW w:w="1550" w:type="pct"/>
            <w:hideMark/>
          </w:tcPr>
          <w:p w:rsidR="003D6F09" w:rsidRPr="003D6F09" w:rsidRDefault="003D6F09" w:rsidP="003D6F09">
            <w:pPr>
              <w:ind w:firstLine="0"/>
            </w:pPr>
            <w:r w:rsidRPr="003D6F09">
              <w:t>Cita informācija</w:t>
            </w:r>
          </w:p>
        </w:tc>
        <w:tc>
          <w:tcPr>
            <w:tcW w:w="3200" w:type="pct"/>
            <w:hideMark/>
          </w:tcPr>
          <w:p w:rsidR="003D6F09" w:rsidRPr="00494964" w:rsidRDefault="001A608F" w:rsidP="00C163CD">
            <w:pPr>
              <w:ind w:firstLine="0"/>
              <w:jc w:val="both"/>
            </w:pPr>
            <w:r>
              <w:t>Nav</w:t>
            </w:r>
          </w:p>
        </w:tc>
      </w:tr>
    </w:tbl>
    <w:p w:rsidR="003D6F09" w:rsidRDefault="003D6F09" w:rsidP="003D6F09">
      <w:pPr>
        <w:ind w:firstLine="0"/>
      </w:pPr>
      <w:r w:rsidRPr="003D6F09">
        <w:t> </w:t>
      </w:r>
    </w:p>
    <w:p w:rsidR="005A7EB3" w:rsidRDefault="005A7EB3" w:rsidP="003D6F09">
      <w:pPr>
        <w:ind w:firstLine="0"/>
      </w:pPr>
    </w:p>
    <w:tbl>
      <w:tblPr>
        <w:tblStyle w:val="TableGrid"/>
        <w:tblW w:w="5000" w:type="pct"/>
        <w:jc w:val="center"/>
        <w:tblLook w:val="04A0" w:firstRow="1" w:lastRow="0" w:firstColumn="1" w:lastColumn="0" w:noHBand="0" w:noVBand="1"/>
      </w:tblPr>
      <w:tblGrid>
        <w:gridCol w:w="9061"/>
      </w:tblGrid>
      <w:tr w:rsidR="00356F49" w:rsidRPr="003D6F09" w:rsidTr="00356F49">
        <w:trPr>
          <w:trHeight w:val="360"/>
          <w:jc w:val="center"/>
        </w:trPr>
        <w:tc>
          <w:tcPr>
            <w:tcW w:w="0" w:type="auto"/>
            <w:hideMark/>
          </w:tcPr>
          <w:p w:rsidR="00356F49" w:rsidRPr="003D6F09" w:rsidRDefault="00356F49" w:rsidP="00356F49">
            <w:pPr>
              <w:ind w:firstLine="0"/>
              <w:jc w:val="center"/>
              <w:rPr>
                <w:b/>
                <w:bCs/>
              </w:rPr>
            </w:pPr>
            <w:r w:rsidRPr="003D6F09">
              <w:rPr>
                <w:b/>
                <w:bCs/>
              </w:rPr>
              <w:t>III. Tiesību akta projekta ietekme uz valsts budžetu un pašvaldību budžetiem</w:t>
            </w:r>
          </w:p>
        </w:tc>
      </w:tr>
      <w:tr w:rsidR="00356F49" w:rsidRPr="003D6F09" w:rsidTr="00356F49">
        <w:trPr>
          <w:trHeight w:val="360"/>
          <w:jc w:val="center"/>
        </w:trPr>
        <w:tc>
          <w:tcPr>
            <w:tcW w:w="0" w:type="auto"/>
          </w:tcPr>
          <w:p w:rsidR="00356F49" w:rsidRPr="003D6F09" w:rsidRDefault="00356F49" w:rsidP="00356F49">
            <w:pPr>
              <w:ind w:firstLine="0"/>
              <w:jc w:val="center"/>
              <w:rPr>
                <w:b/>
                <w:bCs/>
              </w:rPr>
            </w:pPr>
            <w:r w:rsidRPr="00594554">
              <w:t>Projekts šo jomu neskar.</w:t>
            </w:r>
          </w:p>
        </w:tc>
      </w:tr>
    </w:tbl>
    <w:p w:rsidR="00356F49" w:rsidRDefault="00356F49" w:rsidP="003D6F09">
      <w:pPr>
        <w:ind w:firstLine="0"/>
      </w:pPr>
    </w:p>
    <w:p w:rsidR="005A7EB3" w:rsidRDefault="005A7EB3" w:rsidP="003D6F09">
      <w:pPr>
        <w:ind w:firstLine="0"/>
      </w:pPr>
    </w:p>
    <w:tbl>
      <w:tblPr>
        <w:tblStyle w:val="TableGrid"/>
        <w:tblW w:w="5000" w:type="pct"/>
        <w:tblLook w:val="04A0" w:firstRow="1" w:lastRow="0" w:firstColumn="1" w:lastColumn="0" w:noHBand="0" w:noVBand="1"/>
      </w:tblPr>
      <w:tblGrid>
        <w:gridCol w:w="9061"/>
      </w:tblGrid>
      <w:tr w:rsidR="00356F49" w:rsidRPr="003D6F09" w:rsidTr="00A058A2">
        <w:trPr>
          <w:trHeight w:val="450"/>
        </w:trPr>
        <w:tc>
          <w:tcPr>
            <w:tcW w:w="0" w:type="auto"/>
            <w:tcBorders>
              <w:bottom w:val="single" w:sz="4" w:space="0" w:color="auto"/>
            </w:tcBorders>
            <w:hideMark/>
          </w:tcPr>
          <w:p w:rsidR="00356F49" w:rsidRPr="003D6F09" w:rsidRDefault="00356F49" w:rsidP="008B0DD4">
            <w:pPr>
              <w:ind w:firstLine="0"/>
              <w:rPr>
                <w:b/>
                <w:bCs/>
              </w:rPr>
            </w:pPr>
            <w:r w:rsidRPr="003D6F09">
              <w:rPr>
                <w:b/>
                <w:bCs/>
              </w:rPr>
              <w:t>IV. Tiesību akta projekta ietekme uz spēkā esošo tiesību normu sistēmu</w:t>
            </w:r>
          </w:p>
        </w:tc>
      </w:tr>
      <w:tr w:rsidR="00BF0506" w:rsidRPr="004911DF" w:rsidTr="00A058A2">
        <w:trPr>
          <w:trHeight w:val="360"/>
        </w:trPr>
        <w:tc>
          <w:tcPr>
            <w:tcW w:w="0" w:type="auto"/>
            <w:tcBorders>
              <w:bottom w:val="nil"/>
            </w:tcBorders>
          </w:tcPr>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67"/>
              <w:gridCol w:w="2047"/>
              <w:gridCol w:w="6458"/>
              <w:gridCol w:w="214"/>
            </w:tblGrid>
            <w:tr w:rsidR="00BF0506" w:rsidRPr="004911DF" w:rsidTr="00DC093F">
              <w:trPr>
                <w:gridAfter w:val="1"/>
                <w:wAfter w:w="214" w:type="dxa"/>
                <w:jc w:val="center"/>
              </w:trPr>
              <w:tc>
                <w:tcPr>
                  <w:tcW w:w="1067" w:type="dxa"/>
                  <w:tcBorders>
                    <w:top w:val="single" w:sz="4" w:space="0" w:color="auto"/>
                    <w:left w:val="single" w:sz="4" w:space="0" w:color="auto"/>
                    <w:bottom w:val="single" w:sz="4" w:space="0" w:color="auto"/>
                    <w:right w:val="single" w:sz="4" w:space="0" w:color="auto"/>
                  </w:tcBorders>
                  <w:hideMark/>
                </w:tcPr>
                <w:p w:rsidR="00BF0506" w:rsidRPr="004911DF" w:rsidRDefault="00BF0506" w:rsidP="00BF0506">
                  <w:pPr>
                    <w:tabs>
                      <w:tab w:val="left" w:pos="2628"/>
                    </w:tabs>
                    <w:ind w:firstLine="0"/>
                    <w:jc w:val="center"/>
                    <w:rPr>
                      <w:rFonts w:eastAsia="Times New Roman" w:cs="Times New Roman"/>
                      <w:iCs/>
                      <w:szCs w:val="28"/>
                      <w:lang w:eastAsia="lv-LV"/>
                    </w:rPr>
                  </w:pPr>
                  <w:r w:rsidRPr="004911DF">
                    <w:rPr>
                      <w:rFonts w:eastAsia="Times New Roman" w:cs="Times New Roman"/>
                      <w:iCs/>
                      <w:szCs w:val="28"/>
                      <w:lang w:eastAsia="lv-LV"/>
                    </w:rPr>
                    <w:t>1.</w:t>
                  </w:r>
                </w:p>
              </w:tc>
              <w:tc>
                <w:tcPr>
                  <w:tcW w:w="2047" w:type="dxa"/>
                  <w:tcBorders>
                    <w:top w:val="single" w:sz="4" w:space="0" w:color="auto"/>
                    <w:left w:val="single" w:sz="4" w:space="0" w:color="auto"/>
                    <w:bottom w:val="single" w:sz="4" w:space="0" w:color="auto"/>
                    <w:right w:val="single" w:sz="4" w:space="0" w:color="auto"/>
                  </w:tcBorders>
                </w:tcPr>
                <w:p w:rsidR="00BF0506" w:rsidRPr="004911DF" w:rsidRDefault="00BF0506" w:rsidP="00BF0506">
                  <w:pPr>
                    <w:tabs>
                      <w:tab w:val="left" w:pos="2628"/>
                    </w:tabs>
                    <w:ind w:firstLine="0"/>
                    <w:rPr>
                      <w:rFonts w:eastAsia="Times New Roman" w:cs="Times New Roman"/>
                      <w:iCs/>
                      <w:szCs w:val="28"/>
                      <w:lang w:eastAsia="lv-LV"/>
                    </w:rPr>
                  </w:pPr>
                  <w:r w:rsidRPr="004911DF">
                    <w:rPr>
                      <w:rFonts w:eastAsia="Times New Roman" w:cs="Times New Roman"/>
                      <w:szCs w:val="28"/>
                      <w:lang w:eastAsia="lv-LV"/>
                    </w:rPr>
                    <w:t>Nepieciešamie saistītie tiesību aktu projekti</w:t>
                  </w:r>
                </w:p>
                <w:p w:rsidR="00BF0506" w:rsidRPr="004911DF" w:rsidRDefault="00BF0506" w:rsidP="00BF0506">
                  <w:pPr>
                    <w:ind w:firstLine="0"/>
                    <w:rPr>
                      <w:rFonts w:eastAsia="Times New Roman" w:cs="Times New Roman"/>
                      <w:szCs w:val="28"/>
                      <w:lang w:eastAsia="lv-LV"/>
                    </w:rPr>
                  </w:pPr>
                </w:p>
                <w:p w:rsidR="00BF0506" w:rsidRPr="004911DF" w:rsidRDefault="00BF0506" w:rsidP="00BF0506">
                  <w:pPr>
                    <w:ind w:firstLine="0"/>
                    <w:rPr>
                      <w:rFonts w:eastAsia="Times New Roman" w:cs="Times New Roman"/>
                      <w:szCs w:val="28"/>
                      <w:lang w:eastAsia="lv-LV"/>
                    </w:rPr>
                  </w:pPr>
                </w:p>
                <w:p w:rsidR="00BF0506" w:rsidRPr="004911DF" w:rsidRDefault="00BF0506" w:rsidP="00BF0506">
                  <w:pPr>
                    <w:ind w:firstLine="0"/>
                    <w:rPr>
                      <w:rFonts w:eastAsia="Times New Roman" w:cs="Times New Roman"/>
                      <w:szCs w:val="28"/>
                      <w:lang w:eastAsia="lv-LV"/>
                    </w:rPr>
                  </w:pPr>
                </w:p>
                <w:p w:rsidR="00BF0506" w:rsidRPr="004911DF" w:rsidRDefault="00BF0506" w:rsidP="00BF0506">
                  <w:pPr>
                    <w:ind w:firstLine="0"/>
                    <w:jc w:val="center"/>
                    <w:rPr>
                      <w:rFonts w:eastAsia="Times New Roman" w:cs="Times New Roman"/>
                      <w:szCs w:val="28"/>
                      <w:lang w:eastAsia="lv-LV"/>
                    </w:rPr>
                  </w:pPr>
                </w:p>
              </w:tc>
              <w:tc>
                <w:tcPr>
                  <w:tcW w:w="6458" w:type="dxa"/>
                  <w:tcBorders>
                    <w:top w:val="single" w:sz="4" w:space="0" w:color="auto"/>
                    <w:left w:val="single" w:sz="4" w:space="0" w:color="auto"/>
                    <w:bottom w:val="single" w:sz="4" w:space="0" w:color="auto"/>
                    <w:right w:val="single" w:sz="4" w:space="0" w:color="auto"/>
                  </w:tcBorders>
                  <w:hideMark/>
                </w:tcPr>
                <w:p w:rsidR="00BF0506" w:rsidRPr="00823A33" w:rsidRDefault="00DC093F" w:rsidP="00823A33">
                  <w:pPr>
                    <w:ind w:firstLine="0"/>
                    <w:jc w:val="both"/>
                  </w:pPr>
                  <w:r w:rsidRPr="00DC093F">
                    <w:t>Projekts šo jomu neskar.</w:t>
                  </w:r>
                </w:p>
              </w:tc>
            </w:tr>
            <w:tr w:rsidR="00BF0506" w:rsidRPr="004911DF" w:rsidTr="00DC093F">
              <w:trPr>
                <w:jc w:val="center"/>
              </w:trPr>
              <w:tc>
                <w:tcPr>
                  <w:tcW w:w="1067" w:type="dxa"/>
                  <w:tcBorders>
                    <w:top w:val="single" w:sz="4" w:space="0" w:color="auto"/>
                    <w:left w:val="single" w:sz="4" w:space="0" w:color="auto"/>
                    <w:bottom w:val="single" w:sz="4" w:space="0" w:color="auto"/>
                    <w:right w:val="single" w:sz="4" w:space="0" w:color="auto"/>
                  </w:tcBorders>
                  <w:hideMark/>
                </w:tcPr>
                <w:p w:rsidR="00BF0506" w:rsidRPr="004911DF" w:rsidRDefault="00BF0506" w:rsidP="00BF0506">
                  <w:pPr>
                    <w:tabs>
                      <w:tab w:val="left" w:pos="2628"/>
                    </w:tabs>
                    <w:ind w:firstLine="0"/>
                    <w:jc w:val="center"/>
                    <w:rPr>
                      <w:rFonts w:eastAsia="Times New Roman" w:cs="Times New Roman"/>
                      <w:iCs/>
                      <w:szCs w:val="28"/>
                      <w:lang w:eastAsia="lv-LV"/>
                    </w:rPr>
                  </w:pPr>
                  <w:r w:rsidRPr="004911DF">
                    <w:rPr>
                      <w:rFonts w:eastAsia="Times New Roman" w:cs="Times New Roman"/>
                      <w:iCs/>
                      <w:szCs w:val="28"/>
                      <w:lang w:eastAsia="lv-LV"/>
                    </w:rPr>
                    <w:t>2.</w:t>
                  </w:r>
                </w:p>
              </w:tc>
              <w:tc>
                <w:tcPr>
                  <w:tcW w:w="2047" w:type="dxa"/>
                  <w:tcBorders>
                    <w:top w:val="single" w:sz="4" w:space="0" w:color="auto"/>
                    <w:left w:val="single" w:sz="4" w:space="0" w:color="auto"/>
                    <w:bottom w:val="single" w:sz="4" w:space="0" w:color="auto"/>
                    <w:right w:val="single" w:sz="4" w:space="0" w:color="auto"/>
                  </w:tcBorders>
                  <w:hideMark/>
                </w:tcPr>
                <w:p w:rsidR="00BF0506" w:rsidRPr="004911DF" w:rsidRDefault="00BF0506" w:rsidP="00BF0506">
                  <w:pPr>
                    <w:tabs>
                      <w:tab w:val="left" w:pos="2628"/>
                    </w:tabs>
                    <w:ind w:firstLine="0"/>
                    <w:jc w:val="both"/>
                    <w:rPr>
                      <w:rFonts w:eastAsia="Times New Roman" w:cs="Times New Roman"/>
                      <w:szCs w:val="28"/>
                      <w:lang w:eastAsia="lv-LV"/>
                    </w:rPr>
                  </w:pPr>
                  <w:r w:rsidRPr="004911DF">
                    <w:rPr>
                      <w:rFonts w:eastAsia="Times New Roman" w:cs="Times New Roman"/>
                      <w:szCs w:val="28"/>
                      <w:lang w:eastAsia="lv-LV"/>
                    </w:rPr>
                    <w:t>Atbildīgā institūcija</w:t>
                  </w:r>
                </w:p>
              </w:tc>
              <w:tc>
                <w:tcPr>
                  <w:tcW w:w="6672" w:type="dxa"/>
                  <w:gridSpan w:val="2"/>
                  <w:tcBorders>
                    <w:top w:val="single" w:sz="4" w:space="0" w:color="auto"/>
                    <w:left w:val="single" w:sz="4" w:space="0" w:color="auto"/>
                    <w:bottom w:val="single" w:sz="4" w:space="0" w:color="auto"/>
                    <w:right w:val="single" w:sz="4" w:space="0" w:color="auto"/>
                  </w:tcBorders>
                  <w:hideMark/>
                </w:tcPr>
                <w:p w:rsidR="00BF0506" w:rsidRPr="004911DF" w:rsidRDefault="00BF0506" w:rsidP="00BF0506">
                  <w:pPr>
                    <w:ind w:firstLine="0"/>
                    <w:rPr>
                      <w:rFonts w:eastAsia="Times New Roman" w:cs="Times New Roman"/>
                      <w:szCs w:val="28"/>
                      <w:lang w:eastAsia="lv-LV"/>
                    </w:rPr>
                  </w:pPr>
                  <w:r w:rsidRPr="004911DF">
                    <w:rPr>
                      <w:rFonts w:eastAsia="Times New Roman" w:cs="Times New Roman"/>
                      <w:szCs w:val="28"/>
                      <w:lang w:eastAsia="lv-LV"/>
                    </w:rPr>
                    <w:t>Satiksmes ministrija</w:t>
                  </w:r>
                  <w:r w:rsidR="00B67592">
                    <w:rPr>
                      <w:rFonts w:eastAsia="Times New Roman" w:cs="Times New Roman"/>
                      <w:szCs w:val="28"/>
                      <w:lang w:eastAsia="lv-LV"/>
                    </w:rPr>
                    <w:t>.</w:t>
                  </w:r>
                </w:p>
              </w:tc>
            </w:tr>
            <w:tr w:rsidR="00BF0506" w:rsidRPr="004911DF" w:rsidTr="00DC093F">
              <w:trPr>
                <w:jc w:val="center"/>
              </w:trPr>
              <w:tc>
                <w:tcPr>
                  <w:tcW w:w="1067" w:type="dxa"/>
                  <w:tcBorders>
                    <w:top w:val="single" w:sz="4" w:space="0" w:color="auto"/>
                    <w:left w:val="single" w:sz="4" w:space="0" w:color="auto"/>
                    <w:bottom w:val="single" w:sz="4" w:space="0" w:color="auto"/>
                    <w:right w:val="single" w:sz="4" w:space="0" w:color="auto"/>
                  </w:tcBorders>
                  <w:hideMark/>
                </w:tcPr>
                <w:p w:rsidR="00BF0506" w:rsidRPr="004911DF" w:rsidRDefault="00BF0506" w:rsidP="00BF0506">
                  <w:pPr>
                    <w:tabs>
                      <w:tab w:val="left" w:pos="2628"/>
                    </w:tabs>
                    <w:ind w:firstLine="0"/>
                    <w:jc w:val="center"/>
                    <w:rPr>
                      <w:rFonts w:eastAsia="Times New Roman" w:cs="Times New Roman"/>
                      <w:iCs/>
                      <w:szCs w:val="28"/>
                      <w:lang w:eastAsia="lv-LV"/>
                    </w:rPr>
                  </w:pPr>
                  <w:r w:rsidRPr="004911DF">
                    <w:rPr>
                      <w:rFonts w:eastAsia="Times New Roman" w:cs="Times New Roman"/>
                      <w:iCs/>
                      <w:szCs w:val="28"/>
                      <w:lang w:eastAsia="lv-LV"/>
                    </w:rPr>
                    <w:t>3.</w:t>
                  </w:r>
                </w:p>
              </w:tc>
              <w:tc>
                <w:tcPr>
                  <w:tcW w:w="2047" w:type="dxa"/>
                  <w:tcBorders>
                    <w:top w:val="single" w:sz="4" w:space="0" w:color="auto"/>
                    <w:left w:val="single" w:sz="4" w:space="0" w:color="auto"/>
                    <w:bottom w:val="single" w:sz="4" w:space="0" w:color="auto"/>
                    <w:right w:val="single" w:sz="4" w:space="0" w:color="auto"/>
                  </w:tcBorders>
                  <w:hideMark/>
                </w:tcPr>
                <w:p w:rsidR="00BF0506" w:rsidRPr="004911DF" w:rsidRDefault="00BF0506" w:rsidP="00BF0506">
                  <w:pPr>
                    <w:tabs>
                      <w:tab w:val="left" w:pos="2628"/>
                    </w:tabs>
                    <w:ind w:firstLine="0"/>
                    <w:jc w:val="both"/>
                    <w:rPr>
                      <w:rFonts w:eastAsia="Times New Roman" w:cs="Times New Roman"/>
                      <w:iCs/>
                      <w:szCs w:val="28"/>
                      <w:lang w:eastAsia="lv-LV"/>
                    </w:rPr>
                  </w:pPr>
                  <w:r w:rsidRPr="004911DF">
                    <w:rPr>
                      <w:rFonts w:eastAsia="Times New Roman" w:cs="Times New Roman"/>
                      <w:szCs w:val="28"/>
                      <w:lang w:eastAsia="lv-LV"/>
                    </w:rPr>
                    <w:t>Cita informācija</w:t>
                  </w:r>
                </w:p>
              </w:tc>
              <w:tc>
                <w:tcPr>
                  <w:tcW w:w="6672" w:type="dxa"/>
                  <w:gridSpan w:val="2"/>
                  <w:tcBorders>
                    <w:top w:val="single" w:sz="4" w:space="0" w:color="auto"/>
                    <w:left w:val="single" w:sz="4" w:space="0" w:color="auto"/>
                    <w:bottom w:val="single" w:sz="4" w:space="0" w:color="auto"/>
                    <w:right w:val="single" w:sz="4" w:space="0" w:color="auto"/>
                  </w:tcBorders>
                  <w:hideMark/>
                </w:tcPr>
                <w:p w:rsidR="00BF0506" w:rsidRPr="004911DF" w:rsidRDefault="00BF0506" w:rsidP="00BF0506">
                  <w:pPr>
                    <w:tabs>
                      <w:tab w:val="left" w:pos="2628"/>
                    </w:tabs>
                    <w:ind w:firstLine="0"/>
                    <w:jc w:val="both"/>
                    <w:rPr>
                      <w:rFonts w:eastAsia="Times New Roman" w:cs="Times New Roman"/>
                      <w:iCs/>
                      <w:szCs w:val="28"/>
                      <w:lang w:eastAsia="lv-LV"/>
                    </w:rPr>
                  </w:pPr>
                  <w:r w:rsidRPr="004911DF">
                    <w:rPr>
                      <w:rFonts w:eastAsia="Times New Roman" w:cs="Times New Roman"/>
                      <w:iCs/>
                      <w:szCs w:val="28"/>
                      <w:lang w:eastAsia="lv-LV"/>
                    </w:rPr>
                    <w:t>Nav</w:t>
                  </w:r>
                </w:p>
              </w:tc>
            </w:tr>
          </w:tbl>
          <w:p w:rsidR="00BF0506" w:rsidRPr="004911DF" w:rsidRDefault="00BF0506" w:rsidP="008B0DD4">
            <w:pPr>
              <w:ind w:firstLine="0"/>
              <w:jc w:val="center"/>
              <w:rPr>
                <w:b/>
                <w:bCs/>
                <w:szCs w:val="28"/>
              </w:rPr>
            </w:pPr>
          </w:p>
        </w:tc>
      </w:tr>
    </w:tbl>
    <w:p w:rsidR="00356F49" w:rsidRDefault="00356F49" w:rsidP="003D6F09">
      <w:pPr>
        <w:ind w:firstLine="0"/>
      </w:pPr>
    </w:p>
    <w:p w:rsidR="005A7EB3" w:rsidRDefault="005A7EB3" w:rsidP="003D6F09">
      <w:pPr>
        <w:ind w:firstLine="0"/>
      </w:pPr>
    </w:p>
    <w:tbl>
      <w:tblPr>
        <w:tblStyle w:val="TableGrid"/>
        <w:tblW w:w="5000" w:type="pct"/>
        <w:tblLook w:val="04A0" w:firstRow="1" w:lastRow="0" w:firstColumn="1" w:lastColumn="0" w:noHBand="0" w:noVBand="1"/>
      </w:tblPr>
      <w:tblGrid>
        <w:gridCol w:w="9061"/>
      </w:tblGrid>
      <w:tr w:rsidR="00356F49" w:rsidRPr="003D6F09" w:rsidTr="008B0DD4">
        <w:tc>
          <w:tcPr>
            <w:tcW w:w="0" w:type="auto"/>
            <w:hideMark/>
          </w:tcPr>
          <w:p w:rsidR="00356F49" w:rsidRPr="003D6F09" w:rsidRDefault="00356F49" w:rsidP="008B0DD4">
            <w:pPr>
              <w:ind w:firstLine="0"/>
              <w:rPr>
                <w:b/>
                <w:bCs/>
              </w:rPr>
            </w:pPr>
            <w:r w:rsidRPr="003D6F09">
              <w:rPr>
                <w:b/>
                <w:bCs/>
              </w:rPr>
              <w:t>V. Tiesību akta projekta atbilstība Latvijas Republikas starptautiskajām saistībām</w:t>
            </w:r>
          </w:p>
        </w:tc>
      </w:tr>
      <w:tr w:rsidR="00356F49" w:rsidRPr="003D6F09" w:rsidTr="00356F49">
        <w:trPr>
          <w:trHeight w:val="360"/>
        </w:trPr>
        <w:tc>
          <w:tcPr>
            <w:tcW w:w="0" w:type="auto"/>
          </w:tcPr>
          <w:p w:rsidR="00356F49" w:rsidRPr="003D6F09" w:rsidRDefault="00356F49" w:rsidP="008B0DD4">
            <w:pPr>
              <w:ind w:firstLine="0"/>
              <w:jc w:val="center"/>
              <w:rPr>
                <w:b/>
                <w:bCs/>
              </w:rPr>
            </w:pPr>
            <w:r w:rsidRPr="00594554">
              <w:t>Projekts šo jomu neskar.</w:t>
            </w:r>
          </w:p>
        </w:tc>
      </w:tr>
    </w:tbl>
    <w:p w:rsidR="00356F49" w:rsidRDefault="00356F49" w:rsidP="003D6F09">
      <w:pPr>
        <w:ind w:firstLine="0"/>
      </w:pPr>
    </w:p>
    <w:p w:rsidR="005A7EB3" w:rsidRDefault="005A7EB3" w:rsidP="003D6F09">
      <w:pPr>
        <w:ind w:firstLine="0"/>
      </w:pPr>
    </w:p>
    <w:tbl>
      <w:tblPr>
        <w:tblStyle w:val="TableGrid"/>
        <w:tblW w:w="5000" w:type="pct"/>
        <w:tblLook w:val="04A0" w:firstRow="1" w:lastRow="0" w:firstColumn="1" w:lastColumn="0" w:noHBand="0" w:noVBand="1"/>
      </w:tblPr>
      <w:tblGrid>
        <w:gridCol w:w="453"/>
        <w:gridCol w:w="2718"/>
        <w:gridCol w:w="5890"/>
      </w:tblGrid>
      <w:tr w:rsidR="003D6F09" w:rsidRPr="003D6F09" w:rsidTr="000B1DEC">
        <w:trPr>
          <w:trHeight w:val="420"/>
        </w:trPr>
        <w:tc>
          <w:tcPr>
            <w:tcW w:w="0" w:type="auto"/>
            <w:gridSpan w:val="3"/>
            <w:hideMark/>
          </w:tcPr>
          <w:p w:rsidR="003D6F09" w:rsidRPr="003D6F09" w:rsidRDefault="003D6F09" w:rsidP="00356F49">
            <w:pPr>
              <w:ind w:firstLine="0"/>
              <w:jc w:val="center"/>
              <w:rPr>
                <w:b/>
                <w:bCs/>
              </w:rPr>
            </w:pPr>
            <w:r w:rsidRPr="003D6F09">
              <w:rPr>
                <w:b/>
                <w:bCs/>
              </w:rPr>
              <w:t>VI. Sabiedrības līdzdalība un komunikācijas aktivitātes</w:t>
            </w:r>
          </w:p>
        </w:tc>
      </w:tr>
      <w:tr w:rsidR="003D6F09" w:rsidRPr="003D6F09" w:rsidTr="000B1DEC">
        <w:trPr>
          <w:trHeight w:val="540"/>
        </w:trPr>
        <w:tc>
          <w:tcPr>
            <w:tcW w:w="250" w:type="pct"/>
            <w:hideMark/>
          </w:tcPr>
          <w:p w:rsidR="003D6F09" w:rsidRPr="003D6F09" w:rsidRDefault="003D6F09" w:rsidP="003D6F09">
            <w:pPr>
              <w:ind w:firstLine="0"/>
            </w:pPr>
            <w:r w:rsidRPr="003D6F09">
              <w:t>1.</w:t>
            </w:r>
          </w:p>
        </w:tc>
        <w:tc>
          <w:tcPr>
            <w:tcW w:w="1500" w:type="pct"/>
            <w:hideMark/>
          </w:tcPr>
          <w:p w:rsidR="003D6F09" w:rsidRPr="003D6F09" w:rsidRDefault="003D6F09" w:rsidP="003D6F09">
            <w:pPr>
              <w:ind w:firstLine="0"/>
            </w:pPr>
            <w:r w:rsidRPr="003D6F09">
              <w:t>Plānotās sabiedrības līdzdalības un komunikācijas aktivitātes saistībā ar projektu</w:t>
            </w:r>
          </w:p>
        </w:tc>
        <w:tc>
          <w:tcPr>
            <w:tcW w:w="3250" w:type="pct"/>
            <w:hideMark/>
          </w:tcPr>
          <w:p w:rsidR="00346081" w:rsidRPr="00594554" w:rsidRDefault="00F978AE" w:rsidP="0050252D">
            <w:pPr>
              <w:ind w:firstLine="0"/>
              <w:jc w:val="both"/>
              <w:rPr>
                <w:rFonts w:cs="Times New Roman"/>
                <w:szCs w:val="28"/>
              </w:rPr>
            </w:pPr>
            <w:r w:rsidRPr="00594554">
              <w:rPr>
                <w:rFonts w:cs="Times New Roman"/>
                <w:bCs/>
                <w:szCs w:val="28"/>
              </w:rPr>
              <w:t xml:space="preserve">Paziņojums par līdzdalības iespējām tiesību akta izstrādes procesā </w:t>
            </w:r>
            <w:r w:rsidR="006C4432">
              <w:rPr>
                <w:rFonts w:cs="Times New Roman"/>
                <w:bCs/>
                <w:szCs w:val="28"/>
              </w:rPr>
              <w:t>ir</w:t>
            </w:r>
            <w:r w:rsidRPr="00594554">
              <w:rPr>
                <w:rFonts w:cs="Times New Roman"/>
                <w:bCs/>
                <w:szCs w:val="28"/>
              </w:rPr>
              <w:t xml:space="preserve"> ievietots Satiksmes ministrijas tīmekļa vietnē</w:t>
            </w:r>
            <w:r w:rsidR="0050252D" w:rsidRPr="00594554">
              <w:rPr>
                <w:rFonts w:cs="Times New Roman"/>
                <w:szCs w:val="28"/>
              </w:rPr>
              <w:t>.</w:t>
            </w:r>
          </w:p>
        </w:tc>
      </w:tr>
      <w:tr w:rsidR="003D6F09" w:rsidRPr="003D6F09" w:rsidTr="000B1DEC">
        <w:trPr>
          <w:trHeight w:val="330"/>
        </w:trPr>
        <w:tc>
          <w:tcPr>
            <w:tcW w:w="250" w:type="pct"/>
            <w:hideMark/>
          </w:tcPr>
          <w:p w:rsidR="003D6F09" w:rsidRPr="003D6F09" w:rsidRDefault="003D6F09" w:rsidP="003D6F09">
            <w:pPr>
              <w:ind w:firstLine="0"/>
            </w:pPr>
            <w:r w:rsidRPr="003D6F09">
              <w:t>2.</w:t>
            </w:r>
          </w:p>
        </w:tc>
        <w:tc>
          <w:tcPr>
            <w:tcW w:w="1500" w:type="pct"/>
            <w:hideMark/>
          </w:tcPr>
          <w:p w:rsidR="003D6F09" w:rsidRPr="003D6F09" w:rsidRDefault="003D6F09" w:rsidP="003D6F09">
            <w:pPr>
              <w:ind w:firstLine="0"/>
            </w:pPr>
            <w:r w:rsidRPr="003D6F09">
              <w:t>Sabiedrības līdzdalība projekta izstrādē</w:t>
            </w:r>
          </w:p>
        </w:tc>
        <w:tc>
          <w:tcPr>
            <w:tcW w:w="3250" w:type="pct"/>
            <w:hideMark/>
          </w:tcPr>
          <w:p w:rsidR="00103A84" w:rsidRPr="00594554" w:rsidRDefault="00F978AE" w:rsidP="00613172">
            <w:pPr>
              <w:ind w:firstLine="0"/>
              <w:jc w:val="both"/>
            </w:pPr>
            <w:r w:rsidRPr="00594554">
              <w:rPr>
                <w:rFonts w:cs="Times New Roman"/>
                <w:szCs w:val="28"/>
              </w:rPr>
              <w:t>Atbilstoši Ministru kabineta 2009.gada 25.augusta noteikumu Nr.970 „Sabiedrības līdzdalības kārtība attīstības plānošanas procesā” 7.4.</w:t>
            </w:r>
            <w:r w:rsidRPr="00594554">
              <w:rPr>
                <w:rFonts w:cs="Times New Roman"/>
                <w:szCs w:val="28"/>
                <w:vertAlign w:val="superscript"/>
              </w:rPr>
              <w:t xml:space="preserve">1 </w:t>
            </w:r>
            <w:r w:rsidRPr="00594554">
              <w:rPr>
                <w:rFonts w:cs="Times New Roman"/>
                <w:szCs w:val="28"/>
              </w:rPr>
              <w:t xml:space="preserve">apakšpunktam, sabiedrībai </w:t>
            </w:r>
            <w:r w:rsidR="006C4432">
              <w:rPr>
                <w:rFonts w:cs="Times New Roman"/>
                <w:szCs w:val="28"/>
              </w:rPr>
              <w:t>ir</w:t>
            </w:r>
            <w:r w:rsidRPr="00594554">
              <w:rPr>
                <w:rFonts w:cs="Times New Roman"/>
                <w:szCs w:val="28"/>
              </w:rPr>
              <w:t xml:space="preserve"> dota iespēja rakstiski sniegt viedokli par noteikumu projektu tā izstrādes stadijā.</w:t>
            </w:r>
            <w:r w:rsidR="00103A84" w:rsidRPr="00594554">
              <w:t xml:space="preserve"> </w:t>
            </w:r>
          </w:p>
          <w:p w:rsidR="003D6F09" w:rsidRPr="00594554" w:rsidRDefault="003D6F09" w:rsidP="00103A84">
            <w:pPr>
              <w:ind w:firstLine="0"/>
            </w:pPr>
          </w:p>
        </w:tc>
      </w:tr>
      <w:tr w:rsidR="003D6F09" w:rsidRPr="003D6F09" w:rsidTr="000B1DEC">
        <w:trPr>
          <w:trHeight w:val="465"/>
        </w:trPr>
        <w:tc>
          <w:tcPr>
            <w:tcW w:w="250" w:type="pct"/>
            <w:hideMark/>
          </w:tcPr>
          <w:p w:rsidR="003D6F09" w:rsidRPr="003D6F09" w:rsidRDefault="003D6F09" w:rsidP="003D6F09">
            <w:pPr>
              <w:ind w:firstLine="0"/>
            </w:pPr>
            <w:r w:rsidRPr="003D6F09">
              <w:t>3.</w:t>
            </w:r>
          </w:p>
        </w:tc>
        <w:tc>
          <w:tcPr>
            <w:tcW w:w="1500" w:type="pct"/>
            <w:hideMark/>
          </w:tcPr>
          <w:p w:rsidR="003D6F09" w:rsidRPr="003D6F09" w:rsidRDefault="003D6F09" w:rsidP="003D6F09">
            <w:pPr>
              <w:ind w:firstLine="0"/>
            </w:pPr>
            <w:r w:rsidRPr="003D6F09">
              <w:t>Sabiedrības līdzdalības rezultāti</w:t>
            </w:r>
          </w:p>
        </w:tc>
        <w:tc>
          <w:tcPr>
            <w:tcW w:w="3250" w:type="pct"/>
            <w:hideMark/>
          </w:tcPr>
          <w:p w:rsidR="00103A84" w:rsidRDefault="00103A84" w:rsidP="00103A84">
            <w:pPr>
              <w:ind w:firstLine="0"/>
            </w:pPr>
          </w:p>
          <w:p w:rsidR="003D6F09" w:rsidRPr="003D6F09" w:rsidRDefault="00A368BD" w:rsidP="00103A84">
            <w:pPr>
              <w:ind w:firstLine="0"/>
            </w:pPr>
            <w:r>
              <w:t>Sabiedrības atsauksmes nav saņemtas.</w:t>
            </w:r>
          </w:p>
        </w:tc>
      </w:tr>
      <w:tr w:rsidR="003D6F09" w:rsidRPr="003D6F09" w:rsidTr="000B1DEC">
        <w:trPr>
          <w:trHeight w:val="465"/>
        </w:trPr>
        <w:tc>
          <w:tcPr>
            <w:tcW w:w="250" w:type="pct"/>
            <w:hideMark/>
          </w:tcPr>
          <w:p w:rsidR="003D6F09" w:rsidRPr="003D6F09" w:rsidRDefault="003D6F09" w:rsidP="003D6F09">
            <w:pPr>
              <w:ind w:firstLine="0"/>
            </w:pPr>
            <w:r w:rsidRPr="003D6F09">
              <w:t>4.</w:t>
            </w:r>
          </w:p>
        </w:tc>
        <w:tc>
          <w:tcPr>
            <w:tcW w:w="1500" w:type="pct"/>
            <w:hideMark/>
          </w:tcPr>
          <w:p w:rsidR="003D6F09" w:rsidRPr="003D6F09" w:rsidRDefault="003D6F09" w:rsidP="003D6F09">
            <w:pPr>
              <w:ind w:firstLine="0"/>
            </w:pPr>
            <w:r w:rsidRPr="003D6F09">
              <w:t>Cita informācija</w:t>
            </w:r>
          </w:p>
        </w:tc>
        <w:tc>
          <w:tcPr>
            <w:tcW w:w="3250" w:type="pct"/>
            <w:hideMark/>
          </w:tcPr>
          <w:p w:rsidR="003D6F09" w:rsidRPr="003D6F09" w:rsidRDefault="00103A84" w:rsidP="003D6F09">
            <w:pPr>
              <w:ind w:firstLine="0"/>
            </w:pPr>
            <w:r>
              <w:t>Nav.</w:t>
            </w:r>
          </w:p>
        </w:tc>
      </w:tr>
    </w:tbl>
    <w:p w:rsidR="003D6F09" w:rsidRDefault="003D6F09" w:rsidP="003D6F09">
      <w:pPr>
        <w:ind w:firstLine="0"/>
      </w:pPr>
      <w:r w:rsidRPr="003D6F09">
        <w:t> </w:t>
      </w:r>
    </w:p>
    <w:p w:rsidR="005A7EB3" w:rsidRPr="003D6F09" w:rsidRDefault="005A7EB3" w:rsidP="003D6F09">
      <w:pPr>
        <w:ind w:firstLine="0"/>
      </w:pPr>
    </w:p>
    <w:tbl>
      <w:tblPr>
        <w:tblStyle w:val="TableGrid"/>
        <w:tblW w:w="5000" w:type="pct"/>
        <w:tblLook w:val="04A0" w:firstRow="1" w:lastRow="0" w:firstColumn="1" w:lastColumn="0" w:noHBand="0" w:noVBand="1"/>
      </w:tblPr>
      <w:tblGrid>
        <w:gridCol w:w="453"/>
        <w:gridCol w:w="3443"/>
        <w:gridCol w:w="5165"/>
      </w:tblGrid>
      <w:tr w:rsidR="003D6F09" w:rsidRPr="003D6F09" w:rsidTr="000B1DEC">
        <w:trPr>
          <w:trHeight w:val="375"/>
        </w:trPr>
        <w:tc>
          <w:tcPr>
            <w:tcW w:w="0" w:type="auto"/>
            <w:gridSpan w:val="3"/>
            <w:hideMark/>
          </w:tcPr>
          <w:p w:rsidR="00953113" w:rsidRDefault="003D6F09" w:rsidP="003D6F09">
            <w:pPr>
              <w:ind w:firstLine="0"/>
              <w:rPr>
                <w:b/>
                <w:bCs/>
              </w:rPr>
            </w:pPr>
            <w:r w:rsidRPr="003D6F09">
              <w:rPr>
                <w:b/>
                <w:bCs/>
              </w:rPr>
              <w:t>VII. Tiesību akta projekta izpildes nodrošināšana un tās ietekme uz institūcijām</w:t>
            </w:r>
          </w:p>
          <w:p w:rsidR="003D6F09" w:rsidRPr="00953113" w:rsidRDefault="00953113" w:rsidP="00953113">
            <w:pPr>
              <w:tabs>
                <w:tab w:val="left" w:pos="2220"/>
              </w:tabs>
            </w:pPr>
            <w:r>
              <w:tab/>
            </w:r>
          </w:p>
        </w:tc>
      </w:tr>
      <w:tr w:rsidR="003D6F09" w:rsidRPr="003D6F09" w:rsidTr="000B1DEC">
        <w:trPr>
          <w:trHeight w:val="420"/>
        </w:trPr>
        <w:tc>
          <w:tcPr>
            <w:tcW w:w="250" w:type="pct"/>
            <w:hideMark/>
          </w:tcPr>
          <w:p w:rsidR="003D6F09" w:rsidRPr="003D6F09" w:rsidRDefault="003D6F09" w:rsidP="003D6F09">
            <w:pPr>
              <w:ind w:firstLine="0"/>
            </w:pPr>
            <w:r w:rsidRPr="003D6F09">
              <w:t>1.</w:t>
            </w:r>
          </w:p>
        </w:tc>
        <w:tc>
          <w:tcPr>
            <w:tcW w:w="1900" w:type="pct"/>
            <w:hideMark/>
          </w:tcPr>
          <w:p w:rsidR="003D6F09" w:rsidRPr="003D6F09" w:rsidRDefault="003D6F09" w:rsidP="003D6F09">
            <w:pPr>
              <w:ind w:firstLine="0"/>
            </w:pPr>
            <w:r w:rsidRPr="003D6F09">
              <w:t>Projekta izpildē iesaistītās institūcijas</w:t>
            </w:r>
          </w:p>
        </w:tc>
        <w:tc>
          <w:tcPr>
            <w:tcW w:w="2850" w:type="pct"/>
            <w:hideMark/>
          </w:tcPr>
          <w:p w:rsidR="003D6F09" w:rsidRPr="00F978AE" w:rsidRDefault="00A368BD" w:rsidP="003D6F09">
            <w:pPr>
              <w:ind w:firstLine="0"/>
              <w:rPr>
                <w:rFonts w:eastAsia="Times New Roman"/>
                <w:szCs w:val="28"/>
                <w:lang w:eastAsia="lv-LV"/>
              </w:rPr>
            </w:pPr>
            <w:r>
              <w:rPr>
                <w:rFonts w:eastAsia="Times New Roman"/>
                <w:szCs w:val="28"/>
                <w:lang w:eastAsia="lv-LV"/>
              </w:rPr>
              <w:t>ATD</w:t>
            </w:r>
          </w:p>
          <w:p w:rsidR="00116A80" w:rsidRPr="00F978AE" w:rsidRDefault="00116A80" w:rsidP="003D6F09">
            <w:pPr>
              <w:ind w:firstLine="0"/>
              <w:rPr>
                <w:szCs w:val="28"/>
              </w:rPr>
            </w:pPr>
            <w:r w:rsidRPr="00F978AE">
              <w:rPr>
                <w:rFonts w:eastAsia="Times New Roman"/>
                <w:szCs w:val="28"/>
                <w:lang w:eastAsia="lv-LV"/>
              </w:rPr>
              <w:t>Satiksmes ministrija</w:t>
            </w:r>
          </w:p>
        </w:tc>
      </w:tr>
      <w:tr w:rsidR="003D6F09" w:rsidRPr="003D6F09" w:rsidTr="000B1DEC">
        <w:trPr>
          <w:trHeight w:val="450"/>
        </w:trPr>
        <w:tc>
          <w:tcPr>
            <w:tcW w:w="250" w:type="pct"/>
            <w:hideMark/>
          </w:tcPr>
          <w:p w:rsidR="003D6F09" w:rsidRPr="003D6F09" w:rsidRDefault="003D6F09" w:rsidP="003D6F09">
            <w:pPr>
              <w:ind w:firstLine="0"/>
            </w:pPr>
            <w:r w:rsidRPr="003D6F09">
              <w:t>2.</w:t>
            </w:r>
          </w:p>
        </w:tc>
        <w:tc>
          <w:tcPr>
            <w:tcW w:w="1900" w:type="pct"/>
            <w:hideMark/>
          </w:tcPr>
          <w:p w:rsidR="003D6F09" w:rsidRPr="003D6F09" w:rsidRDefault="003D6F09" w:rsidP="003D6F09">
            <w:pPr>
              <w:ind w:firstLine="0"/>
            </w:pPr>
            <w:r w:rsidRPr="003D6F09">
              <w:t xml:space="preserve">Projekta izpildes ietekme uz pārvaldes funkcijām un institucionālo struktūru. </w:t>
            </w:r>
          </w:p>
          <w:p w:rsidR="003D6F09" w:rsidRPr="003D6F09" w:rsidRDefault="003D6F09" w:rsidP="003D6F09">
            <w:pPr>
              <w:ind w:firstLine="0"/>
            </w:pPr>
            <w:r w:rsidRPr="003D6F09">
              <w:t>Jaunu institūciju izveide, esošu institūciju likvidācija vai reorganizācija, to ietekme uz institūcijas cilvēkresursiem</w:t>
            </w:r>
          </w:p>
        </w:tc>
        <w:tc>
          <w:tcPr>
            <w:tcW w:w="2850" w:type="pct"/>
            <w:hideMark/>
          </w:tcPr>
          <w:p w:rsidR="003D6F09" w:rsidRDefault="00F978AE" w:rsidP="00613172">
            <w:pPr>
              <w:ind w:firstLine="0"/>
              <w:jc w:val="both"/>
            </w:pPr>
            <w:r w:rsidRPr="00F978AE">
              <w:t>Noteikumu projekts neparedz jaunu institūciju izveidi vai esošo institūciju likvidāciju vai reorganizāciju.</w:t>
            </w:r>
          </w:p>
          <w:p w:rsidR="004B2DE3" w:rsidRDefault="00F978AE" w:rsidP="00613172">
            <w:pPr>
              <w:ind w:firstLine="0"/>
              <w:jc w:val="both"/>
              <w:rPr>
                <w:rFonts w:cs="Times New Roman"/>
                <w:szCs w:val="28"/>
              </w:rPr>
            </w:pPr>
            <w:r>
              <w:rPr>
                <w:rFonts w:cs="Times New Roman"/>
                <w:szCs w:val="28"/>
              </w:rPr>
              <w:t>Projekta izpilde tiks nodrošināta</w:t>
            </w:r>
            <w:r w:rsidR="00A368BD">
              <w:rPr>
                <w:rFonts w:cs="Times New Roman"/>
                <w:szCs w:val="28"/>
              </w:rPr>
              <w:t>,</w:t>
            </w:r>
            <w:r>
              <w:rPr>
                <w:rFonts w:cs="Times New Roman"/>
                <w:szCs w:val="28"/>
              </w:rPr>
              <w:t xml:space="preserve"> </w:t>
            </w:r>
            <w:r w:rsidR="004B2DE3">
              <w:rPr>
                <w:rFonts w:cs="Times New Roman"/>
                <w:szCs w:val="28"/>
              </w:rPr>
              <w:t xml:space="preserve">paredzot, ka pakalpojumu </w:t>
            </w:r>
            <w:r w:rsidR="00B67D03">
              <w:rPr>
                <w:rFonts w:cs="Times New Roman"/>
                <w:szCs w:val="28"/>
              </w:rPr>
              <w:t xml:space="preserve">- </w:t>
            </w:r>
            <w:r w:rsidR="00B67D03" w:rsidRPr="00B67D03">
              <w:rPr>
                <w:rFonts w:cs="Times New Roman"/>
                <w:szCs w:val="28"/>
              </w:rPr>
              <w:t>autopārvadājumu vadītāja profesionālās kompetences sertifikāt</w:t>
            </w:r>
            <w:r w:rsidR="00B67D03">
              <w:rPr>
                <w:rFonts w:cs="Times New Roman"/>
                <w:szCs w:val="28"/>
              </w:rPr>
              <w:t>a izsniegšana,</w:t>
            </w:r>
            <w:r w:rsidR="00B67D03" w:rsidRPr="00B67D03">
              <w:rPr>
                <w:rFonts w:cs="Times New Roman"/>
                <w:szCs w:val="28"/>
              </w:rPr>
              <w:t xml:space="preserve"> </w:t>
            </w:r>
            <w:r w:rsidR="004B2DE3">
              <w:rPr>
                <w:rFonts w:cs="Times New Roman"/>
                <w:szCs w:val="28"/>
              </w:rPr>
              <w:t xml:space="preserve">turpinās sniegt viena institūcija </w:t>
            </w:r>
            <w:r w:rsidR="00A368BD">
              <w:rPr>
                <w:rFonts w:cs="Times New Roman"/>
                <w:szCs w:val="28"/>
              </w:rPr>
              <w:t>–</w:t>
            </w:r>
            <w:r w:rsidR="004B2DE3">
              <w:rPr>
                <w:rFonts w:cs="Times New Roman"/>
                <w:szCs w:val="28"/>
              </w:rPr>
              <w:t xml:space="preserve"> </w:t>
            </w:r>
            <w:r w:rsidR="00A368BD">
              <w:rPr>
                <w:rFonts w:cs="Times New Roman"/>
                <w:szCs w:val="28"/>
              </w:rPr>
              <w:t>ATD,</w:t>
            </w:r>
          </w:p>
          <w:p w:rsidR="00F978AE" w:rsidRPr="003D6F09" w:rsidRDefault="00F978AE" w:rsidP="00613172">
            <w:pPr>
              <w:ind w:firstLine="0"/>
              <w:jc w:val="both"/>
            </w:pPr>
            <w:r w:rsidRPr="00594554">
              <w:rPr>
                <w:rFonts w:cs="Times New Roman"/>
                <w:szCs w:val="28"/>
              </w:rPr>
              <w:t xml:space="preserve">un cilvēkresursus </w:t>
            </w:r>
            <w:r w:rsidR="004B2DE3" w:rsidRPr="00594554">
              <w:rPr>
                <w:rFonts w:cs="Times New Roman"/>
                <w:szCs w:val="28"/>
              </w:rPr>
              <w:t xml:space="preserve">tas </w:t>
            </w:r>
            <w:r w:rsidRPr="00594554">
              <w:rPr>
                <w:rFonts w:cs="Times New Roman"/>
                <w:szCs w:val="28"/>
              </w:rPr>
              <w:t>neietekmēs.</w:t>
            </w:r>
          </w:p>
        </w:tc>
      </w:tr>
      <w:tr w:rsidR="003D6F09" w:rsidRPr="003D6F09" w:rsidTr="000B1DEC">
        <w:trPr>
          <w:trHeight w:val="390"/>
        </w:trPr>
        <w:tc>
          <w:tcPr>
            <w:tcW w:w="250" w:type="pct"/>
            <w:hideMark/>
          </w:tcPr>
          <w:p w:rsidR="003D6F09" w:rsidRPr="003D6F09" w:rsidRDefault="003D6F09" w:rsidP="003D6F09">
            <w:pPr>
              <w:ind w:firstLine="0"/>
            </w:pPr>
            <w:r w:rsidRPr="003D6F09">
              <w:t>3.</w:t>
            </w:r>
          </w:p>
        </w:tc>
        <w:tc>
          <w:tcPr>
            <w:tcW w:w="1900" w:type="pct"/>
            <w:hideMark/>
          </w:tcPr>
          <w:p w:rsidR="003D6F09" w:rsidRPr="003D6F09" w:rsidRDefault="003D6F09" w:rsidP="003D6F09">
            <w:pPr>
              <w:ind w:firstLine="0"/>
            </w:pPr>
            <w:r w:rsidRPr="003D6F09">
              <w:t>Cita informācija</w:t>
            </w:r>
          </w:p>
        </w:tc>
        <w:tc>
          <w:tcPr>
            <w:tcW w:w="2850" w:type="pct"/>
            <w:hideMark/>
          </w:tcPr>
          <w:p w:rsidR="003D6F09" w:rsidRPr="003D6F09" w:rsidRDefault="003D6F09" w:rsidP="00116A80">
            <w:pPr>
              <w:ind w:firstLine="0"/>
            </w:pPr>
            <w:r w:rsidRPr="003D6F09">
              <w:t>Nav</w:t>
            </w:r>
            <w:r w:rsidR="00116A80">
              <w:t>.</w:t>
            </w:r>
          </w:p>
        </w:tc>
      </w:tr>
    </w:tbl>
    <w:p w:rsidR="004B3EE8" w:rsidRDefault="004B3EE8" w:rsidP="003D6F09">
      <w:pPr>
        <w:ind w:firstLine="0"/>
      </w:pPr>
    </w:p>
    <w:p w:rsidR="00613172" w:rsidRDefault="00613172" w:rsidP="003D6F09">
      <w:pPr>
        <w:ind w:firstLine="0"/>
      </w:pPr>
    </w:p>
    <w:p w:rsidR="00500E4C" w:rsidRDefault="00500E4C" w:rsidP="003D6F09">
      <w:pPr>
        <w:ind w:firstLine="0"/>
      </w:pPr>
    </w:p>
    <w:p w:rsidR="00D850BE" w:rsidRPr="00D16613" w:rsidRDefault="00D850BE" w:rsidP="00D850BE">
      <w:pPr>
        <w:pStyle w:val="Heading3"/>
        <w:tabs>
          <w:tab w:val="left" w:pos="6840"/>
        </w:tabs>
        <w:spacing w:before="0" w:after="0"/>
        <w:rPr>
          <w:rFonts w:ascii="Times New Roman" w:hAnsi="Times New Roman"/>
          <w:b w:val="0"/>
          <w:sz w:val="28"/>
          <w:szCs w:val="28"/>
          <w:lang w:val="lv-LV"/>
        </w:rPr>
      </w:pPr>
      <w:r w:rsidRPr="00D16613">
        <w:rPr>
          <w:rFonts w:ascii="Times New Roman" w:hAnsi="Times New Roman"/>
          <w:b w:val="0"/>
          <w:sz w:val="28"/>
          <w:szCs w:val="28"/>
          <w:lang w:val="lv-LV"/>
        </w:rPr>
        <w:t>Satiksmes ministrs</w:t>
      </w:r>
      <w:r>
        <w:rPr>
          <w:rFonts w:ascii="Times New Roman" w:hAnsi="Times New Roman"/>
          <w:b w:val="0"/>
          <w:sz w:val="28"/>
          <w:szCs w:val="28"/>
          <w:lang w:val="lv-LV"/>
        </w:rPr>
        <w:tab/>
      </w:r>
      <w:r w:rsidR="00C53BD2">
        <w:rPr>
          <w:rFonts w:ascii="Times New Roman" w:hAnsi="Times New Roman"/>
          <w:b w:val="0"/>
          <w:sz w:val="28"/>
          <w:szCs w:val="28"/>
          <w:lang w:val="lv-LV"/>
        </w:rPr>
        <w:t xml:space="preserve"> </w:t>
      </w:r>
      <w:r w:rsidR="00F77DAA" w:rsidRPr="00F77DAA">
        <w:rPr>
          <w:rFonts w:ascii="Times New Roman" w:hAnsi="Times New Roman"/>
          <w:b w:val="0"/>
          <w:sz w:val="28"/>
          <w:szCs w:val="28"/>
          <w:lang w:val="lv-LV"/>
        </w:rPr>
        <w:t>U.</w:t>
      </w:r>
      <w:r w:rsidR="00A368BD">
        <w:rPr>
          <w:rFonts w:ascii="Times New Roman" w:hAnsi="Times New Roman"/>
          <w:b w:val="0"/>
          <w:sz w:val="28"/>
          <w:szCs w:val="28"/>
          <w:lang w:val="lv-LV"/>
        </w:rPr>
        <w:t xml:space="preserve"> </w:t>
      </w:r>
      <w:r w:rsidR="00F77DAA" w:rsidRPr="00F77DAA">
        <w:rPr>
          <w:rFonts w:ascii="Times New Roman" w:hAnsi="Times New Roman"/>
          <w:b w:val="0"/>
          <w:sz w:val="28"/>
          <w:szCs w:val="28"/>
          <w:lang w:val="lv-LV"/>
        </w:rPr>
        <w:t>Augulis</w:t>
      </w:r>
    </w:p>
    <w:p w:rsidR="00D850BE" w:rsidRPr="00D16613" w:rsidRDefault="00D850BE" w:rsidP="00D850BE">
      <w:pPr>
        <w:pStyle w:val="Header"/>
        <w:tabs>
          <w:tab w:val="clear" w:pos="4153"/>
          <w:tab w:val="center" w:pos="4536"/>
        </w:tabs>
        <w:rPr>
          <w:sz w:val="28"/>
          <w:szCs w:val="28"/>
        </w:rPr>
      </w:pPr>
    </w:p>
    <w:p w:rsidR="00D850BE" w:rsidRDefault="00D850BE" w:rsidP="00D850BE">
      <w:pPr>
        <w:pStyle w:val="Header"/>
        <w:tabs>
          <w:tab w:val="clear" w:pos="4153"/>
          <w:tab w:val="center" w:pos="4536"/>
        </w:tabs>
        <w:rPr>
          <w:sz w:val="28"/>
          <w:szCs w:val="28"/>
        </w:rPr>
      </w:pPr>
    </w:p>
    <w:p w:rsidR="00613172" w:rsidRDefault="00613172" w:rsidP="00D850BE">
      <w:pPr>
        <w:pStyle w:val="Header"/>
        <w:tabs>
          <w:tab w:val="clear" w:pos="4153"/>
          <w:tab w:val="center" w:pos="4536"/>
        </w:tabs>
        <w:rPr>
          <w:sz w:val="28"/>
          <w:szCs w:val="28"/>
        </w:rPr>
      </w:pPr>
    </w:p>
    <w:p w:rsidR="00613172" w:rsidRPr="00D16613" w:rsidRDefault="00613172" w:rsidP="00D850BE">
      <w:pPr>
        <w:pStyle w:val="Header"/>
        <w:tabs>
          <w:tab w:val="clear" w:pos="4153"/>
          <w:tab w:val="center" w:pos="4536"/>
        </w:tabs>
        <w:rPr>
          <w:sz w:val="28"/>
          <w:szCs w:val="28"/>
        </w:rPr>
      </w:pPr>
    </w:p>
    <w:p w:rsidR="006C4432" w:rsidRDefault="00D850BE" w:rsidP="00D850BE">
      <w:pPr>
        <w:pStyle w:val="Heading3"/>
        <w:tabs>
          <w:tab w:val="left" w:pos="6840"/>
        </w:tabs>
        <w:spacing w:before="0" w:after="0"/>
        <w:rPr>
          <w:rFonts w:ascii="Times New Roman" w:hAnsi="Times New Roman"/>
          <w:b w:val="0"/>
          <w:sz w:val="28"/>
          <w:szCs w:val="28"/>
          <w:lang w:val="lv-LV"/>
        </w:rPr>
      </w:pPr>
      <w:r w:rsidRPr="002802D0">
        <w:rPr>
          <w:rFonts w:ascii="Times New Roman" w:hAnsi="Times New Roman"/>
          <w:b w:val="0"/>
          <w:sz w:val="28"/>
          <w:szCs w:val="28"/>
          <w:lang w:val="lv-LV"/>
        </w:rPr>
        <w:t xml:space="preserve">Vīza: </w:t>
      </w:r>
      <w:r w:rsidRPr="00A446B6">
        <w:rPr>
          <w:rFonts w:ascii="Times New Roman" w:hAnsi="Times New Roman"/>
          <w:b w:val="0"/>
          <w:sz w:val="28"/>
          <w:szCs w:val="28"/>
          <w:lang w:val="lv-LV"/>
        </w:rPr>
        <w:t>Valsts sekretār</w:t>
      </w:r>
      <w:r w:rsidR="00C53BD2">
        <w:rPr>
          <w:rFonts w:ascii="Times New Roman" w:hAnsi="Times New Roman"/>
          <w:b w:val="0"/>
          <w:sz w:val="28"/>
          <w:szCs w:val="28"/>
          <w:lang w:val="lv-LV"/>
        </w:rPr>
        <w:t xml:space="preserve">s                                                               K. Ozoliņš </w:t>
      </w:r>
    </w:p>
    <w:p w:rsidR="00D850BE" w:rsidRPr="002802D0" w:rsidRDefault="006C4432" w:rsidP="00D850BE">
      <w:pPr>
        <w:pStyle w:val="Heading3"/>
        <w:tabs>
          <w:tab w:val="left" w:pos="6840"/>
        </w:tabs>
        <w:spacing w:before="0" w:after="0"/>
        <w:rPr>
          <w:rFonts w:ascii="Times New Roman" w:hAnsi="Times New Roman"/>
          <w:b w:val="0"/>
          <w:sz w:val="28"/>
          <w:szCs w:val="28"/>
          <w:lang w:val="lv-LV"/>
        </w:rPr>
      </w:pPr>
      <w:r>
        <w:rPr>
          <w:rFonts w:ascii="Times New Roman" w:hAnsi="Times New Roman"/>
          <w:b w:val="0"/>
          <w:sz w:val="28"/>
          <w:szCs w:val="28"/>
          <w:lang w:val="lv-LV"/>
        </w:rPr>
        <w:t xml:space="preserve">         </w:t>
      </w:r>
      <w:r w:rsidR="00D850BE">
        <w:rPr>
          <w:rFonts w:ascii="Times New Roman" w:hAnsi="Times New Roman"/>
          <w:b w:val="0"/>
          <w:sz w:val="28"/>
          <w:szCs w:val="28"/>
          <w:lang w:val="lv-LV"/>
        </w:rPr>
        <w:tab/>
      </w:r>
    </w:p>
    <w:p w:rsidR="00D850BE" w:rsidRDefault="00D850BE" w:rsidP="00D850BE">
      <w:pPr>
        <w:pStyle w:val="BodyTextIndent"/>
        <w:tabs>
          <w:tab w:val="left" w:pos="720"/>
        </w:tabs>
        <w:spacing w:after="0"/>
        <w:ind w:left="0"/>
        <w:rPr>
          <w:sz w:val="28"/>
          <w:szCs w:val="28"/>
        </w:rPr>
      </w:pPr>
    </w:p>
    <w:p w:rsidR="00811F0E" w:rsidRDefault="00811F0E" w:rsidP="00D850BE">
      <w:pPr>
        <w:pStyle w:val="BodyTextIndent"/>
        <w:tabs>
          <w:tab w:val="left" w:pos="720"/>
        </w:tabs>
        <w:spacing w:after="0"/>
        <w:ind w:left="0"/>
        <w:rPr>
          <w:sz w:val="28"/>
          <w:szCs w:val="28"/>
        </w:rPr>
      </w:pPr>
    </w:p>
    <w:p w:rsidR="00811F0E" w:rsidRDefault="00811F0E" w:rsidP="00D850BE">
      <w:pPr>
        <w:pStyle w:val="BodyTextIndent"/>
        <w:tabs>
          <w:tab w:val="left" w:pos="720"/>
        </w:tabs>
        <w:spacing w:after="0"/>
        <w:ind w:left="0"/>
        <w:rPr>
          <w:sz w:val="28"/>
          <w:szCs w:val="28"/>
        </w:rPr>
      </w:pPr>
    </w:p>
    <w:p w:rsidR="00811F0E" w:rsidRDefault="00811F0E" w:rsidP="00D850BE">
      <w:pPr>
        <w:pStyle w:val="BodyTextIndent"/>
        <w:tabs>
          <w:tab w:val="left" w:pos="720"/>
        </w:tabs>
        <w:spacing w:after="0"/>
        <w:ind w:left="0"/>
        <w:rPr>
          <w:sz w:val="28"/>
          <w:szCs w:val="28"/>
        </w:rPr>
      </w:pPr>
    </w:p>
    <w:p w:rsidR="00811F0E" w:rsidRDefault="00811F0E" w:rsidP="00D850BE">
      <w:pPr>
        <w:pStyle w:val="BodyTextIndent"/>
        <w:tabs>
          <w:tab w:val="left" w:pos="720"/>
        </w:tabs>
        <w:spacing w:after="0"/>
        <w:ind w:left="0"/>
        <w:rPr>
          <w:sz w:val="28"/>
          <w:szCs w:val="28"/>
        </w:rPr>
      </w:pPr>
    </w:p>
    <w:p w:rsidR="00613172" w:rsidRPr="00C97C4E" w:rsidRDefault="00613172" w:rsidP="00613172">
      <w:pPr>
        <w:jc w:val="both"/>
        <w:rPr>
          <w:sz w:val="18"/>
          <w:szCs w:val="18"/>
        </w:rPr>
      </w:pPr>
    </w:p>
    <w:p w:rsidR="00AD7813" w:rsidRPr="00413B7C" w:rsidRDefault="00AD7813" w:rsidP="00AD7813">
      <w:pPr>
        <w:ind w:firstLine="0"/>
        <w:jc w:val="both"/>
        <w:rPr>
          <w:sz w:val="24"/>
          <w:szCs w:val="24"/>
        </w:rPr>
      </w:pPr>
      <w:r w:rsidRPr="00413B7C">
        <w:rPr>
          <w:sz w:val="24"/>
          <w:szCs w:val="24"/>
        </w:rPr>
        <w:t>Lukjanoviča 67028019</w:t>
      </w:r>
    </w:p>
    <w:p w:rsidR="00AD7813" w:rsidRPr="00413B7C" w:rsidRDefault="0064586F" w:rsidP="00AD7813">
      <w:pPr>
        <w:ind w:firstLine="0"/>
        <w:jc w:val="both"/>
        <w:rPr>
          <w:sz w:val="24"/>
          <w:szCs w:val="24"/>
        </w:rPr>
      </w:pPr>
      <w:hyperlink r:id="rId9" w:history="1">
        <w:r w:rsidR="00271D57" w:rsidRPr="007464FD">
          <w:rPr>
            <w:rStyle w:val="Hyperlink"/>
            <w:sz w:val="24"/>
            <w:szCs w:val="24"/>
          </w:rPr>
          <w:t>inga.lukjanovica@sam.gov.lv</w:t>
        </w:r>
      </w:hyperlink>
      <w:r w:rsidR="00AD7813" w:rsidRPr="00413B7C">
        <w:rPr>
          <w:sz w:val="24"/>
          <w:szCs w:val="24"/>
        </w:rPr>
        <w:t xml:space="preserve"> </w:t>
      </w:r>
    </w:p>
    <w:p w:rsidR="00AD7813" w:rsidRPr="00413B7C" w:rsidRDefault="00AD7813" w:rsidP="00AD7813">
      <w:pPr>
        <w:ind w:firstLine="0"/>
        <w:jc w:val="both"/>
        <w:rPr>
          <w:sz w:val="24"/>
          <w:szCs w:val="24"/>
        </w:rPr>
      </w:pPr>
      <w:r w:rsidRPr="00413B7C">
        <w:rPr>
          <w:sz w:val="24"/>
          <w:szCs w:val="24"/>
        </w:rPr>
        <w:t>Vaivods 67686466</w:t>
      </w:r>
    </w:p>
    <w:p w:rsidR="00AD7813" w:rsidRPr="00413B7C" w:rsidRDefault="0064586F" w:rsidP="00AD7813">
      <w:pPr>
        <w:ind w:firstLine="0"/>
        <w:jc w:val="both"/>
        <w:rPr>
          <w:sz w:val="24"/>
          <w:szCs w:val="24"/>
        </w:rPr>
      </w:pPr>
      <w:hyperlink r:id="rId10" w:history="1">
        <w:r w:rsidR="00AD7813" w:rsidRPr="00413B7C">
          <w:rPr>
            <w:rStyle w:val="Hyperlink"/>
            <w:sz w:val="24"/>
            <w:szCs w:val="24"/>
          </w:rPr>
          <w:t>janis.vaivods@atd.lv</w:t>
        </w:r>
      </w:hyperlink>
      <w:r w:rsidR="00AD7813" w:rsidRPr="00413B7C">
        <w:rPr>
          <w:sz w:val="24"/>
          <w:szCs w:val="24"/>
        </w:rPr>
        <w:t xml:space="preserve"> </w:t>
      </w:r>
    </w:p>
    <w:p w:rsidR="00613172" w:rsidRPr="00C97C4E" w:rsidRDefault="00613172" w:rsidP="00613172">
      <w:pPr>
        <w:ind w:firstLine="0"/>
        <w:jc w:val="both"/>
        <w:rPr>
          <w:sz w:val="18"/>
          <w:szCs w:val="18"/>
        </w:rPr>
      </w:pPr>
    </w:p>
    <w:p w:rsidR="00D850BE" w:rsidRPr="00811F0E" w:rsidRDefault="00D850BE" w:rsidP="00613172">
      <w:pPr>
        <w:ind w:firstLine="0"/>
      </w:pPr>
    </w:p>
    <w:sectPr w:rsidR="00D850BE" w:rsidRPr="00811F0E" w:rsidSect="005050CD">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5C" w:rsidRDefault="00263F5C" w:rsidP="0048468C">
      <w:r>
        <w:separator/>
      </w:r>
    </w:p>
  </w:endnote>
  <w:endnote w:type="continuationSeparator" w:id="0">
    <w:p w:rsidR="00263F5C" w:rsidRDefault="00263F5C" w:rsidP="0048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D4" w:rsidRPr="00953113" w:rsidRDefault="00A20425" w:rsidP="00A20425">
    <w:pPr>
      <w:pStyle w:val="Footer"/>
      <w:ind w:firstLine="0"/>
    </w:pPr>
    <w:r>
      <w:rPr>
        <w:sz w:val="20"/>
        <w:szCs w:val="20"/>
      </w:rPr>
      <w:t>SManot_06082018_prof_komp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D4" w:rsidRPr="00E80ED5" w:rsidRDefault="00E80ED5" w:rsidP="00811F0E">
    <w:pPr>
      <w:pStyle w:val="Footer"/>
      <w:ind w:firstLine="0"/>
      <w:jc w:val="both"/>
      <w:rPr>
        <w:sz w:val="20"/>
        <w:szCs w:val="20"/>
      </w:rPr>
    </w:pPr>
    <w:bookmarkStart w:id="4" w:name="_Hlk514239373"/>
    <w:bookmarkStart w:id="5" w:name="_Hlk514239374"/>
    <w:bookmarkStart w:id="6" w:name="_Hlk521069726"/>
    <w:bookmarkStart w:id="7" w:name="_Hlk521069727"/>
    <w:r>
      <w:rPr>
        <w:sz w:val="20"/>
        <w:szCs w:val="20"/>
      </w:rPr>
      <w:t>SManot_</w:t>
    </w:r>
    <w:r w:rsidR="00953113">
      <w:rPr>
        <w:sz w:val="20"/>
        <w:szCs w:val="20"/>
      </w:rPr>
      <w:t>0608</w:t>
    </w:r>
    <w:r w:rsidR="00613172">
      <w:rPr>
        <w:sz w:val="20"/>
        <w:szCs w:val="20"/>
      </w:rPr>
      <w:t>2018</w:t>
    </w:r>
    <w:r w:rsidR="00811F0E">
      <w:rPr>
        <w:sz w:val="20"/>
        <w:szCs w:val="20"/>
      </w:rPr>
      <w:t>_</w:t>
    </w:r>
    <w:bookmarkEnd w:id="4"/>
    <w:bookmarkEnd w:id="5"/>
    <w:bookmarkEnd w:id="6"/>
    <w:bookmarkEnd w:id="7"/>
    <w:r w:rsidR="00A20425">
      <w:rPr>
        <w:sz w:val="20"/>
        <w:szCs w:val="20"/>
      </w:rPr>
      <w:t>prof_komp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5C" w:rsidRDefault="00263F5C" w:rsidP="0048468C">
      <w:r>
        <w:separator/>
      </w:r>
    </w:p>
  </w:footnote>
  <w:footnote w:type="continuationSeparator" w:id="0">
    <w:p w:rsidR="00263F5C" w:rsidRDefault="00263F5C" w:rsidP="0048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572217"/>
      <w:docPartObj>
        <w:docPartGallery w:val="Page Numbers (Top of Page)"/>
        <w:docPartUnique/>
      </w:docPartObj>
    </w:sdtPr>
    <w:sdtEndPr>
      <w:rPr>
        <w:noProof/>
      </w:rPr>
    </w:sdtEndPr>
    <w:sdtContent>
      <w:p w:rsidR="008B0DD4" w:rsidRDefault="008B0DD4">
        <w:pPr>
          <w:pStyle w:val="Header"/>
          <w:jc w:val="center"/>
        </w:pPr>
        <w:r>
          <w:fldChar w:fldCharType="begin"/>
        </w:r>
        <w:r>
          <w:instrText xml:space="preserve"> PAGE   \* MERGEFORMAT </w:instrText>
        </w:r>
        <w:r>
          <w:fldChar w:fldCharType="separate"/>
        </w:r>
        <w:r w:rsidR="0064586F">
          <w:rPr>
            <w:noProof/>
          </w:rPr>
          <w:t>2</w:t>
        </w:r>
        <w:r>
          <w:rPr>
            <w:noProof/>
          </w:rPr>
          <w:fldChar w:fldCharType="end"/>
        </w:r>
      </w:p>
    </w:sdtContent>
  </w:sdt>
  <w:p w:rsidR="008B0DD4" w:rsidRDefault="008B0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0NDc3NjcwMre0MDdV0lEKTi0uzszPAykwrAUA0sh9YSwAAAA="/>
  </w:docVars>
  <w:rsids>
    <w:rsidRoot w:val="003D6F09"/>
    <w:rsid w:val="00001739"/>
    <w:rsid w:val="00006C44"/>
    <w:rsid w:val="00011630"/>
    <w:rsid w:val="00014DBB"/>
    <w:rsid w:val="000170BF"/>
    <w:rsid w:val="00035E5B"/>
    <w:rsid w:val="00042B46"/>
    <w:rsid w:val="00057EE5"/>
    <w:rsid w:val="0007316E"/>
    <w:rsid w:val="00075993"/>
    <w:rsid w:val="00075D20"/>
    <w:rsid w:val="0008212B"/>
    <w:rsid w:val="00082DF2"/>
    <w:rsid w:val="00083598"/>
    <w:rsid w:val="000848BA"/>
    <w:rsid w:val="00097D61"/>
    <w:rsid w:val="000B1DEC"/>
    <w:rsid w:val="000B7226"/>
    <w:rsid w:val="000C3D60"/>
    <w:rsid w:val="000D2BAC"/>
    <w:rsid w:val="000D6A31"/>
    <w:rsid w:val="000E64FC"/>
    <w:rsid w:val="00102D6C"/>
    <w:rsid w:val="001033BA"/>
    <w:rsid w:val="00103A84"/>
    <w:rsid w:val="001117A6"/>
    <w:rsid w:val="001151D9"/>
    <w:rsid w:val="00116A80"/>
    <w:rsid w:val="00125378"/>
    <w:rsid w:val="00127CC1"/>
    <w:rsid w:val="00130168"/>
    <w:rsid w:val="00134D53"/>
    <w:rsid w:val="00140F01"/>
    <w:rsid w:val="001476BF"/>
    <w:rsid w:val="00150BAD"/>
    <w:rsid w:val="00156E33"/>
    <w:rsid w:val="0016444C"/>
    <w:rsid w:val="00181F6A"/>
    <w:rsid w:val="00187A09"/>
    <w:rsid w:val="001A608F"/>
    <w:rsid w:val="001B50B3"/>
    <w:rsid w:val="001C0B08"/>
    <w:rsid w:val="001D4DDF"/>
    <w:rsid w:val="001E7C77"/>
    <w:rsid w:val="001F44BF"/>
    <w:rsid w:val="002007CF"/>
    <w:rsid w:val="00204A21"/>
    <w:rsid w:val="00210F94"/>
    <w:rsid w:val="002142F3"/>
    <w:rsid w:val="00222042"/>
    <w:rsid w:val="002329FC"/>
    <w:rsid w:val="0023362B"/>
    <w:rsid w:val="00235328"/>
    <w:rsid w:val="0024538C"/>
    <w:rsid w:val="0025287A"/>
    <w:rsid w:val="002553DF"/>
    <w:rsid w:val="002561D0"/>
    <w:rsid w:val="002566C8"/>
    <w:rsid w:val="002576B5"/>
    <w:rsid w:val="00260710"/>
    <w:rsid w:val="00261978"/>
    <w:rsid w:val="00262FC4"/>
    <w:rsid w:val="00263F5C"/>
    <w:rsid w:val="00267A98"/>
    <w:rsid w:val="00271D57"/>
    <w:rsid w:val="00273186"/>
    <w:rsid w:val="002838B4"/>
    <w:rsid w:val="002905C3"/>
    <w:rsid w:val="002A43AB"/>
    <w:rsid w:val="002B04B3"/>
    <w:rsid w:val="002B2C60"/>
    <w:rsid w:val="002B3898"/>
    <w:rsid w:val="002B5ABA"/>
    <w:rsid w:val="002C1E5A"/>
    <w:rsid w:val="002D75CA"/>
    <w:rsid w:val="002E5A8C"/>
    <w:rsid w:val="002F550C"/>
    <w:rsid w:val="00301B36"/>
    <w:rsid w:val="00304F02"/>
    <w:rsid w:val="003064E6"/>
    <w:rsid w:val="0031721D"/>
    <w:rsid w:val="0032195B"/>
    <w:rsid w:val="00346081"/>
    <w:rsid w:val="00351237"/>
    <w:rsid w:val="00352E4F"/>
    <w:rsid w:val="00356F49"/>
    <w:rsid w:val="0035752D"/>
    <w:rsid w:val="003624E2"/>
    <w:rsid w:val="00377965"/>
    <w:rsid w:val="003805DD"/>
    <w:rsid w:val="00380939"/>
    <w:rsid w:val="00390DE8"/>
    <w:rsid w:val="003965C4"/>
    <w:rsid w:val="003A0D26"/>
    <w:rsid w:val="003A6A45"/>
    <w:rsid w:val="003A7AC1"/>
    <w:rsid w:val="003B1247"/>
    <w:rsid w:val="003B1C94"/>
    <w:rsid w:val="003C1032"/>
    <w:rsid w:val="003D57F6"/>
    <w:rsid w:val="003D60C9"/>
    <w:rsid w:val="003D6F09"/>
    <w:rsid w:val="003E759A"/>
    <w:rsid w:val="003F22F4"/>
    <w:rsid w:val="003F5B8D"/>
    <w:rsid w:val="004055E1"/>
    <w:rsid w:val="00412D8E"/>
    <w:rsid w:val="00413B7C"/>
    <w:rsid w:val="00415B84"/>
    <w:rsid w:val="00415BA3"/>
    <w:rsid w:val="00420829"/>
    <w:rsid w:val="0043367F"/>
    <w:rsid w:val="0043695C"/>
    <w:rsid w:val="0043749B"/>
    <w:rsid w:val="00441A38"/>
    <w:rsid w:val="00444F9B"/>
    <w:rsid w:val="00453377"/>
    <w:rsid w:val="004538FD"/>
    <w:rsid w:val="00457A24"/>
    <w:rsid w:val="004604F7"/>
    <w:rsid w:val="00472331"/>
    <w:rsid w:val="00483A18"/>
    <w:rsid w:val="0048468C"/>
    <w:rsid w:val="004870E3"/>
    <w:rsid w:val="004911DF"/>
    <w:rsid w:val="00493F29"/>
    <w:rsid w:val="00494964"/>
    <w:rsid w:val="004A2F3A"/>
    <w:rsid w:val="004B2DE3"/>
    <w:rsid w:val="004B3EE8"/>
    <w:rsid w:val="004B5893"/>
    <w:rsid w:val="004C0022"/>
    <w:rsid w:val="004D7764"/>
    <w:rsid w:val="004E0A19"/>
    <w:rsid w:val="004F264E"/>
    <w:rsid w:val="004F716A"/>
    <w:rsid w:val="00500E4C"/>
    <w:rsid w:val="0050252D"/>
    <w:rsid w:val="005050CD"/>
    <w:rsid w:val="00507E92"/>
    <w:rsid w:val="00541AFA"/>
    <w:rsid w:val="00550FAB"/>
    <w:rsid w:val="00553CFD"/>
    <w:rsid w:val="0055468D"/>
    <w:rsid w:val="005600BF"/>
    <w:rsid w:val="0056497A"/>
    <w:rsid w:val="00576870"/>
    <w:rsid w:val="00594554"/>
    <w:rsid w:val="00596FD7"/>
    <w:rsid w:val="005A159C"/>
    <w:rsid w:val="005A16EA"/>
    <w:rsid w:val="005A696F"/>
    <w:rsid w:val="005A7EB3"/>
    <w:rsid w:val="005B2BC8"/>
    <w:rsid w:val="005C00FE"/>
    <w:rsid w:val="005C0639"/>
    <w:rsid w:val="005C235C"/>
    <w:rsid w:val="005C419A"/>
    <w:rsid w:val="005D3FC3"/>
    <w:rsid w:val="005D635A"/>
    <w:rsid w:val="005F3D06"/>
    <w:rsid w:val="00613172"/>
    <w:rsid w:val="00616C4C"/>
    <w:rsid w:val="00620A24"/>
    <w:rsid w:val="006257DA"/>
    <w:rsid w:val="00627633"/>
    <w:rsid w:val="00627877"/>
    <w:rsid w:val="00632F3A"/>
    <w:rsid w:val="0064586F"/>
    <w:rsid w:val="00647FED"/>
    <w:rsid w:val="00651020"/>
    <w:rsid w:val="00656E1C"/>
    <w:rsid w:val="0066050E"/>
    <w:rsid w:val="006808D2"/>
    <w:rsid w:val="00685A36"/>
    <w:rsid w:val="00692FE8"/>
    <w:rsid w:val="006A144E"/>
    <w:rsid w:val="006A26E6"/>
    <w:rsid w:val="006A3283"/>
    <w:rsid w:val="006C0B68"/>
    <w:rsid w:val="006C4432"/>
    <w:rsid w:val="006C6B45"/>
    <w:rsid w:val="006D010A"/>
    <w:rsid w:val="006D0FFC"/>
    <w:rsid w:val="006D5372"/>
    <w:rsid w:val="006E35D5"/>
    <w:rsid w:val="006F5122"/>
    <w:rsid w:val="006F6631"/>
    <w:rsid w:val="006F6D3E"/>
    <w:rsid w:val="006F7076"/>
    <w:rsid w:val="0070103E"/>
    <w:rsid w:val="00703248"/>
    <w:rsid w:val="00705A26"/>
    <w:rsid w:val="007253D3"/>
    <w:rsid w:val="00734F39"/>
    <w:rsid w:val="00744456"/>
    <w:rsid w:val="00744E06"/>
    <w:rsid w:val="00745D9D"/>
    <w:rsid w:val="007518D1"/>
    <w:rsid w:val="007554AD"/>
    <w:rsid w:val="00765B75"/>
    <w:rsid w:val="0076622E"/>
    <w:rsid w:val="007731E5"/>
    <w:rsid w:val="00787726"/>
    <w:rsid w:val="007A599F"/>
    <w:rsid w:val="007A6B6D"/>
    <w:rsid w:val="007B296A"/>
    <w:rsid w:val="007C6A25"/>
    <w:rsid w:val="007E4DC3"/>
    <w:rsid w:val="007F0F80"/>
    <w:rsid w:val="007F2B6A"/>
    <w:rsid w:val="007F3D95"/>
    <w:rsid w:val="007F6259"/>
    <w:rsid w:val="00811F0E"/>
    <w:rsid w:val="008131FC"/>
    <w:rsid w:val="00823A33"/>
    <w:rsid w:val="00827D88"/>
    <w:rsid w:val="008316FA"/>
    <w:rsid w:val="0084417B"/>
    <w:rsid w:val="00845ABB"/>
    <w:rsid w:val="00846C43"/>
    <w:rsid w:val="0085155D"/>
    <w:rsid w:val="00856845"/>
    <w:rsid w:val="00860CFB"/>
    <w:rsid w:val="00860E0D"/>
    <w:rsid w:val="008732B4"/>
    <w:rsid w:val="00876D32"/>
    <w:rsid w:val="00884172"/>
    <w:rsid w:val="00894846"/>
    <w:rsid w:val="008A41F5"/>
    <w:rsid w:val="008B0DD4"/>
    <w:rsid w:val="008B2CE6"/>
    <w:rsid w:val="008B5C3F"/>
    <w:rsid w:val="008E11E7"/>
    <w:rsid w:val="008E1D8B"/>
    <w:rsid w:val="008F332C"/>
    <w:rsid w:val="008F5A07"/>
    <w:rsid w:val="00904D13"/>
    <w:rsid w:val="0091358E"/>
    <w:rsid w:val="0092496E"/>
    <w:rsid w:val="00931E7D"/>
    <w:rsid w:val="00937035"/>
    <w:rsid w:val="0094054B"/>
    <w:rsid w:val="00940788"/>
    <w:rsid w:val="0094541E"/>
    <w:rsid w:val="0094704A"/>
    <w:rsid w:val="00953113"/>
    <w:rsid w:val="009534A2"/>
    <w:rsid w:val="0096510A"/>
    <w:rsid w:val="00966EDA"/>
    <w:rsid w:val="00984AF9"/>
    <w:rsid w:val="00987555"/>
    <w:rsid w:val="0099685C"/>
    <w:rsid w:val="009C107E"/>
    <w:rsid w:val="009C5374"/>
    <w:rsid w:val="009D0C51"/>
    <w:rsid w:val="009D59A0"/>
    <w:rsid w:val="009E0F78"/>
    <w:rsid w:val="009E2FE2"/>
    <w:rsid w:val="009E58EF"/>
    <w:rsid w:val="009F050D"/>
    <w:rsid w:val="00A04B75"/>
    <w:rsid w:val="00A058A2"/>
    <w:rsid w:val="00A16F25"/>
    <w:rsid w:val="00A20425"/>
    <w:rsid w:val="00A275E0"/>
    <w:rsid w:val="00A3575A"/>
    <w:rsid w:val="00A368BD"/>
    <w:rsid w:val="00A422B3"/>
    <w:rsid w:val="00A57EBB"/>
    <w:rsid w:val="00A64325"/>
    <w:rsid w:val="00A66DDC"/>
    <w:rsid w:val="00A741D4"/>
    <w:rsid w:val="00A77ED5"/>
    <w:rsid w:val="00A82A89"/>
    <w:rsid w:val="00A82BB3"/>
    <w:rsid w:val="00A846DC"/>
    <w:rsid w:val="00A902C1"/>
    <w:rsid w:val="00A97CA7"/>
    <w:rsid w:val="00AB264E"/>
    <w:rsid w:val="00AB3E8D"/>
    <w:rsid w:val="00AC6370"/>
    <w:rsid w:val="00AC6491"/>
    <w:rsid w:val="00AD7813"/>
    <w:rsid w:val="00AE4DD8"/>
    <w:rsid w:val="00AE63EA"/>
    <w:rsid w:val="00AE795C"/>
    <w:rsid w:val="00B015F0"/>
    <w:rsid w:val="00B104C4"/>
    <w:rsid w:val="00B17F2A"/>
    <w:rsid w:val="00B279C5"/>
    <w:rsid w:val="00B4271D"/>
    <w:rsid w:val="00B4765E"/>
    <w:rsid w:val="00B5332E"/>
    <w:rsid w:val="00B55F0C"/>
    <w:rsid w:val="00B647FE"/>
    <w:rsid w:val="00B64EC3"/>
    <w:rsid w:val="00B67592"/>
    <w:rsid w:val="00B67D03"/>
    <w:rsid w:val="00B71720"/>
    <w:rsid w:val="00B7295C"/>
    <w:rsid w:val="00B76E4C"/>
    <w:rsid w:val="00B91FBE"/>
    <w:rsid w:val="00BA4544"/>
    <w:rsid w:val="00BA5507"/>
    <w:rsid w:val="00BA6A68"/>
    <w:rsid w:val="00BB6927"/>
    <w:rsid w:val="00BC1197"/>
    <w:rsid w:val="00BC45F9"/>
    <w:rsid w:val="00BC7941"/>
    <w:rsid w:val="00BE597B"/>
    <w:rsid w:val="00BE7CA6"/>
    <w:rsid w:val="00BF0506"/>
    <w:rsid w:val="00C02F53"/>
    <w:rsid w:val="00C05D65"/>
    <w:rsid w:val="00C07419"/>
    <w:rsid w:val="00C07F97"/>
    <w:rsid w:val="00C163CD"/>
    <w:rsid w:val="00C164AD"/>
    <w:rsid w:val="00C2750C"/>
    <w:rsid w:val="00C35175"/>
    <w:rsid w:val="00C42A72"/>
    <w:rsid w:val="00C46B7B"/>
    <w:rsid w:val="00C53BD2"/>
    <w:rsid w:val="00C63550"/>
    <w:rsid w:val="00C75321"/>
    <w:rsid w:val="00C93FE6"/>
    <w:rsid w:val="00CE0BC5"/>
    <w:rsid w:val="00CE361C"/>
    <w:rsid w:val="00CF551A"/>
    <w:rsid w:val="00D06B61"/>
    <w:rsid w:val="00D14C3F"/>
    <w:rsid w:val="00D21F7A"/>
    <w:rsid w:val="00D263F1"/>
    <w:rsid w:val="00D7188F"/>
    <w:rsid w:val="00D74E3B"/>
    <w:rsid w:val="00D82914"/>
    <w:rsid w:val="00D84969"/>
    <w:rsid w:val="00D850BE"/>
    <w:rsid w:val="00D87B8B"/>
    <w:rsid w:val="00D91495"/>
    <w:rsid w:val="00DA03FF"/>
    <w:rsid w:val="00DA1323"/>
    <w:rsid w:val="00DA5713"/>
    <w:rsid w:val="00DA593C"/>
    <w:rsid w:val="00DB2714"/>
    <w:rsid w:val="00DC093F"/>
    <w:rsid w:val="00DE61AF"/>
    <w:rsid w:val="00DF0E06"/>
    <w:rsid w:val="00DF2370"/>
    <w:rsid w:val="00E00AA8"/>
    <w:rsid w:val="00E04862"/>
    <w:rsid w:val="00E05332"/>
    <w:rsid w:val="00E1446C"/>
    <w:rsid w:val="00E3049D"/>
    <w:rsid w:val="00E323AA"/>
    <w:rsid w:val="00E44777"/>
    <w:rsid w:val="00E63483"/>
    <w:rsid w:val="00E80ED5"/>
    <w:rsid w:val="00E82D9D"/>
    <w:rsid w:val="00E9531B"/>
    <w:rsid w:val="00EB1A5B"/>
    <w:rsid w:val="00EB29AD"/>
    <w:rsid w:val="00EC47C8"/>
    <w:rsid w:val="00EF0953"/>
    <w:rsid w:val="00EF0E17"/>
    <w:rsid w:val="00EF44DD"/>
    <w:rsid w:val="00EF7E47"/>
    <w:rsid w:val="00F002F9"/>
    <w:rsid w:val="00F03EED"/>
    <w:rsid w:val="00F1557F"/>
    <w:rsid w:val="00F2066A"/>
    <w:rsid w:val="00F2112B"/>
    <w:rsid w:val="00F23770"/>
    <w:rsid w:val="00F362F3"/>
    <w:rsid w:val="00F40D4B"/>
    <w:rsid w:val="00F4759E"/>
    <w:rsid w:val="00F51409"/>
    <w:rsid w:val="00F604F8"/>
    <w:rsid w:val="00F74B12"/>
    <w:rsid w:val="00F77DAA"/>
    <w:rsid w:val="00F91FF0"/>
    <w:rsid w:val="00F9472B"/>
    <w:rsid w:val="00F94E40"/>
    <w:rsid w:val="00F978AE"/>
    <w:rsid w:val="00FB1B5D"/>
    <w:rsid w:val="00FB3868"/>
    <w:rsid w:val="00FB3CBD"/>
    <w:rsid w:val="00FC3EB3"/>
    <w:rsid w:val="00FD1F98"/>
    <w:rsid w:val="00FE2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01C0EE5-CC81-446A-BD7C-573AE1CA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E8"/>
  </w:style>
  <w:style w:type="paragraph" w:styleId="Heading2">
    <w:name w:val="heading 2"/>
    <w:basedOn w:val="Normal"/>
    <w:next w:val="Normal"/>
    <w:link w:val="Heading2Char"/>
    <w:uiPriority w:val="9"/>
    <w:semiHidden/>
    <w:unhideWhenUsed/>
    <w:qFormat/>
    <w:rsid w:val="0075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table" w:styleId="TableGrid">
    <w:name w:val="Table Grid"/>
    <w:basedOn w:val="TableNormal"/>
    <w:uiPriority w:val="59"/>
    <w:rsid w:val="000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68C"/>
    <w:pPr>
      <w:tabs>
        <w:tab w:val="center" w:pos="4153"/>
        <w:tab w:val="right" w:pos="8306"/>
      </w:tabs>
    </w:pPr>
  </w:style>
  <w:style w:type="character" w:customStyle="1" w:styleId="FooterChar">
    <w:name w:val="Footer Char"/>
    <w:basedOn w:val="DefaultParagraphFont"/>
    <w:link w:val="Footer"/>
    <w:uiPriority w:val="99"/>
    <w:rsid w:val="0048468C"/>
  </w:style>
  <w:style w:type="character" w:styleId="CommentReference">
    <w:name w:val="annotation reference"/>
    <w:basedOn w:val="DefaultParagraphFont"/>
    <w:uiPriority w:val="99"/>
    <w:semiHidden/>
    <w:unhideWhenUsed/>
    <w:rsid w:val="0043367F"/>
    <w:rPr>
      <w:sz w:val="16"/>
      <w:szCs w:val="16"/>
    </w:rPr>
  </w:style>
  <w:style w:type="paragraph" w:styleId="CommentText">
    <w:name w:val="annotation text"/>
    <w:basedOn w:val="Normal"/>
    <w:link w:val="CommentTextChar"/>
    <w:uiPriority w:val="99"/>
    <w:semiHidden/>
    <w:unhideWhenUsed/>
    <w:rsid w:val="0043367F"/>
    <w:rPr>
      <w:sz w:val="20"/>
      <w:szCs w:val="20"/>
    </w:rPr>
  </w:style>
  <w:style w:type="character" w:customStyle="1" w:styleId="CommentTextChar">
    <w:name w:val="Comment Text Char"/>
    <w:basedOn w:val="DefaultParagraphFont"/>
    <w:link w:val="CommentText"/>
    <w:uiPriority w:val="99"/>
    <w:semiHidden/>
    <w:rsid w:val="0043367F"/>
    <w:rPr>
      <w:sz w:val="20"/>
      <w:szCs w:val="20"/>
    </w:rPr>
  </w:style>
  <w:style w:type="paragraph" w:styleId="CommentSubject">
    <w:name w:val="annotation subject"/>
    <w:basedOn w:val="CommentText"/>
    <w:next w:val="CommentText"/>
    <w:link w:val="CommentSubjectChar"/>
    <w:uiPriority w:val="99"/>
    <w:semiHidden/>
    <w:unhideWhenUsed/>
    <w:rsid w:val="0043367F"/>
    <w:rPr>
      <w:b/>
      <w:bCs/>
    </w:rPr>
  </w:style>
  <w:style w:type="character" w:customStyle="1" w:styleId="CommentSubjectChar">
    <w:name w:val="Comment Subject Char"/>
    <w:basedOn w:val="CommentTextChar"/>
    <w:link w:val="CommentSubject"/>
    <w:uiPriority w:val="99"/>
    <w:semiHidden/>
    <w:rsid w:val="0043367F"/>
    <w:rPr>
      <w:b/>
      <w:bCs/>
      <w:sz w:val="20"/>
      <w:szCs w:val="20"/>
    </w:rPr>
  </w:style>
  <w:style w:type="paragraph" w:styleId="BalloonText">
    <w:name w:val="Balloon Text"/>
    <w:basedOn w:val="Normal"/>
    <w:link w:val="BalloonTextChar"/>
    <w:uiPriority w:val="99"/>
    <w:semiHidden/>
    <w:unhideWhenUsed/>
    <w:rsid w:val="0043367F"/>
    <w:rPr>
      <w:rFonts w:ascii="Tahoma" w:hAnsi="Tahoma" w:cs="Tahoma"/>
      <w:sz w:val="16"/>
      <w:szCs w:val="16"/>
    </w:rPr>
  </w:style>
  <w:style w:type="character" w:customStyle="1" w:styleId="BalloonTextChar">
    <w:name w:val="Balloon Text Char"/>
    <w:basedOn w:val="DefaultParagraphFont"/>
    <w:link w:val="BalloonText"/>
    <w:uiPriority w:val="99"/>
    <w:semiHidden/>
    <w:rsid w:val="0043367F"/>
    <w:rPr>
      <w:rFonts w:ascii="Tahoma" w:hAnsi="Tahoma" w:cs="Tahoma"/>
      <w:sz w:val="16"/>
      <w:szCs w:val="16"/>
    </w:rPr>
  </w:style>
  <w:style w:type="character" w:customStyle="1" w:styleId="Heading2Char">
    <w:name w:val="Heading 2 Char"/>
    <w:basedOn w:val="DefaultParagraphFont"/>
    <w:link w:val="Heading2"/>
    <w:uiPriority w:val="9"/>
    <w:semiHidden/>
    <w:rsid w:val="007518D1"/>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AD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76">
      <w:bodyDiv w:val="1"/>
      <w:marLeft w:val="0"/>
      <w:marRight w:val="0"/>
      <w:marTop w:val="0"/>
      <w:marBottom w:val="0"/>
      <w:divBdr>
        <w:top w:val="none" w:sz="0" w:space="0" w:color="auto"/>
        <w:left w:val="none" w:sz="0" w:space="0" w:color="auto"/>
        <w:bottom w:val="none" w:sz="0" w:space="0" w:color="auto"/>
        <w:right w:val="none" w:sz="0" w:space="0" w:color="auto"/>
      </w:divBdr>
    </w:div>
    <w:div w:id="40567713">
      <w:bodyDiv w:val="1"/>
      <w:marLeft w:val="0"/>
      <w:marRight w:val="0"/>
      <w:marTop w:val="0"/>
      <w:marBottom w:val="0"/>
      <w:divBdr>
        <w:top w:val="none" w:sz="0" w:space="0" w:color="auto"/>
        <w:left w:val="none" w:sz="0" w:space="0" w:color="auto"/>
        <w:bottom w:val="none" w:sz="0" w:space="0" w:color="auto"/>
        <w:right w:val="none" w:sz="0" w:space="0" w:color="auto"/>
      </w:divBdr>
    </w:div>
    <w:div w:id="713584976">
      <w:bodyDiv w:val="1"/>
      <w:marLeft w:val="0"/>
      <w:marRight w:val="0"/>
      <w:marTop w:val="0"/>
      <w:marBottom w:val="0"/>
      <w:divBdr>
        <w:top w:val="none" w:sz="0" w:space="0" w:color="auto"/>
        <w:left w:val="none" w:sz="0" w:space="0" w:color="auto"/>
        <w:bottom w:val="none" w:sz="0" w:space="0" w:color="auto"/>
        <w:right w:val="none" w:sz="0" w:space="0" w:color="auto"/>
      </w:divBdr>
      <w:divsChild>
        <w:div w:id="855076943">
          <w:marLeft w:val="0"/>
          <w:marRight w:val="0"/>
          <w:marTop w:val="0"/>
          <w:marBottom w:val="0"/>
          <w:divBdr>
            <w:top w:val="none" w:sz="0" w:space="0" w:color="auto"/>
            <w:left w:val="none" w:sz="0" w:space="0" w:color="auto"/>
            <w:bottom w:val="none" w:sz="0" w:space="0" w:color="auto"/>
            <w:right w:val="none" w:sz="0" w:space="0" w:color="auto"/>
          </w:divBdr>
        </w:div>
        <w:div w:id="1091512008">
          <w:marLeft w:val="0"/>
          <w:marRight w:val="0"/>
          <w:marTop w:val="0"/>
          <w:marBottom w:val="0"/>
          <w:divBdr>
            <w:top w:val="none" w:sz="0" w:space="0" w:color="auto"/>
            <w:left w:val="none" w:sz="0" w:space="0" w:color="auto"/>
            <w:bottom w:val="none" w:sz="0" w:space="0" w:color="auto"/>
            <w:right w:val="none" w:sz="0" w:space="0" w:color="auto"/>
          </w:divBdr>
        </w:div>
        <w:div w:id="1725131668">
          <w:marLeft w:val="0"/>
          <w:marRight w:val="0"/>
          <w:marTop w:val="0"/>
          <w:marBottom w:val="0"/>
          <w:divBdr>
            <w:top w:val="none" w:sz="0" w:space="0" w:color="auto"/>
            <w:left w:val="none" w:sz="0" w:space="0" w:color="auto"/>
            <w:bottom w:val="none" w:sz="0" w:space="0" w:color="auto"/>
            <w:right w:val="none" w:sz="0" w:space="0" w:color="auto"/>
          </w:divBdr>
        </w:div>
        <w:div w:id="1034768655">
          <w:marLeft w:val="0"/>
          <w:marRight w:val="0"/>
          <w:marTop w:val="0"/>
          <w:marBottom w:val="0"/>
          <w:divBdr>
            <w:top w:val="none" w:sz="0" w:space="0" w:color="auto"/>
            <w:left w:val="none" w:sz="0" w:space="0" w:color="auto"/>
            <w:bottom w:val="none" w:sz="0" w:space="0" w:color="auto"/>
            <w:right w:val="none" w:sz="0" w:space="0" w:color="auto"/>
          </w:divBdr>
        </w:div>
        <w:div w:id="1116605255">
          <w:marLeft w:val="0"/>
          <w:marRight w:val="0"/>
          <w:marTop w:val="0"/>
          <w:marBottom w:val="0"/>
          <w:divBdr>
            <w:top w:val="none" w:sz="0" w:space="0" w:color="auto"/>
            <w:left w:val="none" w:sz="0" w:space="0" w:color="auto"/>
            <w:bottom w:val="none" w:sz="0" w:space="0" w:color="auto"/>
            <w:right w:val="none" w:sz="0" w:space="0" w:color="auto"/>
          </w:divBdr>
        </w:div>
        <w:div w:id="876355532">
          <w:marLeft w:val="0"/>
          <w:marRight w:val="0"/>
          <w:marTop w:val="0"/>
          <w:marBottom w:val="0"/>
          <w:divBdr>
            <w:top w:val="none" w:sz="0" w:space="0" w:color="auto"/>
            <w:left w:val="none" w:sz="0" w:space="0" w:color="auto"/>
            <w:bottom w:val="none" w:sz="0" w:space="0" w:color="auto"/>
            <w:right w:val="none" w:sz="0" w:space="0" w:color="auto"/>
          </w:divBdr>
        </w:div>
        <w:div w:id="1794132147">
          <w:marLeft w:val="0"/>
          <w:marRight w:val="0"/>
          <w:marTop w:val="0"/>
          <w:marBottom w:val="0"/>
          <w:divBdr>
            <w:top w:val="none" w:sz="0" w:space="0" w:color="auto"/>
            <w:left w:val="none" w:sz="0" w:space="0" w:color="auto"/>
            <w:bottom w:val="none" w:sz="0" w:space="0" w:color="auto"/>
            <w:right w:val="none" w:sz="0" w:space="0" w:color="auto"/>
          </w:divBdr>
        </w:div>
      </w:divsChild>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1655">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978">
      <w:bodyDiv w:val="1"/>
      <w:marLeft w:val="0"/>
      <w:marRight w:val="0"/>
      <w:marTop w:val="0"/>
      <w:marBottom w:val="0"/>
      <w:divBdr>
        <w:top w:val="none" w:sz="0" w:space="0" w:color="auto"/>
        <w:left w:val="none" w:sz="0" w:space="0" w:color="auto"/>
        <w:bottom w:val="none" w:sz="0" w:space="0" w:color="auto"/>
        <w:right w:val="none" w:sz="0" w:space="0" w:color="auto"/>
      </w:divBdr>
    </w:div>
    <w:div w:id="1425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071/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09/1071/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s.vaivods@atd.lv" TargetMode="External"/><Relationship Id="rId4" Type="http://schemas.openxmlformats.org/officeDocument/2006/relationships/webSettings" Target="webSettings.xml"/><Relationship Id="rId9" Type="http://schemas.openxmlformats.org/officeDocument/2006/relationships/hyperlink" Target="mailto:inga.lukjanovica@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84E4-34A7-46AE-84DB-660DFAD7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8371</Words>
  <Characters>4772</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21.februāra noteikumos Nr.121 “Kārtība, kādā izsniedz, uz laiku aptur vai anulē speciālās atļaujas (licences) un licences kartītes komercpārvadājumu veikšanai ar autotransportu un</vt:lpstr>
    </vt:vector>
  </TitlesOfParts>
  <Company>Autotransporta direkcija</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21.februāra noteikumos Nr.121 “Kārtība, kādā izsniedz, uz laiku aptur vai anulē speciālās atļaujas (licences) un licences kartītes komercpārvadājumu veikšanai ar autotransportu un izsniedz autopārvadājumu vadītāja profesionālās kompetences sertifikātus”” sākotnējās ietekmes novērtējuma ziņojums (anotācija)</dc:title>
  <dc:subject>Anotācija</dc:subject>
  <dc:creator>Satiksmes ministrija;Inga.Lukjanovica@sam.gov.lv</dc:creator>
  <dc:description>67028019 inga.lukjanovica@sam.gov.lv; 67686466
janis.vaivods@atd.lv</dc:description>
  <cp:lastModifiedBy>Severīns Lukinskis</cp:lastModifiedBy>
  <cp:revision>2</cp:revision>
  <cp:lastPrinted>2018-02-02T09:42:00Z</cp:lastPrinted>
  <dcterms:created xsi:type="dcterms:W3CDTF">2018-08-28T08:05:00Z</dcterms:created>
  <dcterms:modified xsi:type="dcterms:W3CDTF">2018-08-28T08:05:00Z</dcterms:modified>
</cp:coreProperties>
</file>