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2317A" w14:textId="77777777" w:rsidR="00BC60D2" w:rsidRDefault="00BC60D2" w:rsidP="00BC60D2">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Ministru kabineta noteikumu projekta "Grozījumi Ministru kabineta 2015. gada 8. decembra noteikumos Nr. 704 "Darbības programmas "Izaugsme un nodarbinātība" 3.4.1. specifiskā atbalsta mērķa "Paaugstināt tiesu un tiesībsargājošo institūciju personāla kompetenci komercdarbības vides uzlabošanas sekmēšanai" īstenošanas noteikumi"" sākotnējās ietekmes novērtējuma ziņojums (anotācija)</w:t>
      </w:r>
    </w:p>
    <w:p w14:paraId="4470E92A" w14:textId="77777777" w:rsidR="00DA596D" w:rsidRPr="0097481A" w:rsidRDefault="00DA596D" w:rsidP="00DA596D">
      <w:pPr>
        <w:spacing w:after="0" w:line="240" w:lineRule="auto"/>
        <w:ind w:firstLine="300"/>
        <w:jc w:val="center"/>
        <w:rPr>
          <w:rFonts w:ascii="Times New Roman" w:eastAsia="Times New Roman" w:hAnsi="Times New Roman" w:cs="Times New Roman"/>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0076774D" w:rsidRPr="002D7166" w14:paraId="39A781D0" w14:textId="77777777" w:rsidTr="0076774D">
        <w:trPr>
          <w:cantSplit/>
        </w:trPr>
        <w:tc>
          <w:tcPr>
            <w:tcW w:w="90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AADD3EA" w14:textId="77777777" w:rsidR="0076774D" w:rsidRPr="0076774D" w:rsidRDefault="0076774D" w:rsidP="0076774D">
            <w:pPr>
              <w:spacing w:after="0" w:line="240" w:lineRule="auto"/>
              <w:jc w:val="center"/>
              <w:rPr>
                <w:rFonts w:ascii="Times New Roman" w:eastAsia="Times New Roman" w:hAnsi="Times New Roman" w:cs="Times New Roman"/>
                <w:b/>
                <w:bCs/>
                <w:sz w:val="24"/>
                <w:szCs w:val="24"/>
                <w:lang w:eastAsia="lv-LV"/>
              </w:rPr>
            </w:pPr>
            <w:r w:rsidRPr="00A1552F">
              <w:rPr>
                <w:rFonts w:ascii="Times New Roman" w:eastAsia="Times New Roman" w:hAnsi="Times New Roman" w:cs="Times New Roman"/>
                <w:b/>
                <w:bCs/>
                <w:sz w:val="24"/>
                <w:szCs w:val="24"/>
                <w:lang w:eastAsia="lv-LV"/>
              </w:rPr>
              <w:t>Tiesību akta projekta anotācijas kopsavilkums</w:t>
            </w:r>
          </w:p>
        </w:tc>
      </w:tr>
      <w:tr w:rsidR="0076774D" w:rsidRPr="002D7166" w14:paraId="00749173" w14:textId="77777777" w:rsidTr="005E7421">
        <w:trPr>
          <w:cantSplit/>
        </w:trPr>
        <w:tc>
          <w:tcPr>
            <w:tcW w:w="2830" w:type="dxa"/>
            <w:shd w:val="clear" w:color="auto" w:fill="FFFFFF"/>
            <w:hideMark/>
          </w:tcPr>
          <w:p w14:paraId="6A2BDF2D" w14:textId="77777777" w:rsidR="0076774D" w:rsidRPr="00A1552F" w:rsidRDefault="0076774D" w:rsidP="005E7421">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Mērķis, risinājums un projekta spēkā stāšanās laiks (500 zīmes bez atstarpēm)</w:t>
            </w:r>
          </w:p>
        </w:tc>
        <w:tc>
          <w:tcPr>
            <w:tcW w:w="6231" w:type="dxa"/>
            <w:shd w:val="clear" w:color="auto" w:fill="FFFFFF"/>
            <w:hideMark/>
          </w:tcPr>
          <w:p w14:paraId="301DC0A7" w14:textId="6BFB07AA" w:rsidR="0076774D" w:rsidRPr="00A1552F" w:rsidRDefault="00B03322" w:rsidP="005E742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projekts ir izstrādāts ar mērķi mazināt administratīvo slogu finansējuma saņēmējam, paredzot, ka dalībnieku apsekošana pēc mācību pabeigšanas, </w:t>
            </w:r>
            <w:r>
              <w:rPr>
                <w:rFonts w:ascii="Times New Roman" w:hAnsi="Times New Roman"/>
                <w:sz w:val="24"/>
                <w:szCs w:val="24"/>
              </w:rPr>
              <w:t>lai uzkrātu informāciju par Eiropas Sociālā fonda kopējiem tūlītējiem rezultāta rādītājiem</w:t>
            </w:r>
            <w:r w:rsidR="00014C02">
              <w:rPr>
                <w:rFonts w:ascii="Times New Roman" w:hAnsi="Times New Roman"/>
                <w:sz w:val="24"/>
                <w:szCs w:val="24"/>
              </w:rPr>
              <w:t>,</w:t>
            </w:r>
            <w:r>
              <w:rPr>
                <w:rFonts w:ascii="Times New Roman" w:eastAsia="Times New Roman" w:hAnsi="Times New Roman" w:cs="Times New Roman"/>
                <w:sz w:val="24"/>
                <w:szCs w:val="24"/>
                <w:lang w:eastAsia="lv-LV"/>
              </w:rPr>
              <w:t xml:space="preserve"> </w:t>
            </w:r>
            <w:r>
              <w:rPr>
                <w:rFonts w:ascii="Times New Roman" w:hAnsi="Times New Roman"/>
                <w:sz w:val="24"/>
                <w:szCs w:val="24"/>
              </w:rPr>
              <w:t xml:space="preserve">veicama tikai tiem dalībniekiem, kuri ir piedalījušies apmācībās, </w:t>
            </w:r>
            <w:bookmarkStart w:id="0" w:name="_GoBack"/>
            <w:bookmarkEnd w:id="0"/>
            <w:r>
              <w:rPr>
                <w:rFonts w:ascii="Times New Roman" w:hAnsi="Times New Roman"/>
                <w:sz w:val="24"/>
                <w:szCs w:val="24"/>
              </w:rPr>
              <w:t>kuru ilgums pārsniedz 64 apmācību stundas</w:t>
            </w:r>
            <w:r w:rsidR="0013148A">
              <w:rPr>
                <w:rFonts w:ascii="Times New Roman" w:hAnsi="Times New Roman"/>
                <w:sz w:val="24"/>
                <w:szCs w:val="24"/>
              </w:rPr>
              <w:t>. Tāpat ar noteikumu projektu paredzēts papildināt attiecināmās izmaksas, nosakot  projekta ietvaros iegādātā materiāltehniskā nodrošinājuma apdrošināšanas izmaksas kā tiešās attiecināmās izmaksas.</w:t>
            </w:r>
          </w:p>
        </w:tc>
      </w:tr>
    </w:tbl>
    <w:p w14:paraId="12FCA6E5" w14:textId="77777777" w:rsidR="00A1552F" w:rsidRPr="0097481A" w:rsidRDefault="00A1552F" w:rsidP="006641E1">
      <w:pPr>
        <w:spacing w:after="0" w:line="240" w:lineRule="auto"/>
        <w:jc w:val="center"/>
        <w:rPr>
          <w:rFonts w:ascii="Times New Roman" w:eastAsia="Times New Roman" w:hAnsi="Times New Roman" w:cs="Times New Roman"/>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3"/>
        <w:gridCol w:w="2472"/>
        <w:gridCol w:w="6227"/>
      </w:tblGrid>
      <w:tr w:rsidR="00BC2633" w:rsidRPr="00BC2633" w14:paraId="421500E3" w14:textId="77777777" w:rsidTr="00070184">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19B68ED"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 Tiesību akta projekta izstrādes nepieciešamība</w:t>
            </w:r>
          </w:p>
        </w:tc>
      </w:tr>
      <w:tr w:rsidR="00DA326E" w:rsidRPr="00BC2633" w14:paraId="1D6451E3" w14:textId="77777777" w:rsidTr="0097481A">
        <w:trPr>
          <w:trHeight w:val="405"/>
        </w:trPr>
        <w:tc>
          <w:tcPr>
            <w:tcW w:w="200" w:type="pct"/>
            <w:tcBorders>
              <w:top w:val="outset" w:sz="6" w:space="0" w:color="414142"/>
              <w:left w:val="outset" w:sz="6" w:space="0" w:color="414142"/>
              <w:bottom w:val="outset" w:sz="6" w:space="0" w:color="414142"/>
              <w:right w:val="outset" w:sz="6" w:space="0" w:color="414142"/>
            </w:tcBorders>
            <w:hideMark/>
          </w:tcPr>
          <w:p w14:paraId="3ACFC9D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64" w:type="pct"/>
            <w:tcBorders>
              <w:top w:val="outset" w:sz="6" w:space="0" w:color="414142"/>
              <w:left w:val="outset" w:sz="6" w:space="0" w:color="414142"/>
              <w:bottom w:val="outset" w:sz="6" w:space="0" w:color="414142"/>
              <w:right w:val="outset" w:sz="6" w:space="0" w:color="414142"/>
            </w:tcBorders>
            <w:hideMark/>
          </w:tcPr>
          <w:p w14:paraId="507E06E1"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Pamatojums</w:t>
            </w:r>
          </w:p>
        </w:tc>
        <w:tc>
          <w:tcPr>
            <w:tcW w:w="3436" w:type="pct"/>
            <w:tcBorders>
              <w:top w:val="outset" w:sz="6" w:space="0" w:color="414142"/>
              <w:left w:val="outset" w:sz="6" w:space="0" w:color="414142"/>
              <w:bottom w:val="outset" w:sz="6" w:space="0" w:color="414142"/>
              <w:right w:val="outset" w:sz="6" w:space="0" w:color="414142"/>
            </w:tcBorders>
            <w:hideMark/>
          </w:tcPr>
          <w:p w14:paraId="0DDAC92C" w14:textId="34E07751" w:rsidR="004D15A9" w:rsidRPr="00BC2633" w:rsidRDefault="00BC60D2" w:rsidP="00DE251E">
            <w:pPr>
              <w:spacing w:after="0" w:line="240" w:lineRule="auto"/>
              <w:jc w:val="both"/>
              <w:rPr>
                <w:rFonts w:ascii="Times New Roman" w:eastAsia="Times New Roman" w:hAnsi="Times New Roman" w:cs="Times New Roman"/>
                <w:sz w:val="24"/>
                <w:szCs w:val="24"/>
                <w:lang w:eastAsia="lv-LV"/>
              </w:rPr>
            </w:pPr>
            <w:r w:rsidRPr="009F2DC3">
              <w:rPr>
                <w:rFonts w:ascii="Times New Roman" w:hAnsi="Times New Roman" w:cs="Times New Roman"/>
                <w:sz w:val="24"/>
                <w:szCs w:val="24"/>
                <w:shd w:val="clear" w:color="auto" w:fill="FFFFFF"/>
              </w:rPr>
              <w:t xml:space="preserve">Ministru kabineta </w:t>
            </w:r>
            <w:r w:rsidRPr="009F2DC3">
              <w:rPr>
                <w:rFonts w:ascii="Times New Roman" w:eastAsia="Times New Roman" w:hAnsi="Times New Roman" w:cs="Times New Roman"/>
                <w:bCs/>
                <w:sz w:val="24"/>
                <w:szCs w:val="24"/>
                <w:lang w:eastAsia="lv-LV"/>
              </w:rPr>
              <w:t>noteikumu projekts "Grozījumi Ministru kabineta 2015. gada 8. decembra noteikumos Nr. 704 "Darbības programmas "Izaugsme un nodarbinātība" 3.4.1.</w:t>
            </w:r>
            <w:r w:rsidR="00865AF1">
              <w:rPr>
                <w:rFonts w:ascii="Times New Roman" w:eastAsia="Times New Roman" w:hAnsi="Times New Roman" w:cs="Times New Roman"/>
                <w:bCs/>
                <w:sz w:val="24"/>
                <w:szCs w:val="24"/>
                <w:lang w:eastAsia="lv-LV"/>
              </w:rPr>
              <w:t> </w:t>
            </w:r>
            <w:r w:rsidRPr="009F2DC3">
              <w:rPr>
                <w:rFonts w:ascii="Times New Roman" w:eastAsia="Times New Roman" w:hAnsi="Times New Roman" w:cs="Times New Roman"/>
                <w:bCs/>
                <w:sz w:val="24"/>
                <w:szCs w:val="24"/>
                <w:lang w:eastAsia="lv-LV"/>
              </w:rPr>
              <w:t xml:space="preserve">specifiskā atbalsta mērķa "Paaugstināt tiesu un tiesībsargājošo institūciju personāla kompetenci komercdarbības vides uzlabošanas sekmēšanai" īstenošanas noteikumi"" (turpmāk – noteikumu projekts) </w:t>
            </w:r>
            <w:r w:rsidRPr="009F2DC3">
              <w:rPr>
                <w:rFonts w:ascii="Times New Roman" w:hAnsi="Times New Roman" w:cs="Times New Roman"/>
                <w:sz w:val="24"/>
                <w:szCs w:val="24"/>
              </w:rPr>
              <w:t xml:space="preserve">ir izstrādāts </w:t>
            </w:r>
            <w:r w:rsidR="00DE251E" w:rsidRPr="009F2DC3">
              <w:rPr>
                <w:rFonts w:ascii="Times New Roman" w:hAnsi="Times New Roman" w:cs="Times New Roman"/>
                <w:sz w:val="24"/>
                <w:szCs w:val="24"/>
                <w:shd w:val="clear" w:color="auto" w:fill="FFFFFF"/>
              </w:rPr>
              <w:t xml:space="preserve">pēc </w:t>
            </w:r>
            <w:r w:rsidR="0042645D" w:rsidRPr="009F2DC3">
              <w:rPr>
                <w:rFonts w:ascii="Times New Roman" w:hAnsi="Times New Roman" w:cs="Times New Roman"/>
                <w:sz w:val="24"/>
                <w:szCs w:val="24"/>
                <w:shd w:val="clear" w:color="auto" w:fill="FFFFFF"/>
              </w:rPr>
              <w:t>Tieslietu ministrijas iniciatīva</w:t>
            </w:r>
            <w:r w:rsidR="00DE251E" w:rsidRPr="009F2DC3">
              <w:rPr>
                <w:rFonts w:ascii="Times New Roman" w:hAnsi="Times New Roman" w:cs="Times New Roman"/>
                <w:sz w:val="24"/>
                <w:szCs w:val="24"/>
                <w:shd w:val="clear" w:color="auto" w:fill="FFFFFF"/>
              </w:rPr>
              <w:t xml:space="preserve">s ar mērķi </w:t>
            </w:r>
            <w:r w:rsidR="0097481A">
              <w:rPr>
                <w:rFonts w:ascii="Times New Roman" w:hAnsi="Times New Roman" w:cs="Times New Roman"/>
                <w:sz w:val="24"/>
                <w:szCs w:val="24"/>
                <w:shd w:val="clear" w:color="auto" w:fill="FFFFFF"/>
              </w:rPr>
              <w:t>mazināt administratīvo slogu finansējuma saņēmējam.</w:t>
            </w:r>
          </w:p>
        </w:tc>
      </w:tr>
      <w:tr w:rsidR="00DA326E" w:rsidRPr="00BC2633" w14:paraId="45F210CB" w14:textId="77777777" w:rsidTr="0097481A">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2CA62E15" w14:textId="77777777" w:rsidR="004D15A9" w:rsidRPr="00BC2633" w:rsidRDefault="004D15A9" w:rsidP="005164C9">
            <w:pPr>
              <w:spacing w:after="0" w:line="240" w:lineRule="auto"/>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364" w:type="pct"/>
            <w:tcBorders>
              <w:top w:val="outset" w:sz="6" w:space="0" w:color="414142"/>
              <w:left w:val="outset" w:sz="6" w:space="0" w:color="414142"/>
              <w:bottom w:val="outset" w:sz="6" w:space="0" w:color="414142"/>
              <w:right w:val="outset" w:sz="6" w:space="0" w:color="414142"/>
            </w:tcBorders>
            <w:hideMark/>
          </w:tcPr>
          <w:p w14:paraId="29A6B2AB" w14:textId="3DB6B19A" w:rsidR="007B3FAB" w:rsidRDefault="004D15A9" w:rsidP="003014C0">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70291052" w14:textId="77777777" w:rsidR="004D15A9" w:rsidRPr="007B3FAB" w:rsidRDefault="004D15A9" w:rsidP="007B3FAB">
            <w:pPr>
              <w:jc w:val="center"/>
              <w:rPr>
                <w:rFonts w:ascii="Times New Roman" w:eastAsia="Times New Roman" w:hAnsi="Times New Roman" w:cs="Times New Roman"/>
                <w:sz w:val="24"/>
                <w:szCs w:val="24"/>
                <w:lang w:eastAsia="lv-LV"/>
              </w:rPr>
            </w:pPr>
          </w:p>
        </w:tc>
        <w:tc>
          <w:tcPr>
            <w:tcW w:w="3436" w:type="pct"/>
            <w:tcBorders>
              <w:top w:val="outset" w:sz="6" w:space="0" w:color="414142"/>
              <w:left w:val="outset" w:sz="6" w:space="0" w:color="414142"/>
              <w:bottom w:val="outset" w:sz="6" w:space="0" w:color="414142"/>
              <w:right w:val="outset" w:sz="6" w:space="0" w:color="414142"/>
            </w:tcBorders>
            <w:hideMark/>
          </w:tcPr>
          <w:p w14:paraId="65DF686B" w14:textId="20284D42" w:rsidR="00E34894" w:rsidRDefault="00E34894" w:rsidP="005164C9">
            <w:pPr>
              <w:spacing w:after="0" w:line="240" w:lineRule="auto"/>
              <w:jc w:val="both"/>
              <w:rPr>
                <w:rFonts w:ascii="Times New Roman" w:hAnsi="Times New Roman"/>
                <w:sz w:val="24"/>
                <w:szCs w:val="24"/>
              </w:rPr>
            </w:pPr>
            <w:r>
              <w:rPr>
                <w:rFonts w:ascii="Times New Roman" w:hAnsi="Times New Roman"/>
                <w:sz w:val="24"/>
                <w:szCs w:val="24"/>
              </w:rPr>
              <w:t>1)</w:t>
            </w:r>
            <w:r w:rsidR="00865AF1">
              <w:rPr>
                <w:rFonts w:ascii="Times New Roman" w:hAnsi="Times New Roman"/>
                <w:sz w:val="24"/>
                <w:szCs w:val="24"/>
              </w:rPr>
              <w:t> </w:t>
            </w:r>
            <w:r w:rsidR="003C35A5">
              <w:rPr>
                <w:rFonts w:ascii="Times New Roman" w:hAnsi="Times New Roman"/>
                <w:sz w:val="24"/>
                <w:szCs w:val="24"/>
              </w:rPr>
              <w:t xml:space="preserve">Šobrīd saskaņā ar </w:t>
            </w:r>
            <w:r w:rsidR="00C759ED">
              <w:rPr>
                <w:rFonts w:ascii="Times New Roman" w:eastAsia="Times New Roman" w:hAnsi="Times New Roman" w:cs="Times New Roman"/>
                <w:bCs/>
                <w:sz w:val="24"/>
                <w:szCs w:val="24"/>
                <w:lang w:eastAsia="lv-LV"/>
              </w:rPr>
              <w:t>Ministru kabineta 2015. gada 8. decembra noteikumiem Nr. 704 "Darbības programmas "Izaugsme un nodarbinātība" 3.4.1. specifiskā atbalsta mērķa "Paaugstināt tiesu un tiesībsargājošo institūciju personāla kompetenci komercdarbības vides uzlabošanas sekmēšanai</w:t>
            </w:r>
            <w:r w:rsidR="00C759ED" w:rsidRPr="00C759ED">
              <w:rPr>
                <w:rFonts w:ascii="Times New Roman" w:eastAsia="Times New Roman" w:hAnsi="Times New Roman" w:cs="Times New Roman"/>
                <w:bCs/>
                <w:sz w:val="24"/>
                <w:szCs w:val="24"/>
                <w:lang w:eastAsia="lv-LV"/>
              </w:rPr>
              <w:t xml:space="preserve">" īstenošanas noteikumi" (turpmāk - </w:t>
            </w:r>
            <w:r w:rsidR="003C35A5" w:rsidRPr="00C759ED">
              <w:rPr>
                <w:rFonts w:ascii="Times New Roman" w:hAnsi="Times New Roman"/>
                <w:sz w:val="24"/>
                <w:szCs w:val="24"/>
              </w:rPr>
              <w:t>MK not</w:t>
            </w:r>
            <w:r w:rsidR="00F41228">
              <w:rPr>
                <w:rFonts w:ascii="Times New Roman" w:hAnsi="Times New Roman"/>
                <w:sz w:val="24"/>
                <w:szCs w:val="24"/>
              </w:rPr>
              <w:t>ei</w:t>
            </w:r>
            <w:r w:rsidR="003C35A5" w:rsidRPr="00C759ED">
              <w:rPr>
                <w:rFonts w:ascii="Times New Roman" w:hAnsi="Times New Roman"/>
                <w:sz w:val="24"/>
                <w:szCs w:val="24"/>
              </w:rPr>
              <w:t>kumi Nr</w:t>
            </w:r>
            <w:r w:rsidR="00BF1C8C">
              <w:rPr>
                <w:rFonts w:ascii="Times New Roman" w:hAnsi="Times New Roman"/>
                <w:sz w:val="24"/>
                <w:szCs w:val="24"/>
              </w:rPr>
              <w:t>. </w:t>
            </w:r>
            <w:r w:rsidR="003C35A5" w:rsidRPr="00C759ED">
              <w:rPr>
                <w:rFonts w:ascii="Times New Roman" w:hAnsi="Times New Roman"/>
                <w:sz w:val="24"/>
                <w:szCs w:val="24"/>
              </w:rPr>
              <w:t>704</w:t>
            </w:r>
            <w:r w:rsidR="00C759ED" w:rsidRPr="00C759ED">
              <w:rPr>
                <w:rFonts w:ascii="Times New Roman" w:hAnsi="Times New Roman"/>
                <w:sz w:val="24"/>
                <w:szCs w:val="24"/>
              </w:rPr>
              <w:t>)</w:t>
            </w:r>
            <w:r w:rsidR="003C35A5" w:rsidRPr="00C759ED">
              <w:rPr>
                <w:rFonts w:ascii="Times New Roman" w:hAnsi="Times New Roman"/>
                <w:sz w:val="24"/>
                <w:szCs w:val="24"/>
              </w:rPr>
              <w:t xml:space="preserve"> </w:t>
            </w:r>
            <w:r>
              <w:rPr>
                <w:rFonts w:ascii="Times New Roman" w:hAnsi="Times New Roman"/>
                <w:sz w:val="24"/>
                <w:szCs w:val="24"/>
              </w:rPr>
              <w:t>kā viena no attiecināmo izmaksu grupām ir materi</w:t>
            </w:r>
            <w:r w:rsidR="004133A3">
              <w:rPr>
                <w:rFonts w:ascii="Times New Roman" w:hAnsi="Times New Roman"/>
                <w:sz w:val="24"/>
                <w:szCs w:val="24"/>
              </w:rPr>
              <w:t>ā</w:t>
            </w:r>
            <w:r>
              <w:rPr>
                <w:rFonts w:ascii="Times New Roman" w:hAnsi="Times New Roman"/>
                <w:sz w:val="24"/>
                <w:szCs w:val="24"/>
              </w:rPr>
              <w:t xml:space="preserve">ltehniskā nodrošinājuma iegādes izmaksas. </w:t>
            </w:r>
            <w:bookmarkStart w:id="1" w:name="_Hlk509582191"/>
            <w:r>
              <w:rPr>
                <w:rFonts w:ascii="Times New Roman" w:hAnsi="Times New Roman"/>
                <w:sz w:val="24"/>
                <w:szCs w:val="24"/>
              </w:rPr>
              <w:t>Saskaņā ar Vienošanās par Eiropas Savienības fonda projekta īstenošan</w:t>
            </w:r>
            <w:r w:rsidR="00816866">
              <w:rPr>
                <w:rFonts w:ascii="Times New Roman" w:hAnsi="Times New Roman"/>
                <w:sz w:val="24"/>
                <w:szCs w:val="24"/>
              </w:rPr>
              <w:t>u</w:t>
            </w:r>
            <w:r>
              <w:rPr>
                <w:rFonts w:ascii="Times New Roman" w:hAnsi="Times New Roman"/>
                <w:sz w:val="24"/>
                <w:szCs w:val="24"/>
              </w:rPr>
              <w:t xml:space="preserve"> Vispārējiem noteikumiem </w:t>
            </w:r>
            <w:bookmarkEnd w:id="1"/>
            <w:r>
              <w:rPr>
                <w:rFonts w:ascii="Times New Roman" w:hAnsi="Times New Roman"/>
                <w:sz w:val="24"/>
                <w:szCs w:val="24"/>
              </w:rPr>
              <w:t xml:space="preserve">finansējuma saņēmējam ir pienākums nodrošināt projektā iegādāto vērtību saglabāšanu un uzturēšanu, savukārt </w:t>
            </w:r>
            <w:r w:rsidR="004133A3">
              <w:rPr>
                <w:rFonts w:ascii="Times New Roman" w:hAnsi="Times New Roman"/>
                <w:sz w:val="24"/>
                <w:szCs w:val="24"/>
              </w:rPr>
              <w:t>radušos bojājumus un zaudējumus ir pienākums segt no saviem līdzekļiem pilnā apmērā (2.1.18.1.</w:t>
            </w:r>
            <w:r w:rsidR="00A02624">
              <w:rPr>
                <w:rFonts w:ascii="Times New Roman" w:hAnsi="Times New Roman"/>
                <w:sz w:val="24"/>
                <w:szCs w:val="24"/>
              </w:rPr>
              <w:t> </w:t>
            </w:r>
            <w:r w:rsidR="004133A3">
              <w:rPr>
                <w:rFonts w:ascii="Times New Roman" w:hAnsi="Times New Roman"/>
                <w:sz w:val="24"/>
                <w:szCs w:val="24"/>
              </w:rPr>
              <w:t>punkts)</w:t>
            </w:r>
            <w:r w:rsidR="008B5A0E">
              <w:rPr>
                <w:rStyle w:val="Vresatsauce"/>
                <w:rFonts w:ascii="Times New Roman" w:hAnsi="Times New Roman"/>
                <w:sz w:val="24"/>
                <w:szCs w:val="24"/>
              </w:rPr>
              <w:footnoteReference w:id="1"/>
            </w:r>
            <w:r w:rsidR="004133A3">
              <w:rPr>
                <w:rFonts w:ascii="Times New Roman" w:hAnsi="Times New Roman"/>
                <w:sz w:val="24"/>
                <w:szCs w:val="24"/>
              </w:rPr>
              <w:t>. Vienošanās arī paredz, ka finansējuma saņēmējs var veikt projektā iegādāto vērtību apdrošināšanu, kas ļautu nepieciešamības gadījumā zaudējumus segt no apdrošināšanas atlīdzības, taču apdrošināšanas izmaksas saskaņā ar pašreiz spēkā esošajiem MK noteikumiem Nr</w:t>
            </w:r>
            <w:r w:rsidR="00333FC0">
              <w:rPr>
                <w:rFonts w:ascii="Times New Roman" w:hAnsi="Times New Roman"/>
                <w:sz w:val="24"/>
                <w:szCs w:val="24"/>
              </w:rPr>
              <w:t>. </w:t>
            </w:r>
            <w:r w:rsidR="004133A3">
              <w:rPr>
                <w:rFonts w:ascii="Times New Roman" w:hAnsi="Times New Roman"/>
                <w:sz w:val="24"/>
                <w:szCs w:val="24"/>
              </w:rPr>
              <w:t>704 nav iekļautas tiešajās attiecināmajās izmaksās. Papildinot MK noteikumu Nr</w:t>
            </w:r>
            <w:r w:rsidR="00333FC0">
              <w:rPr>
                <w:rFonts w:ascii="Times New Roman" w:hAnsi="Times New Roman"/>
                <w:sz w:val="24"/>
                <w:szCs w:val="24"/>
              </w:rPr>
              <w:t>. </w:t>
            </w:r>
            <w:r w:rsidR="004133A3">
              <w:rPr>
                <w:rFonts w:ascii="Times New Roman" w:hAnsi="Times New Roman"/>
                <w:sz w:val="24"/>
                <w:szCs w:val="24"/>
              </w:rPr>
              <w:t>704 18.2.5.</w:t>
            </w:r>
            <w:r w:rsidR="00A02624">
              <w:rPr>
                <w:rFonts w:ascii="Times New Roman" w:hAnsi="Times New Roman"/>
                <w:sz w:val="24"/>
                <w:szCs w:val="24"/>
              </w:rPr>
              <w:t> </w:t>
            </w:r>
            <w:r w:rsidR="004133A3">
              <w:rPr>
                <w:rFonts w:ascii="Times New Roman" w:hAnsi="Times New Roman"/>
                <w:sz w:val="24"/>
                <w:szCs w:val="24"/>
              </w:rPr>
              <w:t xml:space="preserve">apakšpunktu un iekļaujot </w:t>
            </w:r>
            <w:r w:rsidR="00A02624">
              <w:rPr>
                <w:rFonts w:ascii="Times New Roman" w:hAnsi="Times New Roman"/>
                <w:sz w:val="24"/>
                <w:szCs w:val="24"/>
              </w:rPr>
              <w:t>tajā</w:t>
            </w:r>
            <w:r w:rsidR="00BF1C8C">
              <w:rPr>
                <w:rFonts w:ascii="Times New Roman" w:hAnsi="Times New Roman"/>
                <w:sz w:val="24"/>
                <w:szCs w:val="24"/>
              </w:rPr>
              <w:t xml:space="preserve"> </w:t>
            </w:r>
            <w:r w:rsidR="004133A3">
              <w:rPr>
                <w:rFonts w:ascii="Times New Roman" w:hAnsi="Times New Roman"/>
                <w:sz w:val="24"/>
                <w:szCs w:val="24"/>
              </w:rPr>
              <w:t>projekta ietvaros iegādātā materiāltehniskā nodrošinājuma apdrošinā</w:t>
            </w:r>
            <w:r w:rsidR="00333FC0">
              <w:rPr>
                <w:rFonts w:ascii="Times New Roman" w:hAnsi="Times New Roman"/>
                <w:sz w:val="24"/>
                <w:szCs w:val="24"/>
              </w:rPr>
              <w:t>š</w:t>
            </w:r>
            <w:r w:rsidR="004133A3">
              <w:rPr>
                <w:rFonts w:ascii="Times New Roman" w:hAnsi="Times New Roman"/>
                <w:sz w:val="24"/>
                <w:szCs w:val="24"/>
              </w:rPr>
              <w:t xml:space="preserve">anas izmaksas </w:t>
            </w:r>
            <w:r w:rsidR="00BF1C8C">
              <w:rPr>
                <w:rFonts w:ascii="Times New Roman" w:hAnsi="Times New Roman"/>
                <w:sz w:val="24"/>
                <w:szCs w:val="24"/>
              </w:rPr>
              <w:t xml:space="preserve">kā tiešās attiecināmās izmaksas, finansējuma saņēmējam tiks dota </w:t>
            </w:r>
            <w:r w:rsidR="00BF1C8C">
              <w:rPr>
                <w:rFonts w:ascii="Times New Roman" w:hAnsi="Times New Roman"/>
                <w:sz w:val="24"/>
                <w:szCs w:val="24"/>
              </w:rPr>
              <w:lastRenderedPageBreak/>
              <w:t>iespēja izvairīties no iespējamiem neparedzētiem un neplānotiem izdevumiem, kas varētu rasties iegādātā materiāltehniskā nodrošinājuma bojājumu rašanās gadījumā, pēc ražotāja vai piegādātāja garantijas apkalpošanas laika beigām.</w:t>
            </w:r>
            <w:r w:rsidR="005164C9">
              <w:rPr>
                <w:rFonts w:ascii="Times New Roman" w:hAnsi="Times New Roman"/>
                <w:sz w:val="24"/>
                <w:szCs w:val="24"/>
              </w:rPr>
              <w:t xml:space="preserve"> </w:t>
            </w:r>
            <w:r w:rsidR="005164C9" w:rsidRPr="00AF1D1A">
              <w:rPr>
                <w:rFonts w:ascii="Times New Roman" w:eastAsia="Times New Roman" w:hAnsi="Times New Roman" w:cs="Times New Roman"/>
                <w:sz w:val="24"/>
                <w:szCs w:val="24"/>
              </w:rPr>
              <w:t>MK noteikumu Nr. 704 28. punktā paredzēts, ka finansējuma saņēmējs materiāltehnisko nodrošinājumu nodod</w:t>
            </w:r>
            <w:r w:rsidR="005164C9" w:rsidRPr="00C36F51">
              <w:rPr>
                <w:rFonts w:ascii="Times New Roman" w:eastAsia="Times New Roman" w:hAnsi="Times New Roman" w:cs="Times New Roman"/>
                <w:sz w:val="24"/>
                <w:szCs w:val="24"/>
              </w:rPr>
              <w:t xml:space="preserve"> </w:t>
            </w:r>
            <w:r w:rsidR="005164C9" w:rsidRPr="00AF1D1A">
              <w:rPr>
                <w:rFonts w:ascii="Times New Roman" w:eastAsia="Times New Roman" w:hAnsi="Times New Roman" w:cs="Times New Roman"/>
                <w:sz w:val="24"/>
                <w:szCs w:val="24"/>
              </w:rPr>
              <w:t>bezatlīdzības lietošanā projekta sadarbības partneriem projekta īstenošanas laikā, noslēdzot līgumus par materiāltehniskā nodrošinājuma nodošanu, un vismaz piecus gadus pēc projekta īstenošanas beigām nodrošina, ka visi projekta ietvaros iegādātie materiāltehniskie līdzekļi ir finansējuma saņēmēja īpašumā. Šādi līgumi ir noslēgti par videokonferenču iekārtām, kas uzstādītas ārpus finansējuma saņēmēja telpām</w:t>
            </w:r>
            <w:r w:rsidR="00DA7292">
              <w:rPr>
                <w:rFonts w:ascii="Times New Roman" w:eastAsia="Times New Roman" w:hAnsi="Times New Roman" w:cs="Times New Roman"/>
                <w:sz w:val="24"/>
                <w:szCs w:val="24"/>
              </w:rPr>
              <w:t>,</w:t>
            </w:r>
            <w:r w:rsidR="005164C9" w:rsidRPr="00AF1D1A">
              <w:rPr>
                <w:rFonts w:ascii="Times New Roman" w:eastAsia="Times New Roman" w:hAnsi="Times New Roman" w:cs="Times New Roman"/>
                <w:sz w:val="24"/>
                <w:szCs w:val="24"/>
              </w:rPr>
              <w:t xml:space="preserve"> un tādējādi apgrūtina iekārtu uzraudzību. Ņemot vērā iepriekš minēto, videokonferenču iekārtu apdrošināšana veicinātu nepieciešamo materiāltehnisko līdzekļu nodrošinājumu pēc ražotāja garantijas beigām. Lai apdrošinātu iekārtas ražotāja garantijas līmenī, kā arī papildus pret trešo pušu prettiesisku rīcību, zibeni, applūšanu un elektroniskajiem riskiem, nepieciešama apdrošināšana ar visu risku segumu.</w:t>
            </w:r>
            <w:r w:rsidR="00D26A07" w:rsidRPr="00AF1D1A">
              <w:rPr>
                <w:rFonts w:ascii="Times New Roman" w:eastAsia="Times New Roman" w:hAnsi="Times New Roman" w:cs="Times New Roman"/>
                <w:sz w:val="24"/>
                <w:szCs w:val="24"/>
              </w:rPr>
              <w:t xml:space="preserve"> </w:t>
            </w:r>
            <w:r w:rsidR="005164C9" w:rsidRPr="00AF1D1A">
              <w:rPr>
                <w:rFonts w:ascii="Times New Roman" w:hAnsi="Times New Roman" w:cs="Times New Roman"/>
                <w:sz w:val="24"/>
                <w:szCs w:val="24"/>
              </w:rPr>
              <w:t>Aptuvenās izmaksas saskaņā ar cenu aptauju ir 670,00 EUR gadā par 19 videokonferenču iekārtām</w:t>
            </w:r>
            <w:r w:rsidR="00D26A07" w:rsidRPr="00AF1D1A">
              <w:rPr>
                <w:rFonts w:ascii="Times New Roman" w:hAnsi="Times New Roman" w:cs="Times New Roman"/>
                <w:sz w:val="24"/>
                <w:szCs w:val="24"/>
              </w:rPr>
              <w:t>, vai aptuveni 4000 EUR līdz projekta beigām (ņemot vērā iekārtu atšķirīgos garantiju beigu termiņus, kā arī iespējamo cenu svārstību un polises cenu pieaugumu)</w:t>
            </w:r>
            <w:r w:rsidR="005164C9" w:rsidRPr="00AF1D1A">
              <w:rPr>
                <w:rFonts w:ascii="Times New Roman" w:hAnsi="Times New Roman" w:cs="Times New Roman"/>
                <w:sz w:val="24"/>
                <w:szCs w:val="24"/>
              </w:rPr>
              <w:t>.</w:t>
            </w:r>
            <w:r w:rsidR="00D26A07" w:rsidRPr="00AF1D1A">
              <w:rPr>
                <w:rFonts w:ascii="Times New Roman" w:hAnsi="Times New Roman" w:cs="Times New Roman"/>
                <w:sz w:val="24"/>
                <w:szCs w:val="24"/>
              </w:rPr>
              <w:t xml:space="preserve"> Videokonferenču iekārtu apdrošināšanas izmaksas iespējams segt no projekta administrēšanas izmaksām saskaņā ar netiešo izmaksu vienoto likmi, līdz ar to ierosinātie grozījumi neatstās ietekmi uz projektu vai sasniedzamajiem rādītājiem.</w:t>
            </w:r>
          </w:p>
          <w:p w14:paraId="3F342BEC" w14:textId="41F5380F" w:rsidR="00906FBB" w:rsidRDefault="00E34894" w:rsidP="00F50447">
            <w:pPr>
              <w:spacing w:line="240" w:lineRule="auto"/>
              <w:jc w:val="both"/>
              <w:rPr>
                <w:rFonts w:ascii="Times New Roman" w:hAnsi="Times New Roman" w:cs="Times New Roman"/>
                <w:sz w:val="24"/>
                <w:szCs w:val="24"/>
              </w:rPr>
            </w:pPr>
            <w:r>
              <w:rPr>
                <w:rFonts w:ascii="Times New Roman" w:hAnsi="Times New Roman"/>
                <w:sz w:val="24"/>
                <w:szCs w:val="24"/>
              </w:rPr>
              <w:t>2)</w:t>
            </w:r>
            <w:r w:rsidR="00A02624">
              <w:rPr>
                <w:rFonts w:ascii="Times New Roman" w:hAnsi="Times New Roman"/>
                <w:sz w:val="24"/>
                <w:szCs w:val="24"/>
              </w:rPr>
              <w:t> </w:t>
            </w:r>
            <w:r>
              <w:rPr>
                <w:rFonts w:ascii="Times New Roman" w:hAnsi="Times New Roman"/>
                <w:sz w:val="24"/>
                <w:szCs w:val="24"/>
              </w:rPr>
              <w:t>Šobrīd saskaņā ar MK noteikumiem Nr</w:t>
            </w:r>
            <w:r w:rsidR="00333FC0">
              <w:rPr>
                <w:rFonts w:ascii="Times New Roman" w:hAnsi="Times New Roman"/>
                <w:sz w:val="24"/>
                <w:szCs w:val="24"/>
              </w:rPr>
              <w:t>. </w:t>
            </w:r>
            <w:r>
              <w:rPr>
                <w:rFonts w:ascii="Times New Roman" w:hAnsi="Times New Roman"/>
                <w:sz w:val="24"/>
                <w:szCs w:val="24"/>
              </w:rPr>
              <w:t xml:space="preserve">704 </w:t>
            </w:r>
            <w:r w:rsidR="003C35A5" w:rsidRPr="00C759ED">
              <w:rPr>
                <w:rFonts w:ascii="Times New Roman" w:hAnsi="Times New Roman"/>
                <w:sz w:val="24"/>
                <w:szCs w:val="24"/>
              </w:rPr>
              <w:t>informācija</w:t>
            </w:r>
            <w:r w:rsidR="003C35A5">
              <w:rPr>
                <w:rFonts w:ascii="Times New Roman" w:hAnsi="Times New Roman"/>
                <w:sz w:val="24"/>
                <w:szCs w:val="24"/>
              </w:rPr>
              <w:t xml:space="preserve"> par Eiropas Sociālā fonda kopējiem tūlītējiem rezultāta rādītājiem ir jāapkopo pēc katra organizētā apmācību pasākuma, neatkarīgi no tā ilguma. Ņemot vērā kopējo specifiskā atbalsta mērķa ietvaros apmācāmo dalībnieku skaitu (komercdarbības vides uzlabošanas sekmēšanai apmācīto tiesām, tiesībsargājošajām institūcijām un tiesu sistēmai piederīgo personu skaits – 11 433) un nepieciešamību veikt dalībnieku apsekošanu </w:t>
            </w:r>
            <w:r w:rsidR="008B5A0E">
              <w:rPr>
                <w:rFonts w:ascii="Times New Roman" w:hAnsi="Times New Roman"/>
                <w:sz w:val="24"/>
                <w:szCs w:val="24"/>
              </w:rPr>
              <w:t xml:space="preserve">arī </w:t>
            </w:r>
            <w:r w:rsidR="003C35A5">
              <w:rPr>
                <w:rFonts w:ascii="Times New Roman" w:hAnsi="Times New Roman"/>
                <w:sz w:val="24"/>
                <w:szCs w:val="24"/>
              </w:rPr>
              <w:t xml:space="preserve">mēnesi pēc mācību noslēguma, lai uzkrātu informāciju par Eiropas Sociālā fonda kopējiem tūlītējiem rezultāta rādītājiem, kā arī plānoto apmācību nozīmīgo skaitu, visu dalībnieku apsekošanai pēc mācību noslēguma nepieciešams patērēt nesamērīgu finansējuma saņēmēja personāla un administratīvā resursa kapacitāti. Ar </w:t>
            </w:r>
            <w:r w:rsidR="00A02624">
              <w:rPr>
                <w:rFonts w:ascii="Times New Roman" w:hAnsi="Times New Roman"/>
                <w:sz w:val="24"/>
                <w:szCs w:val="24"/>
              </w:rPr>
              <w:t xml:space="preserve">noteikumu </w:t>
            </w:r>
            <w:r w:rsidR="003C35A5">
              <w:rPr>
                <w:rFonts w:ascii="Times New Roman" w:hAnsi="Times New Roman"/>
                <w:sz w:val="24"/>
                <w:szCs w:val="24"/>
              </w:rPr>
              <w:t xml:space="preserve">projektu ir paredzēts šādu apsekošanu pēc dalības apmācībās veikt tikai tiem dalībniekiem, kuri ir piedalījušies apmācībās, kuru ilgums pārsniedz 64 apmācību stundas. </w:t>
            </w:r>
            <w:r w:rsidR="00A02624">
              <w:rPr>
                <w:rFonts w:ascii="Times New Roman" w:hAnsi="Times New Roman"/>
                <w:sz w:val="24"/>
                <w:szCs w:val="24"/>
              </w:rPr>
              <w:t>Tādējādi</w:t>
            </w:r>
            <w:r w:rsidR="003C35A5">
              <w:rPr>
                <w:rFonts w:ascii="Times New Roman" w:hAnsi="Times New Roman"/>
                <w:sz w:val="24"/>
                <w:szCs w:val="24"/>
              </w:rPr>
              <w:t xml:space="preserve"> ievērojami tiktu samazināts administratīvais slogs datu ievākšanai gadījumos, kad specifiskā atbalsta mērķa ietvaros tiek īstenotas apmācības, kuru ilgums nepārsniedz 64 apmācību stundas. Šāds nosacījums informācijas uzkrāšanai par Eiropas Sociālā fonda kopējiem tūlītējiem rezultāta rādītājiem ir iestrādāts arī Ministru kabineta 2015. gada 14. jūlija noteikumos Nr.</w:t>
            </w:r>
            <w:r w:rsidR="00333FC0">
              <w:rPr>
                <w:rFonts w:ascii="Times New Roman" w:hAnsi="Times New Roman"/>
                <w:sz w:val="24"/>
                <w:szCs w:val="24"/>
              </w:rPr>
              <w:t> </w:t>
            </w:r>
            <w:r w:rsidR="003C35A5">
              <w:rPr>
                <w:rFonts w:ascii="Times New Roman" w:hAnsi="Times New Roman"/>
                <w:sz w:val="24"/>
                <w:szCs w:val="24"/>
              </w:rPr>
              <w:t xml:space="preserve">389 </w:t>
            </w:r>
            <w:r w:rsidR="00A02624">
              <w:rPr>
                <w:rFonts w:ascii="Times New Roman" w:hAnsi="Times New Roman"/>
                <w:sz w:val="24"/>
                <w:szCs w:val="24"/>
              </w:rPr>
              <w:t>"</w:t>
            </w:r>
            <w:r w:rsidR="003C35A5">
              <w:rPr>
                <w:rFonts w:ascii="Times New Roman" w:hAnsi="Times New Roman"/>
                <w:sz w:val="24"/>
                <w:szCs w:val="24"/>
              </w:rPr>
              <w:t xml:space="preserve">Darbības programmas </w:t>
            </w:r>
            <w:r w:rsidR="00333FC0">
              <w:rPr>
                <w:rFonts w:ascii="Times New Roman" w:hAnsi="Times New Roman"/>
                <w:sz w:val="24"/>
                <w:szCs w:val="24"/>
              </w:rPr>
              <w:t>"</w:t>
            </w:r>
            <w:r w:rsidR="003C35A5">
              <w:rPr>
                <w:rFonts w:ascii="Times New Roman" w:hAnsi="Times New Roman"/>
                <w:sz w:val="24"/>
                <w:szCs w:val="24"/>
              </w:rPr>
              <w:t>Izaugsme un nodarbinātība</w:t>
            </w:r>
            <w:r w:rsidR="00333FC0">
              <w:rPr>
                <w:rFonts w:ascii="Times New Roman" w:hAnsi="Times New Roman"/>
                <w:sz w:val="24"/>
                <w:szCs w:val="24"/>
              </w:rPr>
              <w:t>"</w:t>
            </w:r>
            <w:r w:rsidR="003C35A5">
              <w:rPr>
                <w:rFonts w:ascii="Times New Roman" w:hAnsi="Times New Roman"/>
                <w:sz w:val="24"/>
                <w:szCs w:val="24"/>
              </w:rPr>
              <w:t xml:space="preserve"> </w:t>
            </w:r>
            <w:r w:rsidR="003C35A5">
              <w:rPr>
                <w:rFonts w:ascii="Times New Roman" w:hAnsi="Times New Roman"/>
                <w:sz w:val="24"/>
                <w:szCs w:val="24"/>
              </w:rPr>
              <w:lastRenderedPageBreak/>
              <w:t xml:space="preserve">3.4.2. specifiskā atbalsta mērķa </w:t>
            </w:r>
            <w:r w:rsidR="00333FC0">
              <w:rPr>
                <w:rFonts w:ascii="Times New Roman" w:hAnsi="Times New Roman"/>
                <w:sz w:val="24"/>
                <w:szCs w:val="24"/>
              </w:rPr>
              <w:t>"</w:t>
            </w:r>
            <w:r w:rsidR="003C35A5">
              <w:rPr>
                <w:rFonts w:ascii="Times New Roman" w:hAnsi="Times New Roman"/>
                <w:sz w:val="24"/>
                <w:szCs w:val="24"/>
              </w:rPr>
              <w:t>Valsts pārvaldes profesionālā pilnveide</w:t>
            </w:r>
            <w:r w:rsidR="0013148A">
              <w:rPr>
                <w:rFonts w:ascii="Times New Roman" w:hAnsi="Times New Roman"/>
                <w:sz w:val="24"/>
                <w:szCs w:val="24"/>
              </w:rPr>
              <w:t>, publisko pakalpojumu</w:t>
            </w:r>
            <w:r w:rsidR="003C35A5">
              <w:rPr>
                <w:rFonts w:ascii="Times New Roman" w:hAnsi="Times New Roman"/>
                <w:sz w:val="24"/>
                <w:szCs w:val="24"/>
              </w:rPr>
              <w:t xml:space="preserve"> un sociālā dialoga attīstība </w:t>
            </w:r>
            <w:r w:rsidR="00E73993">
              <w:rPr>
                <w:rFonts w:ascii="Times New Roman" w:hAnsi="Times New Roman"/>
                <w:sz w:val="24"/>
                <w:szCs w:val="24"/>
              </w:rPr>
              <w:t xml:space="preserve">mazo un vidējo komersantu atbalsta, </w:t>
            </w:r>
            <w:r w:rsidR="003C35A5">
              <w:rPr>
                <w:rFonts w:ascii="Times New Roman" w:hAnsi="Times New Roman"/>
                <w:sz w:val="24"/>
                <w:szCs w:val="24"/>
              </w:rPr>
              <w:t xml:space="preserve">korupcijas novēršanas un ēnu ekonomikas mazināšanas </w:t>
            </w:r>
            <w:r w:rsidR="00E73993">
              <w:rPr>
                <w:rFonts w:ascii="Times New Roman" w:hAnsi="Times New Roman"/>
                <w:sz w:val="24"/>
                <w:szCs w:val="24"/>
              </w:rPr>
              <w:t>sekmēšanai</w:t>
            </w:r>
            <w:r w:rsidR="00333FC0">
              <w:rPr>
                <w:rFonts w:ascii="Times New Roman" w:hAnsi="Times New Roman"/>
                <w:sz w:val="24"/>
                <w:szCs w:val="24"/>
              </w:rPr>
              <w:t>"</w:t>
            </w:r>
            <w:r w:rsidR="003C35A5">
              <w:rPr>
                <w:rFonts w:ascii="Times New Roman" w:hAnsi="Times New Roman"/>
                <w:sz w:val="24"/>
                <w:szCs w:val="24"/>
              </w:rPr>
              <w:t xml:space="preserve"> 3.4.2.1. pasākuma </w:t>
            </w:r>
            <w:r w:rsidR="00333FC0">
              <w:rPr>
                <w:rFonts w:ascii="Times New Roman" w:hAnsi="Times New Roman"/>
                <w:sz w:val="24"/>
                <w:szCs w:val="24"/>
              </w:rPr>
              <w:t>"</w:t>
            </w:r>
            <w:r w:rsidR="003C35A5">
              <w:rPr>
                <w:rFonts w:ascii="Times New Roman" w:hAnsi="Times New Roman"/>
                <w:sz w:val="24"/>
                <w:szCs w:val="24"/>
              </w:rPr>
              <w:t>Valsts pārvaldes profesionālā pilnveide labāka tiesiskā regulējuma izstrādē mazo un vidējo komersantu atbalsta, korupcijas novēršanas un ēnu ekonomikas mazināšanas jomās</w:t>
            </w:r>
            <w:r w:rsidR="00333FC0">
              <w:rPr>
                <w:rFonts w:ascii="Times New Roman" w:hAnsi="Times New Roman"/>
                <w:sz w:val="24"/>
                <w:szCs w:val="24"/>
              </w:rPr>
              <w:t>"</w:t>
            </w:r>
            <w:r w:rsidR="003C35A5">
              <w:rPr>
                <w:rFonts w:ascii="Times New Roman" w:hAnsi="Times New Roman"/>
                <w:sz w:val="24"/>
                <w:szCs w:val="24"/>
              </w:rPr>
              <w:t xml:space="preserve"> īstenošanas noteikumi</w:t>
            </w:r>
            <w:r w:rsidR="00333FC0">
              <w:rPr>
                <w:rFonts w:ascii="Times New Roman" w:hAnsi="Times New Roman"/>
                <w:sz w:val="24"/>
                <w:szCs w:val="24"/>
              </w:rPr>
              <w:t>"</w:t>
            </w:r>
            <w:r w:rsidR="003C35A5">
              <w:rPr>
                <w:rFonts w:ascii="Times New Roman" w:hAnsi="Times New Roman"/>
                <w:sz w:val="24"/>
                <w:szCs w:val="24"/>
              </w:rPr>
              <w:t xml:space="preserve"> </w:t>
            </w:r>
            <w:r w:rsidR="00F50447">
              <w:rPr>
                <w:rFonts w:ascii="Times New Roman" w:hAnsi="Times New Roman"/>
                <w:sz w:val="24"/>
                <w:szCs w:val="24"/>
              </w:rPr>
              <w:t xml:space="preserve">(turpmāk – MK noteikumi Nr. 389) </w:t>
            </w:r>
            <w:r w:rsidR="003C35A5">
              <w:rPr>
                <w:rFonts w:ascii="Times New Roman" w:hAnsi="Times New Roman"/>
                <w:sz w:val="24"/>
                <w:szCs w:val="24"/>
              </w:rPr>
              <w:t>(</w:t>
            </w:r>
            <w:bookmarkStart w:id="2" w:name="_Hlk509582509"/>
            <w:r w:rsidR="003C35A5">
              <w:rPr>
                <w:rFonts w:ascii="Times New Roman" w:hAnsi="Times New Roman"/>
                <w:sz w:val="24"/>
                <w:szCs w:val="24"/>
              </w:rPr>
              <w:t>24.5. </w:t>
            </w:r>
            <w:r w:rsidR="00816866">
              <w:rPr>
                <w:rFonts w:ascii="Times New Roman" w:hAnsi="Times New Roman"/>
                <w:sz w:val="24"/>
                <w:szCs w:val="24"/>
              </w:rPr>
              <w:t>apakš</w:t>
            </w:r>
            <w:r w:rsidR="003C35A5">
              <w:rPr>
                <w:rFonts w:ascii="Times New Roman" w:hAnsi="Times New Roman"/>
                <w:sz w:val="24"/>
                <w:szCs w:val="24"/>
              </w:rPr>
              <w:t>punkts</w:t>
            </w:r>
            <w:bookmarkEnd w:id="2"/>
            <w:r w:rsidR="003C35A5">
              <w:rPr>
                <w:rFonts w:ascii="Times New Roman" w:hAnsi="Times New Roman"/>
                <w:sz w:val="24"/>
                <w:szCs w:val="24"/>
              </w:rPr>
              <w:t>).</w:t>
            </w:r>
            <w:r w:rsidR="006B03BF">
              <w:rPr>
                <w:rFonts w:ascii="Times New Roman" w:hAnsi="Times New Roman"/>
                <w:sz w:val="24"/>
                <w:szCs w:val="24"/>
              </w:rPr>
              <w:t xml:space="preserve"> Lai nodrošinātu vienotu pieeju dalībnieku datu uzskaitei Darbības programmas "Izaugsme un nodarbinātība" 3. prioritārā virziena </w:t>
            </w:r>
            <w:r w:rsidR="006A4FAA">
              <w:rPr>
                <w:rFonts w:ascii="Times New Roman" w:hAnsi="Times New Roman"/>
                <w:sz w:val="24"/>
                <w:szCs w:val="24"/>
              </w:rPr>
              <w:t>(</w:t>
            </w:r>
            <w:r w:rsidR="006B03BF">
              <w:rPr>
                <w:rFonts w:ascii="Times New Roman" w:hAnsi="Times New Roman"/>
                <w:sz w:val="24"/>
                <w:szCs w:val="24"/>
              </w:rPr>
              <w:t>"</w:t>
            </w:r>
            <w:r w:rsidR="006B03BF" w:rsidRPr="006A4FAA">
              <w:rPr>
                <w:rFonts w:ascii="Times New Roman" w:hAnsi="Times New Roman"/>
                <w:sz w:val="24"/>
                <w:szCs w:val="24"/>
              </w:rPr>
              <w:t>Mazo un vidējo komersantu konkurētspēja"</w:t>
            </w:r>
            <w:r w:rsidR="006A4FAA" w:rsidRPr="006A4FAA">
              <w:rPr>
                <w:rFonts w:ascii="Times New Roman" w:hAnsi="Times New Roman"/>
                <w:sz w:val="24"/>
                <w:szCs w:val="24"/>
              </w:rPr>
              <w:t>)</w:t>
            </w:r>
            <w:r w:rsidR="006B03BF" w:rsidRPr="006A4FAA">
              <w:rPr>
                <w:rFonts w:ascii="Times New Roman" w:hAnsi="Times New Roman"/>
                <w:sz w:val="24"/>
                <w:szCs w:val="24"/>
              </w:rPr>
              <w:t xml:space="preserve"> ietvaros, </w:t>
            </w:r>
            <w:r w:rsidR="006A4FAA" w:rsidRPr="006A4FAA">
              <w:rPr>
                <w:rFonts w:ascii="Times New Roman" w:hAnsi="Times New Roman"/>
                <w:sz w:val="24"/>
                <w:szCs w:val="24"/>
              </w:rPr>
              <w:t xml:space="preserve">būtu nepieciešams paredzēt vienotus </w:t>
            </w:r>
            <w:r w:rsidR="006A4FAA">
              <w:rPr>
                <w:rFonts w:ascii="Times New Roman" w:hAnsi="Times New Roman"/>
                <w:sz w:val="24"/>
                <w:szCs w:val="24"/>
              </w:rPr>
              <w:t xml:space="preserve">nosacījumus dalībnieku uzskaitīšanai gan specifiskā atbalsta mērķa </w:t>
            </w:r>
            <w:r w:rsidR="006A4FAA" w:rsidRPr="006A4FAA">
              <w:rPr>
                <w:rFonts w:ascii="Times New Roman" w:hAnsi="Times New Roman"/>
                <w:sz w:val="24"/>
                <w:szCs w:val="24"/>
              </w:rPr>
              <w:t xml:space="preserve">3.4.1. (Paaugstināt tiesu un </w:t>
            </w:r>
            <w:r w:rsidR="006A4FAA" w:rsidRPr="00F50447">
              <w:rPr>
                <w:rFonts w:ascii="Times New Roman" w:hAnsi="Times New Roman" w:cs="Times New Roman"/>
                <w:sz w:val="24"/>
                <w:szCs w:val="24"/>
              </w:rPr>
              <w:t xml:space="preserve">tiesībsargājošo institūciju personāla kompetenci komercdarbības vides uzlabošanas sekmēšanai), gan </w:t>
            </w:r>
            <w:r w:rsidR="00027C6E" w:rsidRPr="00F50447">
              <w:rPr>
                <w:rFonts w:ascii="Times New Roman" w:hAnsi="Times New Roman" w:cs="Times New Roman"/>
                <w:sz w:val="24"/>
                <w:szCs w:val="24"/>
              </w:rPr>
              <w:t xml:space="preserve">specifiskā atbalsta mērķa </w:t>
            </w:r>
            <w:r w:rsidR="006A4FAA" w:rsidRPr="00F50447">
              <w:rPr>
                <w:rFonts w:ascii="Times New Roman" w:hAnsi="Times New Roman" w:cs="Times New Roman"/>
                <w:sz w:val="24"/>
                <w:szCs w:val="24"/>
              </w:rPr>
              <w:t xml:space="preserve">3.4.2. (Valsts pārvaldes profesionālā pilnveide, publisko pakalpojumu un sociālā dialoga attīstība mazo un vidējo komersantu atbalsta, korupcijas novēršanas un ēnu ekonomikas mazināšanas sekmēšanai) </w:t>
            </w:r>
            <w:r w:rsidR="000E37C7">
              <w:rPr>
                <w:rFonts w:ascii="Times New Roman" w:hAnsi="Times New Roman" w:cs="Times New Roman"/>
                <w:sz w:val="24"/>
                <w:szCs w:val="24"/>
              </w:rPr>
              <w:t xml:space="preserve">(turpmāk – SAM 3.4.2.) </w:t>
            </w:r>
            <w:r w:rsidR="006A4FAA" w:rsidRPr="00F50447">
              <w:rPr>
                <w:rFonts w:ascii="Times New Roman" w:hAnsi="Times New Roman" w:cs="Times New Roman"/>
                <w:sz w:val="24"/>
                <w:szCs w:val="24"/>
              </w:rPr>
              <w:t xml:space="preserve">ietvaros. </w:t>
            </w:r>
            <w:r w:rsidR="00F11BE8" w:rsidRPr="00AF1D1A">
              <w:rPr>
                <w:rFonts w:ascii="Times New Roman" w:hAnsi="Times New Roman" w:cs="Times New Roman"/>
                <w:sz w:val="24"/>
                <w:szCs w:val="24"/>
              </w:rPr>
              <w:t>Pr</w:t>
            </w:r>
            <w:r w:rsidR="00F50447" w:rsidRPr="00AF1D1A">
              <w:rPr>
                <w:rFonts w:ascii="Times New Roman" w:hAnsi="Times New Roman" w:cs="Times New Roman"/>
                <w:sz w:val="24"/>
                <w:szCs w:val="24"/>
              </w:rPr>
              <w:t xml:space="preserve">ojekta </w:t>
            </w:r>
            <w:r w:rsidR="00906FBB">
              <w:rPr>
                <w:rFonts w:ascii="Times New Roman" w:hAnsi="Times New Roman" w:cs="Times New Roman"/>
                <w:sz w:val="24"/>
                <w:szCs w:val="24"/>
              </w:rPr>
              <w:t>"</w:t>
            </w:r>
            <w:r w:rsidR="00F50447" w:rsidRPr="00AF1D1A">
              <w:rPr>
                <w:rFonts w:ascii="Times New Roman" w:hAnsi="Times New Roman" w:cs="Times New Roman"/>
                <w:sz w:val="24"/>
                <w:szCs w:val="24"/>
              </w:rPr>
              <w:t>Justīcija attīstībai</w:t>
            </w:r>
            <w:r w:rsidR="00906FBB">
              <w:rPr>
                <w:rFonts w:ascii="Times New Roman" w:hAnsi="Times New Roman" w:cs="Times New Roman"/>
                <w:sz w:val="24"/>
                <w:szCs w:val="24"/>
              </w:rPr>
              <w:t>"</w:t>
            </w:r>
            <w:r w:rsidR="00F50447" w:rsidRPr="00AF1D1A">
              <w:rPr>
                <w:rFonts w:ascii="Times New Roman" w:hAnsi="Times New Roman" w:cs="Times New Roman"/>
                <w:sz w:val="24"/>
                <w:szCs w:val="24"/>
              </w:rPr>
              <w:t xml:space="preserve"> īstenošanas laikā MK noteikumi Nr. 389 tiek izmantoti kā vadlīnijas gadījumos, kad konkrēts regulējums nav ietverts MK noteikumos Nr.</w:t>
            </w:r>
            <w:r w:rsidR="003014C0">
              <w:rPr>
                <w:rFonts w:ascii="Times New Roman" w:hAnsi="Times New Roman" w:cs="Times New Roman"/>
                <w:sz w:val="24"/>
                <w:szCs w:val="24"/>
              </w:rPr>
              <w:t> </w:t>
            </w:r>
            <w:r w:rsidR="00F50447" w:rsidRPr="00AF1D1A">
              <w:rPr>
                <w:rFonts w:ascii="Times New Roman" w:hAnsi="Times New Roman" w:cs="Times New Roman"/>
                <w:sz w:val="24"/>
                <w:szCs w:val="24"/>
              </w:rPr>
              <w:t>704</w:t>
            </w:r>
            <w:r w:rsidR="00906FBB">
              <w:rPr>
                <w:rFonts w:ascii="Times New Roman" w:hAnsi="Times New Roman" w:cs="Times New Roman"/>
                <w:sz w:val="24"/>
                <w:szCs w:val="24"/>
              </w:rPr>
              <w:t>,</w:t>
            </w:r>
            <w:r w:rsidR="00F11BE8" w:rsidRPr="00AF1D1A">
              <w:rPr>
                <w:rFonts w:ascii="Times New Roman" w:hAnsi="Times New Roman" w:cs="Times New Roman"/>
                <w:sz w:val="24"/>
                <w:szCs w:val="24"/>
              </w:rPr>
              <w:t xml:space="preserve"> tai skaitā </w:t>
            </w:r>
            <w:r w:rsidR="00F50447" w:rsidRPr="00AF1D1A">
              <w:rPr>
                <w:rFonts w:ascii="Times New Roman" w:hAnsi="Times New Roman" w:cs="Times New Roman"/>
                <w:sz w:val="24"/>
                <w:szCs w:val="24"/>
              </w:rPr>
              <w:t xml:space="preserve">arī apmācību stundu ierobežojumam datu uzkrāšanai par tūlītējiem rezultāta rādītājiem, kas ievērojami atvieglotu administratīvo </w:t>
            </w:r>
            <w:r w:rsidR="00F50447" w:rsidRPr="00412DA8">
              <w:rPr>
                <w:rFonts w:ascii="Times New Roman" w:hAnsi="Times New Roman" w:cs="Times New Roman"/>
                <w:sz w:val="24"/>
                <w:szCs w:val="24"/>
              </w:rPr>
              <w:t xml:space="preserve">slogu datu uzkrāšanas kontekstā. </w:t>
            </w:r>
            <w:r w:rsidR="000E37C7" w:rsidRPr="00412DA8">
              <w:rPr>
                <w:rFonts w:ascii="Times New Roman" w:hAnsi="Times New Roman" w:cs="Times New Roman"/>
                <w:sz w:val="24"/>
                <w:szCs w:val="24"/>
              </w:rPr>
              <w:t>Par SAM 3.4.2. atbildīgā iestāde</w:t>
            </w:r>
            <w:r w:rsidR="005349F6">
              <w:rPr>
                <w:rFonts w:ascii="Times New Roman" w:hAnsi="Times New Roman" w:cs="Times New Roman"/>
                <w:sz w:val="24"/>
                <w:szCs w:val="24"/>
              </w:rPr>
              <w:t xml:space="preserve"> (Valsts kanceleja)</w:t>
            </w:r>
            <w:r w:rsidR="000E37C7" w:rsidRPr="00412DA8">
              <w:rPr>
                <w:rFonts w:ascii="Times New Roman" w:hAnsi="Times New Roman" w:cs="Times New Roman"/>
                <w:sz w:val="24"/>
                <w:szCs w:val="24"/>
              </w:rPr>
              <w:t>, analizējot</w:t>
            </w:r>
            <w:r w:rsidR="005349F6">
              <w:rPr>
                <w:rStyle w:val="Vresatsauce"/>
                <w:rFonts w:ascii="Times New Roman" w:hAnsi="Times New Roman" w:cs="Times New Roman"/>
                <w:sz w:val="24"/>
                <w:szCs w:val="24"/>
              </w:rPr>
              <w:footnoteReference w:id="2"/>
            </w:r>
            <w:r w:rsidR="000E37C7" w:rsidRPr="00412DA8">
              <w:rPr>
                <w:rFonts w:ascii="Times New Roman" w:hAnsi="Times New Roman" w:cs="Times New Roman"/>
                <w:sz w:val="24"/>
                <w:szCs w:val="24"/>
              </w:rPr>
              <w:t xml:space="preserve"> valsts pārvaldē pieejamās mācības</w:t>
            </w:r>
            <w:r w:rsidR="00C93E5E" w:rsidRPr="00412DA8">
              <w:rPr>
                <w:rFonts w:ascii="Times New Roman" w:hAnsi="Times New Roman" w:cs="Times New Roman"/>
                <w:sz w:val="24"/>
                <w:szCs w:val="24"/>
              </w:rPr>
              <w:t xml:space="preserve"> un to vidējo ilgumu</w:t>
            </w:r>
            <w:r w:rsidR="000E37C7" w:rsidRPr="00412DA8">
              <w:rPr>
                <w:rFonts w:ascii="Times New Roman" w:hAnsi="Times New Roman" w:cs="Times New Roman"/>
                <w:sz w:val="24"/>
                <w:szCs w:val="24"/>
              </w:rPr>
              <w:t>, konstatēja, ka mācību, kuru ilgums ir 4-16 apmācību stundas</w:t>
            </w:r>
            <w:r w:rsidR="00C93E5E" w:rsidRPr="00412DA8">
              <w:rPr>
                <w:rFonts w:ascii="Times New Roman" w:hAnsi="Times New Roman" w:cs="Times New Roman"/>
                <w:sz w:val="24"/>
                <w:szCs w:val="24"/>
              </w:rPr>
              <w:t>, tūlītēja ietekme nav izmērāma, savukārt mācības, kuru ilgums ir vismaz 64 apmācību stundas</w:t>
            </w:r>
            <w:r w:rsidR="00FD7728">
              <w:rPr>
                <w:rFonts w:ascii="Times New Roman" w:hAnsi="Times New Roman" w:cs="Times New Roman"/>
                <w:sz w:val="24"/>
                <w:szCs w:val="24"/>
              </w:rPr>
              <w:t>,</w:t>
            </w:r>
            <w:r w:rsidR="00C93E5E" w:rsidRPr="00412DA8">
              <w:rPr>
                <w:rFonts w:ascii="Times New Roman" w:hAnsi="Times New Roman" w:cs="Times New Roman"/>
                <w:sz w:val="24"/>
                <w:szCs w:val="24"/>
              </w:rPr>
              <w:t xml:space="preserve"> varētu uzskatīt par optimālo, lai veiksmīgi atspoguļotu izmaiņas raksturlielumos, ko mēra Eiropas Sociālā fonda kopējie tūlītējie rezultāta rādītāji. </w:t>
            </w:r>
            <w:r w:rsidR="00F50447" w:rsidRPr="00412DA8">
              <w:rPr>
                <w:rFonts w:ascii="Times New Roman" w:hAnsi="Times New Roman" w:cs="Times New Roman"/>
                <w:sz w:val="24"/>
                <w:szCs w:val="24"/>
              </w:rPr>
              <w:t>Projektā</w:t>
            </w:r>
            <w:r w:rsidR="00C36F51">
              <w:rPr>
                <w:rFonts w:ascii="Times New Roman" w:hAnsi="Times New Roman" w:cs="Times New Roman"/>
                <w:sz w:val="24"/>
                <w:szCs w:val="24"/>
              </w:rPr>
              <w:t xml:space="preserve"> "Justīcija attīstībai"</w:t>
            </w:r>
            <w:r w:rsidR="00F50447" w:rsidRPr="00AF1D1A">
              <w:rPr>
                <w:rFonts w:ascii="Times New Roman" w:hAnsi="Times New Roman" w:cs="Times New Roman"/>
                <w:sz w:val="24"/>
                <w:szCs w:val="24"/>
              </w:rPr>
              <w:t xml:space="preserve"> noteiktie uzraudzības rādītāji ir finanšu rādītājs, iznākuma rādītājs un rezultāta rādītājs. Nosakot ierobežojumu 64 apmācību stundas datu uzkrāšanai par </w:t>
            </w:r>
            <w:r w:rsidR="00F50447" w:rsidRPr="00AF1D1A">
              <w:rPr>
                <w:rFonts w:ascii="Times New Roman" w:hAnsi="Times New Roman" w:cs="Times New Roman"/>
                <w:sz w:val="24"/>
                <w:szCs w:val="24"/>
                <w:u w:val="single"/>
              </w:rPr>
              <w:t>tūlītējiem</w:t>
            </w:r>
            <w:r w:rsidR="00F50447" w:rsidRPr="00AF1D1A">
              <w:rPr>
                <w:rFonts w:ascii="Times New Roman" w:hAnsi="Times New Roman" w:cs="Times New Roman"/>
                <w:sz w:val="24"/>
                <w:szCs w:val="24"/>
              </w:rPr>
              <w:t xml:space="preserve"> rezultāta rādītājiem, netiks ietekmēta projekta uzraudzības rādītāju sasniegšana. Plānotas sekojošas mācības, kuras norisināsies ilgāk par 64 stundām: </w:t>
            </w:r>
          </w:p>
          <w:p w14:paraId="5E5A21FE" w14:textId="2B1A78BC" w:rsidR="00906FBB" w:rsidRDefault="00F50447" w:rsidP="00F50447">
            <w:pPr>
              <w:spacing w:line="240" w:lineRule="auto"/>
              <w:jc w:val="both"/>
              <w:rPr>
                <w:rFonts w:ascii="Times New Roman" w:eastAsia="Times New Roman" w:hAnsi="Times New Roman" w:cs="Times New Roman"/>
                <w:sz w:val="24"/>
                <w:szCs w:val="24"/>
              </w:rPr>
            </w:pPr>
            <w:r w:rsidRPr="00AF1D1A">
              <w:rPr>
                <w:rFonts w:ascii="Times New Roman" w:hAnsi="Times New Roman" w:cs="Times New Roman"/>
                <w:sz w:val="24"/>
                <w:szCs w:val="24"/>
              </w:rPr>
              <w:t>1)</w:t>
            </w:r>
            <w:r w:rsidR="00906FBB">
              <w:rPr>
                <w:rFonts w:ascii="Times New Roman" w:hAnsi="Times New Roman" w:cs="Times New Roman"/>
                <w:sz w:val="24"/>
                <w:szCs w:val="24"/>
              </w:rPr>
              <w:t> </w:t>
            </w:r>
            <w:r w:rsidRPr="00AF1D1A">
              <w:rPr>
                <w:rFonts w:ascii="Times New Roman" w:eastAsia="Times New Roman" w:hAnsi="Times New Roman" w:cs="Times New Roman"/>
                <w:sz w:val="24"/>
                <w:szCs w:val="24"/>
              </w:rPr>
              <w:t xml:space="preserve">Tiesu nolēmumu un citu procesuālo dokumentu sagatavošana TIESU PRAKSES VISPĀRINĀJUMU (APKOPOJUMU, PĒTĪJUMU) VEIKŠANAS METODOLOĢIJA – 80 akadēmiskās stundas.  Saskaņā ar noslēgto līgumu (LTMC TA2017/2/B/ESF par mācību nodrošināšanu par Tiesu un </w:t>
            </w:r>
            <w:r w:rsidRPr="00AF1D1A">
              <w:rPr>
                <w:rFonts w:ascii="Times New Roman" w:eastAsia="Times New Roman" w:hAnsi="Times New Roman" w:cs="Times New Roman"/>
                <w:sz w:val="24"/>
                <w:szCs w:val="24"/>
              </w:rPr>
              <w:lastRenderedPageBreak/>
              <w:t>tiesībaizsardzības iestāžu labu pārvaldību) šajās mācībās paredzēts apmācīt 30 person</w:t>
            </w:r>
            <w:r w:rsidR="00906FBB">
              <w:rPr>
                <w:rFonts w:ascii="Times New Roman" w:eastAsia="Times New Roman" w:hAnsi="Times New Roman" w:cs="Times New Roman"/>
                <w:sz w:val="24"/>
                <w:szCs w:val="24"/>
              </w:rPr>
              <w:t>as</w:t>
            </w:r>
            <w:r w:rsidR="00F11BE8" w:rsidRPr="00AF1D1A">
              <w:rPr>
                <w:rFonts w:ascii="Times New Roman" w:eastAsia="Times New Roman" w:hAnsi="Times New Roman" w:cs="Times New Roman"/>
                <w:sz w:val="24"/>
                <w:szCs w:val="24"/>
              </w:rPr>
              <w:t>;</w:t>
            </w:r>
            <w:r w:rsidRPr="00AF1D1A">
              <w:rPr>
                <w:rFonts w:ascii="Times New Roman" w:eastAsia="Times New Roman" w:hAnsi="Times New Roman" w:cs="Times New Roman"/>
                <w:sz w:val="24"/>
                <w:szCs w:val="24"/>
              </w:rPr>
              <w:t xml:space="preserve"> </w:t>
            </w:r>
          </w:p>
          <w:p w14:paraId="4C2D5586" w14:textId="31968D6E" w:rsidR="00906FBB" w:rsidRDefault="00F50447" w:rsidP="00F50447">
            <w:pPr>
              <w:spacing w:line="240" w:lineRule="auto"/>
              <w:jc w:val="both"/>
              <w:rPr>
                <w:rFonts w:ascii="Times New Roman" w:eastAsia="Times New Roman" w:hAnsi="Times New Roman" w:cs="Times New Roman"/>
                <w:sz w:val="24"/>
                <w:szCs w:val="24"/>
              </w:rPr>
            </w:pPr>
            <w:r w:rsidRPr="00AF1D1A">
              <w:rPr>
                <w:rFonts w:ascii="Times New Roman" w:eastAsia="Times New Roman" w:hAnsi="Times New Roman" w:cs="Times New Roman"/>
                <w:sz w:val="24"/>
                <w:szCs w:val="24"/>
              </w:rPr>
              <w:t>2)</w:t>
            </w:r>
            <w:r w:rsidR="00906FBB">
              <w:rPr>
                <w:rFonts w:ascii="Times New Roman" w:eastAsia="Times New Roman" w:hAnsi="Times New Roman" w:cs="Times New Roman"/>
                <w:sz w:val="24"/>
                <w:szCs w:val="24"/>
              </w:rPr>
              <w:t> </w:t>
            </w:r>
            <w:r w:rsidRPr="00AF1D1A">
              <w:rPr>
                <w:rFonts w:ascii="Times New Roman" w:eastAsia="Times New Roman" w:hAnsi="Times New Roman" w:cs="Times New Roman"/>
                <w:sz w:val="24"/>
                <w:szCs w:val="24"/>
              </w:rPr>
              <w:t>Tiesnešu amata kandidātu, jauno tiesnešu un jauno tiesu darbinieku iemaņu pilnveide TIESNEŠU AMATA KANDIDĀTU MĀCĪBAS</w:t>
            </w:r>
            <w:r w:rsidR="00F11BE8" w:rsidRPr="00AF1D1A">
              <w:rPr>
                <w:rFonts w:ascii="Times New Roman" w:eastAsia="Times New Roman" w:hAnsi="Times New Roman" w:cs="Times New Roman"/>
                <w:sz w:val="24"/>
                <w:szCs w:val="24"/>
              </w:rPr>
              <w:t xml:space="preserve"> </w:t>
            </w:r>
            <w:r w:rsidRPr="00AF1D1A">
              <w:rPr>
                <w:rFonts w:ascii="Times New Roman" w:eastAsia="Times New Roman" w:hAnsi="Times New Roman" w:cs="Times New Roman"/>
                <w:sz w:val="24"/>
                <w:szCs w:val="24"/>
              </w:rPr>
              <w:t>– 256 akadēmiskās stundas. Saskaņā ar noslēgto līgumu (LTMC TA2017/2/B/ESF par mācību nodrošināšanu par Tiesu un tiesībaizsardzības iestāžu labu pārvaldību) šajās mācībās paredzēts apmācīt 45 personas</w:t>
            </w:r>
            <w:r w:rsidR="00F11BE8" w:rsidRPr="00AF1D1A">
              <w:rPr>
                <w:rFonts w:ascii="Times New Roman" w:eastAsia="Times New Roman" w:hAnsi="Times New Roman" w:cs="Times New Roman"/>
                <w:sz w:val="24"/>
                <w:szCs w:val="24"/>
              </w:rPr>
              <w:t xml:space="preserve">; </w:t>
            </w:r>
          </w:p>
          <w:p w14:paraId="09DE28D9" w14:textId="4528922D" w:rsidR="00906FBB" w:rsidRDefault="00F50447" w:rsidP="00F50447">
            <w:pPr>
              <w:spacing w:line="240" w:lineRule="auto"/>
              <w:jc w:val="both"/>
              <w:rPr>
                <w:rFonts w:ascii="Times New Roman" w:eastAsia="Times New Roman" w:hAnsi="Times New Roman" w:cs="Times New Roman"/>
                <w:sz w:val="24"/>
                <w:szCs w:val="24"/>
              </w:rPr>
            </w:pPr>
            <w:r w:rsidRPr="00AF1D1A">
              <w:rPr>
                <w:rFonts w:ascii="Times New Roman" w:eastAsia="Times New Roman" w:hAnsi="Times New Roman" w:cs="Times New Roman"/>
                <w:sz w:val="24"/>
                <w:szCs w:val="24"/>
              </w:rPr>
              <w:t>3)</w:t>
            </w:r>
            <w:r w:rsidR="00906FBB">
              <w:rPr>
                <w:rFonts w:ascii="Times New Roman" w:eastAsia="Times New Roman" w:hAnsi="Times New Roman" w:cs="Times New Roman"/>
                <w:sz w:val="24"/>
                <w:szCs w:val="24"/>
              </w:rPr>
              <w:t> </w:t>
            </w:r>
            <w:r w:rsidRPr="00AF1D1A">
              <w:rPr>
                <w:rFonts w:ascii="Times New Roman" w:eastAsia="Times New Roman" w:hAnsi="Times New Roman" w:cs="Times New Roman"/>
                <w:sz w:val="24"/>
                <w:szCs w:val="24"/>
              </w:rPr>
              <w:t>Juridiskā angļu valoda – trīs mācību semestri, katrā semestrī 64 akadēmiskās stundas. Saskaņā ar noslēgto līgumu (ar Latvijas Universitāti 4.2-13/44-18 par juridisko svešvalodu apguves mācību pakalpojumu nodrošināšanu) šajās mācībās paredzēts apmācīt 500 personu</w:t>
            </w:r>
            <w:r w:rsidR="00F11BE8" w:rsidRPr="00AF1D1A">
              <w:rPr>
                <w:rFonts w:ascii="Times New Roman" w:eastAsia="Times New Roman" w:hAnsi="Times New Roman" w:cs="Times New Roman"/>
                <w:sz w:val="24"/>
                <w:szCs w:val="24"/>
              </w:rPr>
              <w:t xml:space="preserve">; </w:t>
            </w:r>
          </w:p>
          <w:p w14:paraId="4C9D55EC" w14:textId="407CA0D7" w:rsidR="00906FBB" w:rsidRDefault="00F50447" w:rsidP="00F50447">
            <w:pPr>
              <w:spacing w:line="240" w:lineRule="auto"/>
              <w:jc w:val="both"/>
              <w:rPr>
                <w:rFonts w:ascii="Times New Roman" w:eastAsia="Times New Roman" w:hAnsi="Times New Roman" w:cs="Times New Roman"/>
                <w:sz w:val="24"/>
                <w:szCs w:val="24"/>
              </w:rPr>
            </w:pPr>
            <w:r w:rsidRPr="00AF1D1A">
              <w:rPr>
                <w:rFonts w:ascii="Times New Roman" w:eastAsia="Times New Roman" w:hAnsi="Times New Roman" w:cs="Times New Roman"/>
                <w:sz w:val="24"/>
                <w:szCs w:val="24"/>
              </w:rPr>
              <w:t>4)</w:t>
            </w:r>
            <w:r w:rsidR="00906FBB">
              <w:rPr>
                <w:rFonts w:ascii="Times New Roman" w:eastAsia="Times New Roman" w:hAnsi="Times New Roman" w:cs="Times New Roman"/>
                <w:sz w:val="24"/>
                <w:szCs w:val="24"/>
              </w:rPr>
              <w:t> </w:t>
            </w:r>
            <w:r w:rsidRPr="00AF1D1A">
              <w:rPr>
                <w:rFonts w:ascii="Times New Roman" w:eastAsia="Times New Roman" w:hAnsi="Times New Roman" w:cs="Times New Roman"/>
                <w:sz w:val="24"/>
                <w:szCs w:val="24"/>
              </w:rPr>
              <w:t>Juridiskā vācu valoda - trīs mācību semestri, katrā semestrī 64 akadēmiskās stundas. Saskaņā ar noslēgto līgumu (ar Latvijas Universitāti 4.2-13/44-18 par juridisko svešvalodu apguves mācību pakalpojumu nodrošināšanu) šajās mācībās paredzēts apmācīt 175 personas</w:t>
            </w:r>
            <w:r w:rsidR="00F11BE8" w:rsidRPr="00AF1D1A">
              <w:rPr>
                <w:rFonts w:ascii="Times New Roman" w:eastAsia="Times New Roman" w:hAnsi="Times New Roman" w:cs="Times New Roman"/>
                <w:sz w:val="24"/>
                <w:szCs w:val="24"/>
              </w:rPr>
              <w:t xml:space="preserve">; </w:t>
            </w:r>
          </w:p>
          <w:p w14:paraId="46B5C276" w14:textId="08331F71" w:rsidR="004D15A9" w:rsidRPr="003C35A5" w:rsidRDefault="00F50447" w:rsidP="00F50447">
            <w:pPr>
              <w:spacing w:line="240" w:lineRule="auto"/>
              <w:jc w:val="both"/>
              <w:rPr>
                <w:rFonts w:ascii="Times New Roman" w:hAnsi="Times New Roman" w:cs="Times New Roman"/>
                <w:sz w:val="24"/>
                <w:szCs w:val="24"/>
              </w:rPr>
            </w:pPr>
            <w:r w:rsidRPr="00AF1D1A">
              <w:rPr>
                <w:rFonts w:ascii="Times New Roman" w:eastAsia="Times New Roman" w:hAnsi="Times New Roman" w:cs="Times New Roman"/>
                <w:sz w:val="24"/>
                <w:szCs w:val="24"/>
              </w:rPr>
              <w:t>5)</w:t>
            </w:r>
            <w:r w:rsidR="00906FBB">
              <w:rPr>
                <w:rFonts w:ascii="Times New Roman" w:eastAsia="Times New Roman" w:hAnsi="Times New Roman" w:cs="Times New Roman"/>
                <w:sz w:val="24"/>
                <w:szCs w:val="24"/>
              </w:rPr>
              <w:t> </w:t>
            </w:r>
            <w:r w:rsidRPr="00AF1D1A">
              <w:rPr>
                <w:rFonts w:ascii="Times New Roman" w:eastAsia="Times New Roman" w:hAnsi="Times New Roman" w:cs="Times New Roman"/>
                <w:sz w:val="24"/>
                <w:szCs w:val="24"/>
              </w:rPr>
              <w:t>Juridiskā franču valoda - trīs mācību semestri, katrā semestrī 64 akadēmiskās stundas. Saskaņā ar noslēgto līgumu (ar Latvijas Universitāti 4.2-13/44-18 par juridisko svešvalodu apguves</w:t>
            </w:r>
            <w:r w:rsidRPr="00F11BE8">
              <w:rPr>
                <w:rFonts w:ascii="Times New Roman" w:eastAsia="Times New Roman" w:hAnsi="Times New Roman" w:cs="Times New Roman"/>
                <w:b/>
                <w:sz w:val="24"/>
                <w:szCs w:val="24"/>
              </w:rPr>
              <w:t xml:space="preserve"> </w:t>
            </w:r>
            <w:r w:rsidRPr="00AF1D1A">
              <w:rPr>
                <w:rFonts w:ascii="Times New Roman" w:eastAsia="Times New Roman" w:hAnsi="Times New Roman" w:cs="Times New Roman"/>
                <w:sz w:val="24"/>
                <w:szCs w:val="24"/>
              </w:rPr>
              <w:t>mācību pakalpojumu nodrošināšanu) šajās mācībās paredzēts apmācīt 75 personas.</w:t>
            </w:r>
          </w:p>
        </w:tc>
      </w:tr>
      <w:tr w:rsidR="00DA326E" w:rsidRPr="00BC2633" w14:paraId="214060C9" w14:textId="77777777" w:rsidTr="0097481A">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727B131C"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3.</w:t>
            </w:r>
          </w:p>
        </w:tc>
        <w:tc>
          <w:tcPr>
            <w:tcW w:w="1364" w:type="pct"/>
            <w:tcBorders>
              <w:top w:val="outset" w:sz="6" w:space="0" w:color="414142"/>
              <w:left w:val="outset" w:sz="6" w:space="0" w:color="414142"/>
              <w:bottom w:val="outset" w:sz="6" w:space="0" w:color="414142"/>
              <w:right w:val="outset" w:sz="6" w:space="0" w:color="414142"/>
            </w:tcBorders>
            <w:hideMark/>
          </w:tcPr>
          <w:p w14:paraId="7699116E"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izstrādē iesaistītās institūcijas</w:t>
            </w:r>
            <w:r w:rsidR="00A1552F">
              <w:rPr>
                <w:rFonts w:ascii="Times New Roman" w:eastAsia="Times New Roman" w:hAnsi="Times New Roman" w:cs="Times New Roman"/>
                <w:sz w:val="24"/>
                <w:szCs w:val="24"/>
                <w:lang w:eastAsia="lv-LV"/>
              </w:rPr>
              <w:t xml:space="preserve"> </w:t>
            </w:r>
            <w:r w:rsidR="00A1552F" w:rsidRPr="00A1552F">
              <w:rPr>
                <w:rFonts w:ascii="Times New Roman" w:eastAsia="Times New Roman" w:hAnsi="Times New Roman" w:cs="Times New Roman"/>
                <w:sz w:val="24"/>
                <w:szCs w:val="24"/>
                <w:lang w:eastAsia="lv-LV"/>
              </w:rPr>
              <w:t>un publiskas personas kapitālsabiedrības</w:t>
            </w:r>
          </w:p>
        </w:tc>
        <w:tc>
          <w:tcPr>
            <w:tcW w:w="3436" w:type="pct"/>
            <w:tcBorders>
              <w:top w:val="outset" w:sz="6" w:space="0" w:color="414142"/>
              <w:left w:val="outset" w:sz="6" w:space="0" w:color="414142"/>
              <w:bottom w:val="outset" w:sz="6" w:space="0" w:color="414142"/>
              <w:right w:val="outset" w:sz="6" w:space="0" w:color="414142"/>
            </w:tcBorders>
            <w:hideMark/>
          </w:tcPr>
          <w:p w14:paraId="693E9754" w14:textId="77777777" w:rsidR="004D15A9" w:rsidRPr="00BC2633" w:rsidRDefault="0076774D"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projektu izstrādāja </w:t>
            </w:r>
            <w:r w:rsidR="00C35244">
              <w:rPr>
                <w:rFonts w:ascii="Times New Roman" w:eastAsia="Times New Roman" w:hAnsi="Times New Roman" w:cs="Times New Roman"/>
                <w:sz w:val="24"/>
                <w:szCs w:val="24"/>
                <w:lang w:eastAsia="lv-LV"/>
              </w:rPr>
              <w:t>Tieslietu ministrija</w:t>
            </w:r>
            <w:r>
              <w:rPr>
                <w:rFonts w:ascii="Times New Roman" w:eastAsia="Times New Roman" w:hAnsi="Times New Roman" w:cs="Times New Roman"/>
                <w:sz w:val="24"/>
                <w:szCs w:val="24"/>
                <w:lang w:eastAsia="lv-LV"/>
              </w:rPr>
              <w:t>.</w:t>
            </w:r>
          </w:p>
        </w:tc>
      </w:tr>
      <w:tr w:rsidR="00DA326E" w:rsidRPr="00BC2633" w14:paraId="2CB40C86" w14:textId="77777777" w:rsidTr="0097481A">
        <w:tc>
          <w:tcPr>
            <w:tcW w:w="200" w:type="pct"/>
            <w:tcBorders>
              <w:top w:val="outset" w:sz="6" w:space="0" w:color="414142"/>
              <w:left w:val="outset" w:sz="6" w:space="0" w:color="414142"/>
              <w:bottom w:val="outset" w:sz="6" w:space="0" w:color="414142"/>
              <w:right w:val="outset" w:sz="6" w:space="0" w:color="414142"/>
            </w:tcBorders>
            <w:hideMark/>
          </w:tcPr>
          <w:p w14:paraId="3DCDCEBE"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364" w:type="pct"/>
            <w:tcBorders>
              <w:top w:val="outset" w:sz="6" w:space="0" w:color="414142"/>
              <w:left w:val="outset" w:sz="6" w:space="0" w:color="414142"/>
              <w:bottom w:val="outset" w:sz="6" w:space="0" w:color="414142"/>
              <w:right w:val="outset" w:sz="6" w:space="0" w:color="414142"/>
            </w:tcBorders>
            <w:hideMark/>
          </w:tcPr>
          <w:p w14:paraId="1B81330E"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436" w:type="pct"/>
            <w:tcBorders>
              <w:top w:val="outset" w:sz="6" w:space="0" w:color="414142"/>
              <w:left w:val="outset" w:sz="6" w:space="0" w:color="414142"/>
              <w:bottom w:val="outset" w:sz="6" w:space="0" w:color="414142"/>
              <w:right w:val="outset" w:sz="6" w:space="0" w:color="414142"/>
            </w:tcBorders>
            <w:hideMark/>
          </w:tcPr>
          <w:p w14:paraId="4690665E" w14:textId="23F93342" w:rsidR="004D15A9" w:rsidRPr="00BC2633" w:rsidRDefault="004D15A9" w:rsidP="001C5969">
            <w:pPr>
              <w:spacing w:after="0" w:line="240" w:lineRule="auto"/>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Nav</w:t>
            </w:r>
            <w:r w:rsidR="00816866">
              <w:rPr>
                <w:rFonts w:ascii="Times New Roman" w:eastAsia="Times New Roman" w:hAnsi="Times New Roman" w:cs="Times New Roman"/>
                <w:sz w:val="24"/>
                <w:szCs w:val="24"/>
                <w:lang w:eastAsia="lv-LV"/>
              </w:rPr>
              <w:t>.</w:t>
            </w:r>
          </w:p>
        </w:tc>
      </w:tr>
      <w:tr w:rsidR="005D4E8A" w:rsidRPr="00BC2633" w14:paraId="53CA004E" w14:textId="77777777" w:rsidTr="00070184">
        <w:trPr>
          <w:trHeight w:val="128"/>
        </w:trPr>
        <w:tc>
          <w:tcPr>
            <w:tcW w:w="5000" w:type="pct"/>
            <w:gridSpan w:val="3"/>
            <w:tcBorders>
              <w:top w:val="outset" w:sz="6" w:space="0" w:color="414142"/>
              <w:left w:val="nil"/>
              <w:bottom w:val="outset" w:sz="6" w:space="0" w:color="414142"/>
              <w:right w:val="nil"/>
            </w:tcBorders>
          </w:tcPr>
          <w:p w14:paraId="12514B7F" w14:textId="77777777" w:rsidR="00031256" w:rsidRPr="00BC2633"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b/>
            </w:r>
          </w:p>
        </w:tc>
      </w:tr>
      <w:tr w:rsidR="00BC2633" w:rsidRPr="00BC2633" w14:paraId="067AAAD6" w14:textId="77777777" w:rsidTr="00070184">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14:paraId="077AA0E2"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DA326E" w:rsidRPr="00BC2633" w14:paraId="4FE61D51" w14:textId="77777777" w:rsidTr="006B03BF">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2AF89814"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64" w:type="pct"/>
            <w:tcBorders>
              <w:top w:val="outset" w:sz="6" w:space="0" w:color="414142"/>
              <w:left w:val="outset" w:sz="6" w:space="0" w:color="414142"/>
              <w:bottom w:val="outset" w:sz="6" w:space="0" w:color="414142"/>
              <w:right w:val="outset" w:sz="6" w:space="0" w:color="414142"/>
            </w:tcBorders>
            <w:hideMark/>
          </w:tcPr>
          <w:p w14:paraId="1DEF03EB"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mērķgrupas, kuras tiesiskais regulējums ietekmē vai varētu ietekmēt</w:t>
            </w:r>
          </w:p>
        </w:tc>
        <w:tc>
          <w:tcPr>
            <w:tcW w:w="3436" w:type="pct"/>
            <w:tcBorders>
              <w:top w:val="outset" w:sz="6" w:space="0" w:color="414142"/>
              <w:left w:val="outset" w:sz="6" w:space="0" w:color="414142"/>
              <w:bottom w:val="outset" w:sz="6" w:space="0" w:color="414142"/>
              <w:right w:val="outset" w:sz="6" w:space="0" w:color="414142"/>
            </w:tcBorders>
            <w:hideMark/>
          </w:tcPr>
          <w:p w14:paraId="7576213D" w14:textId="37488A93" w:rsidR="004D15A9" w:rsidRPr="00BC2633" w:rsidRDefault="0090634A"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Finansējuma </w:t>
            </w:r>
            <w:r w:rsidR="009B7CC9">
              <w:rPr>
                <w:rFonts w:ascii="Times New Roman" w:eastAsia="Times New Roman" w:hAnsi="Times New Roman" w:cs="Times New Roman"/>
                <w:sz w:val="24"/>
                <w:szCs w:val="24"/>
                <w:lang w:eastAsia="lv-LV"/>
              </w:rPr>
              <w:t>saņēmējs.</w:t>
            </w:r>
          </w:p>
        </w:tc>
      </w:tr>
      <w:tr w:rsidR="00DA326E" w:rsidRPr="00BC2633" w14:paraId="2220D8E7" w14:textId="77777777" w:rsidTr="006B03BF">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49FF8584" w14:textId="77777777" w:rsidR="004D15A9" w:rsidRPr="00BC2633" w:rsidRDefault="009B7CC9"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4D15A9" w:rsidRPr="00BC2633">
              <w:rPr>
                <w:rFonts w:ascii="Times New Roman" w:eastAsia="Times New Roman" w:hAnsi="Times New Roman" w:cs="Times New Roman"/>
                <w:sz w:val="24"/>
                <w:szCs w:val="24"/>
                <w:lang w:eastAsia="lv-LV"/>
              </w:rPr>
              <w:t>2.</w:t>
            </w:r>
          </w:p>
        </w:tc>
        <w:tc>
          <w:tcPr>
            <w:tcW w:w="1364" w:type="pct"/>
            <w:tcBorders>
              <w:top w:val="outset" w:sz="6" w:space="0" w:color="414142"/>
              <w:left w:val="outset" w:sz="6" w:space="0" w:color="414142"/>
              <w:bottom w:val="outset" w:sz="6" w:space="0" w:color="414142"/>
              <w:right w:val="outset" w:sz="6" w:space="0" w:color="414142"/>
            </w:tcBorders>
            <w:hideMark/>
          </w:tcPr>
          <w:p w14:paraId="6AB1F1AA"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Tiesiskā regulējuma ietekme uz tautsaimniecību un administratīvo slogu</w:t>
            </w:r>
          </w:p>
        </w:tc>
        <w:tc>
          <w:tcPr>
            <w:tcW w:w="3436" w:type="pct"/>
            <w:tcBorders>
              <w:top w:val="outset" w:sz="6" w:space="0" w:color="414142"/>
              <w:left w:val="outset" w:sz="6" w:space="0" w:color="414142"/>
              <w:bottom w:val="outset" w:sz="6" w:space="0" w:color="414142"/>
              <w:right w:val="outset" w:sz="6" w:space="0" w:color="414142"/>
            </w:tcBorders>
            <w:hideMark/>
          </w:tcPr>
          <w:p w14:paraId="4791095C" w14:textId="0D9729B4" w:rsidR="004D15A9" w:rsidRPr="00BC2633" w:rsidRDefault="00CE4CD6"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Administratīvais slogs finansējuma saņēmējam tiks ievērojami samazināts, jo </w:t>
            </w:r>
            <w:r w:rsidR="00516F48">
              <w:rPr>
                <w:rFonts w:ascii="Times New Roman" w:eastAsia="Times New Roman" w:hAnsi="Times New Roman" w:cs="Times New Roman"/>
                <w:sz w:val="24"/>
                <w:szCs w:val="24"/>
                <w:lang w:eastAsia="lv-LV"/>
              </w:rPr>
              <w:t xml:space="preserve">būtiski samazinās datu apkopošanai nepieciešamos laika resursus. </w:t>
            </w:r>
          </w:p>
        </w:tc>
      </w:tr>
      <w:tr w:rsidR="00DA326E" w:rsidRPr="00BC2633" w14:paraId="5DB86BC0" w14:textId="77777777" w:rsidTr="006B03BF">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612DDE86"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364" w:type="pct"/>
            <w:tcBorders>
              <w:top w:val="outset" w:sz="6" w:space="0" w:color="414142"/>
              <w:left w:val="outset" w:sz="6" w:space="0" w:color="414142"/>
              <w:bottom w:val="outset" w:sz="6" w:space="0" w:color="414142"/>
              <w:right w:val="outset" w:sz="6" w:space="0" w:color="414142"/>
            </w:tcBorders>
            <w:hideMark/>
          </w:tcPr>
          <w:p w14:paraId="37BE94E5"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Administratīvo izmaksu monetārs novērtējums</w:t>
            </w:r>
          </w:p>
        </w:tc>
        <w:tc>
          <w:tcPr>
            <w:tcW w:w="3436" w:type="pct"/>
            <w:tcBorders>
              <w:top w:val="outset" w:sz="6" w:space="0" w:color="414142"/>
              <w:left w:val="outset" w:sz="6" w:space="0" w:color="414142"/>
              <w:bottom w:val="outset" w:sz="6" w:space="0" w:color="414142"/>
              <w:right w:val="outset" w:sz="6" w:space="0" w:color="414142"/>
            </w:tcBorders>
            <w:hideMark/>
          </w:tcPr>
          <w:p w14:paraId="2562E358" w14:textId="579DCDA5" w:rsidR="004D15A9" w:rsidRPr="00BC2633" w:rsidRDefault="001877F3"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Administratīvo izmaksu monetārs novērtējums nav </w:t>
            </w:r>
            <w:r w:rsidR="00CE4CD6">
              <w:rPr>
                <w:rFonts w:ascii="Times New Roman" w:eastAsia="Times New Roman" w:hAnsi="Times New Roman" w:cs="Times New Roman"/>
                <w:sz w:val="24"/>
                <w:szCs w:val="24"/>
                <w:lang w:eastAsia="lv-LV"/>
              </w:rPr>
              <w:t>nosakāms, jo izmaiņas galvenokārt ietekmēs datu apkopošanai nepieciešamo laiku</w:t>
            </w:r>
            <w:r w:rsidR="00333FC0">
              <w:rPr>
                <w:rFonts w:ascii="Times New Roman" w:eastAsia="Times New Roman" w:hAnsi="Times New Roman" w:cs="Times New Roman"/>
                <w:sz w:val="24"/>
                <w:szCs w:val="24"/>
                <w:lang w:eastAsia="lv-LV"/>
              </w:rPr>
              <w:t>, ko varēs lietderīgi izmantot citu projektā paredzēto darbību kvalitatīvākai izpildei</w:t>
            </w:r>
            <w:r w:rsidR="00CE4CD6">
              <w:rPr>
                <w:rFonts w:ascii="Times New Roman" w:eastAsia="Times New Roman" w:hAnsi="Times New Roman" w:cs="Times New Roman"/>
                <w:sz w:val="24"/>
                <w:szCs w:val="24"/>
                <w:lang w:eastAsia="lv-LV"/>
              </w:rPr>
              <w:t>.</w:t>
            </w:r>
          </w:p>
        </w:tc>
      </w:tr>
      <w:tr w:rsidR="00DA326E" w:rsidRPr="00BC2633" w14:paraId="029C5A03" w14:textId="77777777" w:rsidTr="006B03BF">
        <w:trPr>
          <w:trHeight w:val="510"/>
        </w:trPr>
        <w:tc>
          <w:tcPr>
            <w:tcW w:w="200" w:type="pct"/>
            <w:tcBorders>
              <w:top w:val="outset" w:sz="6" w:space="0" w:color="414142"/>
              <w:left w:val="outset" w:sz="6" w:space="0" w:color="414142"/>
              <w:bottom w:val="outset" w:sz="6" w:space="0" w:color="414142"/>
              <w:right w:val="outset" w:sz="6" w:space="0" w:color="414142"/>
            </w:tcBorders>
          </w:tcPr>
          <w:p w14:paraId="070A9B37" w14:textId="77777777" w:rsidR="00A1552F" w:rsidRPr="00BC2633" w:rsidRDefault="00A1552F"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364" w:type="pct"/>
            <w:tcBorders>
              <w:top w:val="outset" w:sz="6" w:space="0" w:color="414142"/>
              <w:left w:val="outset" w:sz="6" w:space="0" w:color="414142"/>
              <w:bottom w:val="outset" w:sz="6" w:space="0" w:color="414142"/>
              <w:right w:val="outset" w:sz="6" w:space="0" w:color="414142"/>
            </w:tcBorders>
          </w:tcPr>
          <w:p w14:paraId="3CF14720" w14:textId="77777777" w:rsidR="00A1552F" w:rsidRPr="00BC2633" w:rsidRDefault="00A1552F" w:rsidP="00DA596D">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Atbilstības izmaksu monetārs novērtējums</w:t>
            </w:r>
          </w:p>
        </w:tc>
        <w:tc>
          <w:tcPr>
            <w:tcW w:w="3436" w:type="pct"/>
            <w:tcBorders>
              <w:top w:val="outset" w:sz="6" w:space="0" w:color="414142"/>
              <w:left w:val="outset" w:sz="6" w:space="0" w:color="414142"/>
              <w:bottom w:val="outset" w:sz="6" w:space="0" w:color="414142"/>
              <w:right w:val="outset" w:sz="6" w:space="0" w:color="414142"/>
            </w:tcBorders>
          </w:tcPr>
          <w:p w14:paraId="0F426EAB" w14:textId="77777777" w:rsidR="00A1552F" w:rsidRPr="00BC2633" w:rsidRDefault="0052183F"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šo jomu neskar</w:t>
            </w:r>
            <w:r w:rsidR="00E9181C">
              <w:rPr>
                <w:rFonts w:ascii="Times New Roman" w:eastAsia="Times New Roman" w:hAnsi="Times New Roman" w:cs="Times New Roman"/>
                <w:sz w:val="24"/>
                <w:szCs w:val="24"/>
                <w:lang w:eastAsia="lv-LV"/>
              </w:rPr>
              <w:t>.</w:t>
            </w:r>
          </w:p>
        </w:tc>
      </w:tr>
      <w:tr w:rsidR="00DA326E" w:rsidRPr="00BC2633" w14:paraId="2A33A9B8" w14:textId="77777777" w:rsidTr="006B03BF">
        <w:trPr>
          <w:trHeight w:val="345"/>
        </w:trPr>
        <w:tc>
          <w:tcPr>
            <w:tcW w:w="200" w:type="pct"/>
            <w:tcBorders>
              <w:top w:val="outset" w:sz="6" w:space="0" w:color="414142"/>
              <w:left w:val="outset" w:sz="6" w:space="0" w:color="414142"/>
              <w:bottom w:val="outset" w:sz="6" w:space="0" w:color="414142"/>
              <w:right w:val="outset" w:sz="6" w:space="0" w:color="414142"/>
            </w:tcBorders>
            <w:hideMark/>
          </w:tcPr>
          <w:p w14:paraId="4335C7EE" w14:textId="77777777" w:rsidR="004D15A9" w:rsidRPr="00BC2633" w:rsidRDefault="00A1552F"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5</w:t>
            </w:r>
            <w:r w:rsidR="004D15A9" w:rsidRPr="00BC2633">
              <w:rPr>
                <w:rFonts w:ascii="Times New Roman" w:eastAsia="Times New Roman" w:hAnsi="Times New Roman" w:cs="Times New Roman"/>
                <w:sz w:val="24"/>
                <w:szCs w:val="24"/>
                <w:lang w:eastAsia="lv-LV"/>
              </w:rPr>
              <w:t>.</w:t>
            </w:r>
          </w:p>
        </w:tc>
        <w:tc>
          <w:tcPr>
            <w:tcW w:w="1364" w:type="pct"/>
            <w:tcBorders>
              <w:top w:val="outset" w:sz="6" w:space="0" w:color="414142"/>
              <w:left w:val="outset" w:sz="6" w:space="0" w:color="414142"/>
              <w:bottom w:val="outset" w:sz="6" w:space="0" w:color="414142"/>
              <w:right w:val="outset" w:sz="6" w:space="0" w:color="414142"/>
            </w:tcBorders>
            <w:hideMark/>
          </w:tcPr>
          <w:p w14:paraId="0143E111"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436" w:type="pct"/>
            <w:tcBorders>
              <w:top w:val="outset" w:sz="6" w:space="0" w:color="414142"/>
              <w:left w:val="outset" w:sz="6" w:space="0" w:color="414142"/>
              <w:bottom w:val="outset" w:sz="6" w:space="0" w:color="414142"/>
              <w:right w:val="outset" w:sz="6" w:space="0" w:color="414142"/>
            </w:tcBorders>
            <w:hideMark/>
          </w:tcPr>
          <w:p w14:paraId="241DE700" w14:textId="77777777" w:rsidR="004D15A9" w:rsidRPr="00BC2633" w:rsidRDefault="00CE4CD6"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1B02B819" w14:textId="77777777" w:rsidR="00070184" w:rsidRDefault="00070184" w:rsidP="00070184">
      <w:pPr>
        <w:spacing w:after="0" w:line="240" w:lineRule="auto"/>
        <w:ind w:firstLine="300"/>
        <w:jc w:val="center"/>
        <w:rPr>
          <w:rFonts w:ascii="Times New Roman" w:eastAsia="Times New Roman" w:hAnsi="Times New Roman" w:cs="Times New Roman"/>
          <w:b/>
          <w:bCs/>
          <w:sz w:val="24"/>
          <w:szCs w:val="24"/>
          <w:lang w:eastAsia="lv-LV"/>
        </w:rPr>
      </w:pPr>
    </w:p>
    <w:tbl>
      <w:tblPr>
        <w:tblW w:w="5013" w:type="pct"/>
        <w:tblInd w:w="-16"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7"/>
        <w:gridCol w:w="454"/>
        <w:gridCol w:w="2520"/>
        <w:gridCol w:w="6098"/>
      </w:tblGrid>
      <w:tr w:rsidR="001877F3" w:rsidRPr="00BC2633" w14:paraId="617C209D" w14:textId="77777777" w:rsidTr="001877F3">
        <w:trPr>
          <w:gridBefore w:val="1"/>
          <w:wBefore w:w="7" w:type="dxa"/>
          <w:trHeight w:val="420"/>
        </w:trPr>
        <w:tc>
          <w:tcPr>
            <w:tcW w:w="9072" w:type="dxa"/>
            <w:gridSpan w:val="3"/>
            <w:tcBorders>
              <w:top w:val="outset" w:sz="6" w:space="0" w:color="414142"/>
              <w:left w:val="outset" w:sz="6" w:space="0" w:color="414142"/>
              <w:bottom w:val="outset" w:sz="6" w:space="0" w:color="414142"/>
              <w:right w:val="outset" w:sz="6" w:space="0" w:color="414142"/>
            </w:tcBorders>
            <w:vAlign w:val="center"/>
            <w:hideMark/>
          </w:tcPr>
          <w:p w14:paraId="525D5469" w14:textId="77777777" w:rsidR="001877F3" w:rsidRPr="00BC2633" w:rsidRDefault="001877F3" w:rsidP="000933D9">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III. Tiesību akta projekta ietekme uz valsts budžetu un pašvaldību budžetiem</w:t>
            </w:r>
          </w:p>
        </w:tc>
      </w:tr>
      <w:tr w:rsidR="001877F3" w:rsidRPr="00BC2633" w14:paraId="6DCE2B1E" w14:textId="77777777" w:rsidTr="006B03BF">
        <w:trPr>
          <w:gridBefore w:val="1"/>
          <w:wBefore w:w="7" w:type="dxa"/>
          <w:trHeight w:val="318"/>
        </w:trPr>
        <w:tc>
          <w:tcPr>
            <w:tcW w:w="9072" w:type="dxa"/>
            <w:gridSpan w:val="3"/>
            <w:tcBorders>
              <w:top w:val="outset" w:sz="6" w:space="0" w:color="414142"/>
              <w:left w:val="outset" w:sz="6" w:space="0" w:color="414142"/>
              <w:bottom w:val="outset" w:sz="6" w:space="0" w:color="414142"/>
              <w:right w:val="outset" w:sz="6" w:space="0" w:color="414142"/>
            </w:tcBorders>
            <w:vAlign w:val="center"/>
          </w:tcPr>
          <w:p w14:paraId="71FC0EBC" w14:textId="77777777" w:rsidR="001877F3" w:rsidRDefault="0052183F" w:rsidP="000933D9">
            <w:pPr>
              <w:spacing w:after="0" w:line="240" w:lineRule="auto"/>
              <w:ind w:firstLine="300"/>
              <w:jc w:val="center"/>
              <w:rPr>
                <w:rFonts w:ascii="Times New Roman" w:eastAsia="Times New Roman" w:hAnsi="Times New Roman" w:cs="Times New Roman"/>
                <w:b/>
                <w:bCs/>
                <w:sz w:val="24"/>
                <w:szCs w:val="24"/>
                <w:lang w:eastAsia="lv-LV"/>
              </w:rPr>
            </w:pPr>
            <w:r w:rsidRPr="00816866">
              <w:rPr>
                <w:rFonts w:ascii="Times New Roman" w:eastAsia="Times New Roman" w:hAnsi="Times New Roman" w:cs="Times New Roman"/>
                <w:sz w:val="24"/>
                <w:lang w:eastAsia="lv-LV"/>
              </w:rPr>
              <w:t>Noteikumu p</w:t>
            </w:r>
            <w:r w:rsidR="001877F3" w:rsidRPr="00816866">
              <w:rPr>
                <w:rFonts w:ascii="Times New Roman" w:eastAsia="Times New Roman" w:hAnsi="Times New Roman" w:cs="Times New Roman"/>
                <w:sz w:val="24"/>
                <w:lang w:eastAsia="lv-LV"/>
              </w:rPr>
              <w:t>rojekts šo jomu neskar.</w:t>
            </w:r>
          </w:p>
        </w:tc>
      </w:tr>
      <w:tr w:rsidR="0059057E" w:rsidRPr="00BC2633" w14:paraId="0B911570" w14:textId="77777777" w:rsidTr="006B03BF">
        <w:trPr>
          <w:trHeight w:val="229"/>
        </w:trPr>
        <w:tc>
          <w:tcPr>
            <w:tcW w:w="9079" w:type="dxa"/>
            <w:gridSpan w:val="4"/>
            <w:tcBorders>
              <w:top w:val="single" w:sz="4" w:space="0" w:color="auto"/>
              <w:left w:val="nil"/>
              <w:bottom w:val="nil"/>
              <w:right w:val="nil"/>
            </w:tcBorders>
            <w:vAlign w:val="center"/>
          </w:tcPr>
          <w:p w14:paraId="19592299" w14:textId="77777777" w:rsidR="001877F3" w:rsidRDefault="001877F3" w:rsidP="002C1656">
            <w:pPr>
              <w:spacing w:after="0" w:line="240" w:lineRule="auto"/>
              <w:rPr>
                <w:rFonts w:ascii="Times New Roman" w:eastAsia="Times New Roman" w:hAnsi="Times New Roman" w:cs="Times New Roman"/>
                <w:b/>
                <w:bCs/>
                <w:sz w:val="24"/>
                <w:szCs w:val="24"/>
                <w:lang w:eastAsia="lv-LV"/>
              </w:rPr>
            </w:pPr>
          </w:p>
        </w:tc>
      </w:tr>
      <w:tr w:rsidR="001877F3" w:rsidRPr="00BC2633" w14:paraId="3006582A" w14:textId="77777777" w:rsidTr="006B03BF">
        <w:trPr>
          <w:gridBefore w:val="1"/>
          <w:wBefore w:w="7" w:type="dxa"/>
          <w:trHeight w:val="420"/>
        </w:trPr>
        <w:tc>
          <w:tcPr>
            <w:tcW w:w="9072" w:type="dxa"/>
            <w:gridSpan w:val="3"/>
            <w:tcBorders>
              <w:top w:val="outset" w:sz="6" w:space="0" w:color="414142"/>
              <w:left w:val="outset" w:sz="6" w:space="0" w:color="414142"/>
              <w:bottom w:val="outset" w:sz="6" w:space="0" w:color="414142"/>
              <w:right w:val="outset" w:sz="6" w:space="0" w:color="414142"/>
            </w:tcBorders>
            <w:vAlign w:val="center"/>
            <w:hideMark/>
          </w:tcPr>
          <w:p w14:paraId="57F01299" w14:textId="77777777" w:rsidR="001877F3" w:rsidRPr="00BC2633" w:rsidRDefault="001877F3" w:rsidP="001877F3">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IV. Tiesību akta projekta ietekme uz spēkā esošo tiesību normu sistēmu</w:t>
            </w:r>
          </w:p>
        </w:tc>
      </w:tr>
      <w:tr w:rsidR="001877F3" w:rsidRPr="00BC2633" w14:paraId="553C70D4" w14:textId="77777777" w:rsidTr="006B03BF">
        <w:trPr>
          <w:gridBefore w:val="1"/>
          <w:wBefore w:w="7" w:type="dxa"/>
          <w:trHeight w:val="505"/>
        </w:trPr>
        <w:tc>
          <w:tcPr>
            <w:tcW w:w="9072" w:type="dxa"/>
            <w:gridSpan w:val="3"/>
            <w:tcBorders>
              <w:top w:val="outset" w:sz="6" w:space="0" w:color="414142"/>
              <w:left w:val="outset" w:sz="6" w:space="0" w:color="414142"/>
              <w:bottom w:val="single" w:sz="4" w:space="0" w:color="auto"/>
              <w:right w:val="outset" w:sz="6" w:space="0" w:color="414142"/>
            </w:tcBorders>
            <w:vAlign w:val="center"/>
          </w:tcPr>
          <w:p w14:paraId="7E712243" w14:textId="77777777" w:rsidR="001877F3" w:rsidRDefault="0052183F" w:rsidP="000933D9">
            <w:pPr>
              <w:spacing w:after="0" w:line="240" w:lineRule="auto"/>
              <w:ind w:firstLine="300"/>
              <w:jc w:val="center"/>
              <w:rPr>
                <w:rFonts w:ascii="Times New Roman" w:eastAsia="Times New Roman" w:hAnsi="Times New Roman" w:cs="Times New Roman"/>
                <w:b/>
                <w:bCs/>
                <w:sz w:val="24"/>
                <w:szCs w:val="24"/>
                <w:lang w:eastAsia="lv-LV"/>
              </w:rPr>
            </w:pPr>
            <w:r w:rsidRPr="00816866">
              <w:rPr>
                <w:rFonts w:ascii="Times New Roman" w:eastAsia="Times New Roman" w:hAnsi="Times New Roman" w:cs="Times New Roman"/>
                <w:sz w:val="24"/>
                <w:lang w:eastAsia="lv-LV"/>
              </w:rPr>
              <w:t>Noteikumu p</w:t>
            </w:r>
            <w:r w:rsidR="001877F3" w:rsidRPr="00816866">
              <w:rPr>
                <w:rFonts w:ascii="Times New Roman" w:eastAsia="Times New Roman" w:hAnsi="Times New Roman" w:cs="Times New Roman"/>
                <w:sz w:val="24"/>
                <w:lang w:eastAsia="lv-LV"/>
              </w:rPr>
              <w:t>rojekts šo jomu neskar.</w:t>
            </w:r>
          </w:p>
        </w:tc>
      </w:tr>
      <w:tr w:rsidR="0076774D" w:rsidRPr="00BC2633" w14:paraId="384DD2F3" w14:textId="77777777" w:rsidTr="006B03BF">
        <w:trPr>
          <w:gridBefore w:val="1"/>
          <w:wBefore w:w="7" w:type="dxa"/>
          <w:trHeight w:val="420"/>
        </w:trPr>
        <w:tc>
          <w:tcPr>
            <w:tcW w:w="9072" w:type="dxa"/>
            <w:gridSpan w:val="3"/>
            <w:tcBorders>
              <w:top w:val="single" w:sz="4" w:space="0" w:color="auto"/>
              <w:left w:val="nil"/>
              <w:bottom w:val="nil"/>
              <w:right w:val="nil"/>
            </w:tcBorders>
            <w:vAlign w:val="center"/>
          </w:tcPr>
          <w:p w14:paraId="0AC16509" w14:textId="77777777" w:rsidR="0076774D" w:rsidRPr="001877F3" w:rsidRDefault="0076774D" w:rsidP="000933D9">
            <w:pPr>
              <w:spacing w:after="0" w:line="240" w:lineRule="auto"/>
              <w:ind w:firstLine="300"/>
              <w:jc w:val="center"/>
              <w:rPr>
                <w:rFonts w:ascii="Times New Roman" w:eastAsia="Times New Roman" w:hAnsi="Times New Roman" w:cs="Times New Roman"/>
                <w:lang w:eastAsia="lv-LV"/>
              </w:rPr>
            </w:pPr>
          </w:p>
        </w:tc>
      </w:tr>
      <w:tr w:rsidR="001877F3" w:rsidRPr="00BC2633" w14:paraId="76214A54" w14:textId="77777777" w:rsidTr="006B03BF">
        <w:trPr>
          <w:trHeight w:val="360"/>
        </w:trPr>
        <w:tc>
          <w:tcPr>
            <w:tcW w:w="9079" w:type="dxa"/>
            <w:gridSpan w:val="4"/>
            <w:tcBorders>
              <w:top w:val="nil"/>
              <w:left w:val="nil"/>
              <w:bottom w:val="nil"/>
              <w:right w:val="nil"/>
            </w:tcBorders>
            <w:vAlign w:val="center"/>
          </w:tcPr>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50"/>
              <w:gridCol w:w="2611"/>
              <w:gridCol w:w="5942"/>
            </w:tblGrid>
            <w:tr w:rsidR="00D21FF0" w:rsidRPr="00DB09B3" w14:paraId="186D7F0C" w14:textId="77777777" w:rsidTr="00437371">
              <w:tc>
                <w:tcPr>
                  <w:tcW w:w="9131" w:type="dxa"/>
                  <w:gridSpan w:val="3"/>
                  <w:tcBorders>
                    <w:top w:val="outset" w:sz="6" w:space="0" w:color="414142"/>
                    <w:left w:val="outset" w:sz="6" w:space="0" w:color="414142"/>
                    <w:bottom w:val="outset" w:sz="6" w:space="0" w:color="414142"/>
                    <w:right w:val="outset" w:sz="6" w:space="0" w:color="414142"/>
                  </w:tcBorders>
                  <w:vAlign w:val="center"/>
                  <w:hideMark/>
                </w:tcPr>
                <w:p w14:paraId="55EDA205" w14:textId="77777777" w:rsidR="00D21FF0" w:rsidRPr="00DB09B3" w:rsidRDefault="00D21FF0" w:rsidP="00D21FF0">
                  <w:pPr>
                    <w:spacing w:after="0" w:line="240" w:lineRule="auto"/>
                    <w:ind w:firstLine="300"/>
                    <w:jc w:val="center"/>
                    <w:rPr>
                      <w:rFonts w:ascii="Times New Roman" w:eastAsia="Times New Roman" w:hAnsi="Times New Roman" w:cs="Times New Roman"/>
                      <w:b/>
                      <w:bCs/>
                      <w:sz w:val="24"/>
                      <w:szCs w:val="24"/>
                      <w:lang w:eastAsia="lv-LV"/>
                    </w:rPr>
                  </w:pPr>
                  <w:r w:rsidRPr="00DB09B3">
                    <w:rPr>
                      <w:rFonts w:ascii="Times New Roman" w:eastAsia="Times New Roman" w:hAnsi="Times New Roman" w:cs="Times New Roman"/>
                      <w:b/>
                      <w:bCs/>
                      <w:sz w:val="24"/>
                      <w:szCs w:val="24"/>
                      <w:lang w:eastAsia="lv-LV"/>
                    </w:rPr>
                    <w:t>V. Tiesību akta projekta atbilstība Latvijas Republikas starptautiskajām saistībām</w:t>
                  </w:r>
                </w:p>
              </w:tc>
            </w:tr>
            <w:tr w:rsidR="00D21FF0" w:rsidRPr="00DB09B3" w14:paraId="1C872164" w14:textId="77777777" w:rsidTr="00437371">
              <w:tc>
                <w:tcPr>
                  <w:tcW w:w="250" w:type="pct"/>
                  <w:tcBorders>
                    <w:top w:val="outset" w:sz="6" w:space="0" w:color="414142"/>
                    <w:left w:val="outset" w:sz="6" w:space="0" w:color="414142"/>
                    <w:bottom w:val="outset" w:sz="6" w:space="0" w:color="414142"/>
                    <w:right w:val="outset" w:sz="6" w:space="0" w:color="414142"/>
                  </w:tcBorders>
                  <w:hideMark/>
                </w:tcPr>
                <w:p w14:paraId="3BAFB20C" w14:textId="77777777" w:rsidR="00D21FF0" w:rsidRPr="00DB09B3" w:rsidRDefault="00D21FF0" w:rsidP="00D21FF0">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1.</w:t>
                  </w:r>
                </w:p>
              </w:tc>
              <w:tc>
                <w:tcPr>
                  <w:tcW w:w="4890" w:type="dxa"/>
                  <w:tcBorders>
                    <w:top w:val="outset" w:sz="6" w:space="0" w:color="414142"/>
                    <w:left w:val="outset" w:sz="6" w:space="0" w:color="414142"/>
                    <w:bottom w:val="outset" w:sz="6" w:space="0" w:color="414142"/>
                    <w:right w:val="outset" w:sz="6" w:space="0" w:color="414142"/>
                  </w:tcBorders>
                  <w:hideMark/>
                </w:tcPr>
                <w:p w14:paraId="5E4E4329" w14:textId="77777777" w:rsidR="00D21FF0" w:rsidRPr="00DB09B3" w:rsidRDefault="00D21FF0" w:rsidP="00D21FF0">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Saistības pret Eiropas Savienību</w:t>
                  </w:r>
                </w:p>
              </w:tc>
              <w:tc>
                <w:tcPr>
                  <w:tcW w:w="3300" w:type="pct"/>
                  <w:tcBorders>
                    <w:top w:val="outset" w:sz="6" w:space="0" w:color="414142"/>
                    <w:left w:val="outset" w:sz="6" w:space="0" w:color="414142"/>
                    <w:bottom w:val="outset" w:sz="6" w:space="0" w:color="414142"/>
                    <w:right w:val="outset" w:sz="6" w:space="0" w:color="414142"/>
                  </w:tcBorders>
                  <w:hideMark/>
                </w:tcPr>
                <w:p w14:paraId="7B735CB3" w14:textId="77777777" w:rsidR="00D21FF0" w:rsidRPr="00EE0189" w:rsidRDefault="00D21FF0" w:rsidP="00D21FF0">
                  <w:pPr>
                    <w:spacing w:after="0" w:line="240" w:lineRule="auto"/>
                    <w:ind w:left="57" w:right="113"/>
                    <w:jc w:val="both"/>
                    <w:rPr>
                      <w:rFonts w:ascii="Times New Roman" w:hAnsi="Times New Roman" w:cs="Times New Roman"/>
                      <w:sz w:val="24"/>
                      <w:szCs w:val="24"/>
                    </w:rPr>
                  </w:pPr>
                  <w:r w:rsidRPr="00EE0189">
                    <w:rPr>
                      <w:rFonts w:ascii="Times New Roman" w:hAnsi="Times New Roman" w:cs="Times New Roman"/>
                      <w:sz w:val="24"/>
                      <w:szCs w:val="24"/>
                    </w:rPr>
                    <w:t>Eiropas Parlamenta un Padomes 2013. gada 17.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w:t>
                  </w:r>
                </w:p>
                <w:p w14:paraId="13B832F2" w14:textId="77777777" w:rsidR="00D21FF0" w:rsidRPr="00DB09B3" w:rsidRDefault="00D21FF0" w:rsidP="00D21FF0">
                  <w:pPr>
                    <w:spacing w:after="0" w:line="240" w:lineRule="auto"/>
                    <w:jc w:val="both"/>
                    <w:rPr>
                      <w:rFonts w:ascii="Times New Roman" w:eastAsia="Times New Roman" w:hAnsi="Times New Roman" w:cs="Times New Roman"/>
                      <w:sz w:val="24"/>
                      <w:szCs w:val="24"/>
                      <w:lang w:eastAsia="lv-LV"/>
                    </w:rPr>
                  </w:pPr>
                  <w:r w:rsidRPr="00DB09B3">
                    <w:rPr>
                      <w:rFonts w:ascii="Times New Roman" w:hAnsi="Times New Roman" w:cs="Times New Roman"/>
                      <w:sz w:val="24"/>
                      <w:szCs w:val="24"/>
                    </w:rPr>
                    <w:t>Eiropas Parlamenta un Padomes 2013. gada 17. decembra Regula (ES) Nr. 1304/2013 par Eiropa Sociālo fondu un ar ko atceļ Padomes Regulu (EK) Nr. 1081/2006.</w:t>
                  </w:r>
                </w:p>
              </w:tc>
            </w:tr>
            <w:tr w:rsidR="00D21FF0" w:rsidRPr="00DB09B3" w14:paraId="0795CD58" w14:textId="77777777" w:rsidTr="00437371">
              <w:tc>
                <w:tcPr>
                  <w:tcW w:w="250" w:type="pct"/>
                  <w:tcBorders>
                    <w:top w:val="outset" w:sz="6" w:space="0" w:color="414142"/>
                    <w:left w:val="outset" w:sz="6" w:space="0" w:color="414142"/>
                    <w:bottom w:val="outset" w:sz="6" w:space="0" w:color="414142"/>
                    <w:right w:val="outset" w:sz="6" w:space="0" w:color="414142"/>
                  </w:tcBorders>
                  <w:hideMark/>
                </w:tcPr>
                <w:p w14:paraId="0718CB01" w14:textId="77777777" w:rsidR="00D21FF0" w:rsidRPr="00DB09B3" w:rsidRDefault="00D21FF0" w:rsidP="00D21FF0">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2.</w:t>
                  </w:r>
                </w:p>
              </w:tc>
              <w:tc>
                <w:tcPr>
                  <w:tcW w:w="4890" w:type="dxa"/>
                  <w:tcBorders>
                    <w:top w:val="outset" w:sz="6" w:space="0" w:color="414142"/>
                    <w:left w:val="outset" w:sz="6" w:space="0" w:color="414142"/>
                    <w:bottom w:val="outset" w:sz="6" w:space="0" w:color="414142"/>
                    <w:right w:val="outset" w:sz="6" w:space="0" w:color="414142"/>
                  </w:tcBorders>
                  <w:hideMark/>
                </w:tcPr>
                <w:p w14:paraId="5D309863" w14:textId="77777777" w:rsidR="00D21FF0" w:rsidRPr="00DB09B3" w:rsidRDefault="00D21FF0" w:rsidP="00D21FF0">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Citas starptautiskās saistības</w:t>
                  </w:r>
                </w:p>
              </w:tc>
              <w:tc>
                <w:tcPr>
                  <w:tcW w:w="3300" w:type="pct"/>
                  <w:tcBorders>
                    <w:top w:val="outset" w:sz="6" w:space="0" w:color="414142"/>
                    <w:left w:val="outset" w:sz="6" w:space="0" w:color="414142"/>
                    <w:bottom w:val="outset" w:sz="6" w:space="0" w:color="414142"/>
                    <w:right w:val="outset" w:sz="6" w:space="0" w:color="414142"/>
                  </w:tcBorders>
                  <w:hideMark/>
                </w:tcPr>
                <w:p w14:paraId="2C53028E" w14:textId="77777777" w:rsidR="00D21FF0" w:rsidRPr="00DB09B3" w:rsidRDefault="00D21FF0" w:rsidP="00D21FF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Pr="00DB09B3">
                    <w:rPr>
                      <w:rFonts w:ascii="Times New Roman" w:eastAsia="Times New Roman" w:hAnsi="Times New Roman" w:cs="Times New Roman"/>
                      <w:sz w:val="24"/>
                      <w:szCs w:val="24"/>
                      <w:lang w:eastAsia="lv-LV"/>
                    </w:rPr>
                    <w:t>rojekts šo jomu neskar.</w:t>
                  </w:r>
                </w:p>
              </w:tc>
            </w:tr>
            <w:tr w:rsidR="00D21FF0" w:rsidRPr="00DB09B3" w14:paraId="1AF72451" w14:textId="77777777" w:rsidTr="00437371">
              <w:tc>
                <w:tcPr>
                  <w:tcW w:w="250" w:type="pct"/>
                  <w:tcBorders>
                    <w:top w:val="outset" w:sz="6" w:space="0" w:color="414142"/>
                    <w:left w:val="outset" w:sz="6" w:space="0" w:color="414142"/>
                    <w:bottom w:val="outset" w:sz="6" w:space="0" w:color="414142"/>
                    <w:right w:val="outset" w:sz="6" w:space="0" w:color="414142"/>
                  </w:tcBorders>
                  <w:hideMark/>
                </w:tcPr>
                <w:p w14:paraId="18F34E96" w14:textId="77777777" w:rsidR="00D21FF0" w:rsidRPr="00DB09B3" w:rsidRDefault="00D21FF0" w:rsidP="00D21FF0">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3.</w:t>
                  </w:r>
                </w:p>
              </w:tc>
              <w:tc>
                <w:tcPr>
                  <w:tcW w:w="4890" w:type="dxa"/>
                  <w:tcBorders>
                    <w:top w:val="outset" w:sz="6" w:space="0" w:color="414142"/>
                    <w:left w:val="outset" w:sz="6" w:space="0" w:color="414142"/>
                    <w:bottom w:val="outset" w:sz="6" w:space="0" w:color="414142"/>
                    <w:right w:val="outset" w:sz="6" w:space="0" w:color="414142"/>
                  </w:tcBorders>
                  <w:hideMark/>
                </w:tcPr>
                <w:p w14:paraId="491A8B03" w14:textId="77777777" w:rsidR="00D21FF0" w:rsidRPr="00DB09B3" w:rsidRDefault="00D21FF0" w:rsidP="00D21FF0">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14:paraId="1A53C69D" w14:textId="77777777" w:rsidR="00D21FF0" w:rsidRPr="00DB09B3" w:rsidRDefault="00D21FF0" w:rsidP="00D21FF0">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Nav</w:t>
                  </w:r>
                  <w:r>
                    <w:rPr>
                      <w:rFonts w:ascii="Times New Roman" w:eastAsia="Times New Roman" w:hAnsi="Times New Roman" w:cs="Times New Roman"/>
                      <w:sz w:val="24"/>
                      <w:szCs w:val="24"/>
                      <w:lang w:eastAsia="lv-LV"/>
                    </w:rPr>
                    <w:t>.</w:t>
                  </w:r>
                </w:p>
              </w:tc>
            </w:tr>
          </w:tbl>
          <w:p w14:paraId="76F5FCBC" w14:textId="30ED29CB" w:rsidR="00516F48" w:rsidRDefault="00516F48" w:rsidP="001877F3">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071"/>
              <w:gridCol w:w="270"/>
              <w:gridCol w:w="1711"/>
              <w:gridCol w:w="1260"/>
              <w:gridCol w:w="1260"/>
              <w:gridCol w:w="2431"/>
            </w:tblGrid>
            <w:tr w:rsidR="00D21FF0" w:rsidRPr="00DB09B3" w14:paraId="569FE368" w14:textId="77777777" w:rsidTr="00437371">
              <w:tc>
                <w:tcPr>
                  <w:tcW w:w="9131" w:type="dxa"/>
                  <w:gridSpan w:val="6"/>
                  <w:tcBorders>
                    <w:top w:val="outset" w:sz="6" w:space="0" w:color="414142"/>
                    <w:left w:val="outset" w:sz="6" w:space="0" w:color="414142"/>
                    <w:bottom w:val="outset" w:sz="6" w:space="0" w:color="414142"/>
                    <w:right w:val="outset" w:sz="6" w:space="0" w:color="414142"/>
                  </w:tcBorders>
                  <w:vAlign w:val="center"/>
                  <w:hideMark/>
                </w:tcPr>
                <w:p w14:paraId="7D0F7F9F" w14:textId="77777777" w:rsidR="00D21FF0" w:rsidRPr="00DB09B3" w:rsidRDefault="00D21FF0" w:rsidP="00D21FF0">
                  <w:pPr>
                    <w:spacing w:after="0" w:line="240" w:lineRule="auto"/>
                    <w:ind w:firstLine="300"/>
                    <w:jc w:val="center"/>
                    <w:rPr>
                      <w:rFonts w:ascii="Times New Roman" w:eastAsia="Times New Roman" w:hAnsi="Times New Roman" w:cs="Times New Roman"/>
                      <w:b/>
                      <w:bCs/>
                      <w:sz w:val="24"/>
                      <w:szCs w:val="24"/>
                      <w:lang w:eastAsia="lv-LV"/>
                    </w:rPr>
                  </w:pPr>
                  <w:r w:rsidRPr="00DB09B3">
                    <w:rPr>
                      <w:rFonts w:ascii="Times New Roman" w:eastAsia="Times New Roman" w:hAnsi="Times New Roman" w:cs="Times New Roman"/>
                      <w:b/>
                      <w:bCs/>
                      <w:sz w:val="24"/>
                      <w:szCs w:val="24"/>
                      <w:lang w:eastAsia="lv-LV"/>
                    </w:rPr>
                    <w:t>1.tabula</w:t>
                  </w:r>
                  <w:r w:rsidRPr="00DB09B3">
                    <w:rPr>
                      <w:rFonts w:ascii="Times New Roman" w:eastAsia="Times New Roman" w:hAnsi="Times New Roman" w:cs="Times New Roman"/>
                      <w:b/>
                      <w:bCs/>
                      <w:sz w:val="24"/>
                      <w:szCs w:val="24"/>
                      <w:lang w:eastAsia="lv-LV"/>
                    </w:rPr>
                    <w:br/>
                    <w:t>Tiesību akta projekta atbilstība ES tiesību aktiem</w:t>
                  </w:r>
                </w:p>
              </w:tc>
            </w:tr>
            <w:tr w:rsidR="00D21FF0" w:rsidRPr="00DB09B3" w14:paraId="7C475C72" w14:textId="77777777" w:rsidTr="00437371">
              <w:tc>
                <w:tcPr>
                  <w:tcW w:w="1150" w:type="pct"/>
                  <w:tcBorders>
                    <w:top w:val="outset" w:sz="6" w:space="0" w:color="414142"/>
                    <w:left w:val="outset" w:sz="6" w:space="0" w:color="414142"/>
                    <w:bottom w:val="outset" w:sz="6" w:space="0" w:color="414142"/>
                    <w:right w:val="outset" w:sz="6" w:space="0" w:color="414142"/>
                  </w:tcBorders>
                  <w:hideMark/>
                </w:tcPr>
                <w:p w14:paraId="4EE3F54E" w14:textId="77777777" w:rsidR="00D21FF0" w:rsidRPr="00DB09B3" w:rsidRDefault="00D21FF0" w:rsidP="00D21FF0">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Attiecīgā ES tiesību akta datums, numurs un nosaukums</w:t>
                  </w:r>
                </w:p>
              </w:tc>
              <w:tc>
                <w:tcPr>
                  <w:tcW w:w="3850" w:type="pct"/>
                  <w:gridSpan w:val="5"/>
                  <w:tcBorders>
                    <w:top w:val="outset" w:sz="6" w:space="0" w:color="414142"/>
                    <w:left w:val="outset" w:sz="6" w:space="0" w:color="414142"/>
                    <w:bottom w:val="outset" w:sz="6" w:space="0" w:color="414142"/>
                    <w:right w:val="outset" w:sz="6" w:space="0" w:color="414142"/>
                  </w:tcBorders>
                  <w:hideMark/>
                </w:tcPr>
                <w:p w14:paraId="1A469A17" w14:textId="77777777" w:rsidR="00D21FF0" w:rsidRPr="00EE0189" w:rsidRDefault="00D21FF0" w:rsidP="00D21FF0">
                  <w:pPr>
                    <w:spacing w:after="0" w:line="240" w:lineRule="auto"/>
                    <w:ind w:left="57" w:right="-1"/>
                    <w:jc w:val="both"/>
                    <w:rPr>
                      <w:rFonts w:ascii="Times New Roman" w:hAnsi="Times New Roman" w:cs="Times New Roman"/>
                      <w:sz w:val="24"/>
                      <w:szCs w:val="24"/>
                    </w:rPr>
                  </w:pPr>
                  <w:r w:rsidRPr="00EE0189">
                    <w:rPr>
                      <w:rFonts w:ascii="Times New Roman" w:hAnsi="Times New Roman" w:cs="Times New Roman"/>
                      <w:sz w:val="24"/>
                      <w:szCs w:val="24"/>
                    </w:rPr>
                    <w:t>Eiropas Parlamenta un Padomes 2013. gada 17.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w:t>
                  </w:r>
                </w:p>
                <w:p w14:paraId="21921549" w14:textId="77777777" w:rsidR="00D21FF0" w:rsidRPr="00EE0189" w:rsidRDefault="00D21FF0" w:rsidP="00D21FF0">
                  <w:pPr>
                    <w:spacing w:after="0" w:line="240" w:lineRule="auto"/>
                    <w:jc w:val="both"/>
                    <w:rPr>
                      <w:rFonts w:ascii="Times New Roman" w:eastAsia="Times New Roman" w:hAnsi="Times New Roman" w:cs="Times New Roman"/>
                      <w:sz w:val="24"/>
                      <w:szCs w:val="24"/>
                      <w:lang w:eastAsia="lv-LV"/>
                    </w:rPr>
                  </w:pPr>
                  <w:r w:rsidRPr="00EE0189">
                    <w:rPr>
                      <w:rFonts w:ascii="Times New Roman" w:hAnsi="Times New Roman" w:cs="Times New Roman"/>
                      <w:sz w:val="24"/>
                      <w:szCs w:val="24"/>
                    </w:rPr>
                    <w:t>Eiropas Parlamenta un Padomes 2013. gada 17. decembra Regula (ES) Nr. 1304/2013 par Eiropa Sociālo fondu un ar ko atceļ Padomes Regulu (EK) Nr. 1081/2006.</w:t>
                  </w:r>
                </w:p>
              </w:tc>
            </w:tr>
            <w:tr w:rsidR="00D21FF0" w:rsidRPr="00DB09B3" w14:paraId="6EA836FF" w14:textId="77777777" w:rsidTr="00437371">
              <w:tc>
                <w:tcPr>
                  <w:tcW w:w="1150" w:type="pct"/>
                  <w:tcBorders>
                    <w:top w:val="outset" w:sz="6" w:space="0" w:color="414142"/>
                    <w:left w:val="outset" w:sz="6" w:space="0" w:color="414142"/>
                    <w:bottom w:val="outset" w:sz="6" w:space="0" w:color="414142"/>
                    <w:right w:val="outset" w:sz="6" w:space="0" w:color="414142"/>
                  </w:tcBorders>
                  <w:vAlign w:val="center"/>
                  <w:hideMark/>
                </w:tcPr>
                <w:p w14:paraId="58B273D4" w14:textId="77777777" w:rsidR="00D21FF0" w:rsidRPr="00DB09B3" w:rsidRDefault="00D21FF0" w:rsidP="00D21FF0">
                  <w:pPr>
                    <w:spacing w:after="0" w:line="240" w:lineRule="auto"/>
                    <w:ind w:firstLine="300"/>
                    <w:jc w:val="center"/>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A</w:t>
                  </w: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14:paraId="511273F1" w14:textId="77777777" w:rsidR="00D21FF0" w:rsidRPr="00DB09B3" w:rsidRDefault="00D21FF0" w:rsidP="00D21FF0">
                  <w:pPr>
                    <w:spacing w:after="0" w:line="240" w:lineRule="auto"/>
                    <w:ind w:firstLine="300"/>
                    <w:jc w:val="center"/>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B</w:t>
                  </w:r>
                </w:p>
              </w:tc>
              <w:tc>
                <w:tcPr>
                  <w:tcW w:w="1400" w:type="pct"/>
                  <w:gridSpan w:val="2"/>
                  <w:tcBorders>
                    <w:top w:val="outset" w:sz="6" w:space="0" w:color="414142"/>
                    <w:left w:val="outset" w:sz="6" w:space="0" w:color="414142"/>
                    <w:bottom w:val="outset" w:sz="6" w:space="0" w:color="414142"/>
                    <w:right w:val="outset" w:sz="6" w:space="0" w:color="414142"/>
                  </w:tcBorders>
                  <w:vAlign w:val="center"/>
                  <w:hideMark/>
                </w:tcPr>
                <w:p w14:paraId="4BF6BBEB" w14:textId="77777777" w:rsidR="00D21FF0" w:rsidRPr="00DB09B3" w:rsidRDefault="00D21FF0" w:rsidP="00D21FF0">
                  <w:pPr>
                    <w:spacing w:after="0" w:line="240" w:lineRule="auto"/>
                    <w:ind w:firstLine="300"/>
                    <w:jc w:val="center"/>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C</w:t>
                  </w:r>
                </w:p>
              </w:tc>
              <w:tc>
                <w:tcPr>
                  <w:tcW w:w="1300" w:type="pct"/>
                  <w:tcBorders>
                    <w:top w:val="outset" w:sz="6" w:space="0" w:color="414142"/>
                    <w:left w:val="outset" w:sz="6" w:space="0" w:color="414142"/>
                    <w:bottom w:val="outset" w:sz="6" w:space="0" w:color="414142"/>
                    <w:right w:val="outset" w:sz="6" w:space="0" w:color="414142"/>
                  </w:tcBorders>
                  <w:vAlign w:val="center"/>
                  <w:hideMark/>
                </w:tcPr>
                <w:p w14:paraId="5393F844" w14:textId="77777777" w:rsidR="00D21FF0" w:rsidRPr="00DB09B3" w:rsidRDefault="00D21FF0" w:rsidP="00D21FF0">
                  <w:pPr>
                    <w:spacing w:after="0" w:line="240" w:lineRule="auto"/>
                    <w:ind w:firstLine="300"/>
                    <w:jc w:val="center"/>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D</w:t>
                  </w:r>
                </w:p>
              </w:tc>
            </w:tr>
            <w:tr w:rsidR="00D21FF0" w:rsidRPr="00DB09B3" w14:paraId="7B33FB11" w14:textId="77777777" w:rsidTr="00437371">
              <w:tc>
                <w:tcPr>
                  <w:tcW w:w="1150" w:type="pct"/>
                  <w:tcBorders>
                    <w:top w:val="outset" w:sz="6" w:space="0" w:color="414142"/>
                    <w:left w:val="outset" w:sz="6" w:space="0" w:color="414142"/>
                    <w:bottom w:val="outset" w:sz="6" w:space="0" w:color="414142"/>
                    <w:right w:val="outset" w:sz="6" w:space="0" w:color="414142"/>
                  </w:tcBorders>
                  <w:hideMark/>
                </w:tcPr>
                <w:p w14:paraId="4652BCDD" w14:textId="77777777" w:rsidR="00D21FF0" w:rsidRPr="00DB09B3" w:rsidRDefault="00D21FF0" w:rsidP="00D21FF0">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 xml:space="preserve">Attiecīgā ES tiesību akta panta numurs (uzskaitot katru tiesību akta vienību - pantu, daļu, </w:t>
                  </w:r>
                  <w:r w:rsidRPr="00DB09B3">
                    <w:rPr>
                      <w:rFonts w:ascii="Times New Roman" w:eastAsia="Times New Roman" w:hAnsi="Times New Roman" w:cs="Times New Roman"/>
                      <w:sz w:val="24"/>
                      <w:szCs w:val="24"/>
                      <w:lang w:eastAsia="lv-LV"/>
                    </w:rPr>
                    <w:lastRenderedPageBreak/>
                    <w:t>punktu, apakšpunktu)</w:t>
                  </w:r>
                </w:p>
              </w:tc>
              <w:tc>
                <w:tcPr>
                  <w:tcW w:w="1100" w:type="pct"/>
                  <w:gridSpan w:val="2"/>
                  <w:tcBorders>
                    <w:top w:val="outset" w:sz="6" w:space="0" w:color="414142"/>
                    <w:left w:val="outset" w:sz="6" w:space="0" w:color="414142"/>
                    <w:bottom w:val="outset" w:sz="6" w:space="0" w:color="414142"/>
                    <w:right w:val="outset" w:sz="6" w:space="0" w:color="414142"/>
                  </w:tcBorders>
                  <w:hideMark/>
                </w:tcPr>
                <w:p w14:paraId="6F24373C" w14:textId="77777777" w:rsidR="00D21FF0" w:rsidRPr="00DB09B3" w:rsidRDefault="00D21FF0" w:rsidP="00D21FF0">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lastRenderedPageBreak/>
                    <w:t xml:space="preserve">Projekta vienība, kas pārņem vai ievieš katru šīs tabulas A ailē minēto ES tiesību </w:t>
                  </w:r>
                  <w:r w:rsidRPr="00DB09B3">
                    <w:rPr>
                      <w:rFonts w:ascii="Times New Roman" w:eastAsia="Times New Roman" w:hAnsi="Times New Roman" w:cs="Times New Roman"/>
                      <w:sz w:val="24"/>
                      <w:szCs w:val="24"/>
                      <w:lang w:eastAsia="lv-LV"/>
                    </w:rPr>
                    <w:lastRenderedPageBreak/>
                    <w:t>akta vienību, vai tiesību akts, kur attiecīgā ES tiesību akta vienība pārņemta vai ieviesta</w:t>
                  </w:r>
                </w:p>
              </w:tc>
              <w:tc>
                <w:tcPr>
                  <w:tcW w:w="1400" w:type="pct"/>
                  <w:gridSpan w:val="2"/>
                  <w:tcBorders>
                    <w:top w:val="outset" w:sz="6" w:space="0" w:color="414142"/>
                    <w:left w:val="outset" w:sz="6" w:space="0" w:color="414142"/>
                    <w:bottom w:val="outset" w:sz="6" w:space="0" w:color="414142"/>
                    <w:right w:val="outset" w:sz="6" w:space="0" w:color="414142"/>
                  </w:tcBorders>
                  <w:hideMark/>
                </w:tcPr>
                <w:p w14:paraId="5B67E78A" w14:textId="77777777" w:rsidR="00D21FF0" w:rsidRPr="00DB09B3" w:rsidRDefault="00D21FF0" w:rsidP="00D21FF0">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lastRenderedPageBreak/>
                    <w:t xml:space="preserve">Informācija par to, vai šīs tabulas A ailē minētās ES tiesību akta vienības tiek pārņemtas vai </w:t>
                  </w:r>
                  <w:r w:rsidRPr="00DB09B3">
                    <w:rPr>
                      <w:rFonts w:ascii="Times New Roman" w:eastAsia="Times New Roman" w:hAnsi="Times New Roman" w:cs="Times New Roman"/>
                      <w:sz w:val="24"/>
                      <w:szCs w:val="24"/>
                      <w:lang w:eastAsia="lv-LV"/>
                    </w:rPr>
                    <w:lastRenderedPageBreak/>
                    <w:t xml:space="preserve">ieviestas pilnībā vai daļēji. </w:t>
                  </w:r>
                </w:p>
                <w:p w14:paraId="3C2A84F5" w14:textId="77777777" w:rsidR="00D21FF0" w:rsidRPr="00DB09B3" w:rsidRDefault="00D21FF0" w:rsidP="00D21FF0">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14:paraId="463B6D17" w14:textId="77777777" w:rsidR="00D21FF0" w:rsidRPr="00DB09B3" w:rsidRDefault="00D21FF0" w:rsidP="00D21FF0">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Norāda institūciju, kas ir atbildīga par šo saistību izpildi pilnībā</w:t>
                  </w:r>
                </w:p>
              </w:tc>
              <w:tc>
                <w:tcPr>
                  <w:tcW w:w="1300" w:type="pct"/>
                  <w:tcBorders>
                    <w:top w:val="outset" w:sz="6" w:space="0" w:color="414142"/>
                    <w:left w:val="outset" w:sz="6" w:space="0" w:color="414142"/>
                    <w:bottom w:val="outset" w:sz="6" w:space="0" w:color="414142"/>
                    <w:right w:val="outset" w:sz="6" w:space="0" w:color="414142"/>
                  </w:tcBorders>
                  <w:hideMark/>
                </w:tcPr>
                <w:p w14:paraId="70D4ED22" w14:textId="77777777" w:rsidR="00D21FF0" w:rsidRPr="00DB09B3" w:rsidRDefault="00D21FF0" w:rsidP="00D21FF0">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lastRenderedPageBreak/>
                    <w:t xml:space="preserve">Informācija par to, vai šīs tabulas B ailē minētās projekta vienības paredz stingrākas prasības nekā </w:t>
                  </w:r>
                  <w:r w:rsidRPr="00DB09B3">
                    <w:rPr>
                      <w:rFonts w:ascii="Times New Roman" w:eastAsia="Times New Roman" w:hAnsi="Times New Roman" w:cs="Times New Roman"/>
                      <w:sz w:val="24"/>
                      <w:szCs w:val="24"/>
                      <w:lang w:eastAsia="lv-LV"/>
                    </w:rPr>
                    <w:lastRenderedPageBreak/>
                    <w:t xml:space="preserve">šīs tabulas A ailē minētās ES tiesību akta vienības. </w:t>
                  </w:r>
                </w:p>
                <w:p w14:paraId="339A3321" w14:textId="77777777" w:rsidR="00D21FF0" w:rsidRPr="00DB09B3" w:rsidRDefault="00D21FF0" w:rsidP="00D21FF0">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Ja projekts satur stingrākas prasības nekā attiecīgais ES tiesību akts, norāda pamatojumu un samērīgumu.</w:t>
                  </w:r>
                </w:p>
                <w:p w14:paraId="3DA8438B" w14:textId="77777777" w:rsidR="00D21FF0" w:rsidRPr="00DB09B3" w:rsidRDefault="00D21FF0" w:rsidP="00D21FF0">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D21FF0" w:rsidRPr="00DB09B3" w14:paraId="5B768FA4" w14:textId="77777777" w:rsidTr="00437371">
              <w:tc>
                <w:tcPr>
                  <w:tcW w:w="1150" w:type="pct"/>
                  <w:tcBorders>
                    <w:top w:val="outset" w:sz="6" w:space="0" w:color="414142"/>
                    <w:left w:val="outset" w:sz="6" w:space="0" w:color="414142"/>
                    <w:bottom w:val="outset" w:sz="6" w:space="0" w:color="414142"/>
                    <w:right w:val="outset" w:sz="6" w:space="0" w:color="414142"/>
                  </w:tcBorders>
                  <w:hideMark/>
                </w:tcPr>
                <w:p w14:paraId="1433B7A2" w14:textId="0748F2EB" w:rsidR="00D21FF0" w:rsidRPr="00D0437B" w:rsidRDefault="00D21FF0" w:rsidP="00D21FF0">
                  <w:pPr>
                    <w:spacing w:after="0" w:line="240" w:lineRule="auto"/>
                    <w:rPr>
                      <w:rFonts w:ascii="Times New Roman" w:eastAsia="Times New Roman" w:hAnsi="Times New Roman" w:cs="Times New Roman"/>
                      <w:sz w:val="24"/>
                      <w:szCs w:val="24"/>
                      <w:lang w:eastAsia="lv-LV"/>
                    </w:rPr>
                  </w:pPr>
                  <w:r w:rsidRPr="00D0437B">
                    <w:rPr>
                      <w:rFonts w:ascii="Times New Roman" w:hAnsi="Times New Roman" w:cs="Times New Roman"/>
                      <w:sz w:val="24"/>
                      <w:szCs w:val="24"/>
                    </w:rPr>
                    <w:lastRenderedPageBreak/>
                    <w:t>Eiropas Parlamenta un Padomes 2013. gada 17. decembra Regulas (ES) Nr. 1304/2013 par Eiropa Sociālo fondu un ar ko atceļ Padomes Regulu (EK) Nr. 1081/2006, 1.pielikums</w:t>
                  </w:r>
                  <w:r w:rsidR="00603683" w:rsidRPr="00D0437B">
                    <w:rPr>
                      <w:rFonts w:ascii="Times New Roman" w:hAnsi="Times New Roman" w:cs="Times New Roman"/>
                      <w:sz w:val="24"/>
                      <w:szCs w:val="24"/>
                    </w:rPr>
                    <w:t>.</w:t>
                  </w:r>
                </w:p>
              </w:tc>
              <w:tc>
                <w:tcPr>
                  <w:tcW w:w="1100" w:type="pct"/>
                  <w:gridSpan w:val="2"/>
                  <w:tcBorders>
                    <w:top w:val="outset" w:sz="6" w:space="0" w:color="414142"/>
                    <w:left w:val="outset" w:sz="6" w:space="0" w:color="414142"/>
                    <w:bottom w:val="outset" w:sz="6" w:space="0" w:color="414142"/>
                    <w:right w:val="outset" w:sz="6" w:space="0" w:color="414142"/>
                  </w:tcBorders>
                  <w:hideMark/>
                </w:tcPr>
                <w:p w14:paraId="1F189074" w14:textId="2077F98F" w:rsidR="00D21FF0" w:rsidRPr="00D0437B" w:rsidRDefault="00D21FF0" w:rsidP="00D21FF0">
                  <w:pPr>
                    <w:spacing w:after="0" w:line="240" w:lineRule="auto"/>
                    <w:rPr>
                      <w:rFonts w:ascii="Times New Roman" w:eastAsia="Times New Roman" w:hAnsi="Times New Roman" w:cs="Times New Roman"/>
                      <w:sz w:val="24"/>
                      <w:szCs w:val="24"/>
                      <w:lang w:eastAsia="lv-LV"/>
                    </w:rPr>
                  </w:pPr>
                  <w:r w:rsidRPr="00D0437B">
                    <w:rPr>
                      <w:rFonts w:ascii="Times New Roman" w:eastAsia="Times New Roman" w:hAnsi="Times New Roman" w:cs="Times New Roman"/>
                      <w:sz w:val="24"/>
                      <w:szCs w:val="24"/>
                      <w:lang w:eastAsia="lv-LV"/>
                    </w:rPr>
                    <w:t>Noteikumu projekta 2. punkts</w:t>
                  </w:r>
                  <w:r w:rsidR="00EE0189" w:rsidRPr="00D0437B">
                    <w:rPr>
                      <w:rFonts w:ascii="Times New Roman" w:eastAsia="Times New Roman" w:hAnsi="Times New Roman" w:cs="Times New Roman"/>
                      <w:sz w:val="24"/>
                      <w:szCs w:val="24"/>
                      <w:lang w:eastAsia="lv-LV"/>
                    </w:rPr>
                    <w:t>.</w:t>
                  </w:r>
                </w:p>
              </w:tc>
              <w:tc>
                <w:tcPr>
                  <w:tcW w:w="1400" w:type="pct"/>
                  <w:gridSpan w:val="2"/>
                  <w:tcBorders>
                    <w:top w:val="outset" w:sz="6" w:space="0" w:color="414142"/>
                    <w:left w:val="outset" w:sz="6" w:space="0" w:color="414142"/>
                    <w:bottom w:val="outset" w:sz="6" w:space="0" w:color="414142"/>
                    <w:right w:val="outset" w:sz="6" w:space="0" w:color="414142"/>
                  </w:tcBorders>
                  <w:hideMark/>
                </w:tcPr>
                <w:p w14:paraId="0C6A7A60" w14:textId="77777777" w:rsidR="00D21FF0" w:rsidRPr="00D0437B" w:rsidRDefault="00D21FF0" w:rsidP="00D21FF0">
                  <w:pPr>
                    <w:spacing w:after="0" w:line="240" w:lineRule="auto"/>
                    <w:rPr>
                      <w:rFonts w:ascii="Times New Roman" w:eastAsia="Times New Roman" w:hAnsi="Times New Roman" w:cs="Times New Roman"/>
                      <w:sz w:val="24"/>
                      <w:szCs w:val="24"/>
                      <w:lang w:eastAsia="lv-LV"/>
                    </w:rPr>
                  </w:pPr>
                  <w:r w:rsidRPr="00D0437B">
                    <w:rPr>
                      <w:rFonts w:ascii="Times New Roman" w:eastAsia="Times New Roman" w:hAnsi="Times New Roman" w:cs="Times New Roman"/>
                      <w:sz w:val="24"/>
                      <w:szCs w:val="24"/>
                      <w:lang w:eastAsia="lv-LV"/>
                    </w:rPr>
                    <w:t xml:space="preserve">Vienība tiek ieviesta pilnībā. Atbildīgā iestāde – Tiesu administrācija (finansējuma saņēmējs). </w:t>
                  </w:r>
                </w:p>
              </w:tc>
              <w:tc>
                <w:tcPr>
                  <w:tcW w:w="1300" w:type="pct"/>
                  <w:tcBorders>
                    <w:top w:val="outset" w:sz="6" w:space="0" w:color="414142"/>
                    <w:left w:val="outset" w:sz="6" w:space="0" w:color="414142"/>
                    <w:bottom w:val="outset" w:sz="6" w:space="0" w:color="414142"/>
                    <w:right w:val="outset" w:sz="6" w:space="0" w:color="414142"/>
                  </w:tcBorders>
                  <w:hideMark/>
                </w:tcPr>
                <w:p w14:paraId="6BE56C3F" w14:textId="77777777" w:rsidR="00D21FF0" w:rsidRPr="00D0437B" w:rsidRDefault="00D21FF0" w:rsidP="00D21FF0">
                  <w:pPr>
                    <w:spacing w:after="0" w:line="240" w:lineRule="auto"/>
                    <w:rPr>
                      <w:rFonts w:ascii="Times New Roman" w:eastAsia="Times New Roman" w:hAnsi="Times New Roman" w:cs="Times New Roman"/>
                      <w:sz w:val="24"/>
                      <w:szCs w:val="24"/>
                      <w:lang w:eastAsia="lv-LV"/>
                    </w:rPr>
                  </w:pPr>
                  <w:r w:rsidRPr="00D0437B">
                    <w:rPr>
                      <w:rFonts w:ascii="Times New Roman" w:eastAsia="Times New Roman" w:hAnsi="Times New Roman" w:cs="Times New Roman"/>
                      <w:sz w:val="24"/>
                      <w:szCs w:val="24"/>
                      <w:lang w:eastAsia="lv-LV"/>
                    </w:rPr>
                    <w:t xml:space="preserve">Stingrākas prasības nav paredzētas. </w:t>
                  </w:r>
                </w:p>
              </w:tc>
            </w:tr>
            <w:tr w:rsidR="00D21FF0" w:rsidRPr="00DB09B3" w14:paraId="6113494B" w14:textId="77777777" w:rsidTr="00437371">
              <w:tc>
                <w:tcPr>
                  <w:tcW w:w="1150" w:type="pct"/>
                  <w:tcBorders>
                    <w:top w:val="outset" w:sz="6" w:space="0" w:color="414142"/>
                    <w:left w:val="outset" w:sz="6" w:space="0" w:color="414142"/>
                    <w:bottom w:val="outset" w:sz="6" w:space="0" w:color="414142"/>
                    <w:right w:val="outset" w:sz="6" w:space="0" w:color="414142"/>
                  </w:tcBorders>
                  <w:hideMark/>
                </w:tcPr>
                <w:p w14:paraId="6E717000" w14:textId="77777777" w:rsidR="00D21FF0" w:rsidRPr="00DB09B3" w:rsidRDefault="00D21FF0" w:rsidP="00D21FF0">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w:t>
                  </w:r>
                  <w:r w:rsidRPr="00DB09B3">
                    <w:rPr>
                      <w:rFonts w:ascii="Times New Roman" w:eastAsia="Times New Roman" w:hAnsi="Times New Roman" w:cs="Times New Roman"/>
                      <w:sz w:val="24"/>
                      <w:szCs w:val="24"/>
                      <w:lang w:eastAsia="lv-LV"/>
                    </w:rPr>
                    <w:br/>
                    <w:t>Kādēļ?</w:t>
                  </w:r>
                </w:p>
              </w:tc>
              <w:tc>
                <w:tcPr>
                  <w:tcW w:w="3850" w:type="pct"/>
                  <w:gridSpan w:val="5"/>
                  <w:tcBorders>
                    <w:top w:val="outset" w:sz="6" w:space="0" w:color="414142"/>
                    <w:left w:val="outset" w:sz="6" w:space="0" w:color="414142"/>
                    <w:bottom w:val="outset" w:sz="6" w:space="0" w:color="414142"/>
                    <w:right w:val="outset" w:sz="6" w:space="0" w:color="414142"/>
                  </w:tcBorders>
                  <w:hideMark/>
                </w:tcPr>
                <w:p w14:paraId="10E29FA5" w14:textId="77777777" w:rsidR="00D21FF0" w:rsidRPr="00DB09B3" w:rsidRDefault="00D21FF0" w:rsidP="00D21FF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Pr="00DB09B3">
                    <w:rPr>
                      <w:rFonts w:ascii="Times New Roman" w:eastAsia="Times New Roman" w:hAnsi="Times New Roman" w:cs="Times New Roman"/>
                      <w:sz w:val="24"/>
                      <w:szCs w:val="24"/>
                      <w:lang w:eastAsia="lv-LV"/>
                    </w:rPr>
                    <w:t>rojekts šo jomu neskar.</w:t>
                  </w:r>
                </w:p>
              </w:tc>
            </w:tr>
            <w:tr w:rsidR="00D21FF0" w:rsidRPr="00DB09B3" w14:paraId="6C89C902" w14:textId="77777777" w:rsidTr="00437371">
              <w:tc>
                <w:tcPr>
                  <w:tcW w:w="1150" w:type="pct"/>
                  <w:tcBorders>
                    <w:top w:val="outset" w:sz="6" w:space="0" w:color="414142"/>
                    <w:left w:val="outset" w:sz="6" w:space="0" w:color="414142"/>
                    <w:bottom w:val="outset" w:sz="6" w:space="0" w:color="414142"/>
                    <w:right w:val="outset" w:sz="6" w:space="0" w:color="414142"/>
                  </w:tcBorders>
                  <w:hideMark/>
                </w:tcPr>
                <w:p w14:paraId="3BEF9F9B" w14:textId="77777777" w:rsidR="00D21FF0" w:rsidRPr="00DB09B3" w:rsidRDefault="00D21FF0" w:rsidP="00D21FF0">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 xml:space="preserve">Saistības sniegt paziņojumu ES institūcijām un ES dalībvalstīm atbilstoši normatīvajiem aktiem, kas regulē informācijas sniegšanu par tehnisko noteikumu, valsts atbalsta </w:t>
                  </w:r>
                  <w:r w:rsidRPr="00DB09B3">
                    <w:rPr>
                      <w:rFonts w:ascii="Times New Roman" w:eastAsia="Times New Roman" w:hAnsi="Times New Roman" w:cs="Times New Roman"/>
                      <w:sz w:val="24"/>
                      <w:szCs w:val="24"/>
                      <w:lang w:eastAsia="lv-LV"/>
                    </w:rPr>
                    <w:lastRenderedPageBreak/>
                    <w:t>piešķiršanas un finanšu noteikumu (attiecībā uz monetāro politiku) projektiem</w:t>
                  </w:r>
                </w:p>
              </w:tc>
              <w:tc>
                <w:tcPr>
                  <w:tcW w:w="3850" w:type="pct"/>
                  <w:gridSpan w:val="5"/>
                  <w:tcBorders>
                    <w:top w:val="outset" w:sz="6" w:space="0" w:color="414142"/>
                    <w:left w:val="outset" w:sz="6" w:space="0" w:color="414142"/>
                    <w:bottom w:val="outset" w:sz="6" w:space="0" w:color="414142"/>
                    <w:right w:val="outset" w:sz="6" w:space="0" w:color="414142"/>
                  </w:tcBorders>
                  <w:hideMark/>
                </w:tcPr>
                <w:p w14:paraId="72CAE395" w14:textId="77777777" w:rsidR="00D21FF0" w:rsidRPr="00DB09B3" w:rsidRDefault="00D21FF0" w:rsidP="00D21FF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Noteikumu p</w:t>
                  </w:r>
                  <w:r w:rsidRPr="00DB09B3">
                    <w:rPr>
                      <w:rFonts w:ascii="Times New Roman" w:eastAsia="Times New Roman" w:hAnsi="Times New Roman" w:cs="Times New Roman"/>
                      <w:sz w:val="24"/>
                      <w:szCs w:val="24"/>
                      <w:lang w:eastAsia="lv-LV"/>
                    </w:rPr>
                    <w:t>rojekts šo jomu neskar.</w:t>
                  </w:r>
                </w:p>
              </w:tc>
            </w:tr>
            <w:tr w:rsidR="00D21FF0" w:rsidRPr="00DB09B3" w14:paraId="488CC5EC" w14:textId="77777777" w:rsidTr="00437371">
              <w:tc>
                <w:tcPr>
                  <w:tcW w:w="1150" w:type="pct"/>
                  <w:tcBorders>
                    <w:top w:val="outset" w:sz="6" w:space="0" w:color="414142"/>
                    <w:left w:val="outset" w:sz="6" w:space="0" w:color="414142"/>
                    <w:bottom w:val="outset" w:sz="6" w:space="0" w:color="414142"/>
                    <w:right w:val="outset" w:sz="6" w:space="0" w:color="414142"/>
                  </w:tcBorders>
                  <w:hideMark/>
                </w:tcPr>
                <w:p w14:paraId="7CF1318E" w14:textId="77777777" w:rsidR="00D21FF0" w:rsidRPr="00DB09B3" w:rsidRDefault="00D21FF0" w:rsidP="00D21FF0">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Cita informācija</w:t>
                  </w:r>
                </w:p>
              </w:tc>
              <w:tc>
                <w:tcPr>
                  <w:tcW w:w="3850" w:type="pct"/>
                  <w:gridSpan w:val="5"/>
                  <w:tcBorders>
                    <w:top w:val="outset" w:sz="6" w:space="0" w:color="414142"/>
                    <w:left w:val="outset" w:sz="6" w:space="0" w:color="414142"/>
                    <w:bottom w:val="outset" w:sz="6" w:space="0" w:color="414142"/>
                    <w:right w:val="outset" w:sz="6" w:space="0" w:color="414142"/>
                  </w:tcBorders>
                  <w:hideMark/>
                </w:tcPr>
                <w:p w14:paraId="4C072113" w14:textId="77777777" w:rsidR="00D21FF0" w:rsidRPr="00DB09B3" w:rsidRDefault="00D21FF0" w:rsidP="00D21FF0">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Nav</w:t>
                  </w:r>
                  <w:r>
                    <w:rPr>
                      <w:rFonts w:ascii="Times New Roman" w:eastAsia="Times New Roman" w:hAnsi="Times New Roman" w:cs="Times New Roman"/>
                      <w:sz w:val="24"/>
                      <w:szCs w:val="24"/>
                      <w:lang w:eastAsia="lv-LV"/>
                    </w:rPr>
                    <w:t>.</w:t>
                  </w:r>
                </w:p>
              </w:tc>
            </w:tr>
            <w:tr w:rsidR="00D21FF0" w:rsidRPr="00DB09B3" w14:paraId="00363EB2" w14:textId="77777777" w:rsidTr="00437371">
              <w:tc>
                <w:tcPr>
                  <w:tcW w:w="9131" w:type="dxa"/>
                  <w:gridSpan w:val="6"/>
                  <w:tcBorders>
                    <w:top w:val="outset" w:sz="6" w:space="0" w:color="414142"/>
                    <w:left w:val="outset" w:sz="6" w:space="0" w:color="414142"/>
                    <w:bottom w:val="outset" w:sz="6" w:space="0" w:color="414142"/>
                    <w:right w:val="outset" w:sz="6" w:space="0" w:color="414142"/>
                  </w:tcBorders>
                  <w:vAlign w:val="center"/>
                  <w:hideMark/>
                </w:tcPr>
                <w:p w14:paraId="5B91B76A" w14:textId="77777777" w:rsidR="00D21FF0" w:rsidRPr="00DB09B3" w:rsidRDefault="00D21FF0" w:rsidP="00D21FF0">
                  <w:pPr>
                    <w:spacing w:after="0" w:line="240" w:lineRule="auto"/>
                    <w:ind w:firstLine="300"/>
                    <w:jc w:val="center"/>
                    <w:rPr>
                      <w:rFonts w:ascii="Times New Roman" w:eastAsia="Times New Roman" w:hAnsi="Times New Roman" w:cs="Times New Roman"/>
                      <w:b/>
                      <w:bCs/>
                      <w:sz w:val="24"/>
                      <w:szCs w:val="24"/>
                      <w:lang w:eastAsia="lv-LV"/>
                    </w:rPr>
                  </w:pPr>
                  <w:r w:rsidRPr="00DB09B3">
                    <w:rPr>
                      <w:rFonts w:ascii="Times New Roman" w:eastAsia="Times New Roman" w:hAnsi="Times New Roman" w:cs="Times New Roman"/>
                      <w:b/>
                      <w:bCs/>
                      <w:sz w:val="24"/>
                      <w:szCs w:val="24"/>
                      <w:lang w:eastAsia="lv-LV"/>
                    </w:rPr>
                    <w:t>2.tabula</w:t>
                  </w:r>
                  <w:r w:rsidRPr="00DB09B3">
                    <w:rPr>
                      <w:rFonts w:ascii="Times New Roman" w:eastAsia="Times New Roman" w:hAnsi="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DB09B3">
                    <w:rPr>
                      <w:rFonts w:ascii="Times New Roman" w:eastAsia="Times New Roman" w:hAnsi="Times New Roman" w:cs="Times New Roman"/>
                      <w:b/>
                      <w:bCs/>
                      <w:sz w:val="24"/>
                      <w:szCs w:val="24"/>
                      <w:lang w:eastAsia="lv-LV"/>
                    </w:rPr>
                    <w:br/>
                    <w:t>Pasākumi šo saistību izpildei</w:t>
                  </w:r>
                </w:p>
              </w:tc>
            </w:tr>
            <w:tr w:rsidR="00D21FF0" w:rsidRPr="00DB09B3" w14:paraId="400B9A99" w14:textId="77777777" w:rsidTr="00437371">
              <w:tc>
                <w:tcPr>
                  <w:tcW w:w="1300" w:type="pct"/>
                  <w:gridSpan w:val="2"/>
                  <w:tcBorders>
                    <w:top w:val="outset" w:sz="6" w:space="0" w:color="414142"/>
                    <w:left w:val="outset" w:sz="6" w:space="0" w:color="414142"/>
                    <w:bottom w:val="outset" w:sz="6" w:space="0" w:color="414142"/>
                    <w:right w:val="outset" w:sz="6" w:space="0" w:color="414142"/>
                  </w:tcBorders>
                  <w:vAlign w:val="center"/>
                  <w:hideMark/>
                </w:tcPr>
                <w:p w14:paraId="3C0FD655" w14:textId="77777777" w:rsidR="00D21FF0" w:rsidRPr="00DB09B3" w:rsidRDefault="00D21FF0" w:rsidP="00D21FF0">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Attiecīgā starptautiskā tiesību akta vai starptautiskas institūcijas vai organizācijas dokumenta (turpmāk - starptautiskais dokuments) datums, numurs un nosaukums</w:t>
                  </w:r>
                </w:p>
              </w:tc>
              <w:tc>
                <w:tcPr>
                  <w:tcW w:w="3700" w:type="pct"/>
                  <w:gridSpan w:val="4"/>
                  <w:tcBorders>
                    <w:top w:val="outset" w:sz="6" w:space="0" w:color="414142"/>
                    <w:left w:val="outset" w:sz="6" w:space="0" w:color="414142"/>
                    <w:bottom w:val="outset" w:sz="6" w:space="0" w:color="414142"/>
                    <w:right w:val="outset" w:sz="6" w:space="0" w:color="414142"/>
                  </w:tcBorders>
                  <w:hideMark/>
                </w:tcPr>
                <w:p w14:paraId="469E400A" w14:textId="77777777" w:rsidR="00D21FF0" w:rsidRPr="00DB09B3" w:rsidRDefault="00D21FF0" w:rsidP="00D21FF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Pr="00DB09B3">
                    <w:rPr>
                      <w:rFonts w:ascii="Times New Roman" w:eastAsia="Times New Roman" w:hAnsi="Times New Roman" w:cs="Times New Roman"/>
                      <w:sz w:val="24"/>
                      <w:szCs w:val="24"/>
                      <w:lang w:eastAsia="lv-LV"/>
                    </w:rPr>
                    <w:t>rojekts šo jomu neskar.</w:t>
                  </w:r>
                </w:p>
              </w:tc>
            </w:tr>
            <w:tr w:rsidR="00D21FF0" w:rsidRPr="00DB09B3" w14:paraId="3B98E805" w14:textId="77777777" w:rsidTr="00437371">
              <w:tc>
                <w:tcPr>
                  <w:tcW w:w="1300" w:type="pct"/>
                  <w:gridSpan w:val="2"/>
                  <w:tcBorders>
                    <w:top w:val="outset" w:sz="6" w:space="0" w:color="414142"/>
                    <w:left w:val="outset" w:sz="6" w:space="0" w:color="414142"/>
                    <w:bottom w:val="outset" w:sz="6" w:space="0" w:color="414142"/>
                    <w:right w:val="outset" w:sz="6" w:space="0" w:color="414142"/>
                  </w:tcBorders>
                  <w:vAlign w:val="center"/>
                  <w:hideMark/>
                </w:tcPr>
                <w:p w14:paraId="1836A6B1" w14:textId="77777777" w:rsidR="00D21FF0" w:rsidRPr="00DB09B3" w:rsidRDefault="00D21FF0" w:rsidP="00D21FF0">
                  <w:pPr>
                    <w:spacing w:after="0" w:line="240" w:lineRule="auto"/>
                    <w:ind w:firstLine="300"/>
                    <w:jc w:val="center"/>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A</w:t>
                  </w:r>
                </w:p>
              </w:tc>
              <w:tc>
                <w:tcPr>
                  <w:tcW w:w="1650" w:type="pct"/>
                  <w:gridSpan w:val="2"/>
                  <w:tcBorders>
                    <w:top w:val="outset" w:sz="6" w:space="0" w:color="414142"/>
                    <w:left w:val="outset" w:sz="6" w:space="0" w:color="414142"/>
                    <w:bottom w:val="outset" w:sz="6" w:space="0" w:color="414142"/>
                    <w:right w:val="outset" w:sz="6" w:space="0" w:color="414142"/>
                  </w:tcBorders>
                  <w:vAlign w:val="center"/>
                  <w:hideMark/>
                </w:tcPr>
                <w:p w14:paraId="03A5963E" w14:textId="77777777" w:rsidR="00D21FF0" w:rsidRPr="00DB09B3" w:rsidRDefault="00D21FF0" w:rsidP="00D21FF0">
                  <w:pPr>
                    <w:spacing w:after="0" w:line="240" w:lineRule="auto"/>
                    <w:ind w:firstLine="300"/>
                    <w:jc w:val="center"/>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B</w:t>
                  </w:r>
                </w:p>
              </w:tc>
              <w:tc>
                <w:tcPr>
                  <w:tcW w:w="2100" w:type="pct"/>
                  <w:gridSpan w:val="2"/>
                  <w:tcBorders>
                    <w:top w:val="outset" w:sz="6" w:space="0" w:color="414142"/>
                    <w:left w:val="outset" w:sz="6" w:space="0" w:color="414142"/>
                    <w:bottom w:val="outset" w:sz="6" w:space="0" w:color="414142"/>
                    <w:right w:val="outset" w:sz="6" w:space="0" w:color="414142"/>
                  </w:tcBorders>
                  <w:vAlign w:val="center"/>
                  <w:hideMark/>
                </w:tcPr>
                <w:p w14:paraId="02817602" w14:textId="77777777" w:rsidR="00D21FF0" w:rsidRPr="00DB09B3" w:rsidRDefault="00D21FF0" w:rsidP="00D21FF0">
                  <w:pPr>
                    <w:spacing w:after="0" w:line="240" w:lineRule="auto"/>
                    <w:ind w:firstLine="300"/>
                    <w:jc w:val="center"/>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C</w:t>
                  </w:r>
                </w:p>
              </w:tc>
            </w:tr>
            <w:tr w:rsidR="00D21FF0" w:rsidRPr="00DB09B3" w14:paraId="4A90ACF8" w14:textId="77777777" w:rsidTr="00437371">
              <w:tc>
                <w:tcPr>
                  <w:tcW w:w="1300" w:type="pct"/>
                  <w:gridSpan w:val="2"/>
                  <w:tcBorders>
                    <w:top w:val="outset" w:sz="6" w:space="0" w:color="414142"/>
                    <w:left w:val="outset" w:sz="6" w:space="0" w:color="414142"/>
                    <w:bottom w:val="outset" w:sz="6" w:space="0" w:color="414142"/>
                    <w:right w:val="outset" w:sz="6" w:space="0" w:color="414142"/>
                  </w:tcBorders>
                  <w:hideMark/>
                </w:tcPr>
                <w:p w14:paraId="7409D19F" w14:textId="77777777" w:rsidR="00D21FF0" w:rsidRPr="00DB09B3" w:rsidRDefault="00D21FF0" w:rsidP="00D21FF0">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 xml:space="preserve">Starptautiskās saistības (pēc būtības), kas izriet no norādītā starptautiskā dokumenta. </w:t>
                  </w:r>
                </w:p>
                <w:p w14:paraId="37BBAE62" w14:textId="77777777" w:rsidR="00D21FF0" w:rsidRDefault="00D21FF0" w:rsidP="00D21FF0">
                  <w:pPr>
                    <w:spacing w:after="0" w:line="240" w:lineRule="auto"/>
                    <w:ind w:firstLine="300"/>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Konkrēti veicamie pasākumi vai uzdevumi, kas nepieciešami šo starptautisko saistību izpildei</w:t>
                  </w:r>
                </w:p>
                <w:p w14:paraId="361DB58D" w14:textId="77777777" w:rsidR="00D21FF0" w:rsidRPr="00DB09B3" w:rsidRDefault="00D21FF0" w:rsidP="00D21FF0">
                  <w:pPr>
                    <w:spacing w:after="0" w:line="240" w:lineRule="auto"/>
                    <w:ind w:firstLine="300"/>
                    <w:rPr>
                      <w:rFonts w:ascii="Times New Roman" w:eastAsia="Times New Roman" w:hAnsi="Times New Roman" w:cs="Times New Roman"/>
                      <w:sz w:val="24"/>
                      <w:szCs w:val="24"/>
                      <w:lang w:eastAsia="lv-LV"/>
                    </w:rPr>
                  </w:pPr>
                </w:p>
              </w:tc>
              <w:tc>
                <w:tcPr>
                  <w:tcW w:w="1650" w:type="pct"/>
                  <w:gridSpan w:val="2"/>
                  <w:tcBorders>
                    <w:top w:val="outset" w:sz="6" w:space="0" w:color="414142"/>
                    <w:left w:val="outset" w:sz="6" w:space="0" w:color="414142"/>
                    <w:bottom w:val="outset" w:sz="6" w:space="0" w:color="414142"/>
                    <w:right w:val="outset" w:sz="6" w:space="0" w:color="414142"/>
                  </w:tcBorders>
                  <w:hideMark/>
                </w:tcPr>
                <w:p w14:paraId="2CCAB4CC" w14:textId="77777777" w:rsidR="00D21FF0" w:rsidRPr="00DB09B3" w:rsidRDefault="00D21FF0" w:rsidP="00D21FF0">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100" w:type="pct"/>
                  <w:gridSpan w:val="2"/>
                  <w:tcBorders>
                    <w:top w:val="outset" w:sz="6" w:space="0" w:color="414142"/>
                    <w:left w:val="outset" w:sz="6" w:space="0" w:color="414142"/>
                    <w:bottom w:val="outset" w:sz="6" w:space="0" w:color="414142"/>
                    <w:right w:val="outset" w:sz="6" w:space="0" w:color="414142"/>
                  </w:tcBorders>
                  <w:hideMark/>
                </w:tcPr>
                <w:p w14:paraId="7786B007" w14:textId="77777777" w:rsidR="00D21FF0" w:rsidRPr="00DB09B3" w:rsidRDefault="00D21FF0" w:rsidP="00D21FF0">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 xml:space="preserve">Informācija par to, vai starptautiskās saistības, kas minētas šīs tabulas A ailē, tiek izpildītas pilnībā vai daļēji. </w:t>
                  </w:r>
                </w:p>
                <w:p w14:paraId="051BE60C" w14:textId="77777777" w:rsidR="00D21FF0" w:rsidRPr="00DB09B3" w:rsidRDefault="00D21FF0" w:rsidP="00D21FF0">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Ja attiecīgās starptautiskās saistības tiek izpildītas daļēji, sniedz skaidrojumu, kā arī precīzi norāda, kad un kādā veidā starptautiskās saistības tiks izpildītas pilnībā.</w:t>
                  </w:r>
                </w:p>
                <w:p w14:paraId="1A55043F" w14:textId="77777777" w:rsidR="00D21FF0" w:rsidRPr="00DB09B3" w:rsidRDefault="00D21FF0" w:rsidP="00D21FF0">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Norāda institūciju, kas ir atbildīga par šo saistību izpildi pilnībā</w:t>
                  </w:r>
                </w:p>
              </w:tc>
            </w:tr>
            <w:tr w:rsidR="00D21FF0" w:rsidRPr="00DB09B3" w14:paraId="3E957819" w14:textId="77777777" w:rsidTr="00437371">
              <w:tc>
                <w:tcPr>
                  <w:tcW w:w="1300" w:type="pct"/>
                  <w:gridSpan w:val="2"/>
                  <w:tcBorders>
                    <w:top w:val="outset" w:sz="6" w:space="0" w:color="414142"/>
                    <w:left w:val="outset" w:sz="6" w:space="0" w:color="414142"/>
                    <w:bottom w:val="outset" w:sz="6" w:space="0" w:color="414142"/>
                    <w:right w:val="outset" w:sz="6" w:space="0" w:color="414142"/>
                  </w:tcBorders>
                  <w:hideMark/>
                </w:tcPr>
                <w:p w14:paraId="2B4875E5" w14:textId="77777777" w:rsidR="00D21FF0" w:rsidRPr="00DB09B3" w:rsidRDefault="00D21FF0" w:rsidP="00D21FF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Pr="00DB09B3">
                    <w:rPr>
                      <w:rFonts w:ascii="Times New Roman" w:eastAsia="Times New Roman" w:hAnsi="Times New Roman" w:cs="Times New Roman"/>
                      <w:sz w:val="24"/>
                      <w:szCs w:val="24"/>
                      <w:lang w:eastAsia="lv-LV"/>
                    </w:rPr>
                    <w:t>rojekts šo jomu neskar.</w:t>
                  </w:r>
                </w:p>
              </w:tc>
              <w:tc>
                <w:tcPr>
                  <w:tcW w:w="1650" w:type="pct"/>
                  <w:gridSpan w:val="2"/>
                  <w:tcBorders>
                    <w:top w:val="outset" w:sz="6" w:space="0" w:color="414142"/>
                    <w:left w:val="outset" w:sz="6" w:space="0" w:color="414142"/>
                    <w:bottom w:val="outset" w:sz="6" w:space="0" w:color="414142"/>
                    <w:right w:val="outset" w:sz="6" w:space="0" w:color="414142"/>
                  </w:tcBorders>
                  <w:hideMark/>
                </w:tcPr>
                <w:p w14:paraId="15DF96D4" w14:textId="77777777" w:rsidR="00D21FF0" w:rsidRPr="00DB09B3" w:rsidRDefault="00D21FF0" w:rsidP="00D21FF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Pr="00DB09B3">
                    <w:rPr>
                      <w:rFonts w:ascii="Times New Roman" w:eastAsia="Times New Roman" w:hAnsi="Times New Roman" w:cs="Times New Roman"/>
                      <w:sz w:val="24"/>
                      <w:szCs w:val="24"/>
                      <w:lang w:eastAsia="lv-LV"/>
                    </w:rPr>
                    <w:t>rojekts šo jomu neskar.</w:t>
                  </w:r>
                </w:p>
              </w:tc>
              <w:tc>
                <w:tcPr>
                  <w:tcW w:w="2100" w:type="pct"/>
                  <w:gridSpan w:val="2"/>
                  <w:tcBorders>
                    <w:top w:val="outset" w:sz="6" w:space="0" w:color="414142"/>
                    <w:left w:val="outset" w:sz="6" w:space="0" w:color="414142"/>
                    <w:bottom w:val="outset" w:sz="6" w:space="0" w:color="414142"/>
                    <w:right w:val="outset" w:sz="6" w:space="0" w:color="414142"/>
                  </w:tcBorders>
                  <w:hideMark/>
                </w:tcPr>
                <w:p w14:paraId="3DAA052E" w14:textId="77777777" w:rsidR="00D21FF0" w:rsidRPr="00DB09B3" w:rsidRDefault="00D21FF0" w:rsidP="00D21FF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Pr="00DB09B3">
                    <w:rPr>
                      <w:rFonts w:ascii="Times New Roman" w:eastAsia="Times New Roman" w:hAnsi="Times New Roman" w:cs="Times New Roman"/>
                      <w:sz w:val="24"/>
                      <w:szCs w:val="24"/>
                      <w:lang w:eastAsia="lv-LV"/>
                    </w:rPr>
                    <w:t>rojekts šo jomu neskar.</w:t>
                  </w:r>
                </w:p>
              </w:tc>
            </w:tr>
            <w:tr w:rsidR="00D21FF0" w:rsidRPr="00DB09B3" w14:paraId="3AA8E964" w14:textId="77777777" w:rsidTr="00437371">
              <w:tc>
                <w:tcPr>
                  <w:tcW w:w="1300" w:type="pct"/>
                  <w:gridSpan w:val="2"/>
                  <w:tcBorders>
                    <w:top w:val="outset" w:sz="6" w:space="0" w:color="414142"/>
                    <w:left w:val="outset" w:sz="6" w:space="0" w:color="414142"/>
                    <w:bottom w:val="outset" w:sz="6" w:space="0" w:color="414142"/>
                    <w:right w:val="outset" w:sz="6" w:space="0" w:color="414142"/>
                  </w:tcBorders>
                  <w:hideMark/>
                </w:tcPr>
                <w:p w14:paraId="072D2E61" w14:textId="77777777" w:rsidR="00D21FF0" w:rsidRDefault="00D21FF0" w:rsidP="00D21FF0">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Vai starptautiskajā dokumentā paredzētās saistības nav pretrunā ar jau esošajām Latvijas Republikas starptautiskajām saistībām</w:t>
                  </w:r>
                </w:p>
                <w:p w14:paraId="6B58E3CD" w14:textId="77777777" w:rsidR="00D21FF0" w:rsidRPr="00DB09B3" w:rsidRDefault="00D21FF0" w:rsidP="00D21FF0">
                  <w:pPr>
                    <w:spacing w:after="0" w:line="240" w:lineRule="auto"/>
                    <w:rPr>
                      <w:rFonts w:ascii="Times New Roman" w:eastAsia="Times New Roman" w:hAnsi="Times New Roman" w:cs="Times New Roman"/>
                      <w:sz w:val="24"/>
                      <w:szCs w:val="24"/>
                      <w:lang w:eastAsia="lv-LV"/>
                    </w:rPr>
                  </w:pPr>
                </w:p>
              </w:tc>
              <w:tc>
                <w:tcPr>
                  <w:tcW w:w="3700" w:type="pct"/>
                  <w:gridSpan w:val="4"/>
                  <w:tcBorders>
                    <w:top w:val="outset" w:sz="6" w:space="0" w:color="414142"/>
                    <w:left w:val="outset" w:sz="6" w:space="0" w:color="414142"/>
                    <w:bottom w:val="outset" w:sz="6" w:space="0" w:color="414142"/>
                    <w:right w:val="outset" w:sz="6" w:space="0" w:color="414142"/>
                  </w:tcBorders>
                  <w:hideMark/>
                </w:tcPr>
                <w:p w14:paraId="4C2821E3" w14:textId="77777777" w:rsidR="00D21FF0" w:rsidRPr="00DB09B3" w:rsidRDefault="00D21FF0" w:rsidP="00D21FF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Pr="00DB09B3">
                    <w:rPr>
                      <w:rFonts w:ascii="Times New Roman" w:eastAsia="Times New Roman" w:hAnsi="Times New Roman" w:cs="Times New Roman"/>
                      <w:sz w:val="24"/>
                      <w:szCs w:val="24"/>
                      <w:lang w:eastAsia="lv-LV"/>
                    </w:rPr>
                    <w:t>rojekts šo jomu neskar.</w:t>
                  </w:r>
                </w:p>
              </w:tc>
            </w:tr>
            <w:tr w:rsidR="00D21FF0" w:rsidRPr="00DB09B3" w14:paraId="3C235A52" w14:textId="77777777" w:rsidTr="00437371">
              <w:tc>
                <w:tcPr>
                  <w:tcW w:w="1300" w:type="pct"/>
                  <w:gridSpan w:val="2"/>
                  <w:tcBorders>
                    <w:top w:val="outset" w:sz="6" w:space="0" w:color="414142"/>
                    <w:left w:val="outset" w:sz="6" w:space="0" w:color="414142"/>
                    <w:bottom w:val="outset" w:sz="6" w:space="0" w:color="414142"/>
                    <w:right w:val="outset" w:sz="6" w:space="0" w:color="414142"/>
                  </w:tcBorders>
                  <w:hideMark/>
                </w:tcPr>
                <w:p w14:paraId="7D0E78B1" w14:textId="77777777" w:rsidR="00D21FF0" w:rsidRPr="00DB09B3" w:rsidRDefault="00D21FF0" w:rsidP="00D21FF0">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Cita informācija</w:t>
                  </w:r>
                </w:p>
              </w:tc>
              <w:tc>
                <w:tcPr>
                  <w:tcW w:w="3700" w:type="pct"/>
                  <w:gridSpan w:val="4"/>
                  <w:tcBorders>
                    <w:top w:val="outset" w:sz="6" w:space="0" w:color="414142"/>
                    <w:left w:val="outset" w:sz="6" w:space="0" w:color="414142"/>
                    <w:bottom w:val="outset" w:sz="6" w:space="0" w:color="414142"/>
                    <w:right w:val="outset" w:sz="6" w:space="0" w:color="414142"/>
                  </w:tcBorders>
                  <w:hideMark/>
                </w:tcPr>
                <w:p w14:paraId="2F391690" w14:textId="77777777" w:rsidR="00D21FF0" w:rsidRPr="00DB09B3" w:rsidRDefault="00D21FF0" w:rsidP="00D21FF0">
                  <w:pPr>
                    <w:spacing w:after="0" w:line="240" w:lineRule="auto"/>
                    <w:rPr>
                      <w:rFonts w:ascii="Times New Roman" w:eastAsia="Times New Roman" w:hAnsi="Times New Roman" w:cs="Times New Roman"/>
                      <w:sz w:val="24"/>
                      <w:szCs w:val="24"/>
                      <w:lang w:eastAsia="lv-LV"/>
                    </w:rPr>
                  </w:pPr>
                  <w:r w:rsidRPr="00DB09B3">
                    <w:rPr>
                      <w:rFonts w:ascii="Times New Roman" w:eastAsia="Times New Roman" w:hAnsi="Times New Roman" w:cs="Times New Roman"/>
                      <w:sz w:val="24"/>
                      <w:szCs w:val="24"/>
                      <w:lang w:eastAsia="lv-LV"/>
                    </w:rPr>
                    <w:t>Nav</w:t>
                  </w:r>
                  <w:r>
                    <w:rPr>
                      <w:rFonts w:ascii="Times New Roman" w:eastAsia="Times New Roman" w:hAnsi="Times New Roman" w:cs="Times New Roman"/>
                      <w:sz w:val="24"/>
                      <w:szCs w:val="24"/>
                      <w:lang w:eastAsia="lv-LV"/>
                    </w:rPr>
                    <w:t>.</w:t>
                  </w:r>
                </w:p>
              </w:tc>
            </w:tr>
          </w:tbl>
          <w:p w14:paraId="66B2D84F" w14:textId="74C64FF2" w:rsidR="00D21FF0" w:rsidRDefault="00D21FF0" w:rsidP="00D21FF0">
            <w:pPr>
              <w:spacing w:after="0" w:line="240" w:lineRule="auto"/>
              <w:rPr>
                <w:rFonts w:ascii="Times New Roman" w:eastAsia="Times New Roman" w:hAnsi="Times New Roman" w:cs="Times New Roman"/>
                <w:b/>
                <w:bCs/>
                <w:sz w:val="24"/>
                <w:szCs w:val="24"/>
                <w:lang w:eastAsia="lv-LV"/>
              </w:rPr>
            </w:pPr>
          </w:p>
        </w:tc>
      </w:tr>
      <w:tr w:rsidR="00BC2633" w:rsidRPr="00BC2633" w14:paraId="47CDCFFD" w14:textId="77777777" w:rsidTr="006B03BF">
        <w:trPr>
          <w:gridBefore w:val="1"/>
          <w:wBefore w:w="7" w:type="dxa"/>
          <w:trHeight w:val="420"/>
        </w:trPr>
        <w:tc>
          <w:tcPr>
            <w:tcW w:w="9072" w:type="dxa"/>
            <w:gridSpan w:val="3"/>
            <w:tcBorders>
              <w:top w:val="single" w:sz="4" w:space="0" w:color="auto"/>
              <w:left w:val="outset" w:sz="6" w:space="0" w:color="414142"/>
              <w:bottom w:val="outset" w:sz="6" w:space="0" w:color="414142"/>
              <w:right w:val="outset" w:sz="6" w:space="0" w:color="414142"/>
            </w:tcBorders>
            <w:vAlign w:val="center"/>
            <w:hideMark/>
          </w:tcPr>
          <w:p w14:paraId="762D6D7A"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lastRenderedPageBreak/>
              <w:t>VI. Sabiedrības līdzdalība un komunikācijas aktivitātes</w:t>
            </w:r>
          </w:p>
        </w:tc>
      </w:tr>
      <w:tr w:rsidR="00BC2633" w:rsidRPr="00BC2633" w14:paraId="0D2DCAF5" w14:textId="77777777" w:rsidTr="001877F3">
        <w:trPr>
          <w:gridBefore w:val="1"/>
          <w:wBefore w:w="7" w:type="dxa"/>
          <w:trHeight w:val="540"/>
        </w:trPr>
        <w:tc>
          <w:tcPr>
            <w:tcW w:w="454" w:type="dxa"/>
            <w:tcBorders>
              <w:top w:val="outset" w:sz="6" w:space="0" w:color="414142"/>
              <w:left w:val="outset" w:sz="6" w:space="0" w:color="414142"/>
              <w:bottom w:val="outset" w:sz="6" w:space="0" w:color="414142"/>
              <w:right w:val="outset" w:sz="6" w:space="0" w:color="414142"/>
            </w:tcBorders>
            <w:hideMark/>
          </w:tcPr>
          <w:p w14:paraId="3DB101B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2520" w:type="dxa"/>
            <w:tcBorders>
              <w:top w:val="outset" w:sz="6" w:space="0" w:color="414142"/>
              <w:left w:val="outset" w:sz="6" w:space="0" w:color="414142"/>
              <w:bottom w:val="outset" w:sz="6" w:space="0" w:color="414142"/>
              <w:right w:val="outset" w:sz="6" w:space="0" w:color="414142"/>
            </w:tcBorders>
            <w:hideMark/>
          </w:tcPr>
          <w:p w14:paraId="4A9AA28A"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xml:space="preserve">Plānotās sabiedrības līdzdalības un </w:t>
            </w:r>
            <w:r w:rsidRPr="00BC2633">
              <w:rPr>
                <w:rFonts w:ascii="Times New Roman" w:eastAsia="Times New Roman" w:hAnsi="Times New Roman" w:cs="Times New Roman"/>
                <w:sz w:val="24"/>
                <w:szCs w:val="24"/>
                <w:lang w:eastAsia="lv-LV"/>
              </w:rPr>
              <w:lastRenderedPageBreak/>
              <w:t>komunikācijas aktivitātes saistībā ar projektu</w:t>
            </w:r>
          </w:p>
        </w:tc>
        <w:tc>
          <w:tcPr>
            <w:tcW w:w="6098" w:type="dxa"/>
            <w:tcBorders>
              <w:top w:val="outset" w:sz="6" w:space="0" w:color="414142"/>
              <w:left w:val="outset" w:sz="6" w:space="0" w:color="414142"/>
              <w:bottom w:val="outset" w:sz="6" w:space="0" w:color="414142"/>
              <w:right w:val="outset" w:sz="6" w:space="0" w:color="414142"/>
            </w:tcBorders>
            <w:hideMark/>
          </w:tcPr>
          <w:p w14:paraId="295A6DAA" w14:textId="6BA2042C" w:rsidR="001C5969" w:rsidRPr="00022944" w:rsidRDefault="00533CE6"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Nav. </w:t>
            </w:r>
          </w:p>
        </w:tc>
      </w:tr>
      <w:tr w:rsidR="00BC2633" w:rsidRPr="00BC2633" w14:paraId="748A49ED" w14:textId="77777777" w:rsidTr="001877F3">
        <w:trPr>
          <w:gridBefore w:val="1"/>
          <w:wBefore w:w="7" w:type="dxa"/>
          <w:trHeight w:val="330"/>
        </w:trPr>
        <w:tc>
          <w:tcPr>
            <w:tcW w:w="454" w:type="dxa"/>
            <w:tcBorders>
              <w:top w:val="outset" w:sz="6" w:space="0" w:color="414142"/>
              <w:left w:val="outset" w:sz="6" w:space="0" w:color="414142"/>
              <w:bottom w:val="outset" w:sz="6" w:space="0" w:color="414142"/>
              <w:right w:val="outset" w:sz="6" w:space="0" w:color="414142"/>
            </w:tcBorders>
            <w:hideMark/>
          </w:tcPr>
          <w:p w14:paraId="30CFD553"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2520" w:type="dxa"/>
            <w:tcBorders>
              <w:top w:val="outset" w:sz="6" w:space="0" w:color="414142"/>
              <w:left w:val="outset" w:sz="6" w:space="0" w:color="414142"/>
              <w:bottom w:val="outset" w:sz="6" w:space="0" w:color="414142"/>
              <w:right w:val="outset" w:sz="6" w:space="0" w:color="414142"/>
            </w:tcBorders>
            <w:hideMark/>
          </w:tcPr>
          <w:p w14:paraId="30378D19"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 projekta izstrādē</w:t>
            </w:r>
          </w:p>
        </w:tc>
        <w:tc>
          <w:tcPr>
            <w:tcW w:w="6098" w:type="dxa"/>
            <w:tcBorders>
              <w:top w:val="outset" w:sz="6" w:space="0" w:color="414142"/>
              <w:left w:val="outset" w:sz="6" w:space="0" w:color="414142"/>
              <w:bottom w:val="outset" w:sz="6" w:space="0" w:color="414142"/>
              <w:right w:val="outset" w:sz="6" w:space="0" w:color="414142"/>
            </w:tcBorders>
            <w:hideMark/>
          </w:tcPr>
          <w:p w14:paraId="5E2CB78B" w14:textId="2A303CF3" w:rsidR="004D15A9" w:rsidRPr="00BC2633" w:rsidRDefault="00533CE6"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Sabiedrības līdzdalību nav nepieciešams nodrošināt, jo noteikumu projektā iekļautās izmaiņas attiecas un var atstāt ietekmi tikai uz finansējuma saņēmēju, un samazina tam uzlikto administratīvo slogu.</w:t>
            </w:r>
          </w:p>
        </w:tc>
      </w:tr>
      <w:tr w:rsidR="00BC2633" w:rsidRPr="00BC2633" w14:paraId="7318E72E" w14:textId="77777777" w:rsidTr="00CE4CD6">
        <w:trPr>
          <w:gridBefore w:val="1"/>
          <w:wBefore w:w="7" w:type="dxa"/>
          <w:trHeight w:val="465"/>
        </w:trPr>
        <w:tc>
          <w:tcPr>
            <w:tcW w:w="454" w:type="dxa"/>
            <w:tcBorders>
              <w:top w:val="outset" w:sz="6" w:space="0" w:color="414142"/>
              <w:left w:val="outset" w:sz="6" w:space="0" w:color="414142"/>
              <w:bottom w:val="outset" w:sz="6" w:space="0" w:color="414142"/>
              <w:right w:val="outset" w:sz="6" w:space="0" w:color="414142"/>
            </w:tcBorders>
            <w:hideMark/>
          </w:tcPr>
          <w:p w14:paraId="784301A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2520" w:type="dxa"/>
            <w:tcBorders>
              <w:top w:val="outset" w:sz="6" w:space="0" w:color="414142"/>
              <w:left w:val="outset" w:sz="6" w:space="0" w:color="414142"/>
              <w:bottom w:val="outset" w:sz="6" w:space="0" w:color="414142"/>
              <w:right w:val="outset" w:sz="6" w:space="0" w:color="414142"/>
            </w:tcBorders>
            <w:hideMark/>
          </w:tcPr>
          <w:p w14:paraId="3DA36DE9"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līdzdalības rezultāti</w:t>
            </w:r>
          </w:p>
        </w:tc>
        <w:tc>
          <w:tcPr>
            <w:tcW w:w="6098" w:type="dxa"/>
            <w:tcBorders>
              <w:top w:val="outset" w:sz="6" w:space="0" w:color="414142"/>
              <w:left w:val="outset" w:sz="6" w:space="0" w:color="414142"/>
              <w:bottom w:val="outset" w:sz="6" w:space="0" w:color="414142"/>
              <w:right w:val="outset" w:sz="6" w:space="0" w:color="414142"/>
            </w:tcBorders>
          </w:tcPr>
          <w:p w14:paraId="41BC626E" w14:textId="731C9414" w:rsidR="004D15A9" w:rsidRPr="00BC2633" w:rsidRDefault="00027C6E"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šo jomu neskar</w:t>
            </w:r>
            <w:r w:rsidR="00022944">
              <w:rPr>
                <w:rFonts w:ascii="Times New Roman" w:eastAsia="Times New Roman" w:hAnsi="Times New Roman" w:cs="Times New Roman"/>
                <w:sz w:val="24"/>
                <w:szCs w:val="24"/>
                <w:lang w:eastAsia="lv-LV"/>
              </w:rPr>
              <w:t>.</w:t>
            </w:r>
          </w:p>
        </w:tc>
      </w:tr>
      <w:tr w:rsidR="004D15A9" w:rsidRPr="00BC2633" w14:paraId="2C513AAB" w14:textId="77777777" w:rsidTr="001877F3">
        <w:trPr>
          <w:gridBefore w:val="1"/>
          <w:wBefore w:w="7" w:type="dxa"/>
          <w:trHeight w:val="465"/>
        </w:trPr>
        <w:tc>
          <w:tcPr>
            <w:tcW w:w="454" w:type="dxa"/>
            <w:tcBorders>
              <w:top w:val="outset" w:sz="6" w:space="0" w:color="414142"/>
              <w:left w:val="outset" w:sz="6" w:space="0" w:color="414142"/>
              <w:bottom w:val="outset" w:sz="6" w:space="0" w:color="414142"/>
              <w:right w:val="outset" w:sz="6" w:space="0" w:color="414142"/>
            </w:tcBorders>
            <w:hideMark/>
          </w:tcPr>
          <w:p w14:paraId="1D69CC05"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2520" w:type="dxa"/>
            <w:tcBorders>
              <w:top w:val="outset" w:sz="6" w:space="0" w:color="414142"/>
              <w:left w:val="outset" w:sz="6" w:space="0" w:color="414142"/>
              <w:bottom w:val="outset" w:sz="6" w:space="0" w:color="414142"/>
              <w:right w:val="outset" w:sz="6" w:space="0" w:color="414142"/>
            </w:tcBorders>
            <w:hideMark/>
          </w:tcPr>
          <w:p w14:paraId="7EC49C7A"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6098" w:type="dxa"/>
            <w:tcBorders>
              <w:top w:val="outset" w:sz="6" w:space="0" w:color="414142"/>
              <w:left w:val="outset" w:sz="6" w:space="0" w:color="414142"/>
              <w:bottom w:val="outset" w:sz="6" w:space="0" w:color="414142"/>
              <w:right w:val="outset" w:sz="6" w:space="0" w:color="414142"/>
            </w:tcBorders>
            <w:hideMark/>
          </w:tcPr>
          <w:p w14:paraId="57B3EB28" w14:textId="77777777" w:rsidR="004D15A9" w:rsidRPr="00BC2633" w:rsidRDefault="00070184"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022944">
              <w:rPr>
                <w:rFonts w:ascii="Times New Roman" w:eastAsia="Times New Roman" w:hAnsi="Times New Roman" w:cs="Times New Roman"/>
                <w:sz w:val="24"/>
                <w:szCs w:val="24"/>
                <w:lang w:eastAsia="lv-LV"/>
              </w:rPr>
              <w:t>.</w:t>
            </w:r>
          </w:p>
        </w:tc>
      </w:tr>
    </w:tbl>
    <w:p w14:paraId="4344837E"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943"/>
        <w:gridCol w:w="5659"/>
      </w:tblGrid>
      <w:tr w:rsidR="00BC2633" w:rsidRPr="00BC2633" w14:paraId="4F705160"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6755CA7"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VII. Tiesību akta projekta izpildes nodrošināšana un tās ietekme uz institūcijām</w:t>
            </w:r>
          </w:p>
        </w:tc>
      </w:tr>
      <w:tr w:rsidR="00BC2633" w:rsidRPr="00BC2633" w14:paraId="59E1C1D0" w14:textId="77777777" w:rsidTr="006B03BF">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22EEC07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625" w:type="pct"/>
            <w:tcBorders>
              <w:top w:val="outset" w:sz="6" w:space="0" w:color="414142"/>
              <w:left w:val="outset" w:sz="6" w:space="0" w:color="414142"/>
              <w:bottom w:val="outset" w:sz="6" w:space="0" w:color="414142"/>
              <w:right w:val="outset" w:sz="6" w:space="0" w:color="414142"/>
            </w:tcBorders>
            <w:hideMark/>
          </w:tcPr>
          <w:p w14:paraId="3C5B7BD6"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izpildē iesaistītās institūcijas</w:t>
            </w:r>
          </w:p>
        </w:tc>
        <w:tc>
          <w:tcPr>
            <w:tcW w:w="3126" w:type="pct"/>
            <w:tcBorders>
              <w:top w:val="outset" w:sz="6" w:space="0" w:color="414142"/>
              <w:left w:val="outset" w:sz="6" w:space="0" w:color="414142"/>
              <w:bottom w:val="outset" w:sz="6" w:space="0" w:color="414142"/>
              <w:right w:val="outset" w:sz="6" w:space="0" w:color="414142"/>
            </w:tcBorders>
            <w:hideMark/>
          </w:tcPr>
          <w:p w14:paraId="1CAAA752" w14:textId="77777777" w:rsidR="004D15A9" w:rsidRPr="00BC2633" w:rsidRDefault="00070184" w:rsidP="0073730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Atbildīgā iestāde ir Tieslietu ministrija, finansējuma saņēmējs ir Tiesu administrācija, sadarbības iestādes funkcijas pilda Centrālā finanšu un līgumu aģentūra. </w:t>
            </w:r>
          </w:p>
        </w:tc>
      </w:tr>
      <w:tr w:rsidR="00BC2633" w:rsidRPr="00BC2633" w14:paraId="5D45CB0D" w14:textId="77777777" w:rsidTr="006B03BF">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44D53E46"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625" w:type="pct"/>
            <w:tcBorders>
              <w:top w:val="outset" w:sz="6" w:space="0" w:color="414142"/>
              <w:left w:val="outset" w:sz="6" w:space="0" w:color="414142"/>
              <w:bottom w:val="outset" w:sz="6" w:space="0" w:color="414142"/>
              <w:right w:val="outset" w:sz="6" w:space="0" w:color="414142"/>
            </w:tcBorders>
            <w:hideMark/>
          </w:tcPr>
          <w:p w14:paraId="43C2EAFB"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xml:space="preserve">Projekta izpildes ietekme uz pārvaldes funkcijām un institucionālo struktūru. </w:t>
            </w:r>
          </w:p>
          <w:p w14:paraId="27BD7A13" w14:textId="77777777" w:rsidR="004D15A9" w:rsidRPr="00BC2633" w:rsidRDefault="004D15A9" w:rsidP="0042645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126" w:type="pct"/>
            <w:tcBorders>
              <w:top w:val="outset" w:sz="6" w:space="0" w:color="414142"/>
              <w:left w:val="outset" w:sz="6" w:space="0" w:color="414142"/>
              <w:bottom w:val="outset" w:sz="6" w:space="0" w:color="414142"/>
              <w:right w:val="outset" w:sz="6" w:space="0" w:color="414142"/>
            </w:tcBorders>
            <w:hideMark/>
          </w:tcPr>
          <w:p w14:paraId="2B00EB0B" w14:textId="77777777" w:rsidR="004D15A9" w:rsidRPr="00BC2633" w:rsidRDefault="0052183F" w:rsidP="0073730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00070184">
              <w:rPr>
                <w:rFonts w:ascii="Times New Roman" w:eastAsia="Times New Roman" w:hAnsi="Times New Roman" w:cs="Times New Roman"/>
                <w:sz w:val="24"/>
                <w:szCs w:val="24"/>
                <w:lang w:eastAsia="lv-LV"/>
              </w:rPr>
              <w:t>rojekts šo jomu neskar.</w:t>
            </w:r>
          </w:p>
        </w:tc>
      </w:tr>
      <w:tr w:rsidR="004D15A9" w:rsidRPr="00BC2633" w14:paraId="62E93BFE" w14:textId="77777777" w:rsidTr="006B03BF">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598BAB8E"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625" w:type="pct"/>
            <w:tcBorders>
              <w:top w:val="outset" w:sz="6" w:space="0" w:color="414142"/>
              <w:left w:val="outset" w:sz="6" w:space="0" w:color="414142"/>
              <w:bottom w:val="outset" w:sz="6" w:space="0" w:color="414142"/>
              <w:right w:val="outset" w:sz="6" w:space="0" w:color="414142"/>
            </w:tcBorders>
            <w:hideMark/>
          </w:tcPr>
          <w:p w14:paraId="5E414DC3"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126" w:type="pct"/>
            <w:tcBorders>
              <w:top w:val="outset" w:sz="6" w:space="0" w:color="414142"/>
              <w:left w:val="outset" w:sz="6" w:space="0" w:color="414142"/>
              <w:bottom w:val="outset" w:sz="6" w:space="0" w:color="414142"/>
              <w:right w:val="outset" w:sz="6" w:space="0" w:color="414142"/>
            </w:tcBorders>
            <w:hideMark/>
          </w:tcPr>
          <w:p w14:paraId="0A511041" w14:textId="77777777" w:rsidR="004D15A9" w:rsidRPr="00BC2633" w:rsidRDefault="00070184" w:rsidP="0073730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52183F">
              <w:rPr>
                <w:rFonts w:ascii="Times New Roman" w:eastAsia="Times New Roman" w:hAnsi="Times New Roman" w:cs="Times New Roman"/>
                <w:sz w:val="24"/>
                <w:szCs w:val="24"/>
                <w:lang w:eastAsia="lv-LV"/>
              </w:rPr>
              <w:t>.</w:t>
            </w:r>
          </w:p>
        </w:tc>
      </w:tr>
    </w:tbl>
    <w:p w14:paraId="28AF69D3" w14:textId="77777777" w:rsidR="00BB1F46" w:rsidRDefault="00BB1F46" w:rsidP="00DA596D">
      <w:pPr>
        <w:spacing w:after="0" w:line="240" w:lineRule="auto"/>
        <w:rPr>
          <w:rFonts w:ascii="Times New Roman" w:hAnsi="Times New Roman" w:cs="Times New Roman"/>
          <w:sz w:val="24"/>
          <w:szCs w:val="24"/>
        </w:rPr>
      </w:pPr>
    </w:p>
    <w:p w14:paraId="7474142C" w14:textId="77777777" w:rsidR="00F41228" w:rsidRDefault="00F41228" w:rsidP="00DA596D">
      <w:pPr>
        <w:pStyle w:val="StyleRight"/>
        <w:spacing w:after="0"/>
        <w:ind w:firstLine="0"/>
        <w:jc w:val="both"/>
        <w:rPr>
          <w:sz w:val="24"/>
          <w:szCs w:val="24"/>
        </w:rPr>
      </w:pPr>
    </w:p>
    <w:p w14:paraId="643D36B4" w14:textId="61BED94F" w:rsidR="00F41228" w:rsidRDefault="00F41228" w:rsidP="00DA596D">
      <w:pPr>
        <w:pStyle w:val="StyleRight"/>
        <w:spacing w:after="0"/>
        <w:ind w:firstLine="0"/>
        <w:jc w:val="both"/>
        <w:rPr>
          <w:sz w:val="24"/>
          <w:szCs w:val="24"/>
        </w:rPr>
      </w:pPr>
      <w:r>
        <w:rPr>
          <w:sz w:val="24"/>
          <w:szCs w:val="24"/>
        </w:rPr>
        <w:t>Iesniedzējs:</w:t>
      </w:r>
    </w:p>
    <w:p w14:paraId="59452B43" w14:textId="77BC7339" w:rsidR="004D15A9" w:rsidRPr="00BC2633" w:rsidRDefault="00F41228" w:rsidP="00DA596D">
      <w:pPr>
        <w:pStyle w:val="StyleRight"/>
        <w:spacing w:after="0"/>
        <w:ind w:firstLine="0"/>
        <w:jc w:val="both"/>
        <w:rPr>
          <w:sz w:val="24"/>
          <w:szCs w:val="24"/>
        </w:rPr>
      </w:pPr>
      <w:r>
        <w:rPr>
          <w:sz w:val="24"/>
          <w:szCs w:val="24"/>
        </w:rPr>
        <w:t>t</w:t>
      </w:r>
      <w:r w:rsidR="001877F3">
        <w:rPr>
          <w:sz w:val="24"/>
          <w:szCs w:val="24"/>
        </w:rPr>
        <w:t>ieslietu ministrs</w:t>
      </w:r>
      <w:r w:rsidR="0045610C">
        <w:rPr>
          <w:sz w:val="24"/>
          <w:szCs w:val="24"/>
        </w:rPr>
        <w:tab/>
      </w:r>
      <w:r w:rsidR="0045610C">
        <w:rPr>
          <w:sz w:val="24"/>
          <w:szCs w:val="24"/>
        </w:rPr>
        <w:tab/>
      </w:r>
      <w:r w:rsidR="001877F3">
        <w:rPr>
          <w:sz w:val="24"/>
          <w:szCs w:val="24"/>
        </w:rPr>
        <w:tab/>
      </w:r>
      <w:r w:rsidR="004D15A9" w:rsidRPr="00BC2633">
        <w:rPr>
          <w:sz w:val="24"/>
          <w:szCs w:val="24"/>
        </w:rPr>
        <w:tab/>
      </w:r>
      <w:r w:rsidR="004D15A9" w:rsidRPr="00BC2633">
        <w:rPr>
          <w:sz w:val="24"/>
          <w:szCs w:val="24"/>
        </w:rPr>
        <w:tab/>
      </w:r>
      <w:r w:rsidR="004D15A9" w:rsidRPr="00BC2633">
        <w:rPr>
          <w:sz w:val="24"/>
          <w:szCs w:val="24"/>
        </w:rPr>
        <w:tab/>
      </w:r>
      <w:r w:rsidR="004D15A9" w:rsidRPr="00BC2633">
        <w:rPr>
          <w:sz w:val="24"/>
          <w:szCs w:val="24"/>
        </w:rPr>
        <w:tab/>
      </w:r>
      <w:r w:rsidR="00BF327D">
        <w:rPr>
          <w:sz w:val="24"/>
          <w:szCs w:val="24"/>
        </w:rPr>
        <w:tab/>
      </w:r>
      <w:r w:rsidR="0045610C">
        <w:rPr>
          <w:sz w:val="24"/>
          <w:szCs w:val="24"/>
        </w:rPr>
        <w:t>Dzintars Rasnačs</w:t>
      </w:r>
    </w:p>
    <w:p w14:paraId="4D997E62" w14:textId="77777777" w:rsidR="004D15A9" w:rsidRDefault="004D15A9" w:rsidP="00DA596D">
      <w:pPr>
        <w:pStyle w:val="StyleRight"/>
        <w:spacing w:after="0"/>
        <w:ind w:firstLine="0"/>
        <w:jc w:val="both"/>
        <w:rPr>
          <w:sz w:val="24"/>
          <w:szCs w:val="24"/>
        </w:rPr>
      </w:pPr>
    </w:p>
    <w:p w14:paraId="149255AA" w14:textId="77777777" w:rsidR="0076774D" w:rsidRDefault="0076774D" w:rsidP="00DA596D">
      <w:pPr>
        <w:pStyle w:val="StyleRight"/>
        <w:spacing w:after="0"/>
        <w:ind w:firstLine="0"/>
        <w:jc w:val="both"/>
        <w:rPr>
          <w:sz w:val="24"/>
          <w:szCs w:val="24"/>
        </w:rPr>
      </w:pPr>
    </w:p>
    <w:p w14:paraId="4CED08FD" w14:textId="77777777" w:rsidR="00BC2633" w:rsidRPr="00220682" w:rsidRDefault="001877F3" w:rsidP="00BC2633">
      <w:pPr>
        <w:spacing w:after="0" w:line="240" w:lineRule="auto"/>
        <w:rPr>
          <w:rFonts w:ascii="Times New Roman" w:hAnsi="Times New Roman" w:cs="Times New Roman"/>
        </w:rPr>
      </w:pPr>
      <w:r>
        <w:rPr>
          <w:rFonts w:ascii="Times New Roman" w:hAnsi="Times New Roman" w:cs="Times New Roman"/>
        </w:rPr>
        <w:t>Bite 67036911</w:t>
      </w:r>
    </w:p>
    <w:p w14:paraId="3C7EAE86" w14:textId="77777777" w:rsidR="007C66CC" w:rsidRPr="001877F3" w:rsidRDefault="001877F3" w:rsidP="00DA596D">
      <w:pPr>
        <w:spacing w:after="0" w:line="240" w:lineRule="auto"/>
        <w:rPr>
          <w:rFonts w:ascii="Times New Roman" w:hAnsi="Times New Roman" w:cs="Times New Roman"/>
        </w:rPr>
      </w:pPr>
      <w:r>
        <w:rPr>
          <w:rFonts w:ascii="Times New Roman" w:hAnsi="Times New Roman" w:cs="Times New Roman"/>
        </w:rPr>
        <w:t>Laura.</w:t>
      </w:r>
      <w:r w:rsidR="00BF1C8C">
        <w:rPr>
          <w:rFonts w:ascii="Times New Roman" w:hAnsi="Times New Roman" w:cs="Times New Roman"/>
        </w:rPr>
        <w:t>B</w:t>
      </w:r>
      <w:r>
        <w:rPr>
          <w:rFonts w:ascii="Times New Roman" w:hAnsi="Times New Roman" w:cs="Times New Roman"/>
        </w:rPr>
        <w:t>ite</w:t>
      </w:r>
      <w:r w:rsidR="00BC2633" w:rsidRPr="00220682">
        <w:rPr>
          <w:rFonts w:ascii="Times New Roman" w:hAnsi="Times New Roman" w:cs="Times New Roman"/>
        </w:rPr>
        <w:t>@tm.gov.lv</w:t>
      </w:r>
    </w:p>
    <w:sectPr w:rsidR="007C66CC" w:rsidRPr="001877F3" w:rsidSect="00C36F51">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5A5F3" w14:textId="77777777" w:rsidR="00C60123" w:rsidRDefault="00C60123" w:rsidP="004D15A9">
      <w:pPr>
        <w:spacing w:after="0" w:line="240" w:lineRule="auto"/>
      </w:pPr>
      <w:r>
        <w:separator/>
      </w:r>
    </w:p>
  </w:endnote>
  <w:endnote w:type="continuationSeparator" w:id="0">
    <w:p w14:paraId="6E7909A4" w14:textId="77777777" w:rsidR="00C60123" w:rsidRDefault="00C60123"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80F72" w14:textId="77777777" w:rsidR="00066D47" w:rsidRDefault="00066D4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 w:name="_Hlk517186319"/>
  <w:bookmarkStart w:id="4" w:name="_Hlk517186320"/>
  <w:bookmarkStart w:id="5" w:name="_Hlk517186321"/>
  <w:bookmarkStart w:id="6" w:name="_Hlk517186322"/>
  <w:p w14:paraId="6E4F6EFD" w14:textId="4BAE95CE" w:rsidR="009B7CC9" w:rsidRPr="0042645D" w:rsidRDefault="009B7CC9" w:rsidP="0042645D">
    <w:pPr>
      <w:pStyle w:val="Kjene"/>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066D47">
      <w:rPr>
        <w:rFonts w:ascii="Times New Roman" w:hAnsi="Times New Roman" w:cs="Times New Roman"/>
        <w:noProof/>
        <w:sz w:val="20"/>
        <w:szCs w:val="20"/>
      </w:rPr>
      <w:t>TMAnot_190718_VSS_330</w:t>
    </w:r>
    <w:r w:rsidRPr="0042645D">
      <w:rPr>
        <w:rFonts w:ascii="Times New Roman" w:hAnsi="Times New Roman" w:cs="Times New Roman"/>
        <w:sz w:val="20"/>
        <w:szCs w:val="20"/>
      </w:rPr>
      <w:fldChar w:fldCharType="end"/>
    </w:r>
    <w:bookmarkEnd w:id="3"/>
    <w:bookmarkEnd w:id="4"/>
    <w:bookmarkEnd w:id="5"/>
    <w:bookmarkEnd w:id="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8300B" w14:textId="75C7865E" w:rsidR="009B7CC9" w:rsidRPr="0042645D" w:rsidRDefault="009B7CC9" w:rsidP="0042645D">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066D47">
      <w:rPr>
        <w:rFonts w:ascii="Times New Roman" w:hAnsi="Times New Roman" w:cs="Times New Roman"/>
        <w:noProof/>
        <w:sz w:val="20"/>
        <w:szCs w:val="20"/>
      </w:rPr>
      <w:t>TMAnot_190718_VSS_330</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1BC99" w14:textId="77777777" w:rsidR="00C60123" w:rsidRDefault="00C60123" w:rsidP="004D15A9">
      <w:pPr>
        <w:spacing w:after="0" w:line="240" w:lineRule="auto"/>
      </w:pPr>
      <w:r>
        <w:separator/>
      </w:r>
    </w:p>
  </w:footnote>
  <w:footnote w:type="continuationSeparator" w:id="0">
    <w:p w14:paraId="0F83B50B" w14:textId="77777777" w:rsidR="00C60123" w:rsidRDefault="00C60123" w:rsidP="004D15A9">
      <w:pPr>
        <w:spacing w:after="0" w:line="240" w:lineRule="auto"/>
      </w:pPr>
      <w:r>
        <w:continuationSeparator/>
      </w:r>
    </w:p>
  </w:footnote>
  <w:footnote w:id="1">
    <w:p w14:paraId="75A503B8" w14:textId="534FCBC1" w:rsidR="0097481A" w:rsidRPr="0090634A" w:rsidRDefault="008B5A0E">
      <w:pPr>
        <w:pStyle w:val="Vresteksts"/>
        <w:rPr>
          <w:rFonts w:ascii="Times New Roman" w:hAnsi="Times New Roman" w:cs="Times New Roman"/>
        </w:rPr>
      </w:pPr>
      <w:r w:rsidRPr="0090634A">
        <w:rPr>
          <w:rStyle w:val="Vresatsauce"/>
          <w:rFonts w:ascii="Times New Roman" w:hAnsi="Times New Roman" w:cs="Times New Roman"/>
        </w:rPr>
        <w:footnoteRef/>
      </w:r>
      <w:r w:rsidR="0097481A" w:rsidRPr="0090634A" w:rsidDel="0097481A">
        <w:rPr>
          <w:rFonts w:ascii="Times New Roman" w:hAnsi="Times New Roman" w:cs="Times New Roman"/>
        </w:rPr>
        <w:t xml:space="preserve"> </w:t>
      </w:r>
      <w:r w:rsidR="0097481A" w:rsidRPr="0090634A">
        <w:rPr>
          <w:rFonts w:ascii="Times New Roman" w:hAnsi="Times New Roman" w:cs="Times New Roman"/>
        </w:rPr>
        <w:t>http://www.cfla.gov.lv/lv/es-fondi-2014-2020/izsludinatas-atlases/3-4-1</w:t>
      </w:r>
    </w:p>
  </w:footnote>
  <w:footnote w:id="2">
    <w:p w14:paraId="0EEB3540" w14:textId="05B231AC" w:rsidR="005349F6" w:rsidRDefault="005349F6">
      <w:pPr>
        <w:pStyle w:val="Vresteksts"/>
      </w:pPr>
      <w:r>
        <w:rPr>
          <w:rStyle w:val="Vresatsauce"/>
        </w:rPr>
        <w:footnoteRef/>
      </w:r>
      <w:r>
        <w:t xml:space="preserve"> </w:t>
      </w:r>
      <w:r w:rsidRPr="00412DA8">
        <w:rPr>
          <w:rFonts w:ascii="Times New Roman" w:hAnsi="Times New Roman" w:cs="Times New Roman"/>
        </w:rPr>
        <w:t>Ministru kabineta 2016. gada 17. maija noteikum</w:t>
      </w:r>
      <w:r w:rsidR="00906FBB">
        <w:rPr>
          <w:rFonts w:ascii="Times New Roman" w:hAnsi="Times New Roman" w:cs="Times New Roman"/>
        </w:rPr>
        <w:t>u</w:t>
      </w:r>
      <w:r w:rsidRPr="00412DA8">
        <w:rPr>
          <w:rFonts w:ascii="Times New Roman" w:hAnsi="Times New Roman" w:cs="Times New Roman"/>
        </w:rPr>
        <w:t xml:space="preserve"> Nr. 307 (prot. Nr. 23 1. §) "Grozījumi Ministru kabineta 2015. gada 14. jūlija noteikumos Nr. 389 "Darbības programmas "Izaugsme un nodarbinātība" 3.4.2. specifiskā atbalsta mērķa "Valsts pārvaldes profesionālā pilnveide labāka tiesiskā regulējuma izstrādē mazo un vidējo komersantu atbalsta, korupcijas novēršanas un ēnu ekonomikas mazināšanas jomās" īstenošanas noteikumi") sākotnējās ietekmes novērtējuma ziņojums (anotācija) (I sadaļas, 2.punkta 5) apakšpunkts)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C22CE" w14:textId="77777777" w:rsidR="00066D47" w:rsidRDefault="00066D4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56625B1A" w14:textId="77777777" w:rsidR="009B7CC9" w:rsidRPr="004D15A9" w:rsidRDefault="009B7CC9">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516F48">
          <w:rPr>
            <w:rFonts w:ascii="Times New Roman" w:hAnsi="Times New Roman" w:cs="Times New Roman"/>
            <w:noProof/>
            <w:sz w:val="24"/>
            <w:szCs w:val="24"/>
          </w:rPr>
          <w:t>3</w:t>
        </w:r>
        <w:r w:rsidRPr="004D15A9">
          <w:rPr>
            <w:rFonts w:ascii="Times New Roman" w:hAnsi="Times New Roman" w:cs="Times New Roman"/>
            <w:sz w:val="24"/>
            <w:szCs w:val="24"/>
          </w:rPr>
          <w:fldChar w:fldCharType="end"/>
        </w:r>
      </w:p>
    </w:sdtContent>
  </w:sdt>
  <w:p w14:paraId="164DD3E8" w14:textId="77777777" w:rsidR="009B7CC9" w:rsidRDefault="009B7CC9">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173F3" w14:textId="77777777" w:rsidR="00066D47" w:rsidRDefault="00066D4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42DF2"/>
    <w:multiLevelType w:val="hybridMultilevel"/>
    <w:tmpl w:val="9FCCC34E"/>
    <w:lvl w:ilvl="0" w:tplc="04260001">
      <w:start w:val="1"/>
      <w:numFmt w:val="bullet"/>
      <w:lvlText w:val=""/>
      <w:lvlJc w:val="left"/>
      <w:pPr>
        <w:ind w:left="1571" w:hanging="360"/>
      </w:pPr>
      <w:rPr>
        <w:rFonts w:ascii="Symbol" w:hAnsi="Symbol" w:hint="default"/>
      </w:rPr>
    </w:lvl>
    <w:lvl w:ilvl="1" w:tplc="04260003">
      <w:start w:val="1"/>
      <w:numFmt w:val="bullet"/>
      <w:lvlText w:val="o"/>
      <w:lvlJc w:val="left"/>
      <w:pPr>
        <w:ind w:left="2291" w:hanging="360"/>
      </w:pPr>
      <w:rPr>
        <w:rFonts w:ascii="Courier New" w:hAnsi="Courier New" w:cs="Courier New" w:hint="default"/>
      </w:rPr>
    </w:lvl>
    <w:lvl w:ilvl="2" w:tplc="04260005">
      <w:start w:val="1"/>
      <w:numFmt w:val="bullet"/>
      <w:lvlText w:val=""/>
      <w:lvlJc w:val="left"/>
      <w:pPr>
        <w:ind w:left="3011" w:hanging="360"/>
      </w:pPr>
      <w:rPr>
        <w:rFonts w:ascii="Wingdings" w:hAnsi="Wingdings" w:hint="default"/>
      </w:rPr>
    </w:lvl>
    <w:lvl w:ilvl="3" w:tplc="04260001">
      <w:start w:val="1"/>
      <w:numFmt w:val="bullet"/>
      <w:lvlText w:val=""/>
      <w:lvlJc w:val="left"/>
      <w:pPr>
        <w:ind w:left="3731" w:hanging="360"/>
      </w:pPr>
      <w:rPr>
        <w:rFonts w:ascii="Symbol" w:hAnsi="Symbol" w:hint="default"/>
      </w:rPr>
    </w:lvl>
    <w:lvl w:ilvl="4" w:tplc="04260003">
      <w:start w:val="1"/>
      <w:numFmt w:val="bullet"/>
      <w:lvlText w:val="o"/>
      <w:lvlJc w:val="left"/>
      <w:pPr>
        <w:ind w:left="4451" w:hanging="360"/>
      </w:pPr>
      <w:rPr>
        <w:rFonts w:ascii="Courier New" w:hAnsi="Courier New" w:cs="Courier New" w:hint="default"/>
      </w:rPr>
    </w:lvl>
    <w:lvl w:ilvl="5" w:tplc="04260005">
      <w:start w:val="1"/>
      <w:numFmt w:val="bullet"/>
      <w:lvlText w:val=""/>
      <w:lvlJc w:val="left"/>
      <w:pPr>
        <w:ind w:left="5171" w:hanging="360"/>
      </w:pPr>
      <w:rPr>
        <w:rFonts w:ascii="Wingdings" w:hAnsi="Wingdings" w:hint="default"/>
      </w:rPr>
    </w:lvl>
    <w:lvl w:ilvl="6" w:tplc="04260001">
      <w:start w:val="1"/>
      <w:numFmt w:val="bullet"/>
      <w:lvlText w:val=""/>
      <w:lvlJc w:val="left"/>
      <w:pPr>
        <w:ind w:left="5891" w:hanging="360"/>
      </w:pPr>
      <w:rPr>
        <w:rFonts w:ascii="Symbol" w:hAnsi="Symbol" w:hint="default"/>
      </w:rPr>
    </w:lvl>
    <w:lvl w:ilvl="7" w:tplc="04260003">
      <w:start w:val="1"/>
      <w:numFmt w:val="bullet"/>
      <w:lvlText w:val="o"/>
      <w:lvlJc w:val="left"/>
      <w:pPr>
        <w:ind w:left="6611" w:hanging="360"/>
      </w:pPr>
      <w:rPr>
        <w:rFonts w:ascii="Courier New" w:hAnsi="Courier New" w:cs="Courier New" w:hint="default"/>
      </w:rPr>
    </w:lvl>
    <w:lvl w:ilvl="8" w:tplc="04260005">
      <w:start w:val="1"/>
      <w:numFmt w:val="bullet"/>
      <w:lvlText w:val=""/>
      <w:lvlJc w:val="left"/>
      <w:pPr>
        <w:ind w:left="7331" w:hanging="360"/>
      </w:pPr>
      <w:rPr>
        <w:rFonts w:ascii="Wingdings" w:hAnsi="Wingdings" w:hint="default"/>
      </w:rPr>
    </w:lvl>
  </w:abstractNum>
  <w:abstractNum w:abstractNumId="1" w15:restartNumberingAfterBreak="0">
    <w:nsid w:val="321E75CF"/>
    <w:multiLevelType w:val="hybridMultilevel"/>
    <w:tmpl w:val="803844A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4220774B"/>
    <w:multiLevelType w:val="hybridMultilevel"/>
    <w:tmpl w:val="3F028D3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14C02"/>
    <w:rsid w:val="00022944"/>
    <w:rsid w:val="00025EE4"/>
    <w:rsid w:val="00027C6E"/>
    <w:rsid w:val="00031256"/>
    <w:rsid w:val="00032A20"/>
    <w:rsid w:val="00066D47"/>
    <w:rsid w:val="00070184"/>
    <w:rsid w:val="00084207"/>
    <w:rsid w:val="000E3461"/>
    <w:rsid w:val="000E37C7"/>
    <w:rsid w:val="000E42FD"/>
    <w:rsid w:val="00101CD5"/>
    <w:rsid w:val="0013148A"/>
    <w:rsid w:val="001877F3"/>
    <w:rsid w:val="001C5969"/>
    <w:rsid w:val="001F68D7"/>
    <w:rsid w:val="0021572D"/>
    <w:rsid w:val="00220682"/>
    <w:rsid w:val="002320CF"/>
    <w:rsid w:val="0024548E"/>
    <w:rsid w:val="00260CBB"/>
    <w:rsid w:val="002A119D"/>
    <w:rsid w:val="002C1656"/>
    <w:rsid w:val="003014C0"/>
    <w:rsid w:val="00333FC0"/>
    <w:rsid w:val="0034203D"/>
    <w:rsid w:val="003505BD"/>
    <w:rsid w:val="003803BC"/>
    <w:rsid w:val="003922B0"/>
    <w:rsid w:val="003A2A0B"/>
    <w:rsid w:val="003C35A5"/>
    <w:rsid w:val="00412DA8"/>
    <w:rsid w:val="004133A3"/>
    <w:rsid w:val="0042645D"/>
    <w:rsid w:val="0043541A"/>
    <w:rsid w:val="0045610C"/>
    <w:rsid w:val="00461275"/>
    <w:rsid w:val="004C3B12"/>
    <w:rsid w:val="004D15A9"/>
    <w:rsid w:val="004E334F"/>
    <w:rsid w:val="00515CEE"/>
    <w:rsid w:val="005164C9"/>
    <w:rsid w:val="00516F48"/>
    <w:rsid w:val="0052183F"/>
    <w:rsid w:val="00533CE6"/>
    <w:rsid w:val="005349F6"/>
    <w:rsid w:val="0056459F"/>
    <w:rsid w:val="00567E00"/>
    <w:rsid w:val="0059057E"/>
    <w:rsid w:val="005A17C5"/>
    <w:rsid w:val="005C0266"/>
    <w:rsid w:val="005D4E8A"/>
    <w:rsid w:val="00603683"/>
    <w:rsid w:val="00612A92"/>
    <w:rsid w:val="00642E00"/>
    <w:rsid w:val="006641E1"/>
    <w:rsid w:val="006673E0"/>
    <w:rsid w:val="006A4FAA"/>
    <w:rsid w:val="006B03BF"/>
    <w:rsid w:val="006F41FB"/>
    <w:rsid w:val="00702AB8"/>
    <w:rsid w:val="007047F3"/>
    <w:rsid w:val="0073730D"/>
    <w:rsid w:val="00744E65"/>
    <w:rsid w:val="0076774D"/>
    <w:rsid w:val="007A550E"/>
    <w:rsid w:val="007A7228"/>
    <w:rsid w:val="007B3FAB"/>
    <w:rsid w:val="007C66CC"/>
    <w:rsid w:val="007C76FD"/>
    <w:rsid w:val="0081203F"/>
    <w:rsid w:val="00816866"/>
    <w:rsid w:val="00841836"/>
    <w:rsid w:val="00865AF1"/>
    <w:rsid w:val="008826E9"/>
    <w:rsid w:val="008B5A0E"/>
    <w:rsid w:val="008E4E93"/>
    <w:rsid w:val="008E78B2"/>
    <w:rsid w:val="008F109A"/>
    <w:rsid w:val="0090634A"/>
    <w:rsid w:val="00906FBB"/>
    <w:rsid w:val="00964EA7"/>
    <w:rsid w:val="0097481A"/>
    <w:rsid w:val="0097690A"/>
    <w:rsid w:val="00997954"/>
    <w:rsid w:val="009B7CC9"/>
    <w:rsid w:val="009F2DC3"/>
    <w:rsid w:val="00A02624"/>
    <w:rsid w:val="00A1552F"/>
    <w:rsid w:val="00A36C19"/>
    <w:rsid w:val="00A712AC"/>
    <w:rsid w:val="00AB6562"/>
    <w:rsid w:val="00AF1D1A"/>
    <w:rsid w:val="00B03322"/>
    <w:rsid w:val="00B57A35"/>
    <w:rsid w:val="00B81C6E"/>
    <w:rsid w:val="00B83C87"/>
    <w:rsid w:val="00B96AC5"/>
    <w:rsid w:val="00BB1F46"/>
    <w:rsid w:val="00BC2633"/>
    <w:rsid w:val="00BC60D2"/>
    <w:rsid w:val="00BF1C8C"/>
    <w:rsid w:val="00BF327D"/>
    <w:rsid w:val="00BF3A34"/>
    <w:rsid w:val="00C35244"/>
    <w:rsid w:val="00C36F51"/>
    <w:rsid w:val="00C60123"/>
    <w:rsid w:val="00C759ED"/>
    <w:rsid w:val="00C93E5E"/>
    <w:rsid w:val="00CE4CD6"/>
    <w:rsid w:val="00CF0335"/>
    <w:rsid w:val="00D0437B"/>
    <w:rsid w:val="00D1107A"/>
    <w:rsid w:val="00D21FF0"/>
    <w:rsid w:val="00D26A07"/>
    <w:rsid w:val="00D313D5"/>
    <w:rsid w:val="00DA326E"/>
    <w:rsid w:val="00DA52AC"/>
    <w:rsid w:val="00DA596D"/>
    <w:rsid w:val="00DA7292"/>
    <w:rsid w:val="00DD0C22"/>
    <w:rsid w:val="00DE251E"/>
    <w:rsid w:val="00DE78C6"/>
    <w:rsid w:val="00E1433E"/>
    <w:rsid w:val="00E34894"/>
    <w:rsid w:val="00E36AD0"/>
    <w:rsid w:val="00E44C94"/>
    <w:rsid w:val="00E557CC"/>
    <w:rsid w:val="00E5586E"/>
    <w:rsid w:val="00E73993"/>
    <w:rsid w:val="00E9181C"/>
    <w:rsid w:val="00EC3989"/>
    <w:rsid w:val="00ED573E"/>
    <w:rsid w:val="00EE0189"/>
    <w:rsid w:val="00F11BE8"/>
    <w:rsid w:val="00F41228"/>
    <w:rsid w:val="00F50447"/>
    <w:rsid w:val="00F615F1"/>
    <w:rsid w:val="00F91583"/>
    <w:rsid w:val="00FB2959"/>
    <w:rsid w:val="00FC2F2A"/>
    <w:rsid w:val="00FD7728"/>
    <w:rsid w:val="00FE2D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73A484D"/>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semiHidden/>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paragraph" w:styleId="Vresteksts">
    <w:name w:val="footnote text"/>
    <w:basedOn w:val="Parasts"/>
    <w:link w:val="VrestekstsRakstz"/>
    <w:uiPriority w:val="99"/>
    <w:semiHidden/>
    <w:unhideWhenUsed/>
    <w:rsid w:val="008B5A0E"/>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8B5A0E"/>
    <w:rPr>
      <w:sz w:val="20"/>
      <w:szCs w:val="20"/>
    </w:rPr>
  </w:style>
  <w:style w:type="character" w:styleId="Vresatsauce">
    <w:name w:val="footnote reference"/>
    <w:basedOn w:val="Noklusjumarindkopasfonts"/>
    <w:uiPriority w:val="99"/>
    <w:semiHidden/>
    <w:unhideWhenUsed/>
    <w:rsid w:val="008B5A0E"/>
    <w:rPr>
      <w:vertAlign w:val="superscript"/>
    </w:rPr>
  </w:style>
  <w:style w:type="paragraph" w:styleId="Prskatjums">
    <w:name w:val="Revision"/>
    <w:hidden/>
    <w:uiPriority w:val="99"/>
    <w:semiHidden/>
    <w:rsid w:val="0076774D"/>
    <w:pPr>
      <w:spacing w:after="0" w:line="240" w:lineRule="auto"/>
    </w:pPr>
  </w:style>
  <w:style w:type="character" w:styleId="Neatrisintapieminana">
    <w:name w:val="Unresolved Mention"/>
    <w:basedOn w:val="Noklusjumarindkopasfonts"/>
    <w:uiPriority w:val="99"/>
    <w:semiHidden/>
    <w:unhideWhenUsed/>
    <w:rsid w:val="0097481A"/>
    <w:rPr>
      <w:color w:val="808080"/>
      <w:shd w:val="clear" w:color="auto" w:fill="E6E6E6"/>
    </w:rPr>
  </w:style>
  <w:style w:type="paragraph" w:customStyle="1" w:styleId="Default">
    <w:name w:val="Default"/>
    <w:rsid w:val="006B03B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404188656">
      <w:bodyDiv w:val="1"/>
      <w:marLeft w:val="0"/>
      <w:marRight w:val="0"/>
      <w:marTop w:val="0"/>
      <w:marBottom w:val="0"/>
      <w:divBdr>
        <w:top w:val="none" w:sz="0" w:space="0" w:color="auto"/>
        <w:left w:val="none" w:sz="0" w:space="0" w:color="auto"/>
        <w:bottom w:val="none" w:sz="0" w:space="0" w:color="auto"/>
        <w:right w:val="none" w:sz="0" w:space="0" w:color="auto"/>
      </w:divBdr>
    </w:div>
    <w:div w:id="663749804">
      <w:bodyDiv w:val="1"/>
      <w:marLeft w:val="0"/>
      <w:marRight w:val="0"/>
      <w:marTop w:val="0"/>
      <w:marBottom w:val="0"/>
      <w:divBdr>
        <w:top w:val="none" w:sz="0" w:space="0" w:color="auto"/>
        <w:left w:val="none" w:sz="0" w:space="0" w:color="auto"/>
        <w:bottom w:val="none" w:sz="0" w:space="0" w:color="auto"/>
        <w:right w:val="none" w:sz="0" w:space="0" w:color="auto"/>
      </w:divBdr>
    </w:div>
    <w:div w:id="965430109">
      <w:bodyDiv w:val="1"/>
      <w:marLeft w:val="0"/>
      <w:marRight w:val="0"/>
      <w:marTop w:val="0"/>
      <w:marBottom w:val="0"/>
      <w:divBdr>
        <w:top w:val="none" w:sz="0" w:space="0" w:color="auto"/>
        <w:left w:val="none" w:sz="0" w:space="0" w:color="auto"/>
        <w:bottom w:val="none" w:sz="0" w:space="0" w:color="auto"/>
        <w:right w:val="none" w:sz="0" w:space="0" w:color="auto"/>
      </w:divBdr>
    </w:div>
    <w:div w:id="1051461963">
      <w:bodyDiv w:val="1"/>
      <w:marLeft w:val="0"/>
      <w:marRight w:val="0"/>
      <w:marTop w:val="0"/>
      <w:marBottom w:val="0"/>
      <w:divBdr>
        <w:top w:val="none" w:sz="0" w:space="0" w:color="auto"/>
        <w:left w:val="none" w:sz="0" w:space="0" w:color="auto"/>
        <w:bottom w:val="none" w:sz="0" w:space="0" w:color="auto"/>
        <w:right w:val="none" w:sz="0" w:space="0" w:color="auto"/>
      </w:divBdr>
    </w:div>
    <w:div w:id="1178277730">
      <w:bodyDiv w:val="1"/>
      <w:marLeft w:val="0"/>
      <w:marRight w:val="0"/>
      <w:marTop w:val="0"/>
      <w:marBottom w:val="0"/>
      <w:divBdr>
        <w:top w:val="none" w:sz="0" w:space="0" w:color="auto"/>
        <w:left w:val="none" w:sz="0" w:space="0" w:color="auto"/>
        <w:bottom w:val="none" w:sz="0" w:space="0" w:color="auto"/>
        <w:right w:val="none" w:sz="0" w:space="0" w:color="auto"/>
      </w:divBdr>
    </w:div>
    <w:div w:id="1333608229">
      <w:bodyDiv w:val="1"/>
      <w:marLeft w:val="0"/>
      <w:marRight w:val="0"/>
      <w:marTop w:val="0"/>
      <w:marBottom w:val="0"/>
      <w:divBdr>
        <w:top w:val="none" w:sz="0" w:space="0" w:color="auto"/>
        <w:left w:val="none" w:sz="0" w:space="0" w:color="auto"/>
        <w:bottom w:val="none" w:sz="0" w:space="0" w:color="auto"/>
        <w:right w:val="none" w:sz="0" w:space="0" w:color="auto"/>
      </w:divBdr>
    </w:div>
    <w:div w:id="1823304929">
      <w:bodyDiv w:val="1"/>
      <w:marLeft w:val="0"/>
      <w:marRight w:val="0"/>
      <w:marTop w:val="0"/>
      <w:marBottom w:val="0"/>
      <w:divBdr>
        <w:top w:val="none" w:sz="0" w:space="0" w:color="auto"/>
        <w:left w:val="none" w:sz="0" w:space="0" w:color="auto"/>
        <w:bottom w:val="none" w:sz="0" w:space="0" w:color="auto"/>
        <w:right w:val="none" w:sz="0" w:space="0" w:color="auto"/>
      </w:divBdr>
      <w:divsChild>
        <w:div w:id="107627864">
          <w:marLeft w:val="0"/>
          <w:marRight w:val="0"/>
          <w:marTop w:val="0"/>
          <w:marBottom w:val="0"/>
          <w:divBdr>
            <w:top w:val="none" w:sz="0" w:space="0" w:color="auto"/>
            <w:left w:val="none" w:sz="0" w:space="0" w:color="auto"/>
            <w:bottom w:val="none" w:sz="0" w:space="0" w:color="auto"/>
            <w:right w:val="none" w:sz="0" w:space="0" w:color="auto"/>
          </w:divBdr>
          <w:divsChild>
            <w:div w:id="1178038427">
              <w:marLeft w:val="0"/>
              <w:marRight w:val="0"/>
              <w:marTop w:val="0"/>
              <w:marBottom w:val="0"/>
              <w:divBdr>
                <w:top w:val="none" w:sz="0" w:space="0" w:color="auto"/>
                <w:left w:val="none" w:sz="0" w:space="0" w:color="auto"/>
                <w:bottom w:val="none" w:sz="0" w:space="0" w:color="auto"/>
                <w:right w:val="none" w:sz="0" w:space="0" w:color="auto"/>
              </w:divBdr>
              <w:divsChild>
                <w:div w:id="302202609">
                  <w:marLeft w:val="0"/>
                  <w:marRight w:val="0"/>
                  <w:marTop w:val="0"/>
                  <w:marBottom w:val="0"/>
                  <w:divBdr>
                    <w:top w:val="none" w:sz="0" w:space="0" w:color="auto"/>
                    <w:left w:val="none" w:sz="0" w:space="0" w:color="auto"/>
                    <w:bottom w:val="none" w:sz="0" w:space="0" w:color="auto"/>
                    <w:right w:val="none" w:sz="0" w:space="0" w:color="auto"/>
                  </w:divBdr>
                  <w:divsChild>
                    <w:div w:id="1131823109">
                      <w:marLeft w:val="0"/>
                      <w:marRight w:val="0"/>
                      <w:marTop w:val="0"/>
                      <w:marBottom w:val="0"/>
                      <w:divBdr>
                        <w:top w:val="none" w:sz="0" w:space="0" w:color="auto"/>
                        <w:left w:val="none" w:sz="0" w:space="0" w:color="auto"/>
                        <w:bottom w:val="none" w:sz="0" w:space="0" w:color="auto"/>
                        <w:right w:val="none" w:sz="0" w:space="0" w:color="auto"/>
                      </w:divBdr>
                      <w:divsChild>
                        <w:div w:id="280380009">
                          <w:marLeft w:val="0"/>
                          <w:marRight w:val="0"/>
                          <w:marTop w:val="0"/>
                          <w:marBottom w:val="0"/>
                          <w:divBdr>
                            <w:top w:val="none" w:sz="0" w:space="0" w:color="auto"/>
                            <w:left w:val="none" w:sz="0" w:space="0" w:color="auto"/>
                            <w:bottom w:val="none" w:sz="0" w:space="0" w:color="auto"/>
                            <w:right w:val="none" w:sz="0" w:space="0" w:color="auto"/>
                          </w:divBdr>
                          <w:divsChild>
                            <w:div w:id="63383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4695">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BDF6C-F2E1-4B1C-A00D-582384A83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10954</Words>
  <Characters>6244</Characters>
  <Application>Microsoft Office Word</Application>
  <DocSecurity>0</DocSecurity>
  <Lines>52</Lines>
  <Paragraphs>34</Paragraphs>
  <ScaleCrop>false</ScaleCrop>
  <HeadingPairs>
    <vt:vector size="2" baseType="variant">
      <vt:variant>
        <vt:lpstr>Nosaukums</vt:lpstr>
      </vt:variant>
      <vt:variant>
        <vt:i4>1</vt:i4>
      </vt:variant>
    </vt:vector>
  </HeadingPairs>
  <TitlesOfParts>
    <vt:vector size="1" baseType="lpstr">
      <vt:lpstr>Ministru kabineta noteikumu projekta "Grozījumi Ministru kabineta 2015. gada 8. decembra noteikumos Nr. 704 "Darbības programmas "Izaugsme un nodarbinātība" 3.4.1. specifiskā atbalsta mērķa "Paaugstināt tiesu un tiesībsargājošo institūciju personāla kompe</vt:lpstr>
    </vt:vector>
  </TitlesOfParts>
  <Manager/>
  <Company>Tieslietu ministrija</Company>
  <LinksUpToDate>false</LinksUpToDate>
  <CharactersWithSpaces>17164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2015. gada 8. decembra noteikumos Nr. 704 "Darbības programmas "Izaugsme un nodarbinātība" 3.4.1. specifiskā atbalsta mērķa "Paaugstināt tiesu un tiesībsargājošo institūciju personāla kompetenci komercdarbības vides uzlabošanas sekmēšanai" īstenošanas noteikumi"" sākotnējās ietekmes novērtējuma ziņojums (anotācija)</dc:title>
  <dc:subject>Anotācija</dc:subject>
  <dc:creator>Laura Bite</dc:creator>
  <dc:description>67036911, laura.bite@tm.gov.lv</dc:description>
  <cp:lastModifiedBy>Lelde Stepanova</cp:lastModifiedBy>
  <cp:revision>5</cp:revision>
  <cp:lastPrinted>2013-12-16T08:57:00Z</cp:lastPrinted>
  <dcterms:created xsi:type="dcterms:W3CDTF">2018-07-19T04:54:00Z</dcterms:created>
  <dcterms:modified xsi:type="dcterms:W3CDTF">2018-07-19T13:26:00Z</dcterms:modified>
</cp:coreProperties>
</file>