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C480" w14:textId="00D17B4C" w:rsidR="00894C55" w:rsidRPr="0017680D" w:rsidRDefault="00E8689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D31181" w:rsidRPr="0017680D">
            <w:rPr>
              <w:rFonts w:ascii="Times New Roman" w:eastAsia="Times New Roman" w:hAnsi="Times New Roman" w:cs="Times New Roman"/>
              <w:b/>
              <w:bCs/>
              <w:sz w:val="28"/>
              <w:szCs w:val="24"/>
              <w:lang w:eastAsia="lv-LV"/>
            </w:rPr>
            <w:t xml:space="preserve">Likumprojekta “Grozījums </w:t>
          </w:r>
          <w:r w:rsidR="00CA0258" w:rsidRPr="0017680D">
            <w:rPr>
              <w:rFonts w:ascii="Times New Roman" w:hAnsi="Times New Roman" w:cs="Times New Roman"/>
              <w:b/>
              <w:sz w:val="28"/>
              <w:szCs w:val="28"/>
            </w:rPr>
            <w:t xml:space="preserve">Latvijas </w:t>
          </w:r>
          <w:r w:rsidR="00D31181" w:rsidRPr="0017680D">
            <w:rPr>
              <w:rFonts w:ascii="Times New Roman" w:hAnsi="Times New Roman" w:cs="Times New Roman"/>
              <w:b/>
              <w:sz w:val="28"/>
              <w:szCs w:val="28"/>
            </w:rPr>
            <w:t>Administratīvo pārkāpumu kodeksā”</w:t>
          </w:r>
          <w:r w:rsidR="00CA0258" w:rsidRPr="0017680D">
            <w:rPr>
              <w:rFonts w:ascii="Times New Roman" w:hAnsi="Times New Roman" w:cs="Times New Roman"/>
              <w:b/>
              <w:sz w:val="28"/>
              <w:szCs w:val="28"/>
            </w:rPr>
            <w:t xml:space="preserve"> </w:t>
          </w:r>
        </w:sdtContent>
      </w:sdt>
      <w:r w:rsidR="003B0BF9" w:rsidRPr="0017680D">
        <w:rPr>
          <w:rFonts w:ascii="Times New Roman" w:eastAsia="Times New Roman" w:hAnsi="Times New Roman" w:cs="Times New Roman"/>
          <w:b/>
          <w:bCs/>
          <w:sz w:val="28"/>
          <w:szCs w:val="24"/>
          <w:lang w:eastAsia="lv-LV"/>
        </w:rPr>
        <w:br/>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0C38B546" w:rsidR="00E5323B" w:rsidRPr="0017680D" w:rsidRDefault="002C5FA0" w:rsidP="008D2A30">
            <w:pPr>
              <w:spacing w:after="120" w:line="240" w:lineRule="auto"/>
              <w:jc w:val="both"/>
              <w:rPr>
                <w:rFonts w:ascii="Times New Roman" w:hAnsi="Times New Roman" w:cs="Times New Roman"/>
                <w:sz w:val="24"/>
                <w:szCs w:val="24"/>
              </w:rPr>
            </w:pPr>
            <w:r w:rsidRPr="0017680D">
              <w:rPr>
                <w:rFonts w:ascii="Times New Roman" w:hAnsi="Times New Roman" w:cs="Times New Roman"/>
                <w:sz w:val="24"/>
                <w:szCs w:val="24"/>
              </w:rPr>
              <w:t xml:space="preserve">Likumprojekta </w:t>
            </w:r>
            <w:r w:rsidR="0017680D" w:rsidRPr="0017680D">
              <w:rPr>
                <w:rFonts w:ascii="Times New Roman" w:eastAsia="Times New Roman" w:hAnsi="Times New Roman" w:cs="Times New Roman"/>
                <w:bCs/>
                <w:sz w:val="24"/>
                <w:szCs w:val="24"/>
                <w:lang w:eastAsia="lv-LV"/>
              </w:rPr>
              <w:t xml:space="preserve">“Grozījums </w:t>
            </w:r>
            <w:r w:rsidR="0017680D" w:rsidRPr="0017680D">
              <w:rPr>
                <w:rFonts w:ascii="Times New Roman" w:hAnsi="Times New Roman" w:cs="Times New Roman"/>
                <w:sz w:val="24"/>
                <w:szCs w:val="24"/>
              </w:rPr>
              <w:t>Latvijas Administratīvo pārkāpumu kodeksā”</w:t>
            </w:r>
            <w:r w:rsidR="00150613">
              <w:rPr>
                <w:rFonts w:ascii="Times New Roman" w:hAnsi="Times New Roman" w:cs="Times New Roman"/>
                <w:sz w:val="24"/>
                <w:szCs w:val="24"/>
              </w:rPr>
              <w:t xml:space="preserve"> (turpmāk – l</w:t>
            </w:r>
            <w:r w:rsidR="0017680D">
              <w:rPr>
                <w:rFonts w:ascii="Times New Roman" w:hAnsi="Times New Roman" w:cs="Times New Roman"/>
                <w:sz w:val="24"/>
                <w:szCs w:val="24"/>
              </w:rPr>
              <w:t>ikumprojekts)</w:t>
            </w:r>
            <w:r w:rsidR="0017680D" w:rsidRPr="0017680D">
              <w:rPr>
                <w:rFonts w:ascii="Times New Roman" w:hAnsi="Times New Roman" w:cs="Times New Roman"/>
                <w:b/>
                <w:sz w:val="24"/>
                <w:szCs w:val="24"/>
              </w:rPr>
              <w:t xml:space="preserve"> </w:t>
            </w:r>
            <w:r w:rsidRPr="0017680D">
              <w:rPr>
                <w:rFonts w:ascii="Times New Roman" w:hAnsi="Times New Roman" w:cs="Times New Roman"/>
                <w:sz w:val="24"/>
                <w:szCs w:val="24"/>
              </w:rPr>
              <w:t xml:space="preserve">mērķis ir līdz 2018. gada novembrim noteikt </w:t>
            </w:r>
            <w:r w:rsidRPr="00072FDF">
              <w:rPr>
                <w:rFonts w:ascii="Times New Roman" w:hAnsi="Times New Roman" w:cs="Times New Roman"/>
                <w:sz w:val="24"/>
                <w:szCs w:val="24"/>
              </w:rPr>
              <w:t xml:space="preserve">Eiropas Parlamenta un Padomes 2014. gada 16. aprīļa Regulas (ES) Nr. 511/2014 par no </w:t>
            </w:r>
            <w:proofErr w:type="spellStart"/>
            <w:r w:rsidRPr="00072FDF">
              <w:rPr>
                <w:rFonts w:ascii="Times New Roman" w:hAnsi="Times New Roman" w:cs="Times New Roman"/>
                <w:sz w:val="24"/>
                <w:szCs w:val="24"/>
              </w:rPr>
              <w:t>Nagojas</w:t>
            </w:r>
            <w:proofErr w:type="spellEnd"/>
            <w:r w:rsidRPr="00072FDF">
              <w:rPr>
                <w:rFonts w:ascii="Times New Roman" w:hAnsi="Times New Roman" w:cs="Times New Roman"/>
                <w:sz w:val="24"/>
                <w:szCs w:val="24"/>
              </w:rPr>
              <w:t xml:space="preserve"> Protokola par piekļuvi ģenētiskajiem resursiem un to ieguvumu taisnīgu un godīgu sadali, kas gūti no šo resursu izmantošanas, izrietošiem atbilstības pasākumiem lietotājiem Savienībā</w:t>
            </w:r>
            <w:r w:rsidRPr="0017680D">
              <w:rPr>
                <w:rFonts w:ascii="Times New Roman" w:hAnsi="Times New Roman" w:cs="Times New Roman"/>
                <w:sz w:val="24"/>
                <w:szCs w:val="24"/>
              </w:rPr>
              <w:t xml:space="preserve"> (turpmāk</w:t>
            </w:r>
            <w:r w:rsidR="0017680D">
              <w:rPr>
                <w:rFonts w:ascii="Times New Roman" w:hAnsi="Times New Roman" w:cs="Times New Roman"/>
                <w:sz w:val="24"/>
                <w:szCs w:val="24"/>
              </w:rPr>
              <w:t xml:space="preserve"> </w:t>
            </w:r>
            <w:r w:rsidR="00150613">
              <w:rPr>
                <w:rFonts w:ascii="Times New Roman" w:hAnsi="Times New Roman" w:cs="Times New Roman"/>
                <w:sz w:val="24"/>
                <w:szCs w:val="24"/>
              </w:rPr>
              <w:t>– r</w:t>
            </w:r>
            <w:r w:rsidRPr="0017680D">
              <w:rPr>
                <w:rFonts w:ascii="Times New Roman" w:hAnsi="Times New Roman" w:cs="Times New Roman"/>
                <w:sz w:val="24"/>
                <w:szCs w:val="24"/>
              </w:rPr>
              <w:t>egula</w:t>
            </w:r>
            <w:r w:rsidR="00E55A33">
              <w:rPr>
                <w:rFonts w:ascii="Times New Roman" w:hAnsi="Times New Roman" w:cs="Times New Roman"/>
                <w:sz w:val="24"/>
                <w:szCs w:val="24"/>
              </w:rPr>
              <w:t>) 11. pantā prasītās sankcijas.</w:t>
            </w:r>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3D22E0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2D55CC" w14:paraId="73AFFD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03415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EF556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1ABB79E" w14:textId="4B427BC5" w:rsidR="00E5323B" w:rsidRPr="002D55CC" w:rsidRDefault="002D55CC" w:rsidP="00A50D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D55CC">
              <w:rPr>
                <w:rFonts w:ascii="Times New Roman" w:hAnsi="Times New Roman" w:cs="Times New Roman"/>
                <w:sz w:val="24"/>
                <w:szCs w:val="24"/>
              </w:rPr>
              <w:t xml:space="preserve">Eiropas Parlamenta un Padomes 2014. gada 16. aprīļa Regulas (ES) Nr. 511/2014 par no </w:t>
            </w:r>
            <w:proofErr w:type="spellStart"/>
            <w:r w:rsidRPr="002D55CC">
              <w:rPr>
                <w:rFonts w:ascii="Times New Roman" w:hAnsi="Times New Roman" w:cs="Times New Roman"/>
                <w:sz w:val="24"/>
                <w:szCs w:val="24"/>
              </w:rPr>
              <w:t>Nagojas</w:t>
            </w:r>
            <w:proofErr w:type="spellEnd"/>
            <w:r w:rsidRPr="002D55CC">
              <w:rPr>
                <w:rFonts w:ascii="Times New Roman" w:hAnsi="Times New Roman" w:cs="Times New Roman"/>
                <w:sz w:val="24"/>
                <w:szCs w:val="24"/>
              </w:rPr>
              <w:t xml:space="preserve"> Protokola par piekļuvi ģenētiskajiem resursiem un to ieguvumu taisnīgu un godīgu sadali, kas gūti no šo resursu izmantošanas, izrietošiem atbilstības pasākumiem lietotājiem Savienībā </w:t>
            </w:r>
            <w:r w:rsidR="007C6BB6">
              <w:rPr>
                <w:rFonts w:ascii="Times New Roman" w:hAnsi="Times New Roman" w:cs="Times New Roman"/>
                <w:sz w:val="24"/>
                <w:szCs w:val="24"/>
              </w:rPr>
              <w:t>11. </w:t>
            </w:r>
            <w:r w:rsidR="00150613">
              <w:rPr>
                <w:rFonts w:ascii="Times New Roman" w:hAnsi="Times New Roman" w:cs="Times New Roman"/>
                <w:sz w:val="24"/>
                <w:szCs w:val="24"/>
              </w:rPr>
              <w:t>panta 1. punkts</w:t>
            </w:r>
            <w:r w:rsidR="00C45D3B">
              <w:rPr>
                <w:rFonts w:ascii="Times New Roman" w:hAnsi="Times New Roman" w:cs="Times New Roman"/>
                <w:sz w:val="24"/>
                <w:szCs w:val="24"/>
              </w:rPr>
              <w:t>.</w:t>
            </w:r>
          </w:p>
        </w:tc>
      </w:tr>
      <w:tr w:rsidR="00E5323B" w:rsidRPr="002D55CC" w14:paraId="564553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D97FB"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DC48BB" w14:textId="77777777" w:rsidR="007C6BB6"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EDF11E2" w14:textId="77777777" w:rsidR="007C6BB6" w:rsidRPr="00CC4807" w:rsidRDefault="007C6BB6" w:rsidP="00DA64E3">
            <w:pPr>
              <w:spacing w:after="120" w:line="240" w:lineRule="auto"/>
              <w:jc w:val="both"/>
              <w:rPr>
                <w:rFonts w:ascii="Times New Roman" w:hAnsi="Times New Roman" w:cs="Times New Roman"/>
                <w:noProof/>
                <w:sz w:val="24"/>
                <w:szCs w:val="24"/>
              </w:rPr>
            </w:pPr>
            <w:r w:rsidRPr="00CC4807">
              <w:rPr>
                <w:rFonts w:ascii="Times New Roman" w:hAnsi="Times New Roman" w:cs="Times New Roman"/>
                <w:noProof/>
                <w:sz w:val="24"/>
                <w:szCs w:val="24"/>
              </w:rPr>
              <w:t xml:space="preserve">Izskatāmais jautājums saistīts ar tādu starptautisku vides problemātiku kā ģenētisko resursu izmantošanā gūtu ieguvumu netaisnīgu sadali. Attiecīgi tas definēts kā viens no trim Apvienoto Nāciju Organizācijas 1992. gada 5. jūnija Riodeižaneiro konvencijas par Bioloģiskās daudzveidību (turpmāk – Bioloģiskās daudzveidības konvencija) </w:t>
            </w:r>
            <w:r w:rsidR="00953461" w:rsidRPr="00CC4807">
              <w:rPr>
                <w:rFonts w:ascii="Times New Roman" w:hAnsi="Times New Roman" w:cs="Times New Roman"/>
                <w:noProof/>
                <w:sz w:val="24"/>
                <w:szCs w:val="24"/>
              </w:rPr>
              <w:t>mērķiem. Tas ir –</w:t>
            </w:r>
            <w:r w:rsidRPr="00CC4807">
              <w:rPr>
                <w:rFonts w:ascii="Times New Roman" w:hAnsi="Times New Roman" w:cs="Times New Roman"/>
                <w:noProof/>
                <w:sz w:val="24"/>
                <w:szCs w:val="24"/>
              </w:rPr>
              <w:t xml:space="preserve"> </w:t>
            </w:r>
            <w:r w:rsidRPr="00CC4807">
              <w:rPr>
                <w:rFonts w:ascii="Times New Roman" w:hAnsi="Times New Roman" w:cs="Times New Roman"/>
                <w:sz w:val="24"/>
                <w:szCs w:val="24"/>
              </w:rPr>
              <w:t>godīga un līdztiesīga ģenētisko resursu patērēšanā iegūto labumu sadale, ietverot gan pienācīgu pieeju ģenētiskajiem resursiem, gan atbilstošu tehnoloģiju nodošanu, ņemot vērā visas tiesības uz šiem resursiem un tehnoloģijām, gan pienācīgu finansēšanu.</w:t>
            </w:r>
            <w:r w:rsidRPr="00CC4807">
              <w:rPr>
                <w:rFonts w:ascii="Times New Roman" w:hAnsi="Times New Roman" w:cs="Times New Roman"/>
                <w:noProof/>
                <w:sz w:val="24"/>
                <w:szCs w:val="24"/>
              </w:rPr>
              <w:t xml:space="preserve"> </w:t>
            </w:r>
          </w:p>
          <w:p w14:paraId="4EBE1724" w14:textId="34C120DC" w:rsidR="007C6BB6" w:rsidRDefault="007C6BB6" w:rsidP="00DA64E3">
            <w:pPr>
              <w:spacing w:after="120" w:line="240" w:lineRule="auto"/>
              <w:jc w:val="both"/>
              <w:rPr>
                <w:rFonts w:ascii="Times New Roman" w:hAnsi="Times New Roman" w:cs="Times New Roman"/>
                <w:noProof/>
                <w:sz w:val="24"/>
                <w:szCs w:val="24"/>
              </w:rPr>
            </w:pPr>
            <w:r w:rsidRPr="00CC4807">
              <w:rPr>
                <w:rFonts w:ascii="Times New Roman" w:hAnsi="Times New Roman" w:cs="Times New Roman"/>
                <w:sz w:val="24"/>
                <w:szCs w:val="24"/>
              </w:rPr>
              <w:t xml:space="preserve">Šī mērķa praktiskai īstenošanai, Bioloģiskās daudzveidības konvencijas puses </w:t>
            </w:r>
            <w:r w:rsidR="00B54AAD">
              <w:rPr>
                <w:rFonts w:ascii="Times New Roman" w:hAnsi="Times New Roman" w:cs="Times New Roman"/>
                <w:sz w:val="24"/>
                <w:szCs w:val="24"/>
              </w:rPr>
              <w:t xml:space="preserve">(tajā skaitā Latvija) </w:t>
            </w:r>
            <w:r w:rsidRPr="00CC4807">
              <w:rPr>
                <w:rFonts w:ascii="Times New Roman" w:hAnsi="Times New Roman" w:cs="Times New Roman"/>
                <w:sz w:val="24"/>
                <w:szCs w:val="24"/>
              </w:rPr>
              <w:t xml:space="preserve">2010. gada 29. oktobrī pušu X konferencē pieņēma </w:t>
            </w:r>
            <w:proofErr w:type="spellStart"/>
            <w:r w:rsidRPr="00CC4807">
              <w:rPr>
                <w:rFonts w:ascii="Times New Roman" w:hAnsi="Times New Roman" w:cs="Times New Roman"/>
                <w:sz w:val="24"/>
                <w:szCs w:val="24"/>
              </w:rPr>
              <w:t>Nagojas</w:t>
            </w:r>
            <w:proofErr w:type="spellEnd"/>
            <w:r w:rsidRPr="00CC4807">
              <w:rPr>
                <w:rFonts w:ascii="Times New Roman" w:hAnsi="Times New Roman" w:cs="Times New Roman"/>
                <w:sz w:val="24"/>
                <w:szCs w:val="24"/>
              </w:rPr>
              <w:t xml:space="preserve"> Protokolu</w:t>
            </w:r>
            <w:r w:rsidR="008F5FD0">
              <w:rPr>
                <w:rStyle w:val="FootnoteReference"/>
                <w:rFonts w:ascii="Times New Roman" w:hAnsi="Times New Roman" w:cs="Times New Roman"/>
                <w:sz w:val="24"/>
                <w:szCs w:val="24"/>
              </w:rPr>
              <w:footnoteReference w:id="1"/>
            </w:r>
            <w:r w:rsidRPr="00CC4807">
              <w:rPr>
                <w:rFonts w:ascii="Times New Roman" w:hAnsi="Times New Roman" w:cs="Times New Roman"/>
                <w:sz w:val="24"/>
                <w:szCs w:val="24"/>
              </w:rPr>
              <w:t xml:space="preserve"> par </w:t>
            </w:r>
            <w:r w:rsidR="008F5FD0">
              <w:rPr>
                <w:rFonts w:ascii="Times New Roman" w:hAnsi="Times New Roman" w:cs="Times New Roman"/>
                <w:sz w:val="24"/>
                <w:szCs w:val="24"/>
              </w:rPr>
              <w:t>piekļuvi ģenētiskajiem resursiem un taisnīgu un godīgu to ieguvumu sadali, kas gūti no šo resursu izmantošanas</w:t>
            </w:r>
            <w:r w:rsidRPr="00CC4807">
              <w:rPr>
                <w:rFonts w:ascii="Times New Roman" w:hAnsi="Times New Roman" w:cs="Times New Roman"/>
                <w:sz w:val="24"/>
                <w:szCs w:val="24"/>
              </w:rPr>
              <w:t xml:space="preserve"> (turpmāk – </w:t>
            </w:r>
            <w:proofErr w:type="spellStart"/>
            <w:r w:rsidRPr="00CC4807">
              <w:rPr>
                <w:rFonts w:ascii="Times New Roman" w:hAnsi="Times New Roman" w:cs="Times New Roman"/>
                <w:sz w:val="24"/>
                <w:szCs w:val="24"/>
              </w:rPr>
              <w:t>Nagojas</w:t>
            </w:r>
            <w:proofErr w:type="spellEnd"/>
            <w:r w:rsidRPr="00CC4807">
              <w:rPr>
                <w:rFonts w:ascii="Times New Roman" w:hAnsi="Times New Roman" w:cs="Times New Roman"/>
                <w:sz w:val="24"/>
                <w:szCs w:val="24"/>
              </w:rPr>
              <w:t xml:space="preserve"> Protokols). </w:t>
            </w:r>
            <w:r w:rsidR="00953461" w:rsidRPr="00CC4807">
              <w:rPr>
                <w:rFonts w:ascii="Times New Roman" w:hAnsi="Times New Roman" w:cs="Times New Roman"/>
                <w:sz w:val="24"/>
                <w:szCs w:val="24"/>
              </w:rPr>
              <w:t xml:space="preserve">Tādā veidā: </w:t>
            </w:r>
            <w:r w:rsidRPr="00CC4807">
              <w:rPr>
                <w:rFonts w:ascii="Times New Roman" w:hAnsi="Times New Roman" w:cs="Times New Roman"/>
                <w:noProof/>
                <w:sz w:val="24"/>
                <w:szCs w:val="24"/>
              </w:rPr>
              <w:t>1) izveido</w:t>
            </w:r>
            <w:r w:rsidR="00953461" w:rsidRPr="00CC4807">
              <w:rPr>
                <w:rFonts w:ascii="Times New Roman" w:hAnsi="Times New Roman" w:cs="Times New Roman"/>
                <w:noProof/>
                <w:sz w:val="24"/>
                <w:szCs w:val="24"/>
              </w:rPr>
              <w:t>jot</w:t>
            </w:r>
            <w:r w:rsidRPr="00CC4807">
              <w:rPr>
                <w:rFonts w:ascii="Times New Roman" w:hAnsi="Times New Roman" w:cs="Times New Roman"/>
                <w:noProof/>
                <w:sz w:val="24"/>
                <w:szCs w:val="24"/>
              </w:rPr>
              <w:t xml:space="preserve"> nosacījumus ģenētisko resursu pieejamībai, 2) </w:t>
            </w:r>
            <w:r w:rsidR="00953461" w:rsidRPr="00CC4807">
              <w:rPr>
                <w:rFonts w:ascii="Times New Roman" w:hAnsi="Times New Roman" w:cs="Times New Roman"/>
                <w:noProof/>
                <w:sz w:val="24"/>
                <w:szCs w:val="24"/>
              </w:rPr>
              <w:t>nosakot</w:t>
            </w:r>
            <w:r w:rsidRPr="00CC4807">
              <w:rPr>
                <w:rFonts w:ascii="Times New Roman" w:hAnsi="Times New Roman" w:cs="Times New Roman"/>
                <w:noProof/>
                <w:sz w:val="24"/>
                <w:szCs w:val="24"/>
              </w:rPr>
              <w:t xml:space="preserve"> labumu sadali starp ģenētisko resursu lietotājiem un piegādātājiem,</w:t>
            </w:r>
            <w:r w:rsidR="00953461" w:rsidRPr="00CC4807">
              <w:rPr>
                <w:rFonts w:ascii="Times New Roman" w:hAnsi="Times New Roman" w:cs="Times New Roman"/>
                <w:noProof/>
                <w:sz w:val="24"/>
                <w:szCs w:val="24"/>
              </w:rPr>
              <w:t xml:space="preserve"> </w:t>
            </w:r>
            <w:r w:rsidRPr="00CC4807">
              <w:rPr>
                <w:rFonts w:ascii="Times New Roman" w:hAnsi="Times New Roman" w:cs="Times New Roman"/>
                <w:noProof/>
                <w:sz w:val="24"/>
                <w:szCs w:val="24"/>
              </w:rPr>
              <w:t>3) </w:t>
            </w:r>
            <w:r w:rsidR="00953461" w:rsidRPr="00CC4807">
              <w:rPr>
                <w:rFonts w:ascii="Times New Roman" w:hAnsi="Times New Roman" w:cs="Times New Roman"/>
                <w:noProof/>
                <w:sz w:val="24"/>
                <w:szCs w:val="24"/>
              </w:rPr>
              <w:t>nodrošinot</w:t>
            </w:r>
            <w:r w:rsidRPr="00CC4807">
              <w:rPr>
                <w:rFonts w:ascii="Times New Roman" w:hAnsi="Times New Roman" w:cs="Times New Roman"/>
                <w:noProof/>
                <w:sz w:val="24"/>
                <w:szCs w:val="24"/>
              </w:rPr>
              <w:t>, ka tiek izmantoti tikai likumīgi iegūti ģenētiskie resursi.</w:t>
            </w:r>
          </w:p>
          <w:p w14:paraId="286207BE" w14:textId="77777777" w:rsidR="00150613" w:rsidRPr="00150613" w:rsidRDefault="00150613" w:rsidP="00150613">
            <w:pPr>
              <w:spacing w:after="120" w:line="240" w:lineRule="auto"/>
              <w:jc w:val="both"/>
              <w:rPr>
                <w:rFonts w:ascii="Times New Roman" w:hAnsi="Times New Roman" w:cs="Times New Roman"/>
                <w:sz w:val="24"/>
                <w:szCs w:val="24"/>
              </w:rPr>
            </w:pPr>
            <w:r w:rsidRPr="00150613">
              <w:rPr>
                <w:rFonts w:ascii="Times New Roman" w:hAnsi="Times New Roman" w:cs="Times New Roman"/>
                <w:sz w:val="24"/>
                <w:szCs w:val="24"/>
              </w:rPr>
              <w:lastRenderedPageBreak/>
              <w:t xml:space="preserve">Eiropas Savienības Padome 2014. gada 14. aprīlī pieņēma lēmumu Nr. 2014/283/ES par to, lai Eiropas Savienības vārdā noslēgtu Konvencijai par bioloģisko daudzveidību pievienoto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Protokolu. 2014. gada 16. aprīlī pieņemta regula un </w:t>
            </w:r>
            <w:r w:rsidRPr="00150613">
              <w:rPr>
                <w:rStyle w:val="Strong"/>
                <w:rFonts w:ascii="Times New Roman" w:hAnsi="Times New Roman" w:cs="Times New Roman"/>
                <w:b w:val="0"/>
                <w:sz w:val="24"/>
                <w:szCs w:val="24"/>
                <w:bdr w:val="none" w:sz="0" w:space="0" w:color="auto" w:frame="1"/>
                <w:shd w:val="clear" w:color="auto" w:fill="FFFFFF"/>
              </w:rPr>
              <w:t>2015. gada 13. oktobrī – īstenošanas regula.</w:t>
            </w:r>
            <w:r w:rsidRPr="00150613">
              <w:rPr>
                <w:rFonts w:ascii="Times New Roman" w:hAnsi="Times New Roman" w:cs="Times New Roman"/>
                <w:sz w:val="24"/>
                <w:szCs w:val="24"/>
              </w:rPr>
              <w:t xml:space="preserve"> </w:t>
            </w:r>
          </w:p>
          <w:p w14:paraId="53CFD3AC" w14:textId="77777777" w:rsidR="00150613" w:rsidRPr="00150613" w:rsidRDefault="00150613" w:rsidP="00150613">
            <w:pPr>
              <w:spacing w:after="120" w:line="240" w:lineRule="auto"/>
              <w:jc w:val="both"/>
              <w:rPr>
                <w:rFonts w:ascii="Times New Roman" w:hAnsi="Times New Roman" w:cs="Times New Roman"/>
                <w:sz w:val="24"/>
                <w:szCs w:val="24"/>
              </w:rPr>
            </w:pPr>
            <w:r w:rsidRPr="00150613">
              <w:rPr>
                <w:rFonts w:ascii="Times New Roman" w:hAnsi="Times New Roman" w:cs="Times New Roman"/>
                <w:sz w:val="24"/>
                <w:szCs w:val="24"/>
              </w:rPr>
              <w:t>Minētās regulas ir tieši piemērojamas Latvijā un citās Eiropas Savienības dalībvalstīs.</w:t>
            </w:r>
          </w:p>
          <w:p w14:paraId="66F84A8B" w14:textId="77777777" w:rsidR="00150613" w:rsidRPr="00150613" w:rsidRDefault="00150613" w:rsidP="00150613">
            <w:pPr>
              <w:spacing w:after="120" w:line="240" w:lineRule="auto"/>
              <w:jc w:val="both"/>
              <w:rPr>
                <w:rFonts w:ascii="Times New Roman" w:hAnsi="Times New Roman" w:cs="Times New Roman"/>
                <w:sz w:val="24"/>
                <w:szCs w:val="24"/>
              </w:rPr>
            </w:pPr>
            <w:r w:rsidRPr="00150613">
              <w:rPr>
                <w:rFonts w:ascii="Times New Roman" w:hAnsi="Times New Roman" w:cs="Times New Roman"/>
                <w:sz w:val="24"/>
                <w:szCs w:val="24"/>
              </w:rPr>
              <w:t xml:space="preserve">Līdz ar to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Protokols, lai arī Latvija to pašreiz nav parakstījusi vai ratificējusi, veido neatņemamu Eiropas Savienības (turpmāk – ES) tiesību sastāvdaļu (sākot ar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Protokola spēkā stāšanos 2014. gada 12. oktobrī).</w:t>
            </w:r>
            <w:r w:rsidRPr="00150613">
              <w:rPr>
                <w:rStyle w:val="FootnoteReference"/>
                <w:rFonts w:ascii="Times New Roman" w:hAnsi="Times New Roman" w:cs="Times New Roman"/>
                <w:sz w:val="24"/>
                <w:szCs w:val="24"/>
              </w:rPr>
              <w:footnoteReference w:id="2"/>
            </w:r>
            <w:r w:rsidRPr="00150613">
              <w:rPr>
                <w:rFonts w:ascii="Times New Roman" w:hAnsi="Times New Roman" w:cs="Times New Roman"/>
                <w:sz w:val="24"/>
                <w:szCs w:val="24"/>
              </w:rPr>
              <w:t xml:space="preserve"> </w:t>
            </w:r>
          </w:p>
          <w:p w14:paraId="5E50A743" w14:textId="77777777" w:rsidR="00150613" w:rsidRPr="00150613" w:rsidRDefault="00150613" w:rsidP="00150613">
            <w:pPr>
              <w:spacing w:after="120" w:line="240" w:lineRule="auto"/>
              <w:jc w:val="both"/>
              <w:rPr>
                <w:rFonts w:ascii="Times New Roman" w:hAnsi="Times New Roman" w:cs="Times New Roman"/>
                <w:sz w:val="24"/>
                <w:szCs w:val="24"/>
              </w:rPr>
            </w:pPr>
            <w:r w:rsidRPr="00150613">
              <w:rPr>
                <w:rFonts w:ascii="Times New Roman" w:hAnsi="Times New Roman" w:cs="Times New Roman"/>
                <w:sz w:val="24"/>
                <w:szCs w:val="24"/>
              </w:rPr>
              <w:t xml:space="preserve">Regula (īpaši tās 4. un 7. pants) un īstenošanas regula (īpaši tās 5. un 6. pants) nosaka ģenētisko resursu lietotāju rīcību un pienākumus, lai ievērotu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Protokola dalībvalstu noteiktos ģenētisko resursu pieejas un to izmantošanas ieguvumu sadales noteikumus. Tādā veidā Eiropas Savienība īsteno daļu no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Protokola regulējuma jeb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Protokola atbilstības pīlāru.</w:t>
            </w:r>
          </w:p>
          <w:p w14:paraId="572D9D57" w14:textId="77777777" w:rsidR="00150613" w:rsidRPr="00150613" w:rsidRDefault="00150613" w:rsidP="00150613">
            <w:pPr>
              <w:spacing w:after="120" w:line="240" w:lineRule="auto"/>
              <w:jc w:val="both"/>
              <w:rPr>
                <w:rFonts w:ascii="Times New Roman" w:hAnsi="Times New Roman" w:cs="Times New Roman"/>
                <w:sz w:val="24"/>
                <w:szCs w:val="24"/>
              </w:rPr>
            </w:pPr>
            <w:r w:rsidRPr="00150613">
              <w:rPr>
                <w:rFonts w:ascii="Times New Roman" w:hAnsi="Times New Roman" w:cs="Times New Roman"/>
                <w:sz w:val="24"/>
                <w:szCs w:val="24"/>
              </w:rPr>
              <w:t xml:space="preserve">Kā norādīts regulas preambulas (9) punktā – “[..] </w:t>
            </w:r>
            <w:r w:rsidRPr="00150613">
              <w:rPr>
                <w:rFonts w:ascii="Times New Roman" w:hAnsi="Times New Roman" w:cs="Times New Roman"/>
                <w:color w:val="000000"/>
                <w:sz w:val="24"/>
                <w:szCs w:val="24"/>
                <w:shd w:val="clear" w:color="auto" w:fill="FFFFFF"/>
              </w:rPr>
              <w:t xml:space="preserve">ļoti būtiski ir Savienībā nepieļaut, ka tiek izmantoti tādi ģenētiskie resursi vai tādas ar ģenētiskajiem resursiem saistītas tradicionālās zināšanas, kam nav piekļūts atbilstīgi </w:t>
            </w:r>
            <w:proofErr w:type="spellStart"/>
            <w:r w:rsidRPr="00150613">
              <w:rPr>
                <w:rFonts w:ascii="Times New Roman" w:hAnsi="Times New Roman" w:cs="Times New Roman"/>
                <w:color w:val="000000"/>
                <w:sz w:val="24"/>
                <w:szCs w:val="24"/>
                <w:shd w:val="clear" w:color="auto" w:fill="FFFFFF"/>
              </w:rPr>
              <w:t>Nagojas</w:t>
            </w:r>
            <w:proofErr w:type="spellEnd"/>
            <w:r w:rsidRPr="00150613">
              <w:rPr>
                <w:rFonts w:ascii="Times New Roman" w:hAnsi="Times New Roman" w:cs="Times New Roman"/>
                <w:color w:val="000000"/>
                <w:sz w:val="24"/>
                <w:szCs w:val="24"/>
                <w:shd w:val="clear" w:color="auto" w:fill="FFFFFF"/>
              </w:rPr>
              <w:t xml:space="preserve"> protokola puses valsts tiesību aktiem vai regulatīvajām prasībām attiecībā uz piekļuvi un ieguvumu sadali, un sekmēt to, ka tiek faktiski īstenotas ieguvumu sadales saistības, kas izklāstītas piegādātāju un lietotāju savstarpēji saskaņotos noteikumos.”</w:t>
            </w:r>
          </w:p>
          <w:p w14:paraId="0BF9F0F2" w14:textId="77777777" w:rsidR="00150613" w:rsidRPr="00150613" w:rsidRDefault="00150613" w:rsidP="00150613">
            <w:pPr>
              <w:spacing w:after="120" w:line="240" w:lineRule="auto"/>
              <w:jc w:val="both"/>
              <w:rPr>
                <w:rFonts w:ascii="Times New Roman" w:hAnsi="Times New Roman" w:cs="Times New Roman"/>
                <w:color w:val="000000"/>
                <w:sz w:val="24"/>
                <w:szCs w:val="24"/>
                <w:shd w:val="clear" w:color="auto" w:fill="FFFFFF"/>
              </w:rPr>
            </w:pPr>
            <w:r w:rsidRPr="00150613">
              <w:rPr>
                <w:rFonts w:ascii="Times New Roman" w:hAnsi="Times New Roman" w:cs="Times New Roman"/>
                <w:sz w:val="24"/>
                <w:szCs w:val="24"/>
              </w:rPr>
              <w:t>Tāpat regulas 2. panta 4. punkts noteic, ka “</w:t>
            </w:r>
            <w:r w:rsidRPr="00150613">
              <w:rPr>
                <w:rFonts w:ascii="Times New Roman" w:hAnsi="Times New Roman" w:cs="Times New Roman"/>
                <w:color w:val="000000"/>
                <w:sz w:val="24"/>
                <w:szCs w:val="24"/>
                <w:shd w:val="clear" w:color="auto" w:fill="FFFFFF"/>
              </w:rPr>
              <w:t xml:space="preserve">… regulu piemēro ģenētiskajiem resursiem un ar ģenētiskajiem resursiem saistītām tradicionālajām zināšanām, kurām ir piemērojami </w:t>
            </w:r>
            <w:proofErr w:type="spellStart"/>
            <w:r w:rsidRPr="00150613">
              <w:rPr>
                <w:rFonts w:ascii="Times New Roman" w:hAnsi="Times New Roman" w:cs="Times New Roman"/>
                <w:color w:val="000000"/>
                <w:sz w:val="24"/>
                <w:szCs w:val="24"/>
                <w:shd w:val="clear" w:color="auto" w:fill="FFFFFF"/>
              </w:rPr>
              <w:t>Nagojas</w:t>
            </w:r>
            <w:proofErr w:type="spellEnd"/>
            <w:r w:rsidRPr="00150613">
              <w:rPr>
                <w:rFonts w:ascii="Times New Roman" w:hAnsi="Times New Roman" w:cs="Times New Roman"/>
                <w:color w:val="000000"/>
                <w:sz w:val="24"/>
                <w:szCs w:val="24"/>
                <w:shd w:val="clear" w:color="auto" w:fill="FFFFFF"/>
              </w:rPr>
              <w:t xml:space="preserve"> protokola pušu tiesību akti vai regulatīvās prasības attiecībā uz piekļuvi un ieguvumu sadali.”</w:t>
            </w:r>
          </w:p>
          <w:p w14:paraId="0E9D1B54" w14:textId="77777777" w:rsidR="00150613" w:rsidRDefault="00150613" w:rsidP="00150613">
            <w:pPr>
              <w:spacing w:after="120" w:line="240" w:lineRule="auto"/>
              <w:jc w:val="both"/>
              <w:rPr>
                <w:rFonts w:ascii="Times New Roman" w:hAnsi="Times New Roman" w:cs="Times New Roman"/>
                <w:sz w:val="24"/>
                <w:szCs w:val="24"/>
              </w:rPr>
            </w:pPr>
            <w:r w:rsidRPr="00150613">
              <w:rPr>
                <w:rFonts w:ascii="Times New Roman" w:hAnsi="Times New Roman" w:cs="Times New Roman"/>
                <w:sz w:val="24"/>
                <w:szCs w:val="24"/>
              </w:rPr>
              <w:t>Līdz ar to, regula un īstenošanas regula ģenētisko resursu lietotājiem ES savās darbībās nosaka ievērot citu valstu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Protokola dalībvalstu) normatīvus attiecībā par </w:t>
            </w:r>
            <w:proofErr w:type="spellStart"/>
            <w:r w:rsidRPr="00150613">
              <w:rPr>
                <w:rFonts w:ascii="Times New Roman" w:hAnsi="Times New Roman" w:cs="Times New Roman"/>
                <w:sz w:val="24"/>
                <w:szCs w:val="24"/>
              </w:rPr>
              <w:t>Nagojas</w:t>
            </w:r>
            <w:proofErr w:type="spellEnd"/>
            <w:r w:rsidRPr="00150613">
              <w:rPr>
                <w:rFonts w:ascii="Times New Roman" w:hAnsi="Times New Roman" w:cs="Times New Roman"/>
                <w:sz w:val="24"/>
                <w:szCs w:val="24"/>
              </w:rPr>
              <w:t xml:space="preserve"> Protokolu.</w:t>
            </w:r>
          </w:p>
          <w:p w14:paraId="56BBFE43" w14:textId="0EFB9995" w:rsidR="005C1C96" w:rsidRPr="00CC4807" w:rsidRDefault="002D25D0" w:rsidP="00DA64E3">
            <w:pPr>
              <w:spacing w:after="120" w:line="240" w:lineRule="auto"/>
              <w:jc w:val="both"/>
              <w:rPr>
                <w:rFonts w:ascii="Times New Roman" w:hAnsi="Times New Roman" w:cs="Times New Roman"/>
                <w:sz w:val="24"/>
                <w:szCs w:val="24"/>
              </w:rPr>
            </w:pPr>
            <w:r w:rsidRPr="00CC4807">
              <w:rPr>
                <w:rFonts w:ascii="Times New Roman" w:hAnsi="Times New Roman" w:cs="Times New Roman"/>
                <w:sz w:val="24"/>
                <w:szCs w:val="24"/>
              </w:rPr>
              <w:t xml:space="preserve">Lai izpildītu </w:t>
            </w:r>
            <w:r w:rsidR="00150613">
              <w:rPr>
                <w:rFonts w:ascii="Times New Roman" w:hAnsi="Times New Roman" w:cs="Times New Roman"/>
                <w:sz w:val="24"/>
                <w:szCs w:val="24"/>
              </w:rPr>
              <w:t xml:space="preserve">regulas </w:t>
            </w:r>
            <w:r w:rsidR="00D211F9" w:rsidRPr="00CC4807">
              <w:rPr>
                <w:rFonts w:ascii="Times New Roman" w:hAnsi="Times New Roman" w:cs="Times New Roman"/>
                <w:sz w:val="24"/>
                <w:szCs w:val="24"/>
              </w:rPr>
              <w:t>11. </w:t>
            </w:r>
            <w:r w:rsidRPr="00CC4807">
              <w:rPr>
                <w:rFonts w:ascii="Times New Roman" w:hAnsi="Times New Roman" w:cs="Times New Roman"/>
                <w:sz w:val="24"/>
                <w:szCs w:val="24"/>
              </w:rPr>
              <w:t xml:space="preserve">pantā </w:t>
            </w:r>
            <w:r w:rsidR="00CC3C4B">
              <w:rPr>
                <w:rFonts w:ascii="Times New Roman" w:hAnsi="Times New Roman" w:cs="Times New Roman"/>
                <w:sz w:val="24"/>
                <w:szCs w:val="24"/>
              </w:rPr>
              <w:t xml:space="preserve">prasīto </w:t>
            </w:r>
            <w:r w:rsidR="002B3775">
              <w:rPr>
                <w:rFonts w:ascii="Times New Roman" w:hAnsi="Times New Roman" w:cs="Times New Roman"/>
                <w:sz w:val="24"/>
                <w:szCs w:val="24"/>
              </w:rPr>
              <w:t>par sankciju paredzēšanu</w:t>
            </w:r>
            <w:r w:rsidR="00CC3C4B">
              <w:rPr>
                <w:rFonts w:ascii="Times New Roman" w:hAnsi="Times New Roman" w:cs="Times New Roman"/>
                <w:sz w:val="24"/>
                <w:szCs w:val="24"/>
              </w:rPr>
              <w:t xml:space="preserve"> </w:t>
            </w:r>
            <w:r w:rsidR="00F67531">
              <w:rPr>
                <w:rFonts w:ascii="Times New Roman" w:hAnsi="Times New Roman" w:cs="Times New Roman"/>
                <w:sz w:val="24"/>
                <w:szCs w:val="24"/>
              </w:rPr>
              <w:t xml:space="preserve">par </w:t>
            </w:r>
            <w:r w:rsidR="00766082">
              <w:rPr>
                <w:rFonts w:ascii="Times New Roman" w:hAnsi="Times New Roman" w:cs="Times New Roman"/>
                <w:sz w:val="24"/>
                <w:szCs w:val="24"/>
              </w:rPr>
              <w:t>šīs</w:t>
            </w:r>
            <w:r w:rsidR="00CC3C4B">
              <w:rPr>
                <w:rFonts w:ascii="Times New Roman" w:hAnsi="Times New Roman" w:cs="Times New Roman"/>
                <w:sz w:val="24"/>
                <w:szCs w:val="24"/>
              </w:rPr>
              <w:t xml:space="preserve"> regulas 4. un 7</w:t>
            </w:r>
            <w:r w:rsidR="00F67531">
              <w:rPr>
                <w:rFonts w:ascii="Times New Roman" w:hAnsi="Times New Roman" w:cs="Times New Roman"/>
                <w:sz w:val="24"/>
                <w:szCs w:val="24"/>
              </w:rPr>
              <w:t>.</w:t>
            </w:r>
            <w:r w:rsidR="00F67531">
              <w:t> </w:t>
            </w:r>
            <w:r w:rsidR="00F67531">
              <w:rPr>
                <w:rFonts w:ascii="Times New Roman" w:hAnsi="Times New Roman" w:cs="Times New Roman"/>
                <w:sz w:val="24"/>
                <w:szCs w:val="24"/>
              </w:rPr>
              <w:t>pant</w:t>
            </w:r>
            <w:r w:rsidR="00CC3C4B">
              <w:rPr>
                <w:rFonts w:ascii="Times New Roman" w:hAnsi="Times New Roman" w:cs="Times New Roman"/>
                <w:sz w:val="24"/>
                <w:szCs w:val="24"/>
              </w:rPr>
              <w:t>a noteiktā pārkāpšanu</w:t>
            </w:r>
            <w:r w:rsidR="00150613">
              <w:rPr>
                <w:rFonts w:ascii="Times New Roman" w:hAnsi="Times New Roman" w:cs="Times New Roman"/>
                <w:sz w:val="24"/>
                <w:szCs w:val="24"/>
              </w:rPr>
              <w:t>, l</w:t>
            </w:r>
            <w:r w:rsidR="00D211F9" w:rsidRPr="00CC4807">
              <w:rPr>
                <w:rFonts w:ascii="Times New Roman" w:hAnsi="Times New Roman" w:cs="Times New Roman"/>
                <w:sz w:val="24"/>
                <w:szCs w:val="24"/>
              </w:rPr>
              <w:t xml:space="preserve">ikumprojekts paredz grozījumus Latvijas </w:t>
            </w:r>
            <w:r w:rsidR="00D211F9" w:rsidRPr="00CC4807">
              <w:rPr>
                <w:rFonts w:ascii="Times New Roman" w:hAnsi="Times New Roman" w:cs="Times New Roman"/>
                <w:sz w:val="24"/>
                <w:szCs w:val="24"/>
              </w:rPr>
              <w:lastRenderedPageBreak/>
              <w:t>Administratīvo pārkāpumu kodeksā</w:t>
            </w:r>
            <w:r w:rsidR="00A95ED0" w:rsidRPr="00CC4807">
              <w:rPr>
                <w:rFonts w:ascii="Times New Roman" w:hAnsi="Times New Roman" w:cs="Times New Roman"/>
                <w:sz w:val="24"/>
                <w:szCs w:val="24"/>
              </w:rPr>
              <w:t xml:space="preserve">, </w:t>
            </w:r>
            <w:r w:rsidR="002661B4" w:rsidRPr="00CC4807">
              <w:rPr>
                <w:rFonts w:ascii="Times New Roman" w:hAnsi="Times New Roman" w:cs="Times New Roman"/>
                <w:sz w:val="24"/>
                <w:szCs w:val="24"/>
              </w:rPr>
              <w:t xml:space="preserve">norādot pārkāpumus un </w:t>
            </w:r>
            <w:r w:rsidR="002B3775">
              <w:rPr>
                <w:rFonts w:ascii="Times New Roman" w:hAnsi="Times New Roman" w:cs="Times New Roman"/>
                <w:sz w:val="24"/>
                <w:szCs w:val="24"/>
              </w:rPr>
              <w:t>nosakot</w:t>
            </w:r>
            <w:r w:rsidR="00A95ED0" w:rsidRPr="00CC4807">
              <w:rPr>
                <w:rFonts w:ascii="Times New Roman" w:hAnsi="Times New Roman" w:cs="Times New Roman"/>
                <w:sz w:val="24"/>
                <w:szCs w:val="24"/>
              </w:rPr>
              <w:t xml:space="preserve"> </w:t>
            </w:r>
            <w:r w:rsidR="009006B6" w:rsidRPr="00CC4807">
              <w:rPr>
                <w:rFonts w:ascii="Times New Roman" w:hAnsi="Times New Roman" w:cs="Times New Roman"/>
                <w:sz w:val="24"/>
                <w:szCs w:val="24"/>
              </w:rPr>
              <w:t xml:space="preserve">iespējamos </w:t>
            </w:r>
            <w:r w:rsidR="0026348B" w:rsidRPr="00CC4807">
              <w:rPr>
                <w:rFonts w:ascii="Times New Roman" w:hAnsi="Times New Roman" w:cs="Times New Roman"/>
                <w:sz w:val="24"/>
                <w:szCs w:val="24"/>
              </w:rPr>
              <w:t>sodu</w:t>
            </w:r>
            <w:r w:rsidR="00A95ED0" w:rsidRPr="00CC4807">
              <w:rPr>
                <w:rFonts w:ascii="Times New Roman" w:hAnsi="Times New Roman" w:cs="Times New Roman"/>
                <w:sz w:val="24"/>
                <w:szCs w:val="24"/>
              </w:rPr>
              <w:t>s</w:t>
            </w:r>
            <w:r w:rsidR="00BD0D1F" w:rsidRPr="00CC4807">
              <w:rPr>
                <w:rFonts w:ascii="Times New Roman" w:hAnsi="Times New Roman" w:cs="Times New Roman"/>
                <w:sz w:val="24"/>
                <w:szCs w:val="24"/>
              </w:rPr>
              <w:t>.</w:t>
            </w:r>
          </w:p>
          <w:p w14:paraId="4515607F" w14:textId="5848CBEE" w:rsidR="009006B6" w:rsidRPr="00CC4807" w:rsidRDefault="00766082"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w:t>
            </w:r>
            <w:r w:rsidR="00150613">
              <w:rPr>
                <w:rFonts w:ascii="Times New Roman" w:hAnsi="Times New Roman" w:cs="Times New Roman"/>
                <w:sz w:val="24"/>
                <w:szCs w:val="24"/>
              </w:rPr>
              <w:t>r</w:t>
            </w:r>
            <w:r w:rsidR="00007BD8" w:rsidRPr="00CC4807">
              <w:rPr>
                <w:rFonts w:ascii="Times New Roman" w:hAnsi="Times New Roman" w:cs="Times New Roman"/>
                <w:sz w:val="24"/>
                <w:szCs w:val="24"/>
              </w:rPr>
              <w:t>egulas 4. un 7. pantā</w:t>
            </w:r>
            <w:r w:rsidR="009006B6" w:rsidRPr="00CC4807">
              <w:rPr>
                <w:rFonts w:ascii="Times New Roman" w:hAnsi="Times New Roman" w:cs="Times New Roman"/>
                <w:sz w:val="24"/>
                <w:szCs w:val="24"/>
              </w:rPr>
              <w:t xml:space="preserve"> </w:t>
            </w:r>
            <w:r w:rsidR="00F67531">
              <w:rPr>
                <w:rFonts w:ascii="Times New Roman" w:hAnsi="Times New Roman" w:cs="Times New Roman"/>
                <w:sz w:val="24"/>
                <w:szCs w:val="24"/>
              </w:rPr>
              <w:t>noteikto par</w:t>
            </w:r>
            <w:r w:rsidR="009006B6" w:rsidRPr="00CC4807">
              <w:rPr>
                <w:rFonts w:ascii="Times New Roman" w:hAnsi="Times New Roman" w:cs="Times New Roman"/>
                <w:sz w:val="24"/>
                <w:szCs w:val="24"/>
              </w:rPr>
              <w:t xml:space="preserve"> ģenēti</w:t>
            </w:r>
            <w:r w:rsidR="00F67531">
              <w:rPr>
                <w:rFonts w:ascii="Times New Roman" w:hAnsi="Times New Roman" w:cs="Times New Roman"/>
                <w:sz w:val="24"/>
                <w:szCs w:val="24"/>
              </w:rPr>
              <w:t>sko resursu lietotāju pienākumiem un lietotāju atbilstības uzraudzību</w:t>
            </w:r>
            <w:r w:rsidR="00150613">
              <w:rPr>
                <w:rFonts w:ascii="Times New Roman" w:hAnsi="Times New Roman" w:cs="Times New Roman"/>
                <w:sz w:val="24"/>
                <w:szCs w:val="24"/>
              </w:rPr>
              <w:t>, l</w:t>
            </w:r>
            <w:r w:rsidR="009006B6" w:rsidRPr="00CC4807">
              <w:rPr>
                <w:rFonts w:ascii="Times New Roman" w:hAnsi="Times New Roman" w:cs="Times New Roman"/>
                <w:sz w:val="24"/>
                <w:szCs w:val="24"/>
              </w:rPr>
              <w:t xml:space="preserve">ikumprojektā </w:t>
            </w:r>
            <w:r w:rsidR="00007BD8" w:rsidRPr="00CC4807">
              <w:rPr>
                <w:rFonts w:ascii="Times New Roman" w:hAnsi="Times New Roman" w:cs="Times New Roman"/>
                <w:sz w:val="24"/>
                <w:szCs w:val="24"/>
              </w:rPr>
              <w:t xml:space="preserve">sodi paredzēti attiecīgi – </w:t>
            </w:r>
          </w:p>
          <w:p w14:paraId="60D8C1E5" w14:textId="4E47E15F" w:rsidR="00007BD8" w:rsidRPr="0019085D" w:rsidRDefault="00007BD8"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par pienācīgas pārbaudes neveikšanu, lai pārliecinātos, ka lietotāja izmantotajiem ģenētiskajiem resursiem un ar ģenētiskajiem resursiem saistītajām tradicionālajām zināšanām ir piekļūts saskaņā ar piemērojamiem tiesību aktiem vai regulatīvajām prasībām attiecībā uz piekļuvi un ieguvumu sadali un ka ieguvumi tiek sadalīti taisnīgi un godīgi atbilstīgi savstarpēji saskaņotiem noteikumiem saskaņā ar visiem piemērojamajiem tiesību akti</w:t>
            </w:r>
            <w:r w:rsidR="0098202C">
              <w:rPr>
                <w:rFonts w:ascii="Times New Roman" w:hAnsi="Times New Roman" w:cs="Times New Roman"/>
                <w:sz w:val="24"/>
                <w:szCs w:val="24"/>
                <w:shd w:val="clear" w:color="auto" w:fill="FFFFFF"/>
              </w:rPr>
              <w:t xml:space="preserve">em vai regulatīvajām prasībām, atbilstoši </w:t>
            </w:r>
            <w:r w:rsidR="00150613">
              <w:rPr>
                <w:rFonts w:ascii="Times New Roman" w:hAnsi="Times New Roman" w:cs="Times New Roman"/>
                <w:sz w:val="24"/>
                <w:szCs w:val="24"/>
              </w:rPr>
              <w:t>r</w:t>
            </w:r>
            <w:r w:rsidRPr="0019085D">
              <w:rPr>
                <w:rFonts w:ascii="Times New Roman" w:hAnsi="Times New Roman" w:cs="Times New Roman"/>
                <w:sz w:val="24"/>
                <w:szCs w:val="24"/>
              </w:rPr>
              <w:t>egulas 4. panta</w:t>
            </w:r>
            <w:r w:rsidR="0098202C">
              <w:rPr>
                <w:rFonts w:ascii="Times New Roman" w:hAnsi="Times New Roman" w:cs="Times New Roman"/>
                <w:sz w:val="24"/>
                <w:szCs w:val="24"/>
                <w:shd w:val="clear" w:color="auto" w:fill="FFFFFF"/>
              </w:rPr>
              <w:t xml:space="preserve"> 1. punktam</w:t>
            </w:r>
            <w:r w:rsidRPr="0019085D">
              <w:rPr>
                <w:rFonts w:ascii="Times New Roman" w:hAnsi="Times New Roman" w:cs="Times New Roman"/>
                <w:sz w:val="24"/>
                <w:szCs w:val="24"/>
                <w:shd w:val="clear" w:color="auto" w:fill="FFFFFF"/>
              </w:rPr>
              <w:t>;</w:t>
            </w:r>
          </w:p>
          <w:p w14:paraId="5DA78195" w14:textId="0FE2C069" w:rsidR="00007BD8" w:rsidRPr="0019085D" w:rsidRDefault="00007BD8"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rPr>
              <w:t>par ģenētisko resursu un ar ģenētiskajiem resursiem saistīto tradicionālo zināšanu nodošanu tālāk un izmantošanu pretrunā savstarpēji saskaņotiem noteikumiem, ja tie vajadzīgi atbilstīgi piemērojamiem tiesību aktiem vai regulatīvām prasībām,</w:t>
            </w:r>
            <w:r w:rsidR="0098202C">
              <w:rPr>
                <w:rFonts w:ascii="Times New Roman" w:hAnsi="Times New Roman" w:cs="Times New Roman"/>
                <w:sz w:val="24"/>
                <w:szCs w:val="24"/>
                <w:shd w:val="clear" w:color="auto" w:fill="FFFFFF"/>
              </w:rPr>
              <w:t xml:space="preserve"> atbilstoši </w:t>
            </w:r>
            <w:r w:rsidR="00150613">
              <w:rPr>
                <w:rFonts w:ascii="Times New Roman" w:hAnsi="Times New Roman" w:cs="Times New Roman"/>
                <w:sz w:val="24"/>
                <w:szCs w:val="24"/>
              </w:rPr>
              <w:t>r</w:t>
            </w:r>
            <w:r w:rsidRPr="0019085D">
              <w:rPr>
                <w:rFonts w:ascii="Times New Roman" w:hAnsi="Times New Roman" w:cs="Times New Roman"/>
                <w:sz w:val="24"/>
                <w:szCs w:val="24"/>
              </w:rPr>
              <w:t>egulas 4. panta</w:t>
            </w:r>
            <w:r w:rsidR="0098202C">
              <w:rPr>
                <w:rFonts w:ascii="Times New Roman" w:hAnsi="Times New Roman" w:cs="Times New Roman"/>
                <w:sz w:val="24"/>
                <w:szCs w:val="24"/>
                <w:shd w:val="clear" w:color="auto" w:fill="FFFFFF"/>
              </w:rPr>
              <w:t xml:space="preserve"> 2. punktam</w:t>
            </w:r>
            <w:r w:rsidRPr="0019085D">
              <w:rPr>
                <w:rFonts w:ascii="Times New Roman" w:hAnsi="Times New Roman" w:cs="Times New Roman"/>
                <w:sz w:val="24"/>
                <w:szCs w:val="24"/>
                <w:shd w:val="clear" w:color="auto" w:fill="FFFFFF"/>
              </w:rPr>
              <w:t>;</w:t>
            </w:r>
          </w:p>
          <w:p w14:paraId="1F485CFE" w14:textId="6CDE2982" w:rsidR="00007BD8" w:rsidRPr="0019085D" w:rsidRDefault="00150613"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par r</w:t>
            </w:r>
            <w:r w:rsidR="00007BD8" w:rsidRPr="0019085D">
              <w:rPr>
                <w:rFonts w:ascii="Times New Roman" w:hAnsi="Times New Roman" w:cs="Times New Roman"/>
                <w:sz w:val="24"/>
                <w:szCs w:val="24"/>
              </w:rPr>
              <w:t>egulas 4. panta 3. punktā norādītās dokumentācijas un informācijas ne</w:t>
            </w:r>
            <w:r w:rsidR="00007BD8" w:rsidRPr="0019085D">
              <w:rPr>
                <w:rFonts w:ascii="Times New Roman" w:hAnsi="Times New Roman" w:cs="Times New Roman"/>
                <w:sz w:val="24"/>
                <w:szCs w:val="24"/>
                <w:shd w:val="clear" w:color="auto" w:fill="FFFFFF"/>
              </w:rPr>
              <w:t>noskaidrošanu, neglabāšanu un nenodošanu turpmākiem lietotājiem;</w:t>
            </w:r>
          </w:p>
          <w:p w14:paraId="0434FBE6" w14:textId="1EF0347A" w:rsidR="00007BD8" w:rsidRPr="0019085D" w:rsidRDefault="00007BD8"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par piekļuves atļaujas vai tai līdzvērtīga dokumenta neiegūšanu un savstarpēji saskaņotu noteikumu neparedzēšanu vai izmantošanas nepārtraukšanu, ja lietotāju rīcībā esošā informācija nav pietiekama vai ir neskaidrības par piekļ</w:t>
            </w:r>
            <w:r w:rsidR="0098202C">
              <w:rPr>
                <w:rFonts w:ascii="Times New Roman" w:hAnsi="Times New Roman" w:cs="Times New Roman"/>
                <w:sz w:val="24"/>
                <w:szCs w:val="24"/>
                <w:shd w:val="clear" w:color="auto" w:fill="FFFFFF"/>
              </w:rPr>
              <w:t xml:space="preserve">uves un izmantošanas likumību, atbilstoši </w:t>
            </w:r>
            <w:r w:rsidR="00150613">
              <w:rPr>
                <w:rFonts w:ascii="Times New Roman" w:hAnsi="Times New Roman" w:cs="Times New Roman"/>
                <w:sz w:val="24"/>
                <w:szCs w:val="24"/>
              </w:rPr>
              <w:t>r</w:t>
            </w:r>
            <w:r w:rsidRPr="0019085D">
              <w:rPr>
                <w:rFonts w:ascii="Times New Roman" w:hAnsi="Times New Roman" w:cs="Times New Roman"/>
                <w:sz w:val="24"/>
                <w:szCs w:val="24"/>
              </w:rPr>
              <w:t>egulas 4. panta</w:t>
            </w:r>
            <w:r w:rsidR="0098202C">
              <w:rPr>
                <w:rFonts w:ascii="Times New Roman" w:hAnsi="Times New Roman" w:cs="Times New Roman"/>
                <w:sz w:val="24"/>
                <w:szCs w:val="24"/>
                <w:shd w:val="clear" w:color="auto" w:fill="FFFFFF"/>
              </w:rPr>
              <w:t xml:space="preserve"> 5. punktam</w:t>
            </w:r>
            <w:r w:rsidRPr="0019085D">
              <w:rPr>
                <w:rFonts w:ascii="Times New Roman" w:hAnsi="Times New Roman" w:cs="Times New Roman"/>
                <w:sz w:val="24"/>
                <w:szCs w:val="24"/>
                <w:shd w:val="clear" w:color="auto" w:fill="FFFFFF"/>
              </w:rPr>
              <w:t>;</w:t>
            </w:r>
          </w:p>
          <w:p w14:paraId="2E675B81" w14:textId="76F6A58D" w:rsidR="00007BD8" w:rsidRPr="0019085D" w:rsidRDefault="00007BD8"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par ar piekļuvi un ieguvumu sadali saistītās informācijas neglabāšanu divdesmit gadus pēc izmantošanas laikpos</w:t>
            </w:r>
            <w:r w:rsidR="0098202C">
              <w:rPr>
                <w:rFonts w:ascii="Times New Roman" w:hAnsi="Times New Roman" w:cs="Times New Roman"/>
                <w:sz w:val="24"/>
                <w:szCs w:val="24"/>
                <w:shd w:val="clear" w:color="auto" w:fill="FFFFFF"/>
              </w:rPr>
              <w:t xml:space="preserve">ma beigām atbilstoši </w:t>
            </w:r>
            <w:r w:rsidR="00150613">
              <w:rPr>
                <w:rFonts w:ascii="Times New Roman" w:hAnsi="Times New Roman" w:cs="Times New Roman"/>
                <w:sz w:val="24"/>
                <w:szCs w:val="24"/>
              </w:rPr>
              <w:t>r</w:t>
            </w:r>
            <w:r w:rsidRPr="0019085D">
              <w:rPr>
                <w:rFonts w:ascii="Times New Roman" w:hAnsi="Times New Roman" w:cs="Times New Roman"/>
                <w:sz w:val="24"/>
                <w:szCs w:val="24"/>
              </w:rPr>
              <w:t>egulas 4. panta</w:t>
            </w:r>
            <w:r w:rsidR="0098202C">
              <w:rPr>
                <w:rFonts w:ascii="Times New Roman" w:hAnsi="Times New Roman" w:cs="Times New Roman"/>
                <w:sz w:val="24"/>
                <w:szCs w:val="24"/>
                <w:shd w:val="clear" w:color="auto" w:fill="FFFFFF"/>
              </w:rPr>
              <w:t xml:space="preserve"> 6. punktam</w:t>
            </w:r>
            <w:r w:rsidRPr="0019085D">
              <w:rPr>
                <w:rFonts w:ascii="Times New Roman" w:hAnsi="Times New Roman" w:cs="Times New Roman"/>
                <w:sz w:val="24"/>
                <w:szCs w:val="24"/>
                <w:shd w:val="clear" w:color="auto" w:fill="FFFFFF"/>
              </w:rPr>
              <w:t>;</w:t>
            </w:r>
          </w:p>
          <w:p w14:paraId="01F60B13" w14:textId="19B1A19D" w:rsidR="00007BD8" w:rsidRPr="0019085D" w:rsidRDefault="007609E0"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 xml:space="preserve">par </w:t>
            </w:r>
            <w:r w:rsidR="00150613">
              <w:rPr>
                <w:rFonts w:ascii="Times New Roman" w:hAnsi="Times New Roman" w:cs="Times New Roman"/>
                <w:sz w:val="24"/>
                <w:szCs w:val="24"/>
              </w:rPr>
              <w:t>r</w:t>
            </w:r>
            <w:r w:rsidRPr="0019085D">
              <w:rPr>
                <w:rFonts w:ascii="Times New Roman" w:hAnsi="Times New Roman" w:cs="Times New Roman"/>
                <w:sz w:val="24"/>
                <w:szCs w:val="24"/>
              </w:rPr>
              <w:t>egulas 4. panta</w:t>
            </w:r>
            <w:r w:rsidRPr="0019085D">
              <w:rPr>
                <w:rFonts w:ascii="Times New Roman" w:hAnsi="Times New Roman" w:cs="Times New Roman"/>
                <w:sz w:val="24"/>
                <w:szCs w:val="24"/>
                <w:shd w:val="clear" w:color="auto" w:fill="FFFFFF"/>
              </w:rPr>
              <w:t xml:space="preserve"> 8. punktā noteiktā neievērošanu, iegūstot ģenētiskos resursus, ko uzskata par tādu patogēnu, kurš izraisa vai var izraisīt esošu vai nenovēršamu starptautisku sabiedrības veselības ārkārtas situāciju;</w:t>
            </w:r>
          </w:p>
          <w:p w14:paraId="16FA916B" w14:textId="6E580F25" w:rsidR="007609E0" w:rsidRPr="0019085D" w:rsidRDefault="007609E0"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rPr>
              <w:t>par pienācīgas pārbaudes nedeklarēšanu, saņemot finansējumu pētniecībai, kura ietver ģenētisko resursu un ar ģenētiskajiem resursiem saistīto tr</w:t>
            </w:r>
            <w:r w:rsidR="0098202C">
              <w:rPr>
                <w:rFonts w:ascii="Times New Roman" w:hAnsi="Times New Roman" w:cs="Times New Roman"/>
                <w:sz w:val="24"/>
                <w:szCs w:val="24"/>
              </w:rPr>
              <w:t xml:space="preserve">adicionālo zināšanu izmantošanu, atbilstoši </w:t>
            </w:r>
            <w:r w:rsidR="00150613">
              <w:rPr>
                <w:rFonts w:ascii="Times New Roman" w:hAnsi="Times New Roman" w:cs="Times New Roman"/>
                <w:sz w:val="24"/>
                <w:szCs w:val="24"/>
              </w:rPr>
              <w:t>r</w:t>
            </w:r>
            <w:r w:rsidRPr="0019085D">
              <w:rPr>
                <w:rFonts w:ascii="Times New Roman" w:hAnsi="Times New Roman" w:cs="Times New Roman"/>
                <w:sz w:val="24"/>
                <w:szCs w:val="24"/>
              </w:rPr>
              <w:t>egulas 7. panta</w:t>
            </w:r>
            <w:r w:rsidR="0098202C">
              <w:rPr>
                <w:rFonts w:ascii="Times New Roman" w:hAnsi="Times New Roman" w:cs="Times New Roman"/>
                <w:sz w:val="24"/>
                <w:szCs w:val="24"/>
                <w:shd w:val="clear" w:color="auto" w:fill="FFFFFF"/>
              </w:rPr>
              <w:t xml:space="preserve"> 1. punktam</w:t>
            </w:r>
            <w:r w:rsidRPr="0019085D">
              <w:rPr>
                <w:rFonts w:ascii="Times New Roman" w:hAnsi="Times New Roman" w:cs="Times New Roman"/>
                <w:sz w:val="24"/>
                <w:szCs w:val="24"/>
                <w:shd w:val="clear" w:color="auto" w:fill="FFFFFF"/>
              </w:rPr>
              <w:t>;</w:t>
            </w:r>
          </w:p>
          <w:p w14:paraId="7E0FD2EC" w14:textId="23195EE6" w:rsidR="009006B6" w:rsidRPr="00DA64E3" w:rsidRDefault="00CC4807" w:rsidP="00DA64E3">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 xml:space="preserve">par </w:t>
            </w:r>
            <w:r w:rsidR="00150613">
              <w:rPr>
                <w:rFonts w:ascii="Times New Roman" w:hAnsi="Times New Roman" w:cs="Times New Roman"/>
                <w:sz w:val="24"/>
                <w:szCs w:val="24"/>
              </w:rPr>
              <w:t>r</w:t>
            </w:r>
            <w:r w:rsidRPr="0019085D">
              <w:rPr>
                <w:rFonts w:ascii="Times New Roman" w:hAnsi="Times New Roman" w:cs="Times New Roman"/>
                <w:sz w:val="24"/>
                <w:szCs w:val="24"/>
              </w:rPr>
              <w:t xml:space="preserve">egulas 7. panta 2. punktā minēto pienākumu izpildīšanas nedeklarēšanu un informācijas </w:t>
            </w:r>
            <w:r w:rsidRPr="0019085D">
              <w:rPr>
                <w:rFonts w:ascii="Times New Roman" w:hAnsi="Times New Roman" w:cs="Times New Roman"/>
                <w:sz w:val="24"/>
                <w:szCs w:val="24"/>
              </w:rPr>
              <w:lastRenderedPageBreak/>
              <w:t>neiesniegšanu kompetentajai iestādei</w:t>
            </w:r>
            <w:r w:rsidRPr="0019085D">
              <w:rPr>
                <w:rFonts w:ascii="Times New Roman" w:hAnsi="Times New Roman" w:cs="Times New Roman"/>
                <w:sz w:val="24"/>
                <w:szCs w:val="24"/>
                <w:shd w:val="clear" w:color="auto" w:fill="FFFFFF"/>
              </w:rPr>
              <w:t xml:space="preserve"> </w:t>
            </w:r>
            <w:r w:rsidRPr="0019085D">
              <w:rPr>
                <w:rFonts w:ascii="Times New Roman" w:eastAsia="Times New Roman" w:hAnsi="Times New Roman" w:cs="Times New Roman"/>
                <w:sz w:val="24"/>
                <w:szCs w:val="24"/>
                <w:lang w:eastAsia="lv-LV"/>
              </w:rPr>
              <w:t>tāda produkta galīgās izstrādes posmā, kurš izstrādāts, izmantojot ģenētiskos resursus vai ar šādiem resursiem saistītās tradicionālās zināšanas.</w:t>
            </w:r>
          </w:p>
          <w:p w14:paraId="7A92C810" w14:textId="67B10EAE" w:rsidR="00BD0D1F" w:rsidRPr="00CC4807" w:rsidRDefault="00BD0D1F" w:rsidP="00DA64E3">
            <w:pPr>
              <w:spacing w:after="120" w:line="240" w:lineRule="auto"/>
              <w:jc w:val="both"/>
              <w:rPr>
                <w:rFonts w:ascii="Times New Roman" w:hAnsi="Times New Roman" w:cs="Times New Roman"/>
                <w:sz w:val="24"/>
                <w:szCs w:val="24"/>
              </w:rPr>
            </w:pPr>
            <w:r w:rsidRPr="00CC4807">
              <w:rPr>
                <w:rFonts w:ascii="Times New Roman" w:hAnsi="Times New Roman" w:cs="Times New Roman"/>
                <w:sz w:val="24"/>
                <w:szCs w:val="24"/>
              </w:rPr>
              <w:t xml:space="preserve">Kā </w:t>
            </w:r>
            <w:r w:rsidR="00201C78">
              <w:rPr>
                <w:rFonts w:ascii="Times New Roman" w:hAnsi="Times New Roman" w:cs="Times New Roman"/>
                <w:sz w:val="24"/>
                <w:szCs w:val="24"/>
              </w:rPr>
              <w:t xml:space="preserve">minēto pārkāpumu </w:t>
            </w:r>
            <w:r w:rsidR="00167997">
              <w:rPr>
                <w:rFonts w:ascii="Times New Roman" w:hAnsi="Times New Roman" w:cs="Times New Roman"/>
                <w:sz w:val="24"/>
                <w:szCs w:val="24"/>
              </w:rPr>
              <w:t xml:space="preserve">administratīvā </w:t>
            </w:r>
            <w:r w:rsidRPr="00CC4807">
              <w:rPr>
                <w:rFonts w:ascii="Times New Roman" w:hAnsi="Times New Roman" w:cs="Times New Roman"/>
                <w:sz w:val="24"/>
                <w:szCs w:val="24"/>
              </w:rPr>
              <w:t>soda veidi paredzēti</w:t>
            </w:r>
            <w:r w:rsidR="002661B4" w:rsidRPr="00CC4807">
              <w:rPr>
                <w:rFonts w:ascii="Times New Roman" w:hAnsi="Times New Roman" w:cs="Times New Roman"/>
                <w:sz w:val="24"/>
                <w:szCs w:val="24"/>
              </w:rPr>
              <w:t xml:space="preserve"> </w:t>
            </w:r>
            <w:r w:rsidRPr="00CC4807">
              <w:rPr>
                <w:rFonts w:ascii="Times New Roman" w:hAnsi="Times New Roman" w:cs="Times New Roman"/>
                <w:sz w:val="24"/>
                <w:szCs w:val="24"/>
              </w:rPr>
              <w:t>brīdinājums</w:t>
            </w:r>
            <w:r w:rsidR="00167997">
              <w:rPr>
                <w:rFonts w:ascii="Times New Roman" w:hAnsi="Times New Roman" w:cs="Times New Roman"/>
                <w:sz w:val="24"/>
                <w:szCs w:val="24"/>
              </w:rPr>
              <w:t xml:space="preserve"> vai</w:t>
            </w:r>
            <w:r w:rsidR="00201C78">
              <w:rPr>
                <w:rFonts w:ascii="Times New Roman" w:hAnsi="Times New Roman" w:cs="Times New Roman"/>
                <w:sz w:val="24"/>
                <w:szCs w:val="24"/>
              </w:rPr>
              <w:t xml:space="preserve"> naudas sods, ar vai bez </w:t>
            </w:r>
            <w:r w:rsidRPr="00CC4807">
              <w:rPr>
                <w:rFonts w:ascii="Times New Roman" w:hAnsi="Times New Roman" w:cs="Times New Roman"/>
                <w:sz w:val="24"/>
                <w:szCs w:val="24"/>
              </w:rPr>
              <w:t>pārkāpuma priekšmetu un izdarīšanas rīku konfiscēšana</w:t>
            </w:r>
            <w:r w:rsidR="00201C78">
              <w:rPr>
                <w:rFonts w:ascii="Times New Roman" w:hAnsi="Times New Roman" w:cs="Times New Roman"/>
                <w:sz w:val="24"/>
                <w:szCs w:val="24"/>
              </w:rPr>
              <w:t>s</w:t>
            </w:r>
            <w:r w:rsidRPr="00CC4807">
              <w:rPr>
                <w:rFonts w:ascii="Times New Roman" w:hAnsi="Times New Roman" w:cs="Times New Roman"/>
                <w:sz w:val="24"/>
                <w:szCs w:val="24"/>
              </w:rPr>
              <w:t>.</w:t>
            </w:r>
          </w:p>
          <w:p w14:paraId="7BA966BD" w14:textId="35501B11" w:rsidR="00E5323B" w:rsidRDefault="005575C2" w:rsidP="005575C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w:t>
            </w:r>
            <w:proofErr w:type="spellStart"/>
            <w:r w:rsidR="00A7589F" w:rsidRPr="00CC4807">
              <w:rPr>
                <w:rFonts w:ascii="Times New Roman" w:hAnsi="Times New Roman" w:cs="Times New Roman"/>
                <w:sz w:val="24"/>
                <w:szCs w:val="24"/>
              </w:rPr>
              <w:t>Nagojas</w:t>
            </w:r>
            <w:proofErr w:type="spellEnd"/>
            <w:r w:rsidR="00A7589F" w:rsidRPr="00CC4807">
              <w:rPr>
                <w:rFonts w:ascii="Times New Roman" w:hAnsi="Times New Roman" w:cs="Times New Roman"/>
                <w:sz w:val="24"/>
                <w:szCs w:val="24"/>
              </w:rPr>
              <w:t xml:space="preserve"> Protokols</w:t>
            </w:r>
            <w:r w:rsidR="00C64792" w:rsidRPr="00CC4807">
              <w:rPr>
                <w:rFonts w:ascii="Times New Roman" w:hAnsi="Times New Roman" w:cs="Times New Roman"/>
                <w:sz w:val="24"/>
                <w:szCs w:val="24"/>
              </w:rPr>
              <w:t xml:space="preserve"> un attiecīgi </w:t>
            </w:r>
            <w:r w:rsidR="00150613">
              <w:rPr>
                <w:rFonts w:ascii="Times New Roman" w:hAnsi="Times New Roman" w:cs="Times New Roman"/>
                <w:sz w:val="24"/>
                <w:szCs w:val="24"/>
              </w:rPr>
              <w:t>r</w:t>
            </w:r>
            <w:r w:rsidR="007B4819" w:rsidRPr="00CC4807">
              <w:rPr>
                <w:rFonts w:ascii="Times New Roman" w:hAnsi="Times New Roman" w:cs="Times New Roman"/>
                <w:sz w:val="24"/>
                <w:szCs w:val="24"/>
              </w:rPr>
              <w:t>egula</w:t>
            </w:r>
            <w:r w:rsidR="00A7589F" w:rsidRPr="00CC4807">
              <w:rPr>
                <w:rFonts w:ascii="Times New Roman" w:hAnsi="Times New Roman" w:cs="Times New Roman"/>
                <w:sz w:val="24"/>
                <w:szCs w:val="24"/>
              </w:rPr>
              <w:t xml:space="preserve"> neattiecas uz kādu noteiktu nozari, bet gan horizontāli uz </w:t>
            </w:r>
            <w:r w:rsidR="002679FD" w:rsidRPr="00CC4807">
              <w:rPr>
                <w:rFonts w:ascii="Times New Roman" w:hAnsi="Times New Roman" w:cs="Times New Roman"/>
                <w:sz w:val="24"/>
                <w:szCs w:val="24"/>
              </w:rPr>
              <w:t>vairumu</w:t>
            </w:r>
            <w:r w:rsidR="007B431F" w:rsidRPr="00CC4807">
              <w:rPr>
                <w:rFonts w:ascii="Times New Roman" w:hAnsi="Times New Roman" w:cs="Times New Roman"/>
                <w:sz w:val="24"/>
                <w:szCs w:val="24"/>
              </w:rPr>
              <w:t xml:space="preserve"> </w:t>
            </w:r>
            <w:r w:rsidR="00A7589F" w:rsidRPr="00CC4807">
              <w:rPr>
                <w:rFonts w:ascii="Times New Roman" w:hAnsi="Times New Roman" w:cs="Times New Roman"/>
                <w:sz w:val="24"/>
                <w:szCs w:val="24"/>
              </w:rPr>
              <w:t>ģenētisko resursu izmantošanas</w:t>
            </w:r>
            <w:r w:rsidR="00C64792" w:rsidRPr="00CC4807">
              <w:rPr>
                <w:rFonts w:ascii="Times New Roman" w:hAnsi="Times New Roman" w:cs="Times New Roman"/>
                <w:sz w:val="24"/>
                <w:szCs w:val="24"/>
              </w:rPr>
              <w:t xml:space="preserve"> </w:t>
            </w:r>
            <w:r w:rsidR="00A7589F" w:rsidRPr="00CC4807">
              <w:rPr>
                <w:rFonts w:ascii="Times New Roman" w:hAnsi="Times New Roman" w:cs="Times New Roman"/>
                <w:sz w:val="24"/>
                <w:szCs w:val="24"/>
              </w:rPr>
              <w:t>veidi</w:t>
            </w:r>
            <w:r>
              <w:rPr>
                <w:rFonts w:ascii="Times New Roman" w:hAnsi="Times New Roman" w:cs="Times New Roman"/>
                <w:sz w:val="24"/>
                <w:szCs w:val="24"/>
              </w:rPr>
              <w:t xml:space="preserve">em, </w:t>
            </w:r>
            <w:r w:rsidR="00150613">
              <w:rPr>
                <w:rFonts w:ascii="Times New Roman" w:hAnsi="Times New Roman" w:cs="Times New Roman"/>
                <w:sz w:val="24"/>
                <w:szCs w:val="24"/>
              </w:rPr>
              <w:t>l</w:t>
            </w:r>
            <w:r w:rsidR="00BD0D1F" w:rsidRPr="00CC4807">
              <w:rPr>
                <w:rFonts w:ascii="Times New Roman" w:hAnsi="Times New Roman" w:cs="Times New Roman"/>
                <w:sz w:val="24"/>
                <w:szCs w:val="24"/>
              </w:rPr>
              <w:t>ikumprojekts</w:t>
            </w:r>
            <w:r w:rsidR="002450DA" w:rsidRPr="00CC4807">
              <w:rPr>
                <w:rFonts w:ascii="Times New Roman" w:hAnsi="Times New Roman" w:cs="Times New Roman"/>
                <w:sz w:val="24"/>
                <w:szCs w:val="24"/>
              </w:rPr>
              <w:t xml:space="preserve">, </w:t>
            </w:r>
            <w:r w:rsidR="00150613">
              <w:rPr>
                <w:rFonts w:ascii="Times New Roman" w:hAnsi="Times New Roman" w:cs="Times New Roman"/>
                <w:sz w:val="24"/>
                <w:szCs w:val="24"/>
              </w:rPr>
              <w:t>kamēr nav uzkrāta pieredze par r</w:t>
            </w:r>
            <w:r w:rsidR="002450DA" w:rsidRPr="00CC4807">
              <w:rPr>
                <w:rFonts w:ascii="Times New Roman" w:hAnsi="Times New Roman" w:cs="Times New Roman"/>
                <w:sz w:val="24"/>
                <w:szCs w:val="24"/>
              </w:rPr>
              <w:t>egulas piemērošanu,</w:t>
            </w:r>
            <w:r w:rsidR="00BD0D1F" w:rsidRPr="00CC4807">
              <w:rPr>
                <w:rFonts w:ascii="Times New Roman" w:hAnsi="Times New Roman" w:cs="Times New Roman"/>
                <w:sz w:val="24"/>
                <w:szCs w:val="24"/>
              </w:rPr>
              <w:t xml:space="preserve"> </w:t>
            </w:r>
            <w:r w:rsidR="007B431F" w:rsidRPr="00CC4807">
              <w:rPr>
                <w:rFonts w:ascii="Times New Roman" w:hAnsi="Times New Roman" w:cs="Times New Roman"/>
                <w:sz w:val="24"/>
                <w:szCs w:val="24"/>
              </w:rPr>
              <w:t>ne</w:t>
            </w:r>
            <w:r w:rsidR="00AD367F" w:rsidRPr="00CC4807">
              <w:rPr>
                <w:rFonts w:ascii="Times New Roman" w:hAnsi="Times New Roman" w:cs="Times New Roman"/>
                <w:sz w:val="24"/>
                <w:szCs w:val="24"/>
              </w:rPr>
              <w:t xml:space="preserve">paredz citādāku naudas soda apmēru nekā to vispārīgi nosaka </w:t>
            </w:r>
            <w:r w:rsidR="00BD0D1F" w:rsidRPr="00CC4807">
              <w:rPr>
                <w:rFonts w:ascii="Times New Roman" w:hAnsi="Times New Roman" w:cs="Times New Roman"/>
                <w:sz w:val="24"/>
                <w:szCs w:val="24"/>
              </w:rPr>
              <w:t xml:space="preserve">Latvijas Administratīvo pārkāpumu kodeksa </w:t>
            </w:r>
            <w:r w:rsidR="00AD367F" w:rsidRPr="00CC4807">
              <w:rPr>
                <w:rFonts w:ascii="Times New Roman" w:hAnsi="Times New Roman" w:cs="Times New Roman"/>
                <w:sz w:val="24"/>
                <w:szCs w:val="24"/>
              </w:rPr>
              <w:t>26. pants</w:t>
            </w:r>
            <w:r w:rsidR="007B4819" w:rsidRPr="00CC4807">
              <w:rPr>
                <w:rFonts w:ascii="Times New Roman" w:hAnsi="Times New Roman" w:cs="Times New Roman"/>
                <w:sz w:val="24"/>
                <w:szCs w:val="24"/>
              </w:rPr>
              <w:t>.</w:t>
            </w:r>
            <w:r w:rsidR="00C64792" w:rsidRPr="00CC4807">
              <w:rPr>
                <w:rFonts w:ascii="Times New Roman" w:hAnsi="Times New Roman" w:cs="Times New Roman"/>
                <w:sz w:val="24"/>
                <w:szCs w:val="24"/>
              </w:rPr>
              <w:t xml:space="preserve"> Tas ir, m</w:t>
            </w:r>
            <w:r w:rsidR="00B14EEC" w:rsidRPr="00CC4807">
              <w:rPr>
                <w:rFonts w:ascii="Times New Roman" w:hAnsi="Times New Roman" w:cs="Times New Roman"/>
                <w:sz w:val="24"/>
                <w:szCs w:val="24"/>
              </w:rPr>
              <w:t xml:space="preserve">aksimālais sods fiziskām personām 700 </w:t>
            </w:r>
            <w:proofErr w:type="spellStart"/>
            <w:r w:rsidR="00B14EEC" w:rsidRPr="00CC4807">
              <w:rPr>
                <w:rFonts w:ascii="Times New Roman" w:hAnsi="Times New Roman" w:cs="Times New Roman"/>
                <w:i/>
                <w:sz w:val="24"/>
                <w:szCs w:val="24"/>
              </w:rPr>
              <w:t>euro</w:t>
            </w:r>
            <w:proofErr w:type="spellEnd"/>
            <w:r w:rsidR="00B14EEC" w:rsidRPr="00CC4807">
              <w:rPr>
                <w:rFonts w:ascii="Times New Roman" w:hAnsi="Times New Roman" w:cs="Times New Roman"/>
                <w:sz w:val="24"/>
                <w:szCs w:val="24"/>
              </w:rPr>
              <w:t xml:space="preserve">, juridiskām – 14 000 </w:t>
            </w:r>
            <w:proofErr w:type="spellStart"/>
            <w:r w:rsidR="00B14EEC" w:rsidRPr="00CC4807">
              <w:rPr>
                <w:rFonts w:ascii="Times New Roman" w:hAnsi="Times New Roman" w:cs="Times New Roman"/>
                <w:i/>
                <w:sz w:val="24"/>
                <w:szCs w:val="24"/>
              </w:rPr>
              <w:t>euro</w:t>
            </w:r>
            <w:proofErr w:type="spellEnd"/>
            <w:r w:rsidR="00C64792" w:rsidRPr="00CC4807">
              <w:rPr>
                <w:rFonts w:ascii="Times New Roman" w:hAnsi="Times New Roman" w:cs="Times New Roman"/>
                <w:sz w:val="24"/>
                <w:szCs w:val="24"/>
              </w:rPr>
              <w:t>.</w:t>
            </w:r>
          </w:p>
          <w:p w14:paraId="4EE585A8" w14:textId="5C4A7B62" w:rsidR="005575C2" w:rsidRPr="00CC4807" w:rsidRDefault="00766082" w:rsidP="008B1E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5575C2">
              <w:rPr>
                <w:rFonts w:ascii="Times New Roman" w:hAnsi="Times New Roman" w:cs="Times New Roman"/>
                <w:sz w:val="24"/>
                <w:szCs w:val="24"/>
              </w:rPr>
              <w:t xml:space="preserve">askaņā ar Latvijas Administratīvo pārkāpumu kodeksa 21. pantu, maznozīmīga pārkāpuma gadījumā </w:t>
            </w:r>
            <w:r>
              <w:rPr>
                <w:rFonts w:ascii="Times New Roman" w:hAnsi="Times New Roman" w:cs="Times New Roman"/>
                <w:sz w:val="24"/>
                <w:szCs w:val="24"/>
              </w:rPr>
              <w:t>iespējams</w:t>
            </w:r>
            <w:r w:rsidR="005575C2">
              <w:rPr>
                <w:rFonts w:ascii="Times New Roman" w:hAnsi="Times New Roman" w:cs="Times New Roman"/>
                <w:sz w:val="24"/>
                <w:szCs w:val="24"/>
              </w:rPr>
              <w:t xml:space="preserve"> </w:t>
            </w:r>
            <w:r w:rsidR="008B1E02">
              <w:rPr>
                <w:rFonts w:ascii="Times New Roman" w:hAnsi="Times New Roman" w:cs="Times New Roman"/>
                <w:sz w:val="24"/>
                <w:szCs w:val="24"/>
              </w:rPr>
              <w:t>piemērot</w:t>
            </w:r>
            <w:r>
              <w:rPr>
                <w:rFonts w:ascii="Times New Roman" w:hAnsi="Times New Roman" w:cs="Times New Roman"/>
                <w:sz w:val="24"/>
                <w:szCs w:val="24"/>
              </w:rPr>
              <w:t xml:space="preserve"> </w:t>
            </w:r>
            <w:r w:rsidR="00150613">
              <w:rPr>
                <w:rFonts w:ascii="Times New Roman" w:hAnsi="Times New Roman" w:cs="Times New Roman"/>
                <w:sz w:val="24"/>
                <w:szCs w:val="24"/>
              </w:rPr>
              <w:t>mutvārdu aizrādījumu.</w:t>
            </w:r>
          </w:p>
        </w:tc>
      </w:tr>
      <w:tr w:rsidR="00E5323B" w:rsidRPr="002D55CC" w14:paraId="345873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997F93" w14:textId="055D4B5E"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7BFF2A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9CC0E96" w14:textId="2CA38997" w:rsidR="00E5323B" w:rsidRPr="002D55CC" w:rsidRDefault="00CE4D1F" w:rsidP="00DD3A7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73726">
              <w:rPr>
                <w:rFonts w:ascii="Times New Roman" w:hAnsi="Times New Roman" w:cs="Times New Roman"/>
                <w:sz w:val="24"/>
                <w:szCs w:val="24"/>
              </w:rPr>
              <w:t>Vides aizsardzības un reģionālās attīstības ministrija</w:t>
            </w:r>
            <w:r w:rsidR="00C72E95">
              <w:rPr>
                <w:rFonts w:ascii="Times New Roman" w:hAnsi="Times New Roman" w:cs="Times New Roman"/>
                <w:sz w:val="24"/>
                <w:szCs w:val="24"/>
              </w:rPr>
              <w:t xml:space="preserve"> (turpmāk – m</w:t>
            </w:r>
            <w:r w:rsidR="00B411C9">
              <w:rPr>
                <w:rFonts w:ascii="Times New Roman" w:hAnsi="Times New Roman" w:cs="Times New Roman"/>
                <w:sz w:val="24"/>
                <w:szCs w:val="24"/>
              </w:rPr>
              <w:t>inistrija)</w:t>
            </w:r>
            <w:r w:rsidR="00DD3A73">
              <w:rPr>
                <w:rFonts w:ascii="Times New Roman" w:hAnsi="Times New Roman" w:cs="Times New Roman"/>
                <w:sz w:val="24"/>
                <w:szCs w:val="24"/>
              </w:rPr>
              <w:t>.</w:t>
            </w:r>
          </w:p>
        </w:tc>
      </w:tr>
      <w:tr w:rsidR="00E5323B" w:rsidRPr="002D55CC" w14:paraId="712F6E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4A212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E7039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81FF64" w14:textId="5B63CEC0" w:rsidR="00E5323B" w:rsidRPr="002D55CC" w:rsidRDefault="00722927" w:rsidP="00A1609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Citu </w:t>
            </w:r>
            <w:r w:rsidR="002661B4">
              <w:rPr>
                <w:rFonts w:ascii="Times New Roman" w:eastAsia="Times New Roman" w:hAnsi="Times New Roman" w:cs="Times New Roman"/>
                <w:iCs/>
                <w:sz w:val="24"/>
                <w:szCs w:val="24"/>
                <w:lang w:eastAsia="lv-LV"/>
              </w:rPr>
              <w:t>Eiropas S</w:t>
            </w:r>
            <w:r w:rsidR="00A1609D">
              <w:rPr>
                <w:rFonts w:ascii="Times New Roman" w:eastAsia="Times New Roman" w:hAnsi="Times New Roman" w:cs="Times New Roman"/>
                <w:iCs/>
                <w:sz w:val="24"/>
                <w:szCs w:val="24"/>
                <w:lang w:eastAsia="lv-LV"/>
              </w:rPr>
              <w:t>avienības dalībvalstu noteikto r</w:t>
            </w:r>
            <w:r w:rsidR="002661B4">
              <w:rPr>
                <w:rFonts w:ascii="Times New Roman" w:eastAsia="Times New Roman" w:hAnsi="Times New Roman" w:cs="Times New Roman"/>
                <w:iCs/>
                <w:sz w:val="24"/>
                <w:szCs w:val="24"/>
                <w:lang w:eastAsia="lv-LV"/>
              </w:rPr>
              <w:t>egulas kompetento iestāžu saraksts pieejams Eiropas Komisijas interneta vietnē</w:t>
            </w:r>
            <w:r w:rsidR="002661B4">
              <w:rPr>
                <w:rStyle w:val="FootnoteReference"/>
                <w:rFonts w:ascii="Times New Roman" w:eastAsia="Times New Roman" w:hAnsi="Times New Roman" w:cs="Times New Roman"/>
                <w:iCs/>
                <w:sz w:val="24"/>
                <w:szCs w:val="24"/>
                <w:lang w:eastAsia="lv-LV"/>
              </w:rPr>
              <w:footnoteReference w:id="3"/>
            </w:r>
            <w:r w:rsidR="002661B4">
              <w:rPr>
                <w:rFonts w:ascii="Times New Roman" w:eastAsia="Times New Roman" w:hAnsi="Times New Roman" w:cs="Times New Roman"/>
                <w:iCs/>
                <w:sz w:val="24"/>
                <w:szCs w:val="24"/>
                <w:lang w:eastAsia="lv-LV"/>
              </w:rPr>
              <w:t>.</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
        <w:gridCol w:w="1572"/>
        <w:gridCol w:w="7176"/>
      </w:tblGrid>
      <w:tr w:rsidR="00E5323B" w:rsidRPr="002D55CC" w14:paraId="1D1C93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A549D2" w:rsidRPr="002D55CC" w14:paraId="182A59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6D8F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FEA810"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Sabiedrības </w:t>
            </w:r>
            <w:proofErr w:type="spellStart"/>
            <w:r w:rsidRPr="002D55CC">
              <w:rPr>
                <w:rFonts w:ascii="Times New Roman" w:eastAsia="Times New Roman" w:hAnsi="Times New Roman" w:cs="Times New Roman"/>
                <w:iCs/>
                <w:color w:val="414142"/>
                <w:sz w:val="24"/>
                <w:szCs w:val="24"/>
                <w:lang w:eastAsia="lv-LV"/>
              </w:rPr>
              <w:t>mērķgrupas</w:t>
            </w:r>
            <w:proofErr w:type="spellEnd"/>
            <w:r w:rsidRPr="002D55CC">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8826552" w14:textId="775E6EC8" w:rsidR="005F1444" w:rsidRDefault="008F5FD0" w:rsidP="000C7F8B">
            <w:pPr>
              <w:pStyle w:val="Tiret0"/>
              <w:numPr>
                <w:ilvl w:val="0"/>
                <w:numId w:val="0"/>
              </w:numPr>
              <w:tabs>
                <w:tab w:val="left" w:pos="360"/>
              </w:tabs>
              <w:spacing w:before="0"/>
              <w:ind w:left="38"/>
            </w:pPr>
            <w:proofErr w:type="spellStart"/>
            <w:r>
              <w:t>Izvērtējumā</w:t>
            </w:r>
            <w:proofErr w:type="spellEnd"/>
            <w:r>
              <w:rPr>
                <w:rStyle w:val="FootnoteReference"/>
              </w:rPr>
              <w:footnoteReference w:id="4"/>
            </w:r>
            <w:r w:rsidR="007D6EDE" w:rsidRPr="008F5FD0">
              <w:t xml:space="preserve"> par Bioloģiskās daudzveidības konvencijas </w:t>
            </w:r>
            <w:proofErr w:type="spellStart"/>
            <w:r w:rsidR="007D6EDE" w:rsidRPr="008F5FD0">
              <w:t>Nagojas</w:t>
            </w:r>
            <w:proofErr w:type="spellEnd"/>
            <w:r w:rsidR="007D6EDE" w:rsidRPr="008F5FD0">
              <w:t xml:space="preserve"> Protokola ratificēšanu</w:t>
            </w:r>
            <w:r w:rsidR="00AC4E32">
              <w:t xml:space="preserve"> </w:t>
            </w:r>
            <w:r w:rsidR="00E43845">
              <w:t xml:space="preserve">saistībā ar iespējami ietekmētām nozarēm </w:t>
            </w:r>
            <w:r w:rsidR="00164C9F">
              <w:t>norādīts, ka</w:t>
            </w:r>
            <w:r w:rsidR="005F1444">
              <w:t>:</w:t>
            </w:r>
          </w:p>
          <w:p w14:paraId="6D75F033" w14:textId="77777777" w:rsidR="005F1444" w:rsidRDefault="007D4B23" w:rsidP="0011075E">
            <w:pPr>
              <w:pStyle w:val="Tiret0"/>
              <w:numPr>
                <w:ilvl w:val="0"/>
                <w:numId w:val="4"/>
              </w:numPr>
              <w:tabs>
                <w:tab w:val="left" w:pos="463"/>
              </w:tabs>
              <w:spacing w:before="0"/>
              <w:ind w:left="38" w:firstLine="322"/>
            </w:pPr>
            <w:r>
              <w:t>lauksaimniecība, mežsaimniecība,</w:t>
            </w:r>
            <w:r w:rsidR="002679FD">
              <w:t xml:space="preserve"> apstrādes un pārējā rūpniecība</w:t>
            </w:r>
            <w:r>
              <w:t xml:space="preserve"> </w:t>
            </w:r>
            <w:r w:rsidR="00A579C8">
              <w:t xml:space="preserve">veido 17 % no Latvijas </w:t>
            </w:r>
            <w:r w:rsidR="00164C9F">
              <w:t xml:space="preserve">2015. gada </w:t>
            </w:r>
            <w:r w:rsidR="00A579C8">
              <w:t>IKP</w:t>
            </w:r>
            <w:r w:rsidR="005F1444">
              <w:t>;</w:t>
            </w:r>
          </w:p>
          <w:p w14:paraId="608CC691" w14:textId="77777777" w:rsidR="00A549D2" w:rsidRDefault="00164C9F" w:rsidP="0011075E">
            <w:pPr>
              <w:pStyle w:val="Tiret0"/>
              <w:numPr>
                <w:ilvl w:val="0"/>
                <w:numId w:val="4"/>
              </w:numPr>
              <w:tabs>
                <w:tab w:val="left" w:pos="463"/>
              </w:tabs>
              <w:spacing w:before="0"/>
              <w:ind w:left="38" w:firstLine="322"/>
            </w:pPr>
            <w:r>
              <w:t>uzņēmumu skaits nozarēs 2015. gadā</w:t>
            </w:r>
            <w:r w:rsidR="00222842">
              <w:t>:</w:t>
            </w:r>
          </w:p>
          <w:tbl>
            <w:tblPr>
              <w:tblW w:w="7300" w:type="dxa"/>
              <w:jc w:val="center"/>
              <w:tblLook w:val="04A0" w:firstRow="1" w:lastRow="0" w:firstColumn="1" w:lastColumn="0" w:noHBand="0" w:noVBand="1"/>
            </w:tblPr>
            <w:tblGrid>
              <w:gridCol w:w="1633"/>
              <w:gridCol w:w="1064"/>
              <w:gridCol w:w="974"/>
              <w:gridCol w:w="953"/>
              <w:gridCol w:w="1393"/>
              <w:gridCol w:w="1283"/>
            </w:tblGrid>
            <w:tr w:rsidR="00A549D2" w:rsidRPr="001553D4" w14:paraId="173A2B97" w14:textId="77777777" w:rsidTr="00222842">
              <w:trPr>
                <w:trHeight w:val="984"/>
                <w:jc w:val="center"/>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A9433" w14:textId="77777777" w:rsidR="00A549D2" w:rsidRPr="001553D4" w:rsidRDefault="00164C9F"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Nozares / uzņēmuma veids</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1204351B" w14:textId="77777777" w:rsidR="00A549D2" w:rsidRPr="001553D4" w:rsidRDefault="00164C9F"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sidRPr="001553D4">
                    <w:rPr>
                      <w:rFonts w:ascii="Times New Roman" w:eastAsia="Times New Roman" w:hAnsi="Times New Roman" w:cs="Times New Roman"/>
                      <w:bCs/>
                      <w:color w:val="000000"/>
                      <w:sz w:val="20"/>
                      <w:szCs w:val="20"/>
                      <w:lang w:eastAsia="lv-LV"/>
                    </w:rPr>
                    <w:t>Pašn</w:t>
                  </w:r>
                  <w:proofErr w:type="spellEnd"/>
                  <w:r w:rsidRPr="001553D4">
                    <w:rPr>
                      <w:rFonts w:ascii="Times New Roman" w:eastAsia="Times New Roman" w:hAnsi="Times New Roman" w:cs="Times New Roman"/>
                      <w:bCs/>
                      <w:color w:val="000000"/>
                      <w:sz w:val="20"/>
                      <w:szCs w:val="20"/>
                      <w:lang w:eastAsia="lv-LV"/>
                    </w:rPr>
                    <w:t>. p</w:t>
                  </w:r>
                  <w:r w:rsidR="00A549D2" w:rsidRPr="001553D4">
                    <w:rPr>
                      <w:rFonts w:ascii="Times New Roman" w:eastAsia="Times New Roman" w:hAnsi="Times New Roman" w:cs="Times New Roman"/>
                      <w:bCs/>
                      <w:color w:val="000000"/>
                      <w:sz w:val="20"/>
                      <w:szCs w:val="20"/>
                      <w:lang w:eastAsia="lv-LV"/>
                    </w:rPr>
                    <w:t>ers.</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67618B6" w14:textId="77777777" w:rsidR="00A549D2" w:rsidRPr="001553D4" w:rsidRDefault="00B0271C"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Pr>
                      <w:rFonts w:ascii="Times New Roman" w:eastAsia="Times New Roman" w:hAnsi="Times New Roman" w:cs="Times New Roman"/>
                      <w:bCs/>
                      <w:color w:val="000000"/>
                      <w:sz w:val="20"/>
                      <w:szCs w:val="20"/>
                      <w:lang w:eastAsia="lv-LV"/>
                    </w:rPr>
                    <w:t>Zemn</w:t>
                  </w:r>
                  <w:proofErr w:type="spellEnd"/>
                  <w:r>
                    <w:rPr>
                      <w:rFonts w:ascii="Times New Roman" w:eastAsia="Times New Roman" w:hAnsi="Times New Roman" w:cs="Times New Roman"/>
                      <w:bCs/>
                      <w:color w:val="000000"/>
                      <w:sz w:val="20"/>
                      <w:szCs w:val="20"/>
                      <w:lang w:eastAsia="lv-LV"/>
                    </w:rPr>
                    <w:t xml:space="preserve">. un </w:t>
                  </w:r>
                  <w:proofErr w:type="spellStart"/>
                  <w:r>
                    <w:rPr>
                      <w:rFonts w:ascii="Times New Roman" w:eastAsia="Times New Roman" w:hAnsi="Times New Roman" w:cs="Times New Roman"/>
                      <w:bCs/>
                      <w:color w:val="000000"/>
                      <w:sz w:val="20"/>
                      <w:szCs w:val="20"/>
                      <w:lang w:eastAsia="lv-LV"/>
                    </w:rPr>
                    <w:t>zvejn</w:t>
                  </w:r>
                  <w:proofErr w:type="spellEnd"/>
                  <w:r>
                    <w:rPr>
                      <w:rFonts w:ascii="Times New Roman" w:eastAsia="Times New Roman" w:hAnsi="Times New Roman" w:cs="Times New Roman"/>
                      <w:bCs/>
                      <w:color w:val="000000"/>
                      <w:sz w:val="20"/>
                      <w:szCs w:val="20"/>
                      <w:lang w:eastAsia="lv-LV"/>
                    </w:rPr>
                    <w:t xml:space="preserve">. </w:t>
                  </w:r>
                  <w:proofErr w:type="spellStart"/>
                  <w:r>
                    <w:rPr>
                      <w:rFonts w:ascii="Times New Roman" w:eastAsia="Times New Roman" w:hAnsi="Times New Roman" w:cs="Times New Roman"/>
                      <w:bCs/>
                      <w:color w:val="000000"/>
                      <w:sz w:val="20"/>
                      <w:szCs w:val="20"/>
                      <w:lang w:eastAsia="lv-LV"/>
                    </w:rPr>
                    <w:t>s</w:t>
                  </w:r>
                  <w:r w:rsidR="00A549D2" w:rsidRPr="001553D4">
                    <w:rPr>
                      <w:rFonts w:ascii="Times New Roman" w:eastAsia="Times New Roman" w:hAnsi="Times New Roman" w:cs="Times New Roman"/>
                      <w:bCs/>
                      <w:color w:val="000000"/>
                      <w:sz w:val="20"/>
                      <w:szCs w:val="20"/>
                      <w:lang w:eastAsia="lv-LV"/>
                    </w:rPr>
                    <w:t>aimn</w:t>
                  </w:r>
                  <w:proofErr w:type="spellEnd"/>
                  <w:r w:rsidR="00A549D2" w:rsidRPr="001553D4">
                    <w:rPr>
                      <w:rFonts w:ascii="Times New Roman" w:eastAsia="Times New Roman" w:hAnsi="Times New Roman" w:cs="Times New Roman"/>
                      <w:bCs/>
                      <w:color w:val="000000"/>
                      <w:sz w:val="20"/>
                      <w:szCs w:val="20"/>
                      <w:lang w:eastAsia="lv-LV"/>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9ED808"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sidRPr="001553D4">
                    <w:rPr>
                      <w:rFonts w:ascii="Times New Roman" w:eastAsia="Times New Roman" w:hAnsi="Times New Roman" w:cs="Times New Roman"/>
                      <w:bCs/>
                      <w:color w:val="000000"/>
                      <w:sz w:val="20"/>
                      <w:szCs w:val="20"/>
                      <w:lang w:eastAsia="lv-LV"/>
                    </w:rPr>
                    <w:t>Individ</w:t>
                  </w:r>
                  <w:proofErr w:type="spellEnd"/>
                  <w:r w:rsidRPr="001553D4">
                    <w:rPr>
                      <w:rFonts w:ascii="Times New Roman" w:eastAsia="Times New Roman" w:hAnsi="Times New Roman" w:cs="Times New Roman"/>
                      <w:bCs/>
                      <w:color w:val="000000"/>
                      <w:sz w:val="20"/>
                      <w:szCs w:val="20"/>
                      <w:lang w:eastAsia="lv-LV"/>
                    </w:rPr>
                    <w:t xml:space="preserve">. </w:t>
                  </w:r>
                  <w:proofErr w:type="spellStart"/>
                  <w:r w:rsidRPr="001553D4">
                    <w:rPr>
                      <w:rFonts w:ascii="Times New Roman" w:eastAsia="Times New Roman" w:hAnsi="Times New Roman" w:cs="Times New Roman"/>
                      <w:bCs/>
                      <w:color w:val="000000"/>
                      <w:sz w:val="20"/>
                      <w:szCs w:val="20"/>
                      <w:lang w:eastAsia="lv-LV"/>
                    </w:rPr>
                    <w:t>komers</w:t>
                  </w:r>
                  <w:proofErr w:type="spellEnd"/>
                  <w:r w:rsidRPr="001553D4">
                    <w:rPr>
                      <w:rFonts w:ascii="Times New Roman" w:eastAsia="Times New Roman" w:hAnsi="Times New Roman" w:cs="Times New Roman"/>
                      <w:bCs/>
                      <w:color w:val="000000"/>
                      <w:sz w:val="20"/>
                      <w:szCs w:val="20"/>
                      <w:lang w:eastAsia="lv-LV"/>
                    </w:rPr>
                    <w:t>.</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57D2838C"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sidRPr="001553D4">
                    <w:rPr>
                      <w:rFonts w:ascii="Times New Roman" w:eastAsia="Times New Roman" w:hAnsi="Times New Roman" w:cs="Times New Roman"/>
                      <w:bCs/>
                      <w:color w:val="000000"/>
                      <w:sz w:val="20"/>
                      <w:szCs w:val="20"/>
                      <w:lang w:eastAsia="lv-LV"/>
                    </w:rPr>
                    <w:t>Komercsab</w:t>
                  </w:r>
                  <w:proofErr w:type="spellEnd"/>
                  <w:r w:rsidRPr="001553D4">
                    <w:rPr>
                      <w:rFonts w:ascii="Times New Roman" w:eastAsia="Times New Roman" w:hAnsi="Times New Roman" w:cs="Times New Roman"/>
                      <w:bCs/>
                      <w:color w:val="000000"/>
                      <w:sz w:val="20"/>
                      <w:szCs w:val="20"/>
                      <w:lang w:eastAsia="lv-LV"/>
                    </w:rPr>
                    <w:t xml:space="preserve">.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420D6721"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r w:rsidRPr="001553D4">
                    <w:rPr>
                      <w:rFonts w:ascii="Times New Roman" w:eastAsia="Times New Roman" w:hAnsi="Times New Roman" w:cs="Times New Roman"/>
                      <w:bCs/>
                      <w:color w:val="000000"/>
                      <w:sz w:val="20"/>
                      <w:szCs w:val="20"/>
                      <w:lang w:eastAsia="lv-LV"/>
                    </w:rPr>
                    <w:t xml:space="preserve">Fondi, nodibinājumi un biedrības </w:t>
                  </w:r>
                </w:p>
              </w:tc>
            </w:tr>
            <w:tr w:rsidR="00A549D2" w:rsidRPr="001553D4" w14:paraId="1051D0A1"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A70816" w14:textId="77777777" w:rsidR="00A549D2" w:rsidRPr="001553D4" w:rsidRDefault="00A549D2"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Lauksaimniecība, mežsaimniecība, zivsaimniecība</w:t>
                  </w:r>
                </w:p>
              </w:tc>
              <w:tc>
                <w:tcPr>
                  <w:tcW w:w="1231" w:type="dxa"/>
                  <w:tcBorders>
                    <w:top w:val="nil"/>
                    <w:left w:val="nil"/>
                    <w:bottom w:val="single" w:sz="4" w:space="0" w:color="auto"/>
                    <w:right w:val="single" w:sz="4" w:space="0" w:color="auto"/>
                  </w:tcBorders>
                  <w:shd w:val="clear" w:color="auto" w:fill="auto"/>
                  <w:vAlign w:val="center"/>
                  <w:hideMark/>
                </w:tcPr>
                <w:p w14:paraId="7BEE11B9"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14</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019</w:t>
                  </w:r>
                </w:p>
              </w:tc>
              <w:tc>
                <w:tcPr>
                  <w:tcW w:w="1066" w:type="dxa"/>
                  <w:tcBorders>
                    <w:top w:val="nil"/>
                    <w:left w:val="nil"/>
                    <w:bottom w:val="single" w:sz="4" w:space="0" w:color="auto"/>
                    <w:right w:val="single" w:sz="4" w:space="0" w:color="auto"/>
                  </w:tcBorders>
                  <w:shd w:val="clear" w:color="auto" w:fill="auto"/>
                  <w:vAlign w:val="center"/>
                  <w:hideMark/>
                </w:tcPr>
                <w:p w14:paraId="772AEF53"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9</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205</w:t>
                  </w:r>
                </w:p>
              </w:tc>
              <w:tc>
                <w:tcPr>
                  <w:tcW w:w="992" w:type="dxa"/>
                  <w:tcBorders>
                    <w:top w:val="nil"/>
                    <w:left w:val="nil"/>
                    <w:bottom w:val="single" w:sz="4" w:space="0" w:color="auto"/>
                    <w:right w:val="single" w:sz="4" w:space="0" w:color="auto"/>
                  </w:tcBorders>
                  <w:shd w:val="clear" w:color="auto" w:fill="auto"/>
                  <w:vAlign w:val="center"/>
                  <w:hideMark/>
                </w:tcPr>
                <w:p w14:paraId="452C2C94"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553</w:t>
                  </w:r>
                </w:p>
              </w:tc>
              <w:tc>
                <w:tcPr>
                  <w:tcW w:w="1479" w:type="dxa"/>
                  <w:tcBorders>
                    <w:top w:val="nil"/>
                    <w:left w:val="nil"/>
                    <w:bottom w:val="single" w:sz="4" w:space="0" w:color="auto"/>
                    <w:right w:val="single" w:sz="4" w:space="0" w:color="auto"/>
                  </w:tcBorders>
                  <w:shd w:val="clear" w:color="auto" w:fill="auto"/>
                  <w:vAlign w:val="center"/>
                  <w:hideMark/>
                </w:tcPr>
                <w:p w14:paraId="4AB6F31F"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3</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444</w:t>
                  </w:r>
                </w:p>
              </w:tc>
              <w:tc>
                <w:tcPr>
                  <w:tcW w:w="1096" w:type="dxa"/>
                  <w:tcBorders>
                    <w:top w:val="nil"/>
                    <w:left w:val="nil"/>
                    <w:bottom w:val="single" w:sz="4" w:space="0" w:color="auto"/>
                    <w:right w:val="single" w:sz="4" w:space="0" w:color="auto"/>
                  </w:tcBorders>
                  <w:shd w:val="clear" w:color="auto" w:fill="auto"/>
                  <w:vAlign w:val="center"/>
                  <w:hideMark/>
                </w:tcPr>
                <w:p w14:paraId="6799BF6E"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3</w:t>
                  </w:r>
                </w:p>
              </w:tc>
            </w:tr>
            <w:tr w:rsidR="00A549D2" w:rsidRPr="001553D4" w14:paraId="61A466C4"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BD7905" w14:textId="77777777" w:rsidR="00A549D2" w:rsidRPr="001553D4" w:rsidRDefault="001C3244"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A</w:t>
                  </w:r>
                  <w:r w:rsidR="00A549D2" w:rsidRPr="001553D4">
                    <w:rPr>
                      <w:rFonts w:ascii="Times New Roman" w:hAnsi="Times New Roman" w:cs="Times New Roman"/>
                      <w:sz w:val="20"/>
                      <w:szCs w:val="20"/>
                    </w:rPr>
                    <w:t>pstrādes rūpniecība</w:t>
                  </w:r>
                </w:p>
              </w:tc>
              <w:tc>
                <w:tcPr>
                  <w:tcW w:w="1231" w:type="dxa"/>
                  <w:tcBorders>
                    <w:top w:val="nil"/>
                    <w:left w:val="nil"/>
                    <w:bottom w:val="single" w:sz="4" w:space="0" w:color="auto"/>
                    <w:right w:val="single" w:sz="4" w:space="0" w:color="auto"/>
                  </w:tcBorders>
                  <w:shd w:val="clear" w:color="auto" w:fill="auto"/>
                  <w:vAlign w:val="center"/>
                  <w:hideMark/>
                </w:tcPr>
                <w:p w14:paraId="58D88810"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519</w:t>
                  </w:r>
                </w:p>
              </w:tc>
              <w:tc>
                <w:tcPr>
                  <w:tcW w:w="1066" w:type="dxa"/>
                  <w:tcBorders>
                    <w:top w:val="nil"/>
                    <w:left w:val="nil"/>
                    <w:bottom w:val="single" w:sz="4" w:space="0" w:color="auto"/>
                    <w:right w:val="single" w:sz="4" w:space="0" w:color="auto"/>
                  </w:tcBorders>
                  <w:shd w:val="clear" w:color="auto" w:fill="auto"/>
                  <w:vAlign w:val="center"/>
                  <w:hideMark/>
                </w:tcPr>
                <w:p w14:paraId="05E8A016"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195</w:t>
                  </w:r>
                </w:p>
              </w:tc>
              <w:tc>
                <w:tcPr>
                  <w:tcW w:w="992" w:type="dxa"/>
                  <w:tcBorders>
                    <w:top w:val="nil"/>
                    <w:left w:val="nil"/>
                    <w:bottom w:val="single" w:sz="4" w:space="0" w:color="auto"/>
                    <w:right w:val="single" w:sz="4" w:space="0" w:color="auto"/>
                  </w:tcBorders>
                  <w:shd w:val="clear" w:color="auto" w:fill="auto"/>
                  <w:vAlign w:val="center"/>
                  <w:hideMark/>
                </w:tcPr>
                <w:p w14:paraId="48523067"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536</w:t>
                  </w:r>
                </w:p>
              </w:tc>
              <w:tc>
                <w:tcPr>
                  <w:tcW w:w="1479" w:type="dxa"/>
                  <w:tcBorders>
                    <w:top w:val="nil"/>
                    <w:left w:val="nil"/>
                    <w:bottom w:val="single" w:sz="4" w:space="0" w:color="auto"/>
                    <w:right w:val="single" w:sz="4" w:space="0" w:color="auto"/>
                  </w:tcBorders>
                  <w:shd w:val="clear" w:color="auto" w:fill="auto"/>
                  <w:vAlign w:val="center"/>
                  <w:hideMark/>
                </w:tcPr>
                <w:p w14:paraId="1417B30A"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8</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272</w:t>
                  </w:r>
                </w:p>
              </w:tc>
              <w:tc>
                <w:tcPr>
                  <w:tcW w:w="1096" w:type="dxa"/>
                  <w:tcBorders>
                    <w:top w:val="nil"/>
                    <w:left w:val="nil"/>
                    <w:bottom w:val="single" w:sz="4" w:space="0" w:color="auto"/>
                    <w:right w:val="single" w:sz="4" w:space="0" w:color="auto"/>
                  </w:tcBorders>
                  <w:shd w:val="clear" w:color="auto" w:fill="auto"/>
                  <w:vAlign w:val="center"/>
                  <w:hideMark/>
                </w:tcPr>
                <w:p w14:paraId="6C3C5561"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w:t>
                  </w:r>
                </w:p>
              </w:tc>
            </w:tr>
            <w:tr w:rsidR="00A549D2" w:rsidRPr="001553D4" w14:paraId="6CBDB145"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B076935" w14:textId="77777777" w:rsidR="00A549D2" w:rsidRPr="001553D4" w:rsidRDefault="001C3244"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lastRenderedPageBreak/>
                    <w:t>Z</w:t>
                  </w:r>
                  <w:r w:rsidR="00A549D2" w:rsidRPr="001553D4">
                    <w:rPr>
                      <w:rFonts w:ascii="Times New Roman" w:hAnsi="Times New Roman" w:cs="Times New Roman"/>
                      <w:sz w:val="20"/>
                      <w:szCs w:val="20"/>
                    </w:rPr>
                    <w:t>inātniskie un tehniskie pakalpojumi</w:t>
                  </w:r>
                </w:p>
              </w:tc>
              <w:tc>
                <w:tcPr>
                  <w:tcW w:w="1231" w:type="dxa"/>
                  <w:tcBorders>
                    <w:top w:val="nil"/>
                    <w:left w:val="nil"/>
                    <w:bottom w:val="single" w:sz="4" w:space="0" w:color="auto"/>
                    <w:right w:val="single" w:sz="4" w:space="0" w:color="auto"/>
                  </w:tcBorders>
                  <w:shd w:val="clear" w:color="auto" w:fill="auto"/>
                  <w:vAlign w:val="center"/>
                  <w:hideMark/>
                </w:tcPr>
                <w:p w14:paraId="665C07B1"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390</w:t>
                  </w:r>
                </w:p>
              </w:tc>
              <w:tc>
                <w:tcPr>
                  <w:tcW w:w="1066" w:type="dxa"/>
                  <w:tcBorders>
                    <w:top w:val="nil"/>
                    <w:left w:val="nil"/>
                    <w:bottom w:val="single" w:sz="4" w:space="0" w:color="auto"/>
                    <w:right w:val="single" w:sz="4" w:space="0" w:color="auto"/>
                  </w:tcBorders>
                  <w:shd w:val="clear" w:color="auto" w:fill="auto"/>
                  <w:vAlign w:val="center"/>
                  <w:hideMark/>
                </w:tcPr>
                <w:p w14:paraId="73A011CD"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14:paraId="5ED7D304"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534</w:t>
                  </w:r>
                </w:p>
              </w:tc>
              <w:tc>
                <w:tcPr>
                  <w:tcW w:w="1479" w:type="dxa"/>
                  <w:tcBorders>
                    <w:top w:val="nil"/>
                    <w:left w:val="nil"/>
                    <w:bottom w:val="single" w:sz="4" w:space="0" w:color="auto"/>
                    <w:right w:val="single" w:sz="4" w:space="0" w:color="auto"/>
                  </w:tcBorders>
                  <w:shd w:val="clear" w:color="auto" w:fill="auto"/>
                  <w:vAlign w:val="center"/>
                  <w:hideMark/>
                </w:tcPr>
                <w:p w14:paraId="18C72FE0"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13</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372</w:t>
                  </w:r>
                </w:p>
              </w:tc>
              <w:tc>
                <w:tcPr>
                  <w:tcW w:w="1096" w:type="dxa"/>
                  <w:tcBorders>
                    <w:top w:val="nil"/>
                    <w:left w:val="nil"/>
                    <w:bottom w:val="single" w:sz="4" w:space="0" w:color="auto"/>
                    <w:right w:val="single" w:sz="4" w:space="0" w:color="auto"/>
                  </w:tcBorders>
                  <w:shd w:val="clear" w:color="auto" w:fill="auto"/>
                  <w:vAlign w:val="center"/>
                  <w:hideMark/>
                </w:tcPr>
                <w:p w14:paraId="2C845BAC"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28</w:t>
                  </w:r>
                </w:p>
              </w:tc>
            </w:tr>
          </w:tbl>
          <w:p w14:paraId="44469176" w14:textId="499A1419" w:rsidR="005F1444" w:rsidRDefault="00C72E95" w:rsidP="0011075E">
            <w:pPr>
              <w:pStyle w:val="Tiret0"/>
              <w:numPr>
                <w:ilvl w:val="0"/>
                <w:numId w:val="5"/>
              </w:numPr>
              <w:tabs>
                <w:tab w:val="left" w:pos="463"/>
              </w:tabs>
              <w:ind w:left="38" w:firstLine="322"/>
            </w:pPr>
            <w:r>
              <w:t>visvairāk r</w:t>
            </w:r>
            <w:r w:rsidR="005F1444">
              <w:t>egula ietekmēs uzņēmumus, kas n</w:t>
            </w:r>
            <w:r w:rsidR="00AE5FF5">
              <w:t>odarbojas ar produktu inovāciju</w:t>
            </w:r>
            <w:r w:rsidR="004E55F6">
              <w:t>;</w:t>
            </w:r>
          </w:p>
          <w:p w14:paraId="62473D33" w14:textId="77777777" w:rsidR="00FD6DF6" w:rsidRDefault="00AE5FF5" w:rsidP="0011075E">
            <w:pPr>
              <w:pStyle w:val="Tiret0"/>
              <w:numPr>
                <w:ilvl w:val="0"/>
                <w:numId w:val="5"/>
              </w:numPr>
              <w:tabs>
                <w:tab w:val="left" w:pos="463"/>
              </w:tabs>
              <w:ind w:left="38" w:firstLine="322"/>
            </w:pPr>
            <w:r>
              <w:t>2012</w:t>
            </w:r>
            <w:r w:rsidR="00EF6F94">
              <w:t>.</w:t>
            </w:r>
            <w:r w:rsidR="00A45C81">
              <w:t>-2014. </w:t>
            </w:r>
            <w:r>
              <w:t xml:space="preserve">gadā Latvijā 1276 uzņēmumi </w:t>
            </w:r>
            <w:r w:rsidR="00E87B4E">
              <w:t>uzskatīti par inovatīviem, n</w:t>
            </w:r>
            <w:r>
              <w:t>o tiem 654 nodarbojas ar pakalpojumiem, 622 ar rūpniecību (no šiem 559 nodarbojas ar apstrādes rūpniecību);</w:t>
            </w:r>
          </w:p>
          <w:p w14:paraId="6203A57E" w14:textId="77777777" w:rsidR="00E87B4E" w:rsidRDefault="00E87B4E" w:rsidP="0011075E">
            <w:pPr>
              <w:pStyle w:val="Tiret0"/>
              <w:numPr>
                <w:ilvl w:val="0"/>
                <w:numId w:val="5"/>
              </w:numPr>
              <w:tabs>
                <w:tab w:val="left" w:pos="463"/>
              </w:tabs>
              <w:ind w:left="38" w:firstLine="322"/>
            </w:pPr>
            <w:r>
              <w:t>k</w:t>
            </w:r>
            <w:r w:rsidR="00AE5FF5" w:rsidRPr="00FD6DF6">
              <w:t>opējie izdev</w:t>
            </w:r>
            <w:r>
              <w:t>umi rūpniecībā inovācijām 2014. </w:t>
            </w:r>
            <w:r w:rsidR="00AE5FF5" w:rsidRPr="00FD6DF6">
              <w:t>gadā bija 108.3 miljoni eiro, no kuriem tikai 13.7 miljoni ieguldīt</w:t>
            </w:r>
            <w:r>
              <w:t>i pētniecībā un attīstīšanā;</w:t>
            </w:r>
            <w:r w:rsidR="00AE5FF5" w:rsidRPr="00FD6DF6">
              <w:t xml:space="preserve"> </w:t>
            </w:r>
          </w:p>
          <w:p w14:paraId="40F0B60E" w14:textId="77777777" w:rsidR="00E87B4E" w:rsidRDefault="00E87B4E" w:rsidP="0011075E">
            <w:pPr>
              <w:pStyle w:val="Tiret0"/>
              <w:numPr>
                <w:ilvl w:val="0"/>
                <w:numId w:val="5"/>
              </w:numPr>
              <w:tabs>
                <w:tab w:val="left" w:pos="463"/>
              </w:tabs>
              <w:ind w:left="38" w:firstLine="322"/>
            </w:pPr>
            <w:r>
              <w:t>pētniecības un attīstīšanas ieguldījumi 2013. </w:t>
            </w:r>
            <w:r w:rsidR="00AE5FF5" w:rsidRPr="00FD6DF6">
              <w:t>gadā sastādīja 0.6</w:t>
            </w:r>
            <w:r>
              <w:t xml:space="preserve">  </w:t>
            </w:r>
            <w:r w:rsidR="00AE5FF5" w:rsidRPr="00FD6DF6">
              <w:t>%</w:t>
            </w:r>
            <w:r>
              <w:t>. no IKP</w:t>
            </w:r>
            <w:r w:rsidR="00AE5FF5" w:rsidRPr="00FD6DF6">
              <w:t>, bet Latvijas viedās speciali</w:t>
            </w:r>
            <w:r>
              <w:t>zācijas stratēģijas mērķis 2020. </w:t>
            </w:r>
            <w:r w:rsidR="00AE5FF5" w:rsidRPr="00FD6DF6">
              <w:t xml:space="preserve">gadam ir </w:t>
            </w:r>
            <w:r>
              <w:t>1.5%;</w:t>
            </w:r>
          </w:p>
          <w:p w14:paraId="6D850469" w14:textId="77777777" w:rsidR="00CC0C6F" w:rsidRDefault="00E87B4E" w:rsidP="0011075E">
            <w:pPr>
              <w:pStyle w:val="Tiret0"/>
              <w:numPr>
                <w:ilvl w:val="0"/>
                <w:numId w:val="5"/>
              </w:numPr>
              <w:tabs>
                <w:tab w:val="left" w:pos="463"/>
              </w:tabs>
              <w:ind w:left="38" w:firstLine="322"/>
            </w:pPr>
            <w:r>
              <w:t>2014. </w:t>
            </w:r>
            <w:r w:rsidR="00AE5FF5" w:rsidRPr="00E87B4E">
              <w:t>gadā Latvijā uzņēmējdarbības sektorā bij</w:t>
            </w:r>
            <w:r>
              <w:t xml:space="preserve">a 411 zinātniskās iestādes, kurās </w:t>
            </w:r>
            <w:r w:rsidR="00AE5FF5" w:rsidRPr="00E87B4E">
              <w:t>noda</w:t>
            </w:r>
            <w:r>
              <w:t>rbināti</w:t>
            </w:r>
            <w:r w:rsidR="00C74F48">
              <w:t xml:space="preserve"> 776 profesionāļi,</w:t>
            </w:r>
            <w:r>
              <w:t xml:space="preserve"> 2016. </w:t>
            </w:r>
            <w:r w:rsidR="00AE5FF5" w:rsidRPr="00E87B4E">
              <w:t xml:space="preserve">gadā profesionāļu skaits samazinājies </w:t>
            </w:r>
            <w:r>
              <w:t>līdz</w:t>
            </w:r>
            <w:r w:rsidR="00AE5FF5" w:rsidRPr="00E87B4E">
              <w:t xml:space="preserve"> 582.</w:t>
            </w:r>
          </w:p>
          <w:p w14:paraId="23071B5E" w14:textId="77777777" w:rsidR="000C7F8B" w:rsidRDefault="000C7F8B" w:rsidP="000C7F8B">
            <w:pPr>
              <w:pStyle w:val="Tiret0"/>
              <w:numPr>
                <w:ilvl w:val="0"/>
                <w:numId w:val="0"/>
              </w:numPr>
              <w:tabs>
                <w:tab w:val="left" w:pos="463"/>
              </w:tabs>
              <w:ind w:left="360"/>
            </w:pPr>
          </w:p>
          <w:p w14:paraId="62B1BC4A" w14:textId="3D9FC3F7" w:rsidR="00F133F3" w:rsidRDefault="00EA5DA3" w:rsidP="000C7F8B">
            <w:pPr>
              <w:pStyle w:val="Tiret0"/>
              <w:numPr>
                <w:ilvl w:val="0"/>
                <w:numId w:val="0"/>
              </w:numPr>
              <w:tabs>
                <w:tab w:val="left" w:pos="463"/>
              </w:tabs>
              <w:spacing w:before="0"/>
              <w:ind w:left="38"/>
              <w:rPr>
                <w:noProof/>
              </w:rPr>
            </w:pPr>
            <w:r>
              <w:t>Vienlaikus j</w:t>
            </w:r>
            <w:r w:rsidR="000C7F8B">
              <w:t xml:space="preserve">āņem vērā, ka </w:t>
            </w:r>
            <w:r w:rsidR="00E047FE">
              <w:t xml:space="preserve">saskaņā ar </w:t>
            </w:r>
            <w:r w:rsidR="00C72E95">
              <w:t>r</w:t>
            </w:r>
            <w:r w:rsidR="00DD3A73" w:rsidRPr="00EA5DA3">
              <w:t xml:space="preserve">egulas </w:t>
            </w:r>
            <w:r w:rsidR="00C72E95">
              <w:t>īstenošanas</w:t>
            </w:r>
            <w:r w:rsidR="00E047FE" w:rsidRPr="00EA5DA3">
              <w:t xml:space="preserve"> vadlīnijām</w:t>
            </w:r>
            <w:r w:rsidR="00E047FE" w:rsidRPr="00EA5DA3">
              <w:rPr>
                <w:rStyle w:val="FootnoteReference"/>
              </w:rPr>
              <w:footnoteReference w:id="5"/>
            </w:r>
            <w:r w:rsidR="00E047FE" w:rsidRPr="00EA5DA3">
              <w:t xml:space="preserve"> </w:t>
            </w:r>
            <w:r w:rsidR="00C72E95">
              <w:t>r</w:t>
            </w:r>
            <w:r w:rsidR="009A6978">
              <w:t>egula</w:t>
            </w:r>
            <w:r w:rsidRPr="00EA5DA3">
              <w:t xml:space="preserve"> var būt </w:t>
            </w:r>
            <w:r w:rsidR="009A6978">
              <w:t>piemērojam</w:t>
            </w:r>
            <w:r w:rsidR="00C72E95">
              <w:t>a</w:t>
            </w:r>
            <w:r w:rsidRPr="00EA5DA3">
              <w:rPr>
                <w:noProof/>
              </w:rPr>
              <w:t>, ja pie</w:t>
            </w:r>
            <w:r w:rsidR="00CC0C6F" w:rsidRPr="00EA5DA3">
              <w:rPr>
                <w:noProof/>
              </w:rPr>
              <w:t xml:space="preserve">pildās visi turpmāk </w:t>
            </w:r>
            <w:r w:rsidR="00056EF2">
              <w:rPr>
                <w:noProof/>
              </w:rPr>
              <w:t>uzskaitītie</w:t>
            </w:r>
            <w:r w:rsidR="00CC0C6F" w:rsidRPr="00EA5DA3">
              <w:rPr>
                <w:noProof/>
              </w:rPr>
              <w:t xml:space="preserve"> </w:t>
            </w:r>
            <w:r w:rsidR="009A6978">
              <w:rPr>
                <w:noProof/>
              </w:rPr>
              <w:t xml:space="preserve">piemērošanas </w:t>
            </w:r>
            <w:r w:rsidR="00CC0C6F" w:rsidRPr="00EA5DA3">
              <w:rPr>
                <w:noProof/>
              </w:rPr>
              <w:t xml:space="preserve">nosacījumi par ģenētisko resursu veidu, </w:t>
            </w:r>
            <w:r w:rsidR="009837EA" w:rsidRPr="00EA5DA3">
              <w:rPr>
                <w:noProof/>
              </w:rPr>
              <w:t xml:space="preserve">izmantošanas mērķi, </w:t>
            </w:r>
            <w:r w:rsidR="00CC0C6F" w:rsidRPr="00EA5DA3">
              <w:rPr>
                <w:noProof/>
              </w:rPr>
              <w:t>piekļuves laiku</w:t>
            </w:r>
            <w:r w:rsidR="00920A9A" w:rsidRPr="00EA5DA3">
              <w:rPr>
                <w:noProof/>
              </w:rPr>
              <w:t xml:space="preserve">, izmantošanas </w:t>
            </w:r>
            <w:r w:rsidR="00CC0C6F" w:rsidRPr="00EA5DA3">
              <w:rPr>
                <w:noProof/>
              </w:rPr>
              <w:t>vietu un Nagojas Protokola un citu līdzī</w:t>
            </w:r>
            <w:r w:rsidR="00722927">
              <w:rPr>
                <w:noProof/>
              </w:rPr>
              <w:t xml:space="preserve">gu starptautisku līgumu statusu </w:t>
            </w:r>
            <w:r w:rsidR="00CC0C6F" w:rsidRPr="00EA5DA3">
              <w:rPr>
                <w:noProof/>
              </w:rPr>
              <w:t xml:space="preserve">ģenētisko resursu </w:t>
            </w:r>
            <w:r w:rsidR="00722927">
              <w:rPr>
                <w:noProof/>
              </w:rPr>
              <w:t xml:space="preserve">piederības </w:t>
            </w:r>
            <w:r w:rsidR="00CC0C6F" w:rsidRPr="00EA5DA3">
              <w:rPr>
                <w:noProof/>
              </w:rPr>
              <w:t>valstī.</w:t>
            </w:r>
          </w:p>
          <w:p w14:paraId="2727286D" w14:textId="77777777" w:rsidR="005C72C4" w:rsidRDefault="005C72C4" w:rsidP="005C72C4">
            <w:pPr>
              <w:pStyle w:val="Tiret0"/>
              <w:numPr>
                <w:ilvl w:val="0"/>
                <w:numId w:val="3"/>
              </w:numPr>
              <w:tabs>
                <w:tab w:val="left" w:pos="360"/>
              </w:tabs>
              <w:spacing w:before="0"/>
              <w:ind w:left="38" w:firstLine="0"/>
              <w:rPr>
                <w:noProof/>
              </w:rPr>
            </w:pPr>
            <w:r>
              <w:rPr>
                <w:noProof/>
              </w:rPr>
              <w:t>Ģenētisko resursu izmantošanas joma ir</w:t>
            </w:r>
            <w:r w:rsidRPr="002D3EBB">
              <w:rPr>
                <w:noProof/>
              </w:rPr>
              <w:t xml:space="preserve"> pārtikas pārstrāde, mežsaimniecība, farmācija, kosmētikas izstrāde, atjaunojamās ene</w:t>
            </w:r>
            <w:r>
              <w:rPr>
                <w:noProof/>
              </w:rPr>
              <w:t>r</w:t>
            </w:r>
            <w:r w:rsidRPr="002D3EBB">
              <w:rPr>
                <w:noProof/>
              </w:rPr>
              <w:t>ģijas bioavotu attīstīšana, kā arī augu un dzīvnieku šķirņu selekcija, augu aizsardzības bio-kontroles līdzekļu izstrāde, zinātnisko institūtu darbībā un citās</w:t>
            </w:r>
            <w:r>
              <w:rPr>
                <w:noProof/>
              </w:rPr>
              <w:t xml:space="preserve"> jomās, bet izņemot cilvēka ģenētisko resursu izmantošanā</w:t>
            </w:r>
            <w:r w:rsidRPr="002D3EBB">
              <w:rPr>
                <w:noProof/>
              </w:rPr>
              <w:t>.</w:t>
            </w:r>
          </w:p>
          <w:p w14:paraId="2446980B" w14:textId="77777777" w:rsidR="005C72C4" w:rsidRPr="006B463B" w:rsidRDefault="005C72C4" w:rsidP="005C72C4">
            <w:pPr>
              <w:pStyle w:val="Tiret0"/>
              <w:numPr>
                <w:ilvl w:val="0"/>
                <w:numId w:val="3"/>
              </w:numPr>
              <w:tabs>
                <w:tab w:val="left" w:pos="360"/>
              </w:tabs>
              <w:spacing w:before="0"/>
              <w:ind w:left="38" w:firstLine="0"/>
              <w:rPr>
                <w:noProof/>
              </w:rPr>
            </w:pPr>
            <w:r>
              <w:rPr>
                <w:noProof/>
              </w:rPr>
              <w:t>Ģ</w:t>
            </w:r>
            <w:r w:rsidRPr="006B463B">
              <w:rPr>
                <w:noProof/>
              </w:rPr>
              <w:t>enētisko resursu izmantošanas mērķis ir izpētes un attīstības darbība (</w:t>
            </w:r>
            <w:r w:rsidRPr="006B463B">
              <w:rPr>
                <w:i/>
                <w:noProof/>
              </w:rPr>
              <w:t>research and  development</w:t>
            </w:r>
            <w:r>
              <w:rPr>
                <w:noProof/>
              </w:rPr>
              <w:t>)</w:t>
            </w:r>
            <w:r w:rsidRPr="006B463B">
              <w:rPr>
                <w:noProof/>
              </w:rPr>
              <w:t>.</w:t>
            </w:r>
          </w:p>
          <w:p w14:paraId="4343AB8C" w14:textId="77777777" w:rsidR="005C72C4" w:rsidRDefault="005C72C4" w:rsidP="005C72C4">
            <w:pPr>
              <w:pStyle w:val="Tiret0"/>
              <w:numPr>
                <w:ilvl w:val="0"/>
                <w:numId w:val="3"/>
              </w:numPr>
              <w:tabs>
                <w:tab w:val="left" w:pos="360"/>
              </w:tabs>
              <w:spacing w:before="0"/>
              <w:ind w:left="38" w:firstLine="0"/>
              <w:rPr>
                <w:noProof/>
              </w:rPr>
            </w:pPr>
            <w:r>
              <w:rPr>
                <w:noProof/>
              </w:rPr>
              <w:t>Piekļuve ģenētiskajiem resursiem notiek no Nagojas Protokola spēkā stāšanās jeb sākot ar 2014. gada 12. oktobri, un, ja ģenētisko resursu izpētes un attīstības darbība notiek Eiropas Savienībā.</w:t>
            </w:r>
          </w:p>
          <w:p w14:paraId="1618F3A0" w14:textId="77777777" w:rsidR="005C72C4" w:rsidRDefault="005C72C4" w:rsidP="005C72C4">
            <w:pPr>
              <w:pStyle w:val="Tiret0"/>
              <w:numPr>
                <w:ilvl w:val="0"/>
                <w:numId w:val="3"/>
              </w:numPr>
              <w:tabs>
                <w:tab w:val="left" w:pos="360"/>
              </w:tabs>
              <w:spacing w:before="0"/>
              <w:ind w:left="38" w:firstLine="0"/>
              <w:rPr>
                <w:noProof/>
              </w:rPr>
            </w:pPr>
            <w:r>
              <w:rPr>
                <w:noProof/>
              </w:rPr>
              <w:t>Ģenētiskos resursus plāno izmantot persona no Latvijas</w:t>
            </w:r>
            <w:r w:rsidRPr="002D3EBB">
              <w:rPr>
                <w:noProof/>
              </w:rPr>
              <w:t>.</w:t>
            </w:r>
          </w:p>
          <w:p w14:paraId="56470BD4" w14:textId="77777777" w:rsidR="005C72C4" w:rsidRDefault="005C72C4" w:rsidP="005C72C4">
            <w:pPr>
              <w:pStyle w:val="Tiret0"/>
              <w:numPr>
                <w:ilvl w:val="0"/>
                <w:numId w:val="3"/>
              </w:numPr>
              <w:tabs>
                <w:tab w:val="left" w:pos="360"/>
              </w:tabs>
              <w:spacing w:before="0"/>
              <w:ind w:left="38" w:firstLine="0"/>
              <w:rPr>
                <w:noProof/>
              </w:rPr>
            </w:pPr>
            <w:r>
              <w:rPr>
                <w:noProof/>
              </w:rPr>
              <w:t xml:space="preserve">Plānots izmantot tādas valsts </w:t>
            </w:r>
            <w:r w:rsidRPr="002D3EBB">
              <w:rPr>
                <w:noProof/>
              </w:rPr>
              <w:t>ģenētiskos resursus, kas ir Nagojas Protokola dalībvalsts, un, kas pieejai ģenētiskajiem resursiem ir izvēlējusies noteikt piekļuves noteikumus.</w:t>
            </w:r>
            <w:r>
              <w:rPr>
                <w:noProof/>
              </w:rPr>
              <w:t xml:space="preserve"> Šobrīd no Eiropas Savienības dalībvalstīm, kas ir Nagojas Protokola puses, paredzēt piekļuves noteikumus saviem ģenētiskajiem resursiem izvēlējusies Francija, Horvātija, Malta un Spānija.</w:t>
            </w:r>
          </w:p>
          <w:p w14:paraId="7E9DA186" w14:textId="77777777" w:rsidR="005C72C4" w:rsidRDefault="005C72C4" w:rsidP="005C72C4">
            <w:pPr>
              <w:pStyle w:val="Tiret0"/>
              <w:numPr>
                <w:ilvl w:val="0"/>
                <w:numId w:val="3"/>
              </w:numPr>
              <w:tabs>
                <w:tab w:val="left" w:pos="360"/>
              </w:tabs>
              <w:spacing w:before="0"/>
              <w:ind w:left="38" w:firstLine="0"/>
              <w:rPr>
                <w:noProof/>
              </w:rPr>
            </w:pPr>
            <w:r>
              <w:rPr>
                <w:noProof/>
              </w:rPr>
              <w:lastRenderedPageBreak/>
              <w:t>Konkrēto ģenētisko resursu veidu izmantošanu valstī ne</w:t>
            </w:r>
            <w:r w:rsidRPr="002D3EBB">
              <w:rPr>
                <w:noProof/>
              </w:rPr>
              <w:t xml:space="preserve">regulē </w:t>
            </w:r>
            <w:r>
              <w:rPr>
                <w:noProof/>
              </w:rPr>
              <w:t xml:space="preserve">citi Nagojas Protokolam atbilstoši </w:t>
            </w:r>
            <w:r w:rsidRPr="002D3EBB">
              <w:rPr>
                <w:noProof/>
              </w:rPr>
              <w:t>starptautiski līgumi. Piemēram, Starptautiskais līgums par augu ģenētiskajiem resursiem pārtikai un lauksaimniecībai</w:t>
            </w:r>
            <w:r>
              <w:rPr>
                <w:rStyle w:val="FootnoteReference"/>
                <w:noProof/>
              </w:rPr>
              <w:footnoteReference w:id="6"/>
            </w:r>
            <w:r w:rsidRPr="002D3EBB">
              <w:rPr>
                <w:noProof/>
              </w:rPr>
              <w:t>.</w:t>
            </w:r>
          </w:p>
          <w:p w14:paraId="300703D2" w14:textId="3D3E725A" w:rsidR="000579EF" w:rsidRPr="002D3EBB" w:rsidRDefault="00013D41" w:rsidP="009A6978">
            <w:pPr>
              <w:pStyle w:val="Tiret0"/>
              <w:numPr>
                <w:ilvl w:val="0"/>
                <w:numId w:val="0"/>
              </w:numPr>
              <w:tabs>
                <w:tab w:val="left" w:pos="360"/>
              </w:tabs>
              <w:spacing w:before="0"/>
              <w:ind w:left="38"/>
              <w:rPr>
                <w:noProof/>
              </w:rPr>
            </w:pPr>
            <w:r>
              <w:rPr>
                <w:noProof/>
              </w:rPr>
              <w:t>Kopumā, ņemot vērā iepriekš minētos nosacījumus, iespējamo ģenētisko resursu lietotāju skaits vērtējams kā neliels.</w:t>
            </w:r>
          </w:p>
        </w:tc>
      </w:tr>
      <w:tr w:rsidR="00A549D2" w:rsidRPr="002D55CC" w14:paraId="3DB73C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5E47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63A864B"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E3EB5A6" w14:textId="77777777" w:rsidR="00604F94" w:rsidRPr="008B1B0D" w:rsidRDefault="007F6218" w:rsidP="00ED0FED">
            <w:pPr>
              <w:spacing w:after="120" w:line="240" w:lineRule="auto"/>
              <w:jc w:val="both"/>
              <w:rPr>
                <w:rFonts w:ascii="Times New Roman" w:eastAsia="Times New Roman" w:hAnsi="Times New Roman" w:cs="Times New Roman"/>
                <w:iCs/>
                <w:sz w:val="24"/>
                <w:szCs w:val="24"/>
                <w:lang w:eastAsia="lv-LV"/>
              </w:rPr>
            </w:pPr>
            <w:r w:rsidRPr="008B1B0D">
              <w:rPr>
                <w:rFonts w:ascii="Times New Roman" w:eastAsia="Times New Roman" w:hAnsi="Times New Roman" w:cs="Times New Roman"/>
                <w:iCs/>
                <w:sz w:val="24"/>
                <w:szCs w:val="24"/>
                <w:lang w:eastAsia="lv-LV"/>
              </w:rPr>
              <w:t>L</w:t>
            </w:r>
            <w:r w:rsidR="008C546B" w:rsidRPr="008B1B0D">
              <w:rPr>
                <w:rFonts w:ascii="Times New Roman" w:eastAsia="Times New Roman" w:hAnsi="Times New Roman" w:cs="Times New Roman"/>
                <w:iCs/>
                <w:sz w:val="24"/>
                <w:szCs w:val="24"/>
                <w:lang w:eastAsia="lv-LV"/>
              </w:rPr>
              <w:t>ikumprojekts veicina sakārtotāku uzņēmējdarbības vidi</w:t>
            </w:r>
            <w:r w:rsidR="003F0751" w:rsidRPr="008B1B0D">
              <w:rPr>
                <w:rFonts w:ascii="Times New Roman" w:eastAsia="Times New Roman" w:hAnsi="Times New Roman" w:cs="Times New Roman"/>
                <w:iCs/>
                <w:sz w:val="24"/>
                <w:szCs w:val="24"/>
                <w:lang w:eastAsia="lv-LV"/>
              </w:rPr>
              <w:t>.</w:t>
            </w:r>
          </w:p>
          <w:p w14:paraId="26CB894F" w14:textId="77777777" w:rsidR="003F0751" w:rsidRPr="008B1B0D" w:rsidRDefault="003F0751" w:rsidP="00ED0FED">
            <w:pPr>
              <w:spacing w:after="120" w:line="240" w:lineRule="auto"/>
              <w:jc w:val="both"/>
              <w:rPr>
                <w:rFonts w:ascii="Times New Roman" w:eastAsia="Times New Roman" w:hAnsi="Times New Roman" w:cs="Times New Roman"/>
                <w:iCs/>
                <w:sz w:val="24"/>
                <w:szCs w:val="24"/>
                <w:lang w:eastAsia="lv-LV"/>
              </w:rPr>
            </w:pPr>
            <w:r w:rsidRPr="008B1B0D">
              <w:rPr>
                <w:rFonts w:ascii="Times New Roman" w:eastAsia="Times New Roman" w:hAnsi="Times New Roman" w:cs="Times New Roman"/>
                <w:iCs/>
                <w:sz w:val="24"/>
                <w:szCs w:val="24"/>
                <w:lang w:eastAsia="lv-LV"/>
              </w:rPr>
              <w:t>Neparedz atšķirīgu pieeju, atkarībā no uzņēmuma lieluma.</w:t>
            </w:r>
          </w:p>
          <w:p w14:paraId="695F53AB" w14:textId="77777777" w:rsidR="003F0751" w:rsidRPr="008B1B0D" w:rsidRDefault="00C669CC" w:rsidP="00ED0FED">
            <w:pPr>
              <w:spacing w:after="120" w:line="240" w:lineRule="auto"/>
              <w:jc w:val="both"/>
              <w:rPr>
                <w:rFonts w:ascii="Times New Roman" w:eastAsia="Times New Roman" w:hAnsi="Times New Roman" w:cs="Times New Roman"/>
                <w:iCs/>
                <w:sz w:val="24"/>
                <w:szCs w:val="24"/>
                <w:lang w:eastAsia="lv-LV"/>
              </w:rPr>
            </w:pPr>
            <w:r w:rsidRPr="008B1B0D">
              <w:rPr>
                <w:rFonts w:ascii="Times New Roman" w:eastAsia="Times New Roman" w:hAnsi="Times New Roman" w:cs="Times New Roman"/>
                <w:iCs/>
                <w:sz w:val="24"/>
                <w:szCs w:val="24"/>
                <w:lang w:eastAsia="lv-LV"/>
              </w:rPr>
              <w:t>Ietekme uz Nacionālā attīstības plāna rādītājiem vērtējama kā nebūtiska</w:t>
            </w:r>
            <w:r w:rsidR="00BB6D7E" w:rsidRPr="008B1B0D">
              <w:rPr>
                <w:rFonts w:ascii="Times New Roman" w:eastAsia="Times New Roman" w:hAnsi="Times New Roman" w:cs="Times New Roman"/>
                <w:iCs/>
                <w:sz w:val="24"/>
                <w:szCs w:val="24"/>
                <w:lang w:eastAsia="lv-LV"/>
              </w:rPr>
              <w:t xml:space="preserve"> vai pozitīva</w:t>
            </w:r>
            <w:r w:rsidRPr="008B1B0D">
              <w:rPr>
                <w:rFonts w:ascii="Times New Roman" w:eastAsia="Times New Roman" w:hAnsi="Times New Roman" w:cs="Times New Roman"/>
                <w:iCs/>
                <w:sz w:val="24"/>
                <w:szCs w:val="24"/>
                <w:lang w:eastAsia="lv-LV"/>
              </w:rPr>
              <w:t>.</w:t>
            </w:r>
          </w:p>
          <w:p w14:paraId="0919BB43" w14:textId="06161918" w:rsidR="00367ED1" w:rsidRPr="008B1B0D" w:rsidRDefault="00D25945" w:rsidP="00ED0FED">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Konkurences ziņā L</w:t>
            </w:r>
            <w:r w:rsidR="0010501D" w:rsidRPr="008B1B0D">
              <w:rPr>
                <w:rFonts w:ascii="Times New Roman" w:eastAsia="Times New Roman" w:hAnsi="Times New Roman" w:cs="Times New Roman"/>
                <w:iCs/>
                <w:sz w:val="24"/>
                <w:szCs w:val="24"/>
                <w:lang w:eastAsia="lv-LV"/>
              </w:rPr>
              <w:t>ikumprojekts nedod priekšrocības atsevišķiem uzņēmumiem vai nozar</w:t>
            </w:r>
            <w:r w:rsidR="001050AD" w:rsidRPr="008B1B0D">
              <w:rPr>
                <w:rFonts w:ascii="Times New Roman" w:eastAsia="Times New Roman" w:hAnsi="Times New Roman" w:cs="Times New Roman"/>
                <w:iCs/>
                <w:sz w:val="24"/>
                <w:szCs w:val="24"/>
                <w:lang w:eastAsia="lv-LV"/>
              </w:rPr>
              <w:t>ēm; var veicināt konkurētspēju ar jauniem produktiem, kuru izstrādē izmantoti legāli iegūti ģenētiskie resursi.</w:t>
            </w:r>
          </w:p>
          <w:p w14:paraId="3B31C1A5" w14:textId="2EDB75F2" w:rsidR="00C669CC" w:rsidRPr="008B1B0D" w:rsidRDefault="00367ED1" w:rsidP="00ED0FED">
            <w:pPr>
              <w:spacing w:after="120" w:line="240" w:lineRule="auto"/>
              <w:jc w:val="both"/>
              <w:rPr>
                <w:rFonts w:ascii="Times New Roman" w:eastAsia="Times New Roman" w:hAnsi="Times New Roman" w:cs="Times New Roman"/>
                <w:iCs/>
                <w:sz w:val="24"/>
                <w:szCs w:val="24"/>
                <w:lang w:eastAsia="lv-LV"/>
              </w:rPr>
            </w:pPr>
            <w:r w:rsidRPr="008B1B0D">
              <w:rPr>
                <w:rFonts w:ascii="Times New Roman" w:eastAsia="Times New Roman" w:hAnsi="Times New Roman" w:cs="Times New Roman"/>
                <w:iCs/>
                <w:sz w:val="24"/>
                <w:szCs w:val="24"/>
                <w:lang w:eastAsia="lv-LV"/>
              </w:rPr>
              <w:t>Iespējamā ietekme uz vidi vērtējama pozitīvi, ņemot vērā Bioloģiskās daudz</w:t>
            </w:r>
            <w:r w:rsidR="00C72E95">
              <w:rPr>
                <w:rFonts w:ascii="Times New Roman" w:eastAsia="Times New Roman" w:hAnsi="Times New Roman" w:cs="Times New Roman"/>
                <w:iCs/>
                <w:sz w:val="24"/>
                <w:szCs w:val="24"/>
                <w:lang w:eastAsia="lv-LV"/>
              </w:rPr>
              <w:t xml:space="preserve">veidības, </w:t>
            </w:r>
            <w:proofErr w:type="spellStart"/>
            <w:r w:rsidR="00C72E95">
              <w:rPr>
                <w:rFonts w:ascii="Times New Roman" w:eastAsia="Times New Roman" w:hAnsi="Times New Roman" w:cs="Times New Roman"/>
                <w:iCs/>
                <w:sz w:val="24"/>
                <w:szCs w:val="24"/>
                <w:lang w:eastAsia="lv-LV"/>
              </w:rPr>
              <w:t>Nagojas</w:t>
            </w:r>
            <w:proofErr w:type="spellEnd"/>
            <w:r w:rsidR="00C72E95">
              <w:rPr>
                <w:rFonts w:ascii="Times New Roman" w:eastAsia="Times New Roman" w:hAnsi="Times New Roman" w:cs="Times New Roman"/>
                <w:iCs/>
                <w:sz w:val="24"/>
                <w:szCs w:val="24"/>
                <w:lang w:eastAsia="lv-LV"/>
              </w:rPr>
              <w:t xml:space="preserve"> Protokola un r</w:t>
            </w:r>
            <w:r w:rsidRPr="008B1B0D">
              <w:rPr>
                <w:rFonts w:ascii="Times New Roman" w:eastAsia="Times New Roman" w:hAnsi="Times New Roman" w:cs="Times New Roman"/>
                <w:iCs/>
                <w:sz w:val="24"/>
                <w:szCs w:val="24"/>
                <w:lang w:eastAsia="lv-LV"/>
              </w:rPr>
              <w:t>egulas</w:t>
            </w:r>
            <w:r w:rsidR="00D25945">
              <w:rPr>
                <w:rFonts w:ascii="Times New Roman" w:eastAsia="Times New Roman" w:hAnsi="Times New Roman" w:cs="Times New Roman"/>
                <w:iCs/>
                <w:sz w:val="24"/>
                <w:szCs w:val="24"/>
                <w:lang w:eastAsia="lv-LV"/>
              </w:rPr>
              <w:t xml:space="preserve"> </w:t>
            </w:r>
            <w:r w:rsidR="000C7F8B">
              <w:rPr>
                <w:rFonts w:ascii="Times New Roman" w:eastAsia="Times New Roman" w:hAnsi="Times New Roman" w:cs="Times New Roman"/>
                <w:iCs/>
                <w:sz w:val="24"/>
                <w:szCs w:val="24"/>
                <w:lang w:eastAsia="lv-LV"/>
              </w:rPr>
              <w:t xml:space="preserve">kā </w:t>
            </w:r>
            <w:r w:rsidR="00ED2183" w:rsidRPr="008B1B0D">
              <w:rPr>
                <w:rFonts w:ascii="Times New Roman" w:eastAsia="Times New Roman" w:hAnsi="Times New Roman" w:cs="Times New Roman"/>
                <w:iCs/>
                <w:sz w:val="24"/>
                <w:szCs w:val="24"/>
                <w:lang w:eastAsia="lv-LV"/>
              </w:rPr>
              <w:t xml:space="preserve">dabas aizsardzības </w:t>
            </w:r>
            <w:r w:rsidR="000C7F8B">
              <w:rPr>
                <w:rFonts w:ascii="Times New Roman" w:eastAsia="Times New Roman" w:hAnsi="Times New Roman" w:cs="Times New Roman"/>
                <w:iCs/>
                <w:sz w:val="24"/>
                <w:szCs w:val="24"/>
                <w:lang w:eastAsia="lv-LV"/>
              </w:rPr>
              <w:t>līgumu būtību</w:t>
            </w:r>
            <w:r w:rsidR="00C54A5F" w:rsidRPr="008B1B0D">
              <w:rPr>
                <w:rFonts w:ascii="Times New Roman" w:eastAsia="Times New Roman" w:hAnsi="Times New Roman" w:cs="Times New Roman"/>
                <w:iCs/>
                <w:sz w:val="24"/>
                <w:szCs w:val="24"/>
                <w:lang w:eastAsia="lv-LV"/>
              </w:rPr>
              <w:t>.</w:t>
            </w:r>
            <w:r w:rsidR="00ED2183" w:rsidRPr="008B1B0D">
              <w:rPr>
                <w:rFonts w:ascii="Times New Roman" w:eastAsia="Times New Roman" w:hAnsi="Times New Roman" w:cs="Times New Roman"/>
                <w:iCs/>
                <w:sz w:val="24"/>
                <w:szCs w:val="24"/>
                <w:lang w:eastAsia="lv-LV"/>
              </w:rPr>
              <w:t xml:space="preserve"> Līdz ar to, vispārīgi arī ietekmi uz veselību var vērtēt pozitīvi.</w:t>
            </w:r>
          </w:p>
          <w:p w14:paraId="7EDEBBA4" w14:textId="77777777" w:rsidR="00ED2183" w:rsidRPr="008B1B0D" w:rsidRDefault="00ED2183" w:rsidP="00ED0FED">
            <w:pPr>
              <w:spacing w:after="120" w:line="240" w:lineRule="auto"/>
              <w:jc w:val="both"/>
              <w:rPr>
                <w:rFonts w:ascii="Times New Roman" w:eastAsia="Times New Roman" w:hAnsi="Times New Roman" w:cs="Times New Roman"/>
                <w:iCs/>
                <w:sz w:val="24"/>
                <w:szCs w:val="24"/>
                <w:lang w:eastAsia="lv-LV"/>
              </w:rPr>
            </w:pPr>
            <w:r w:rsidRPr="008B1B0D">
              <w:rPr>
                <w:rFonts w:ascii="Times New Roman" w:eastAsia="Times New Roman" w:hAnsi="Times New Roman" w:cs="Times New Roman"/>
                <w:iCs/>
                <w:sz w:val="24"/>
                <w:szCs w:val="24"/>
                <w:lang w:eastAsia="lv-LV"/>
              </w:rPr>
              <w:t xml:space="preserve">Likumprojekts neparedz atsevišķu regulējumu nevalstiskajām organizācijām. </w:t>
            </w:r>
          </w:p>
          <w:p w14:paraId="41D18793" w14:textId="502A57B0" w:rsidR="006D09F6" w:rsidRDefault="00C72E95" w:rsidP="00ED0FED">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Komersantiem l</w:t>
            </w:r>
            <w:r w:rsidR="00BB6D7E" w:rsidRPr="008B1B0D">
              <w:rPr>
                <w:rFonts w:ascii="Times New Roman" w:eastAsia="Times New Roman" w:hAnsi="Times New Roman" w:cs="Times New Roman"/>
                <w:iCs/>
                <w:sz w:val="24"/>
                <w:szCs w:val="24"/>
                <w:lang w:eastAsia="lv-LV"/>
              </w:rPr>
              <w:t>ikumprojekts nerada tiešu administratīvo slogu</w:t>
            </w:r>
            <w:r w:rsidR="008B1B0D" w:rsidRPr="008B1B0D">
              <w:rPr>
                <w:rFonts w:ascii="Times New Roman" w:eastAsia="Times New Roman" w:hAnsi="Times New Roman" w:cs="Times New Roman"/>
                <w:iCs/>
                <w:sz w:val="24"/>
                <w:szCs w:val="24"/>
                <w:lang w:eastAsia="lv-LV"/>
              </w:rPr>
              <w:t>. Netieša ietekme paredza</w:t>
            </w:r>
            <w:r>
              <w:rPr>
                <w:rFonts w:ascii="Times New Roman" w:eastAsia="Times New Roman" w:hAnsi="Times New Roman" w:cs="Times New Roman"/>
                <w:iCs/>
                <w:sz w:val="24"/>
                <w:szCs w:val="24"/>
                <w:lang w:eastAsia="lv-LV"/>
              </w:rPr>
              <w:t>ma situācijās, kad, saskaņā ar r</w:t>
            </w:r>
            <w:r w:rsidR="008B1B0D" w:rsidRPr="008B1B0D">
              <w:rPr>
                <w:rFonts w:ascii="Times New Roman" w:eastAsia="Times New Roman" w:hAnsi="Times New Roman" w:cs="Times New Roman"/>
                <w:iCs/>
                <w:sz w:val="24"/>
                <w:szCs w:val="24"/>
                <w:lang w:eastAsia="lv-LV"/>
              </w:rPr>
              <w:t>egulu, piemērojamas attiecīgās ģenētisko resursu valsts noteiktās normas</w:t>
            </w:r>
            <w:r w:rsidR="00EE6A20">
              <w:rPr>
                <w:rFonts w:ascii="Times New Roman" w:eastAsia="Times New Roman" w:hAnsi="Times New Roman" w:cs="Times New Roman"/>
                <w:iCs/>
                <w:sz w:val="24"/>
                <w:szCs w:val="24"/>
                <w:lang w:eastAsia="lv-LV"/>
              </w:rPr>
              <w:t xml:space="preserve"> un procedūras</w:t>
            </w:r>
            <w:r w:rsidR="008B1B0D" w:rsidRPr="008B1B0D">
              <w:rPr>
                <w:rFonts w:ascii="Times New Roman" w:eastAsia="Times New Roman" w:hAnsi="Times New Roman" w:cs="Times New Roman"/>
                <w:iCs/>
                <w:sz w:val="24"/>
                <w:szCs w:val="24"/>
                <w:lang w:eastAsia="lv-LV"/>
              </w:rPr>
              <w:t xml:space="preserve">, kas katrā valstī var </w:t>
            </w:r>
            <w:r w:rsidR="00EE6A20">
              <w:rPr>
                <w:rFonts w:ascii="Times New Roman" w:eastAsia="Times New Roman" w:hAnsi="Times New Roman" w:cs="Times New Roman"/>
                <w:iCs/>
                <w:sz w:val="24"/>
                <w:szCs w:val="24"/>
                <w:lang w:eastAsia="lv-LV"/>
              </w:rPr>
              <w:t>atšķirties</w:t>
            </w:r>
            <w:r w:rsidR="008B1B0D" w:rsidRPr="008B1B0D">
              <w:rPr>
                <w:rFonts w:ascii="Times New Roman" w:eastAsia="Times New Roman" w:hAnsi="Times New Roman" w:cs="Times New Roman"/>
                <w:iCs/>
                <w:sz w:val="24"/>
                <w:szCs w:val="24"/>
                <w:lang w:eastAsia="lv-LV"/>
              </w:rPr>
              <w:t>.</w:t>
            </w:r>
          </w:p>
          <w:p w14:paraId="1E4AFC21" w14:textId="06AB8CB3" w:rsidR="00E5323B" w:rsidRPr="008B1B0D" w:rsidRDefault="005C592F" w:rsidP="00C72E9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Regulas piemērošanas kompetentajai iestādei (Dabas aizsardzības pārvaldei) </w:t>
            </w:r>
            <w:r w:rsidR="008050D6">
              <w:rPr>
                <w:rFonts w:ascii="Times New Roman" w:eastAsia="Times New Roman" w:hAnsi="Times New Roman" w:cs="Times New Roman"/>
                <w:iCs/>
                <w:sz w:val="24"/>
                <w:szCs w:val="24"/>
                <w:lang w:eastAsia="lv-LV"/>
              </w:rPr>
              <w:t>nepi</w:t>
            </w:r>
            <w:r w:rsidR="00C72E95">
              <w:rPr>
                <w:rFonts w:ascii="Times New Roman" w:eastAsia="Times New Roman" w:hAnsi="Times New Roman" w:cs="Times New Roman"/>
                <w:iCs/>
                <w:sz w:val="24"/>
                <w:szCs w:val="24"/>
                <w:lang w:eastAsia="lv-LV"/>
              </w:rPr>
              <w:t>eciešamības gadījumā jāpiemēro l</w:t>
            </w:r>
            <w:r w:rsidR="008050D6">
              <w:rPr>
                <w:rFonts w:ascii="Times New Roman" w:eastAsia="Times New Roman" w:hAnsi="Times New Roman" w:cs="Times New Roman"/>
                <w:iCs/>
                <w:sz w:val="24"/>
                <w:szCs w:val="24"/>
                <w:lang w:eastAsia="lv-LV"/>
              </w:rPr>
              <w:t>ikumprojektā noteiktais.</w:t>
            </w:r>
          </w:p>
        </w:tc>
      </w:tr>
      <w:tr w:rsidR="00A549D2" w:rsidRPr="002D55CC" w14:paraId="127B9B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A3806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80B3C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099A92" w14:textId="5219DCAA" w:rsidR="00E5323B" w:rsidRPr="004B008C" w:rsidRDefault="00766960" w:rsidP="00177E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Iespējamās informācijas sniegšanas, pieņemšanas, apstrādes vai uzglabāšanas izmaksas ir </w:t>
            </w:r>
            <w:r w:rsidRPr="00177E20">
              <w:rPr>
                <w:rFonts w:ascii="Times New Roman" w:eastAsia="Times New Roman" w:hAnsi="Times New Roman" w:cs="Times New Roman"/>
                <w:iCs/>
                <w:sz w:val="24"/>
                <w:szCs w:val="24"/>
                <w:lang w:eastAsia="lv-LV"/>
              </w:rPr>
              <w:t xml:space="preserve">nepietiekami konkrēti </w:t>
            </w:r>
            <w:r>
              <w:rPr>
                <w:rFonts w:ascii="Times New Roman" w:eastAsia="Times New Roman" w:hAnsi="Times New Roman" w:cs="Times New Roman"/>
                <w:iCs/>
                <w:sz w:val="24"/>
                <w:szCs w:val="24"/>
                <w:lang w:eastAsia="lv-LV"/>
              </w:rPr>
              <w:t>novērtējamas gan iespējamiem ģenētisko resursu lietotājiem, gan kompetentajai iestādei (Dabas aizsardzības pārvaldei). Ņemot vērā arī to, ka iespējamo sodu piemērošanas nepieciešamība ir grūti novērtējama.</w:t>
            </w:r>
          </w:p>
        </w:tc>
      </w:tr>
      <w:tr w:rsidR="00A549D2" w:rsidRPr="002D55CC" w14:paraId="02346E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DA3E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86C856"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C07424" w14:textId="584FEBB6" w:rsidR="00E5323B" w:rsidRPr="005911D9" w:rsidRDefault="00766960" w:rsidP="005822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Iespējamās</w:t>
            </w:r>
            <w:r w:rsidRPr="005911D9">
              <w:rPr>
                <w:rFonts w:ascii="Times New Roman" w:eastAsia="Times New Roman" w:hAnsi="Times New Roman" w:cs="Times New Roman"/>
                <w:iCs/>
                <w:sz w:val="24"/>
                <w:szCs w:val="24"/>
                <w:lang w:eastAsia="lv-LV"/>
              </w:rPr>
              <w:t xml:space="preserve"> atbilstības izmaksas </w:t>
            </w:r>
            <w:r>
              <w:rPr>
                <w:rFonts w:ascii="Times New Roman" w:eastAsia="Times New Roman" w:hAnsi="Times New Roman" w:cs="Times New Roman"/>
                <w:iCs/>
                <w:sz w:val="24"/>
                <w:szCs w:val="24"/>
                <w:lang w:eastAsia="lv-LV"/>
              </w:rPr>
              <w:t>fiziskām vai juridiskām personām vērtējamas kā samērīgas. To monetārs novērtējums ir problemātisks, apzinoties iespējamās atšķirīgās prasības ģenētisko resursu pieejai</w:t>
            </w:r>
            <w:r w:rsidRPr="005911D9">
              <w:rPr>
                <w:rFonts w:ascii="Times New Roman" w:eastAsia="Times New Roman" w:hAnsi="Times New Roman" w:cs="Times New Roman"/>
                <w:iCs/>
                <w:sz w:val="24"/>
                <w:szCs w:val="24"/>
                <w:lang w:eastAsia="lv-LV"/>
              </w:rPr>
              <w:t>.</w:t>
            </w:r>
          </w:p>
        </w:tc>
      </w:tr>
      <w:tr w:rsidR="00A549D2" w:rsidRPr="002D55CC" w14:paraId="243CE6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8F6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2195C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5A9EBD" w14:textId="77777777" w:rsidR="00574290" w:rsidRDefault="00574290" w:rsidP="0058225B">
            <w:pPr>
              <w:spacing w:after="12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4B008C">
              <w:rPr>
                <w:rFonts w:ascii="Times New Roman" w:eastAsia="Times New Roman" w:hAnsi="Times New Roman" w:cs="Times New Roman"/>
                <w:iCs/>
                <w:sz w:val="24"/>
                <w:szCs w:val="24"/>
                <w:lang w:eastAsia="lv-LV"/>
              </w:rPr>
              <w:t>Nagojas</w:t>
            </w:r>
            <w:proofErr w:type="spellEnd"/>
            <w:r w:rsidRPr="004B008C">
              <w:rPr>
                <w:rFonts w:ascii="Times New Roman" w:eastAsia="Times New Roman" w:hAnsi="Times New Roman" w:cs="Times New Roman"/>
                <w:iCs/>
                <w:sz w:val="24"/>
                <w:szCs w:val="24"/>
                <w:lang w:eastAsia="lv-LV"/>
              </w:rPr>
              <w:t xml:space="preserve"> Protokola, ģenētisko resursu pieejas noteikumu un citu starptautisku ģenētisko resursu līgumu statuss valstīs pieejams Bioloģiskās daudzveidības konvencijas </w:t>
            </w:r>
            <w:proofErr w:type="spellStart"/>
            <w:r w:rsidRPr="004B008C">
              <w:rPr>
                <w:rFonts w:ascii="Times New Roman" w:eastAsia="Times New Roman" w:hAnsi="Times New Roman" w:cs="Times New Roman"/>
                <w:iCs/>
                <w:sz w:val="24"/>
                <w:szCs w:val="24"/>
                <w:lang w:eastAsia="lv-LV"/>
              </w:rPr>
              <w:t>Nagojas</w:t>
            </w:r>
            <w:proofErr w:type="spellEnd"/>
            <w:r w:rsidRPr="004B008C">
              <w:rPr>
                <w:rFonts w:ascii="Times New Roman" w:eastAsia="Times New Roman" w:hAnsi="Times New Roman" w:cs="Times New Roman"/>
                <w:iCs/>
                <w:sz w:val="24"/>
                <w:szCs w:val="24"/>
                <w:lang w:eastAsia="lv-LV"/>
              </w:rPr>
              <w:t xml:space="preserve"> Protok</w:t>
            </w:r>
            <w:r w:rsidR="00D30EE6">
              <w:rPr>
                <w:rFonts w:ascii="Times New Roman" w:eastAsia="Times New Roman" w:hAnsi="Times New Roman" w:cs="Times New Roman"/>
                <w:iCs/>
                <w:sz w:val="24"/>
                <w:szCs w:val="24"/>
                <w:lang w:eastAsia="lv-LV"/>
              </w:rPr>
              <w:t>o</w:t>
            </w:r>
            <w:r w:rsidRPr="004B008C">
              <w:rPr>
                <w:rFonts w:ascii="Times New Roman" w:eastAsia="Times New Roman" w:hAnsi="Times New Roman" w:cs="Times New Roman"/>
                <w:iCs/>
                <w:sz w:val="24"/>
                <w:szCs w:val="24"/>
                <w:lang w:eastAsia="lv-LV"/>
              </w:rPr>
              <w:t xml:space="preserve">la Informācijas portālā: </w:t>
            </w:r>
            <w:hyperlink r:id="rId8" w:history="1">
              <w:r w:rsidR="004B008C" w:rsidRPr="004B008C">
                <w:rPr>
                  <w:rStyle w:val="Hyperlink"/>
                  <w:rFonts w:ascii="Times New Roman" w:eastAsia="Times New Roman" w:hAnsi="Times New Roman" w:cs="Times New Roman"/>
                  <w:iCs/>
                  <w:sz w:val="24"/>
                  <w:szCs w:val="24"/>
                  <w:lang w:eastAsia="lv-LV"/>
                </w:rPr>
                <w:t>https://absch.cbd.int/</w:t>
              </w:r>
            </w:hyperlink>
            <w:r w:rsidR="004B008C" w:rsidRPr="004B008C">
              <w:rPr>
                <w:rStyle w:val="Hyperlink"/>
                <w:rFonts w:ascii="Times New Roman" w:eastAsia="Times New Roman" w:hAnsi="Times New Roman" w:cs="Times New Roman"/>
                <w:iCs/>
                <w:sz w:val="24"/>
                <w:szCs w:val="24"/>
                <w:lang w:eastAsia="lv-LV"/>
              </w:rPr>
              <w:t xml:space="preserve"> </w:t>
            </w:r>
          </w:p>
          <w:p w14:paraId="0262D2C8" w14:textId="73D045FF" w:rsidR="00CA3CE2" w:rsidRPr="00CA3CE2" w:rsidRDefault="00CA3CE2" w:rsidP="0058225B">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CA3CE2">
              <w:rPr>
                <w:rFonts w:ascii="Times New Roman" w:eastAsia="Times New Roman" w:hAnsi="Times New Roman" w:cs="Times New Roman"/>
                <w:iCs/>
                <w:sz w:val="24"/>
                <w:szCs w:val="24"/>
                <w:lang w:eastAsia="lv-LV"/>
              </w:rPr>
              <w:t>Likumprojekts 2018. gada 7. jūnijā skatīts Tieslietu ministrijas Latvijas Administratīvo pārkāpumu kodeksa darba grupā.</w:t>
            </w:r>
          </w:p>
        </w:tc>
      </w:tr>
    </w:tbl>
    <w:p w14:paraId="4F73C247"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5"/>
        <w:gridCol w:w="958"/>
        <w:gridCol w:w="1052"/>
        <w:gridCol w:w="865"/>
        <w:gridCol w:w="1225"/>
        <w:gridCol w:w="865"/>
        <w:gridCol w:w="1225"/>
        <w:gridCol w:w="1240"/>
      </w:tblGrid>
      <w:tr w:rsidR="00E5323B" w:rsidRPr="002D55CC" w14:paraId="079D796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6F106C5"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E5323B" w:rsidRPr="002D55CC" w14:paraId="7318F914" w14:textId="77777777" w:rsidTr="0089553B">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3F4722F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715EABA"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2018</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0EDA987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Turpmākie trīs gadi (</w:t>
            </w:r>
            <w:proofErr w:type="spellStart"/>
            <w:r w:rsidRPr="002D55CC">
              <w:rPr>
                <w:rFonts w:ascii="Times New Roman" w:eastAsia="Times New Roman" w:hAnsi="Times New Roman" w:cs="Times New Roman"/>
                <w:i/>
                <w:iCs/>
                <w:color w:val="414142"/>
                <w:sz w:val="24"/>
                <w:szCs w:val="24"/>
                <w:lang w:eastAsia="lv-LV"/>
              </w:rPr>
              <w:t>euro</w:t>
            </w:r>
            <w:proofErr w:type="spellEnd"/>
            <w:r w:rsidRPr="002D55CC">
              <w:rPr>
                <w:rFonts w:ascii="Times New Roman" w:eastAsia="Times New Roman" w:hAnsi="Times New Roman" w:cs="Times New Roman"/>
                <w:iCs/>
                <w:color w:val="414142"/>
                <w:sz w:val="24"/>
                <w:szCs w:val="24"/>
                <w:lang w:eastAsia="lv-LV"/>
              </w:rPr>
              <w:t>)</w:t>
            </w:r>
          </w:p>
        </w:tc>
      </w:tr>
      <w:tr w:rsidR="00E5323B" w:rsidRPr="002D55CC" w14:paraId="7B4F0538" w14:textId="77777777" w:rsidTr="006739D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8764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57DEE3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14:paraId="2B296457"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DFB30B3"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w:t>
            </w:r>
          </w:p>
        </w:tc>
        <w:tc>
          <w:tcPr>
            <w:tcW w:w="747" w:type="pct"/>
            <w:tcBorders>
              <w:top w:val="outset" w:sz="6" w:space="0" w:color="auto"/>
              <w:left w:val="outset" w:sz="6" w:space="0" w:color="auto"/>
              <w:bottom w:val="outset" w:sz="6" w:space="0" w:color="auto"/>
              <w:right w:val="outset" w:sz="6" w:space="0" w:color="auto"/>
            </w:tcBorders>
            <w:vAlign w:val="center"/>
            <w:hideMark/>
          </w:tcPr>
          <w:p w14:paraId="58882DB9"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w:t>
            </w:r>
          </w:p>
        </w:tc>
      </w:tr>
      <w:tr w:rsidR="00E5323B" w:rsidRPr="002D55CC" w14:paraId="360F2794" w14:textId="77777777" w:rsidTr="006739D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882E9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006FB9B6"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343BB4"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E3584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661" w:type="pct"/>
            <w:tcBorders>
              <w:top w:val="outset" w:sz="6" w:space="0" w:color="auto"/>
              <w:left w:val="outset" w:sz="6" w:space="0" w:color="auto"/>
              <w:bottom w:val="outset" w:sz="6" w:space="0" w:color="auto"/>
              <w:right w:val="outset" w:sz="6" w:space="0" w:color="auto"/>
            </w:tcBorders>
            <w:vAlign w:val="center"/>
            <w:hideMark/>
          </w:tcPr>
          <w:p w14:paraId="03BDC88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C3844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B603A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 budžeta ietvaru n+2 gadam</w:t>
            </w:r>
          </w:p>
        </w:tc>
        <w:tc>
          <w:tcPr>
            <w:tcW w:w="747" w:type="pct"/>
            <w:tcBorders>
              <w:top w:val="outset" w:sz="6" w:space="0" w:color="auto"/>
              <w:left w:val="outset" w:sz="6" w:space="0" w:color="auto"/>
              <w:bottom w:val="outset" w:sz="6" w:space="0" w:color="auto"/>
              <w:right w:val="outset" w:sz="6" w:space="0" w:color="auto"/>
            </w:tcBorders>
            <w:vAlign w:val="center"/>
            <w:hideMark/>
          </w:tcPr>
          <w:p w14:paraId="7EB6635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 budžeta ietvaru n+2 gadam</w:t>
            </w:r>
          </w:p>
        </w:tc>
      </w:tr>
      <w:tr w:rsidR="00E5323B" w:rsidRPr="002D55CC" w14:paraId="42A1BDD0"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7E6E1A2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EF2024"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B0DF3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702E8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661" w:type="pct"/>
            <w:tcBorders>
              <w:top w:val="outset" w:sz="6" w:space="0" w:color="auto"/>
              <w:left w:val="outset" w:sz="6" w:space="0" w:color="auto"/>
              <w:bottom w:val="outset" w:sz="6" w:space="0" w:color="auto"/>
              <w:right w:val="outset" w:sz="6" w:space="0" w:color="auto"/>
            </w:tcBorders>
            <w:vAlign w:val="center"/>
            <w:hideMark/>
          </w:tcPr>
          <w:p w14:paraId="66B5B9F2"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AB6F0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CE3708"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w:t>
            </w:r>
          </w:p>
        </w:tc>
        <w:tc>
          <w:tcPr>
            <w:tcW w:w="747" w:type="pct"/>
            <w:tcBorders>
              <w:top w:val="outset" w:sz="6" w:space="0" w:color="auto"/>
              <w:left w:val="outset" w:sz="6" w:space="0" w:color="auto"/>
              <w:bottom w:val="outset" w:sz="6" w:space="0" w:color="auto"/>
              <w:right w:val="outset" w:sz="6" w:space="0" w:color="auto"/>
            </w:tcBorders>
            <w:vAlign w:val="center"/>
            <w:hideMark/>
          </w:tcPr>
          <w:p w14:paraId="4521F43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w:t>
            </w:r>
          </w:p>
        </w:tc>
      </w:tr>
      <w:tr w:rsidR="0089553B" w:rsidRPr="002D55CC" w14:paraId="50841195"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1FBAF60" w14:textId="77777777" w:rsidR="0089553B" w:rsidRPr="002D55CC" w:rsidRDefault="008955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83D569" w14:textId="77777777" w:rsidR="0089553B" w:rsidRPr="00463FCB" w:rsidRDefault="0089553B" w:rsidP="00E5323B">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9EE753" w14:textId="77777777" w:rsidR="0089553B" w:rsidRPr="00463FCB" w:rsidRDefault="0089553B" w:rsidP="00E5323B">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 0</w:t>
            </w:r>
          </w:p>
        </w:tc>
        <w:tc>
          <w:tcPr>
            <w:tcW w:w="2964" w:type="pct"/>
            <w:gridSpan w:val="5"/>
            <w:tcBorders>
              <w:top w:val="outset" w:sz="6" w:space="0" w:color="auto"/>
              <w:left w:val="outset" w:sz="6" w:space="0" w:color="auto"/>
              <w:bottom w:val="outset" w:sz="6" w:space="0" w:color="auto"/>
              <w:right w:val="outset" w:sz="6" w:space="0" w:color="auto"/>
            </w:tcBorders>
            <w:vAlign w:val="center"/>
          </w:tcPr>
          <w:p w14:paraId="4E1D2E3F" w14:textId="77777777" w:rsidR="0089553B" w:rsidRPr="00463FCB" w:rsidRDefault="0089553B" w:rsidP="00E5323B">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nav precīzi aprēķināms</w:t>
            </w:r>
          </w:p>
        </w:tc>
      </w:tr>
      <w:tr w:rsidR="0089553B" w:rsidRPr="002D55CC" w14:paraId="0EF2DAEF"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5A37424" w14:textId="77777777" w:rsidR="0089553B" w:rsidRPr="002D55CC" w:rsidRDefault="0089553B" w:rsidP="00EA3DD2">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tcPr>
          <w:p w14:paraId="1AAB8251" w14:textId="77777777" w:rsidR="0089553B" w:rsidRPr="00463FCB" w:rsidRDefault="0089553B" w:rsidP="00EA3DD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40B30D01" w14:textId="77777777" w:rsidR="0089553B" w:rsidRPr="00463FCB" w:rsidRDefault="0089553B" w:rsidP="00EA3DD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2964" w:type="pct"/>
            <w:gridSpan w:val="5"/>
            <w:tcBorders>
              <w:top w:val="outset" w:sz="6" w:space="0" w:color="auto"/>
              <w:left w:val="outset" w:sz="6" w:space="0" w:color="auto"/>
              <w:bottom w:val="outset" w:sz="6" w:space="0" w:color="auto"/>
              <w:right w:val="outset" w:sz="6" w:space="0" w:color="auto"/>
            </w:tcBorders>
          </w:tcPr>
          <w:p w14:paraId="3006C651" w14:textId="77777777" w:rsidR="0089553B" w:rsidRPr="00463FCB" w:rsidRDefault="0089553B" w:rsidP="00EA3DD2">
            <w:pPr>
              <w:rPr>
                <w:rFonts w:ascii="Times New Roman" w:hAnsi="Times New Roman" w:cs="Times New Roman"/>
                <w:sz w:val="24"/>
                <w:szCs w:val="24"/>
              </w:rPr>
            </w:pPr>
            <w:r w:rsidRPr="00463FCB">
              <w:rPr>
                <w:rFonts w:ascii="Times New Roman" w:hAnsi="Times New Roman" w:cs="Times New Roman"/>
                <w:sz w:val="24"/>
                <w:szCs w:val="24"/>
              </w:rPr>
              <w:t>nav precīzi aprēķināms</w:t>
            </w:r>
          </w:p>
        </w:tc>
      </w:tr>
      <w:tr w:rsidR="00396EA8" w:rsidRPr="002D55CC" w14:paraId="602B753D"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5C5BD92" w14:textId="77777777" w:rsidR="00396EA8" w:rsidRPr="002D55CC" w:rsidRDefault="00396EA8" w:rsidP="00396EA8">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tcPr>
          <w:p w14:paraId="5E064D19" w14:textId="77777777" w:rsidR="00396EA8" w:rsidRPr="00463FCB" w:rsidRDefault="00EA3DD2"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2C8A7BA" w14:textId="77777777" w:rsidR="00396EA8" w:rsidRPr="00463FCB" w:rsidRDefault="00EA3DD2"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6D756C5"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661" w:type="pct"/>
            <w:tcBorders>
              <w:top w:val="outset" w:sz="6" w:space="0" w:color="auto"/>
              <w:left w:val="outset" w:sz="6" w:space="0" w:color="auto"/>
              <w:bottom w:val="outset" w:sz="6" w:space="0" w:color="auto"/>
              <w:right w:val="outset" w:sz="6" w:space="0" w:color="auto"/>
            </w:tcBorders>
          </w:tcPr>
          <w:p w14:paraId="1E28B95B"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1B5BA038"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51E34C0"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747" w:type="pct"/>
            <w:tcBorders>
              <w:top w:val="outset" w:sz="6" w:space="0" w:color="auto"/>
              <w:left w:val="outset" w:sz="6" w:space="0" w:color="auto"/>
              <w:bottom w:val="outset" w:sz="6" w:space="0" w:color="auto"/>
              <w:right w:val="outset" w:sz="6" w:space="0" w:color="auto"/>
            </w:tcBorders>
          </w:tcPr>
          <w:p w14:paraId="12DA6A44"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r>
      <w:tr w:rsidR="00396EA8" w:rsidRPr="002D55CC" w14:paraId="4D7DE535"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3D8A63" w14:textId="77777777" w:rsidR="00396EA8" w:rsidRPr="002D55CC" w:rsidRDefault="00396EA8" w:rsidP="00396EA8">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tcPr>
          <w:p w14:paraId="19F2E104" w14:textId="77777777" w:rsidR="00396EA8" w:rsidRPr="00463FCB" w:rsidRDefault="00EA3DD2"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5AF2368" w14:textId="77777777" w:rsidR="00396EA8" w:rsidRPr="00463FCB" w:rsidRDefault="00EA3DD2"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AEE1529"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661" w:type="pct"/>
            <w:tcBorders>
              <w:top w:val="outset" w:sz="6" w:space="0" w:color="auto"/>
              <w:left w:val="outset" w:sz="6" w:space="0" w:color="auto"/>
              <w:bottom w:val="outset" w:sz="6" w:space="0" w:color="auto"/>
              <w:right w:val="outset" w:sz="6" w:space="0" w:color="auto"/>
            </w:tcBorders>
          </w:tcPr>
          <w:p w14:paraId="1AAEB192"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3ADEE244"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39B1556"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c>
          <w:tcPr>
            <w:tcW w:w="747" w:type="pct"/>
            <w:tcBorders>
              <w:top w:val="outset" w:sz="6" w:space="0" w:color="auto"/>
              <w:left w:val="outset" w:sz="6" w:space="0" w:color="auto"/>
              <w:bottom w:val="outset" w:sz="6" w:space="0" w:color="auto"/>
              <w:right w:val="outset" w:sz="6" w:space="0" w:color="auto"/>
            </w:tcBorders>
          </w:tcPr>
          <w:p w14:paraId="3F8E346C" w14:textId="77777777" w:rsidR="00396EA8"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0</w:t>
            </w:r>
          </w:p>
        </w:tc>
      </w:tr>
      <w:tr w:rsidR="0089553B" w:rsidRPr="002D55CC" w14:paraId="5902F26B"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CEF127" w14:textId="77777777" w:rsidR="0089553B" w:rsidRPr="002D55CC" w:rsidRDefault="0089553B" w:rsidP="00396EA8">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hideMark/>
          </w:tcPr>
          <w:p w14:paraId="2B064946" w14:textId="77777777" w:rsidR="0089553B"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2B35CFAF" w14:textId="77777777" w:rsidR="0089553B"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2964" w:type="pct"/>
            <w:gridSpan w:val="5"/>
            <w:tcBorders>
              <w:top w:val="outset" w:sz="6" w:space="0" w:color="auto"/>
              <w:left w:val="outset" w:sz="6" w:space="0" w:color="auto"/>
              <w:bottom w:val="outset" w:sz="6" w:space="0" w:color="auto"/>
              <w:right w:val="outset" w:sz="6" w:space="0" w:color="auto"/>
            </w:tcBorders>
          </w:tcPr>
          <w:p w14:paraId="4A6D2A77" w14:textId="77777777" w:rsidR="0089553B" w:rsidRPr="00463FCB" w:rsidRDefault="0089553B" w:rsidP="00396EA8">
            <w:pPr>
              <w:rPr>
                <w:rFonts w:ascii="Times New Roman" w:hAnsi="Times New Roman" w:cs="Times New Roman"/>
                <w:sz w:val="24"/>
                <w:szCs w:val="24"/>
              </w:rPr>
            </w:pPr>
            <w:r w:rsidRPr="00463FCB">
              <w:rPr>
                <w:rFonts w:ascii="Times New Roman" w:eastAsia="Times New Roman" w:hAnsi="Times New Roman" w:cs="Times New Roman"/>
                <w:iCs/>
                <w:sz w:val="24"/>
                <w:szCs w:val="24"/>
                <w:lang w:eastAsia="lv-LV"/>
              </w:rPr>
              <w:t>nav precīzi aprēķināms</w:t>
            </w:r>
          </w:p>
        </w:tc>
      </w:tr>
      <w:tr w:rsidR="0089553B" w:rsidRPr="002D55CC" w14:paraId="718B0EFB"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11ACEE2" w14:textId="77777777" w:rsidR="0089553B" w:rsidRPr="002D55CC" w:rsidRDefault="0089553B" w:rsidP="00EA3DD2">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tcPr>
          <w:p w14:paraId="5C7F900A" w14:textId="77777777" w:rsidR="0089553B" w:rsidRPr="00463FCB" w:rsidRDefault="0089553B" w:rsidP="00EA3DD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24C5A49A" w14:textId="77777777" w:rsidR="0089553B" w:rsidRPr="00463FCB" w:rsidRDefault="0089553B" w:rsidP="00EA3DD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2964" w:type="pct"/>
            <w:gridSpan w:val="5"/>
            <w:tcBorders>
              <w:top w:val="outset" w:sz="6" w:space="0" w:color="auto"/>
              <w:left w:val="outset" w:sz="6" w:space="0" w:color="auto"/>
              <w:bottom w:val="outset" w:sz="6" w:space="0" w:color="auto"/>
              <w:right w:val="outset" w:sz="6" w:space="0" w:color="auto"/>
            </w:tcBorders>
          </w:tcPr>
          <w:p w14:paraId="4D488109" w14:textId="77777777" w:rsidR="0089553B" w:rsidRPr="00463FCB" w:rsidRDefault="0089553B" w:rsidP="00EA3DD2">
            <w:pPr>
              <w:rPr>
                <w:rFonts w:ascii="Times New Roman" w:hAnsi="Times New Roman" w:cs="Times New Roman"/>
                <w:sz w:val="24"/>
                <w:szCs w:val="24"/>
              </w:rPr>
            </w:pPr>
            <w:r w:rsidRPr="00463FCB">
              <w:rPr>
                <w:rFonts w:ascii="Times New Roman" w:eastAsia="Times New Roman" w:hAnsi="Times New Roman" w:cs="Times New Roman"/>
                <w:iCs/>
                <w:sz w:val="24"/>
                <w:szCs w:val="24"/>
                <w:lang w:eastAsia="lv-LV"/>
              </w:rPr>
              <w:t>nav precīzi aprēķināms</w:t>
            </w:r>
          </w:p>
        </w:tc>
      </w:tr>
      <w:tr w:rsidR="0089553B" w:rsidRPr="002D55CC" w14:paraId="1D7E40BB"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CAB5C8" w14:textId="77777777" w:rsidR="0089553B" w:rsidRPr="002D55CC" w:rsidRDefault="0089553B" w:rsidP="008955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tcPr>
          <w:p w14:paraId="41ACAA93"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1818990E"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02B464CA"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661" w:type="pct"/>
            <w:tcBorders>
              <w:top w:val="outset" w:sz="6" w:space="0" w:color="auto"/>
              <w:left w:val="outset" w:sz="6" w:space="0" w:color="auto"/>
              <w:bottom w:val="outset" w:sz="6" w:space="0" w:color="auto"/>
              <w:right w:val="outset" w:sz="6" w:space="0" w:color="auto"/>
            </w:tcBorders>
          </w:tcPr>
          <w:p w14:paraId="5D8B3D6C"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1C0403D"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076D3323"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747" w:type="pct"/>
            <w:tcBorders>
              <w:top w:val="outset" w:sz="6" w:space="0" w:color="auto"/>
              <w:left w:val="outset" w:sz="6" w:space="0" w:color="auto"/>
              <w:bottom w:val="outset" w:sz="6" w:space="0" w:color="auto"/>
              <w:right w:val="outset" w:sz="6" w:space="0" w:color="auto"/>
            </w:tcBorders>
          </w:tcPr>
          <w:p w14:paraId="034F8A6E"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r>
      <w:tr w:rsidR="0089553B" w:rsidRPr="002D55CC" w14:paraId="604BD9BD"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860434" w14:textId="77777777" w:rsidR="0089553B" w:rsidRPr="002D55CC" w:rsidRDefault="0089553B" w:rsidP="008955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tcPr>
          <w:p w14:paraId="235C0733"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1C8CEDDF"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658E3C48"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661" w:type="pct"/>
            <w:tcBorders>
              <w:top w:val="outset" w:sz="6" w:space="0" w:color="auto"/>
              <w:left w:val="outset" w:sz="6" w:space="0" w:color="auto"/>
              <w:bottom w:val="outset" w:sz="6" w:space="0" w:color="auto"/>
              <w:right w:val="outset" w:sz="6" w:space="0" w:color="auto"/>
            </w:tcBorders>
          </w:tcPr>
          <w:p w14:paraId="1CAB7FCF"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A52E004"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8690604"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747" w:type="pct"/>
            <w:tcBorders>
              <w:top w:val="outset" w:sz="6" w:space="0" w:color="auto"/>
              <w:left w:val="outset" w:sz="6" w:space="0" w:color="auto"/>
              <w:bottom w:val="outset" w:sz="6" w:space="0" w:color="auto"/>
              <w:right w:val="outset" w:sz="6" w:space="0" w:color="auto"/>
            </w:tcBorders>
          </w:tcPr>
          <w:p w14:paraId="5018BE5D"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r>
      <w:tr w:rsidR="0089553B" w:rsidRPr="002D55CC" w14:paraId="1CB1F480"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8ED0D56" w14:textId="77777777" w:rsidR="0089553B" w:rsidRPr="002D55CC" w:rsidRDefault="0089553B" w:rsidP="00396EA8">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hideMark/>
          </w:tcPr>
          <w:p w14:paraId="192588BE" w14:textId="77777777" w:rsidR="0089553B"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4FFB9519" w14:textId="77777777" w:rsidR="0089553B"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2964" w:type="pct"/>
            <w:gridSpan w:val="5"/>
            <w:tcBorders>
              <w:top w:val="outset" w:sz="6" w:space="0" w:color="auto"/>
              <w:left w:val="outset" w:sz="6" w:space="0" w:color="auto"/>
              <w:bottom w:val="outset" w:sz="6" w:space="0" w:color="auto"/>
              <w:right w:val="outset" w:sz="6" w:space="0" w:color="auto"/>
            </w:tcBorders>
          </w:tcPr>
          <w:p w14:paraId="0193C324" w14:textId="77777777" w:rsidR="0089553B" w:rsidRPr="00463FCB" w:rsidRDefault="0089553B" w:rsidP="00396EA8">
            <w:pPr>
              <w:rPr>
                <w:rFonts w:ascii="Times New Roman" w:hAnsi="Times New Roman" w:cs="Times New Roman"/>
                <w:sz w:val="24"/>
                <w:szCs w:val="24"/>
              </w:rPr>
            </w:pPr>
            <w:r w:rsidRPr="00463FCB">
              <w:rPr>
                <w:rFonts w:ascii="Times New Roman" w:eastAsia="Times New Roman" w:hAnsi="Times New Roman" w:cs="Times New Roman"/>
                <w:iCs/>
                <w:sz w:val="24"/>
                <w:szCs w:val="24"/>
                <w:lang w:eastAsia="lv-LV"/>
              </w:rPr>
              <w:t>nav precīzi aprēķināms</w:t>
            </w:r>
          </w:p>
        </w:tc>
      </w:tr>
      <w:tr w:rsidR="0089553B" w:rsidRPr="002D55CC" w14:paraId="048FF941"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FDA3B9" w14:textId="77777777" w:rsidR="0089553B" w:rsidRPr="002D55CC" w:rsidRDefault="0089553B" w:rsidP="00396EA8">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hideMark/>
          </w:tcPr>
          <w:p w14:paraId="2A7ED1A7" w14:textId="77777777" w:rsidR="0089553B"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5E3DC304" w14:textId="77777777" w:rsidR="0089553B" w:rsidRPr="00463FCB" w:rsidRDefault="0089553B"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2964" w:type="pct"/>
            <w:gridSpan w:val="5"/>
            <w:tcBorders>
              <w:top w:val="outset" w:sz="6" w:space="0" w:color="auto"/>
              <w:left w:val="outset" w:sz="6" w:space="0" w:color="auto"/>
              <w:bottom w:val="outset" w:sz="6" w:space="0" w:color="auto"/>
              <w:right w:val="outset" w:sz="6" w:space="0" w:color="auto"/>
            </w:tcBorders>
          </w:tcPr>
          <w:p w14:paraId="026F5802" w14:textId="77777777" w:rsidR="0089553B" w:rsidRPr="00463FCB" w:rsidRDefault="0089553B" w:rsidP="00396EA8">
            <w:pPr>
              <w:rPr>
                <w:rFonts w:ascii="Times New Roman" w:hAnsi="Times New Roman" w:cs="Times New Roman"/>
                <w:sz w:val="24"/>
                <w:szCs w:val="24"/>
              </w:rPr>
            </w:pPr>
            <w:r w:rsidRPr="00463FCB">
              <w:rPr>
                <w:rFonts w:ascii="Times New Roman" w:eastAsia="Times New Roman" w:hAnsi="Times New Roman" w:cs="Times New Roman"/>
                <w:iCs/>
                <w:sz w:val="24"/>
                <w:szCs w:val="24"/>
                <w:lang w:eastAsia="lv-LV"/>
              </w:rPr>
              <w:t>nav precīzi aprēķināms</w:t>
            </w:r>
          </w:p>
        </w:tc>
      </w:tr>
      <w:tr w:rsidR="0089553B" w:rsidRPr="002D55CC" w14:paraId="3D0AB80C"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59F2C2" w14:textId="77777777" w:rsidR="0089553B" w:rsidRPr="002D55CC" w:rsidRDefault="0089553B" w:rsidP="008955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6FC2B32A"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1B6033C8"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54AF2F89"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661" w:type="pct"/>
            <w:tcBorders>
              <w:top w:val="outset" w:sz="6" w:space="0" w:color="auto"/>
              <w:left w:val="outset" w:sz="6" w:space="0" w:color="auto"/>
              <w:bottom w:val="outset" w:sz="6" w:space="0" w:color="auto"/>
              <w:right w:val="outset" w:sz="6" w:space="0" w:color="auto"/>
            </w:tcBorders>
          </w:tcPr>
          <w:p w14:paraId="5FBF773B"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F4DF1D1"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C42C187"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747" w:type="pct"/>
            <w:tcBorders>
              <w:top w:val="outset" w:sz="6" w:space="0" w:color="auto"/>
              <w:left w:val="outset" w:sz="6" w:space="0" w:color="auto"/>
              <w:bottom w:val="outset" w:sz="6" w:space="0" w:color="auto"/>
              <w:right w:val="outset" w:sz="6" w:space="0" w:color="auto"/>
            </w:tcBorders>
          </w:tcPr>
          <w:p w14:paraId="280759BF"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r>
      <w:tr w:rsidR="0089553B" w:rsidRPr="002D55CC" w14:paraId="5792F471"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F437F05" w14:textId="77777777" w:rsidR="0089553B" w:rsidRPr="002D55CC" w:rsidRDefault="0089553B" w:rsidP="008955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3B6CDAC7"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5A11D6B6"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7966FCD3"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661" w:type="pct"/>
            <w:tcBorders>
              <w:top w:val="outset" w:sz="6" w:space="0" w:color="auto"/>
              <w:left w:val="outset" w:sz="6" w:space="0" w:color="auto"/>
              <w:bottom w:val="outset" w:sz="6" w:space="0" w:color="auto"/>
              <w:right w:val="outset" w:sz="6" w:space="0" w:color="auto"/>
            </w:tcBorders>
          </w:tcPr>
          <w:p w14:paraId="7EFE1C64"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5941E56"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4E5CCCBE"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c>
          <w:tcPr>
            <w:tcW w:w="747" w:type="pct"/>
            <w:tcBorders>
              <w:top w:val="outset" w:sz="6" w:space="0" w:color="auto"/>
              <w:left w:val="outset" w:sz="6" w:space="0" w:color="auto"/>
              <w:bottom w:val="outset" w:sz="6" w:space="0" w:color="auto"/>
              <w:right w:val="outset" w:sz="6" w:space="0" w:color="auto"/>
            </w:tcBorders>
          </w:tcPr>
          <w:p w14:paraId="59276678" w14:textId="77777777" w:rsidR="0089553B" w:rsidRPr="00463FCB" w:rsidRDefault="0089553B" w:rsidP="0089553B">
            <w:pPr>
              <w:rPr>
                <w:rFonts w:ascii="Times New Roman" w:hAnsi="Times New Roman" w:cs="Times New Roman"/>
                <w:sz w:val="24"/>
                <w:szCs w:val="24"/>
              </w:rPr>
            </w:pPr>
            <w:r w:rsidRPr="00463FCB">
              <w:rPr>
                <w:rFonts w:ascii="Times New Roman" w:hAnsi="Times New Roman" w:cs="Times New Roman"/>
                <w:sz w:val="24"/>
                <w:szCs w:val="24"/>
              </w:rPr>
              <w:t>0</w:t>
            </w:r>
          </w:p>
        </w:tc>
      </w:tr>
      <w:tr w:rsidR="00E5323B" w:rsidRPr="002D55CC" w14:paraId="03CC99CC"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BB86DA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52F735" w14:textId="77777777" w:rsidR="00E5323B" w:rsidRPr="00463FCB" w:rsidRDefault="00CC0D2D" w:rsidP="00CC0D2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E282CB" w14:textId="77777777" w:rsidR="00E5323B" w:rsidRPr="00463FCB" w:rsidRDefault="00396EA8" w:rsidP="00CC0D2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C09E15" w14:textId="77777777" w:rsidR="00E5323B" w:rsidRPr="00463FCB" w:rsidRDefault="00CC0D2D" w:rsidP="00CC0D2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467D5A87" w14:textId="77777777" w:rsidR="00E5323B" w:rsidRPr="00463FCB" w:rsidRDefault="00396EA8" w:rsidP="00CC0D2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06D125" w14:textId="77777777" w:rsidR="00E5323B" w:rsidRPr="00463FCB" w:rsidRDefault="00CC0D2D" w:rsidP="00CC0D2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926C0E" w14:textId="77777777" w:rsidR="00E5323B" w:rsidRPr="00463FCB" w:rsidRDefault="00396EA8" w:rsidP="00E5323B">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14:paraId="0E483958" w14:textId="77777777" w:rsidR="00E5323B" w:rsidRPr="00463FCB" w:rsidRDefault="00E5323B" w:rsidP="00E5323B">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 </w:t>
            </w:r>
            <w:r w:rsidR="00396EA8" w:rsidRPr="00463FCB">
              <w:rPr>
                <w:rFonts w:ascii="Times New Roman" w:eastAsia="Times New Roman" w:hAnsi="Times New Roman" w:cs="Times New Roman"/>
                <w:iCs/>
                <w:sz w:val="24"/>
                <w:szCs w:val="24"/>
                <w:lang w:eastAsia="lv-LV"/>
              </w:rPr>
              <w:t>0</w:t>
            </w:r>
          </w:p>
        </w:tc>
      </w:tr>
      <w:tr w:rsidR="006739DD" w:rsidRPr="002D55CC" w14:paraId="05229CF7"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B34DCC2" w14:textId="77777777" w:rsidR="006739DD" w:rsidRPr="002D55CC" w:rsidRDefault="006739DD" w:rsidP="006739DD">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1605DA6B"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7998E979"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7A41C668"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486582EF"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795CEE1A"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7D274F22"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6813B692" w14:textId="77777777" w:rsidR="006739DD" w:rsidRPr="00463FCB" w:rsidRDefault="006739DD" w:rsidP="006739DD">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74FFC8B"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329843DA"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166FD67E"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5B846083"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00775909"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7D9F60C5"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661" w:type="pct"/>
            <w:tcBorders>
              <w:top w:val="outset" w:sz="6" w:space="0" w:color="auto"/>
              <w:left w:val="outset" w:sz="6" w:space="0" w:color="auto"/>
              <w:bottom w:val="outset" w:sz="6" w:space="0" w:color="auto"/>
              <w:right w:val="outset" w:sz="6" w:space="0" w:color="auto"/>
            </w:tcBorders>
            <w:hideMark/>
          </w:tcPr>
          <w:p w14:paraId="66504FBD" w14:textId="77777777" w:rsidR="006739DD" w:rsidRDefault="006739DD" w:rsidP="006739DD">
            <w:r w:rsidRPr="00957934">
              <w:rPr>
                <w:rFonts w:ascii="Times New Roman" w:hAnsi="Times New Roman" w:cs="Times New Roman"/>
                <w:sz w:val="24"/>
                <w:szCs w:val="24"/>
              </w:rPr>
              <w:t>nav precīzi aprēķināms</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20FF9E0"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29F1D5A7"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3D9E21E3"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7686E079"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2F5E6816"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p>
          <w:p w14:paraId="53CBDDA5" w14:textId="77777777" w:rsidR="006739DD" w:rsidRPr="00463FCB" w:rsidRDefault="006739DD" w:rsidP="006739DD">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4F02F1FC" w14:textId="77777777" w:rsidR="006739DD" w:rsidRDefault="006739DD" w:rsidP="006739DD">
            <w:r w:rsidRPr="00F85F1A">
              <w:rPr>
                <w:rFonts w:ascii="Times New Roman" w:hAnsi="Times New Roman" w:cs="Times New Roman"/>
                <w:sz w:val="24"/>
                <w:szCs w:val="24"/>
              </w:rPr>
              <w:t>nav precīzi aprēķināms</w:t>
            </w:r>
          </w:p>
        </w:tc>
        <w:tc>
          <w:tcPr>
            <w:tcW w:w="747" w:type="pct"/>
            <w:tcBorders>
              <w:top w:val="outset" w:sz="6" w:space="0" w:color="auto"/>
              <w:left w:val="outset" w:sz="6" w:space="0" w:color="auto"/>
              <w:bottom w:val="outset" w:sz="6" w:space="0" w:color="auto"/>
              <w:right w:val="outset" w:sz="6" w:space="0" w:color="auto"/>
            </w:tcBorders>
            <w:hideMark/>
          </w:tcPr>
          <w:p w14:paraId="3F0A31BB" w14:textId="77777777" w:rsidR="006739DD" w:rsidRDefault="006739DD" w:rsidP="006739DD">
            <w:r w:rsidRPr="00F85F1A">
              <w:rPr>
                <w:rFonts w:ascii="Times New Roman" w:hAnsi="Times New Roman" w:cs="Times New Roman"/>
                <w:sz w:val="24"/>
                <w:szCs w:val="24"/>
              </w:rPr>
              <w:t>nav precīzi aprēķināms</w:t>
            </w:r>
          </w:p>
        </w:tc>
      </w:tr>
      <w:tr w:rsidR="006739DD" w:rsidRPr="002D55CC" w14:paraId="4F7D98EA"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BEC74E4" w14:textId="77777777" w:rsidR="006739DD" w:rsidRPr="002D55CC" w:rsidRDefault="006739DD" w:rsidP="006739DD">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4D1B67" w14:textId="77777777" w:rsidR="006739DD" w:rsidRPr="00463FCB" w:rsidRDefault="006739DD" w:rsidP="006739DD">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E2130AE" w14:textId="77777777" w:rsidR="006739DD" w:rsidRPr="00463FCB" w:rsidRDefault="006739DD" w:rsidP="006739DD">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5837D" w14:textId="77777777" w:rsidR="006739DD" w:rsidRPr="00463FCB" w:rsidRDefault="006739DD" w:rsidP="006739DD">
            <w:pPr>
              <w:spacing w:after="0" w:line="240" w:lineRule="auto"/>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hideMark/>
          </w:tcPr>
          <w:p w14:paraId="1DA22B0E" w14:textId="77777777" w:rsidR="006739DD" w:rsidRDefault="006739DD" w:rsidP="006739DD">
            <w:r w:rsidRPr="00957934">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A66FD" w14:textId="77777777" w:rsidR="006739DD" w:rsidRPr="00463FCB" w:rsidRDefault="006739DD" w:rsidP="006739DD">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42DECE0" w14:textId="77777777" w:rsidR="006739DD" w:rsidRDefault="006739DD" w:rsidP="006739DD">
            <w:r w:rsidRPr="00F85F1A">
              <w:rPr>
                <w:rFonts w:ascii="Times New Roman" w:hAnsi="Times New Roman" w:cs="Times New Roman"/>
                <w:sz w:val="24"/>
                <w:szCs w:val="24"/>
              </w:rPr>
              <w:t>nav precīzi aprēķināms</w:t>
            </w:r>
          </w:p>
        </w:tc>
        <w:tc>
          <w:tcPr>
            <w:tcW w:w="747" w:type="pct"/>
            <w:tcBorders>
              <w:top w:val="outset" w:sz="6" w:space="0" w:color="auto"/>
              <w:left w:val="outset" w:sz="6" w:space="0" w:color="auto"/>
              <w:bottom w:val="outset" w:sz="6" w:space="0" w:color="auto"/>
              <w:right w:val="outset" w:sz="6" w:space="0" w:color="auto"/>
            </w:tcBorders>
            <w:hideMark/>
          </w:tcPr>
          <w:p w14:paraId="60E515AE" w14:textId="77777777" w:rsidR="006739DD" w:rsidRDefault="006739DD" w:rsidP="006739DD">
            <w:r w:rsidRPr="00F85F1A">
              <w:rPr>
                <w:rFonts w:ascii="Times New Roman" w:hAnsi="Times New Roman" w:cs="Times New Roman"/>
                <w:sz w:val="24"/>
                <w:szCs w:val="24"/>
              </w:rPr>
              <w:t>nav precīzi aprēķināms</w:t>
            </w:r>
          </w:p>
        </w:tc>
      </w:tr>
      <w:tr w:rsidR="00396EA8" w:rsidRPr="002D55CC" w14:paraId="639239F5"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06027A5" w14:textId="77777777" w:rsidR="00396EA8" w:rsidRPr="002D55CC" w:rsidRDefault="00396EA8" w:rsidP="00396EA8">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DDA83B" w14:textId="77777777" w:rsidR="00396EA8" w:rsidRPr="00463FCB" w:rsidRDefault="00396EA8" w:rsidP="00396EA8">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98B9742"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367ED1" w14:textId="77777777" w:rsidR="00396EA8" w:rsidRPr="00463FCB" w:rsidRDefault="00396EA8" w:rsidP="00396EA8">
            <w:pPr>
              <w:spacing w:after="0" w:line="240" w:lineRule="auto"/>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hideMark/>
          </w:tcPr>
          <w:p w14:paraId="04ABE87A"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024DE9" w14:textId="77777777" w:rsidR="00396EA8" w:rsidRPr="00463FCB" w:rsidRDefault="00396EA8" w:rsidP="00396EA8">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D73C953"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747" w:type="pct"/>
            <w:tcBorders>
              <w:top w:val="outset" w:sz="6" w:space="0" w:color="auto"/>
              <w:left w:val="outset" w:sz="6" w:space="0" w:color="auto"/>
              <w:bottom w:val="outset" w:sz="6" w:space="0" w:color="auto"/>
              <w:right w:val="outset" w:sz="6" w:space="0" w:color="auto"/>
            </w:tcBorders>
            <w:hideMark/>
          </w:tcPr>
          <w:p w14:paraId="1DFF3B4A"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396EA8" w:rsidRPr="002D55CC" w14:paraId="183B6B23" w14:textId="77777777" w:rsidTr="006739DD">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BC64F0E" w14:textId="77777777" w:rsidR="00396EA8" w:rsidRPr="002D55CC" w:rsidRDefault="00396EA8" w:rsidP="00396EA8">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D3D13D" w14:textId="77777777" w:rsidR="00396EA8" w:rsidRPr="00463FCB" w:rsidRDefault="00396EA8" w:rsidP="00396EA8">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60EBC18"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52C1A1" w14:textId="77777777" w:rsidR="00396EA8" w:rsidRPr="00463FCB" w:rsidRDefault="00396EA8" w:rsidP="00396EA8">
            <w:pPr>
              <w:spacing w:after="0" w:line="240" w:lineRule="auto"/>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hideMark/>
          </w:tcPr>
          <w:p w14:paraId="77DB3752"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62C1E" w14:textId="77777777" w:rsidR="00396EA8" w:rsidRPr="00463FCB" w:rsidRDefault="00396EA8" w:rsidP="00396EA8">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2C3740F5"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747" w:type="pct"/>
            <w:tcBorders>
              <w:top w:val="outset" w:sz="6" w:space="0" w:color="auto"/>
              <w:left w:val="outset" w:sz="6" w:space="0" w:color="auto"/>
              <w:bottom w:val="outset" w:sz="6" w:space="0" w:color="auto"/>
              <w:right w:val="outset" w:sz="6" w:space="0" w:color="auto"/>
            </w:tcBorders>
            <w:hideMark/>
          </w:tcPr>
          <w:p w14:paraId="5EC3CA79" w14:textId="77777777" w:rsidR="00396EA8" w:rsidRPr="00463FCB" w:rsidRDefault="00396EA8" w:rsidP="00396EA8">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E5323B" w:rsidRPr="002D55CC" w14:paraId="5AD134AD"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A89D5C3"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4DA6E95" w14:textId="77777777" w:rsidR="00E5323B" w:rsidRPr="00463FCB" w:rsidRDefault="00E5323B" w:rsidP="00E5323B">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 </w:t>
            </w:r>
            <w:r w:rsidR="00463FCB" w:rsidRPr="00463FCB">
              <w:rPr>
                <w:rFonts w:ascii="Times New Roman" w:eastAsia="Times New Roman" w:hAnsi="Times New Roman" w:cs="Times New Roman"/>
                <w:iCs/>
                <w:sz w:val="24"/>
                <w:szCs w:val="24"/>
                <w:lang w:eastAsia="lv-LV"/>
              </w:rPr>
              <w:t>nav precīzi aprēķināms</w:t>
            </w:r>
          </w:p>
        </w:tc>
      </w:tr>
      <w:tr w:rsidR="00E5323B" w:rsidRPr="002D55CC" w14:paraId="253E8CAA"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6DEB5E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8F62036"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2D55CC" w14:paraId="7E646DFB"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BA70F73"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308A9BD"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2D55CC" w14:paraId="3478EB3C"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DC2A7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5AB83CE" w14:textId="459A5A1E" w:rsidR="00F032AA" w:rsidRDefault="00F032AA" w:rsidP="00D30E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Amata vietu skaita izmaiņas </w:t>
            </w:r>
            <w:r w:rsidR="00695E45">
              <w:rPr>
                <w:rFonts w:ascii="Times New Roman" w:eastAsia="Times New Roman" w:hAnsi="Times New Roman" w:cs="Times New Roman"/>
                <w:iCs/>
                <w:sz w:val="24"/>
                <w:szCs w:val="24"/>
                <w:lang w:eastAsia="lv-LV"/>
              </w:rPr>
              <w:t>resorā</w:t>
            </w:r>
            <w:r>
              <w:rPr>
                <w:rFonts w:ascii="Times New Roman" w:eastAsia="Times New Roman" w:hAnsi="Times New Roman" w:cs="Times New Roman"/>
                <w:iCs/>
                <w:sz w:val="24"/>
                <w:szCs w:val="24"/>
                <w:lang w:eastAsia="lv-LV"/>
              </w:rPr>
              <w:t xml:space="preserve"> nav paredzētas.</w:t>
            </w:r>
          </w:p>
          <w:p w14:paraId="32565147" w14:textId="719252C6" w:rsidR="00E5323B" w:rsidRPr="00396EA8" w:rsidRDefault="00F032AA" w:rsidP="00695E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Dabas aizsardzības pārvaldei</w:t>
            </w:r>
            <w:r w:rsidR="00396EA8" w:rsidRPr="00396EA8">
              <w:rPr>
                <w:rFonts w:ascii="Times New Roman" w:eastAsia="Times New Roman" w:hAnsi="Times New Roman" w:cs="Times New Roman"/>
                <w:iCs/>
                <w:sz w:val="24"/>
                <w:szCs w:val="24"/>
                <w:lang w:eastAsia="lv-LV"/>
              </w:rPr>
              <w:t xml:space="preserve"> </w:t>
            </w:r>
            <w:r w:rsidR="00781B77">
              <w:rPr>
                <w:rFonts w:ascii="Times New Roman" w:eastAsia="Times New Roman" w:hAnsi="Times New Roman" w:cs="Times New Roman"/>
                <w:iCs/>
                <w:sz w:val="24"/>
                <w:szCs w:val="24"/>
                <w:lang w:eastAsia="lv-LV"/>
              </w:rPr>
              <w:t>nepieciešamas</w:t>
            </w:r>
            <w:r w:rsidR="00396EA8" w:rsidRPr="00F032AA">
              <w:rPr>
                <w:rFonts w:ascii="Times New Roman" w:eastAsia="Times New Roman" w:hAnsi="Times New Roman" w:cs="Times New Roman"/>
                <w:iCs/>
                <w:sz w:val="24"/>
                <w:szCs w:val="24"/>
                <w:lang w:eastAsia="lv-LV"/>
              </w:rPr>
              <w:t xml:space="preserve"> divas papildu amata vietas</w:t>
            </w:r>
            <w:r w:rsidR="005017F5">
              <w:rPr>
                <w:rFonts w:ascii="Times New Roman" w:eastAsia="Times New Roman" w:hAnsi="Times New Roman" w:cs="Times New Roman"/>
                <w:iCs/>
                <w:sz w:val="24"/>
                <w:szCs w:val="24"/>
                <w:lang w:eastAsia="lv-LV"/>
              </w:rPr>
              <w:t xml:space="preserve">, kuras plānots nodrošināt </w:t>
            </w:r>
            <w:r w:rsidR="00396EA8" w:rsidRPr="00C72E95">
              <w:rPr>
                <w:rFonts w:ascii="Times New Roman" w:eastAsia="Times New Roman" w:hAnsi="Times New Roman" w:cs="Times New Roman"/>
                <w:iCs/>
                <w:sz w:val="24"/>
                <w:szCs w:val="24"/>
                <w:lang w:eastAsia="lv-LV"/>
              </w:rPr>
              <w:t xml:space="preserve">no </w:t>
            </w:r>
            <w:r w:rsidR="00C72E95">
              <w:rPr>
                <w:rFonts w:ascii="Times New Roman" w:hAnsi="Times New Roman" w:cs="Times New Roman"/>
                <w:sz w:val="24"/>
                <w:szCs w:val="24"/>
              </w:rPr>
              <w:t>m</w:t>
            </w:r>
            <w:r w:rsidR="00396EA8" w:rsidRPr="00C72E95">
              <w:rPr>
                <w:rFonts w:ascii="Times New Roman" w:hAnsi="Times New Roman" w:cs="Times New Roman"/>
                <w:sz w:val="24"/>
                <w:szCs w:val="24"/>
              </w:rPr>
              <w:t xml:space="preserve">inistrijas </w:t>
            </w:r>
            <w:r w:rsidR="00695E45">
              <w:rPr>
                <w:rFonts w:ascii="Times New Roman" w:hAnsi="Times New Roman" w:cs="Times New Roman"/>
                <w:sz w:val="24"/>
                <w:szCs w:val="24"/>
              </w:rPr>
              <w:t>resora</w:t>
            </w:r>
            <w:r w:rsidR="005017F5">
              <w:rPr>
                <w:rFonts w:ascii="Times New Roman" w:hAnsi="Times New Roman" w:cs="Times New Roman"/>
                <w:sz w:val="24"/>
                <w:szCs w:val="24"/>
              </w:rPr>
              <w:t xml:space="preserve"> </w:t>
            </w:r>
            <w:r w:rsidR="00396EA8" w:rsidRPr="00C72E95">
              <w:rPr>
                <w:rFonts w:ascii="Times New Roman" w:hAnsi="Times New Roman" w:cs="Times New Roman"/>
                <w:sz w:val="24"/>
                <w:szCs w:val="24"/>
              </w:rPr>
              <w:t>vakancēm.</w:t>
            </w:r>
            <w:r w:rsidR="00396EA8">
              <w:rPr>
                <w:rFonts w:ascii="Times New Roman" w:hAnsi="Times New Roman" w:cs="Times New Roman"/>
                <w:sz w:val="24"/>
                <w:szCs w:val="24"/>
              </w:rPr>
              <w:t xml:space="preserve"> </w:t>
            </w:r>
          </w:p>
        </w:tc>
      </w:tr>
      <w:tr w:rsidR="00E5323B" w:rsidRPr="002D55CC" w14:paraId="69C0E262" w14:textId="77777777" w:rsidTr="0089553B">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DE5197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4C93D668" w14:textId="77777777" w:rsidR="00E5323B" w:rsidRDefault="00284B4D" w:rsidP="00637A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D7693A">
              <w:rPr>
                <w:rFonts w:ascii="Times New Roman" w:eastAsia="Times New Roman" w:hAnsi="Times New Roman" w:cs="Times New Roman"/>
                <w:iCs/>
                <w:sz w:val="24"/>
                <w:szCs w:val="24"/>
                <w:lang w:eastAsia="lv-LV"/>
              </w:rPr>
              <w:t>r l</w:t>
            </w:r>
            <w:r w:rsidR="00073F00" w:rsidRPr="00F032AA">
              <w:rPr>
                <w:rFonts w:ascii="Times New Roman" w:eastAsia="Times New Roman" w:hAnsi="Times New Roman" w:cs="Times New Roman"/>
                <w:iCs/>
                <w:sz w:val="24"/>
                <w:szCs w:val="24"/>
                <w:lang w:eastAsia="lv-LV"/>
              </w:rPr>
              <w:t xml:space="preserve">ikumprojekta piemērošanu </w:t>
            </w:r>
            <w:r w:rsidR="00B46809" w:rsidRPr="00F032AA">
              <w:rPr>
                <w:rFonts w:ascii="Times New Roman" w:eastAsia="Times New Roman" w:hAnsi="Times New Roman" w:cs="Times New Roman"/>
                <w:iCs/>
                <w:sz w:val="24"/>
                <w:szCs w:val="24"/>
                <w:lang w:eastAsia="lv-LV"/>
              </w:rPr>
              <w:t>saistītie iespējamie budžeta izdevumi</w:t>
            </w:r>
            <w:r w:rsidR="00F032AA">
              <w:rPr>
                <w:rFonts w:ascii="Times New Roman" w:eastAsia="Times New Roman" w:hAnsi="Times New Roman" w:cs="Times New Roman"/>
                <w:iCs/>
                <w:sz w:val="24"/>
                <w:szCs w:val="24"/>
                <w:lang w:eastAsia="lv-LV"/>
              </w:rPr>
              <w:t xml:space="preserve"> </w:t>
            </w:r>
            <w:r w:rsidR="00B46809" w:rsidRPr="00F032AA">
              <w:rPr>
                <w:rFonts w:ascii="Times New Roman" w:eastAsia="Times New Roman" w:hAnsi="Times New Roman" w:cs="Times New Roman"/>
                <w:iCs/>
                <w:sz w:val="24"/>
                <w:szCs w:val="24"/>
                <w:lang w:eastAsia="lv-LV"/>
              </w:rPr>
              <w:t>un ieņēmumi ir nepietiekami konkrēti prognozējami, jo atkarīgi no sod</w:t>
            </w:r>
            <w:r w:rsidR="00D7693A">
              <w:rPr>
                <w:rFonts w:ascii="Times New Roman" w:eastAsia="Times New Roman" w:hAnsi="Times New Roman" w:cs="Times New Roman"/>
                <w:iCs/>
                <w:sz w:val="24"/>
                <w:szCs w:val="24"/>
                <w:lang w:eastAsia="lv-LV"/>
              </w:rPr>
              <w:t>u piemērošanas nepieciešamības.</w:t>
            </w:r>
          </w:p>
          <w:p w14:paraId="790FAF31" w14:textId="1D80A0F5" w:rsidR="00D7693A" w:rsidRPr="002D55CC" w:rsidRDefault="00E86895" w:rsidP="00637A8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lastRenderedPageBreak/>
              <w:t>Ar amata vietām saistītie budžeta</w:t>
            </w:r>
            <w:r w:rsidR="00D7693A">
              <w:rPr>
                <w:rFonts w:ascii="Times New Roman" w:eastAsia="Times New Roman" w:hAnsi="Times New Roman" w:cs="Times New Roman"/>
                <w:iCs/>
                <w:sz w:val="24"/>
                <w:szCs w:val="24"/>
                <w:lang w:eastAsia="lv-LV"/>
              </w:rPr>
              <w:t xml:space="preserve"> izdevumi norādīti likumprojekta “Ģenētisko resursu izmantošanas likums” anotācijā.</w:t>
            </w:r>
            <w:bookmarkStart w:id="0" w:name="_GoBack"/>
            <w:bookmarkEnd w:id="0"/>
          </w:p>
        </w:tc>
      </w:tr>
    </w:tbl>
    <w:p w14:paraId="27B9C5E9" w14:textId="5E952035"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61159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EA3C3C"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2D55CC" w14:paraId="00BE1556" w14:textId="77777777" w:rsidTr="001909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C0D21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4832B0"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11FE39A7" w14:textId="77777777" w:rsidR="00CD2C5B" w:rsidRPr="00CD2C5B" w:rsidRDefault="00C72E95" w:rsidP="00CD2C5B">
            <w:pPr>
              <w:spacing w:after="120" w:line="240" w:lineRule="auto"/>
              <w:jc w:val="both"/>
              <w:rPr>
                <w:rFonts w:ascii="Times New Roman" w:hAnsi="Times New Roman" w:cs="Times New Roman"/>
                <w:sz w:val="24"/>
                <w:szCs w:val="24"/>
              </w:rPr>
            </w:pPr>
            <w:r w:rsidRPr="00CD2C5B">
              <w:rPr>
                <w:rFonts w:ascii="Times New Roman" w:hAnsi="Times New Roman" w:cs="Times New Roman"/>
                <w:iCs/>
                <w:sz w:val="24"/>
                <w:szCs w:val="24"/>
              </w:rPr>
              <w:t>Kopā ar l</w:t>
            </w:r>
            <w:r w:rsidR="005B4C5F" w:rsidRPr="00CD2C5B">
              <w:rPr>
                <w:rFonts w:ascii="Times New Roman" w:hAnsi="Times New Roman" w:cs="Times New Roman"/>
                <w:iCs/>
                <w:sz w:val="24"/>
                <w:szCs w:val="24"/>
              </w:rPr>
              <w:t xml:space="preserve">ikumprojektu tiek virzīts </w:t>
            </w:r>
            <w:r w:rsidRPr="00CD2C5B">
              <w:rPr>
                <w:rFonts w:ascii="Times New Roman" w:hAnsi="Times New Roman" w:cs="Times New Roman"/>
                <w:iCs/>
                <w:sz w:val="24"/>
                <w:szCs w:val="24"/>
              </w:rPr>
              <w:t>Ģenētisko resursu izmantošanas likumprojekts</w:t>
            </w:r>
            <w:r w:rsidR="005B4C5F" w:rsidRPr="00CD2C5B">
              <w:rPr>
                <w:rFonts w:ascii="Times New Roman" w:hAnsi="Times New Roman" w:cs="Times New Roman"/>
                <w:iCs/>
                <w:sz w:val="24"/>
                <w:szCs w:val="24"/>
              </w:rPr>
              <w:t>,</w:t>
            </w:r>
            <w:r w:rsidRPr="00CD2C5B">
              <w:rPr>
                <w:rFonts w:ascii="Times New Roman" w:hAnsi="Times New Roman" w:cs="Times New Roman"/>
                <w:iCs/>
                <w:sz w:val="24"/>
                <w:szCs w:val="24"/>
              </w:rPr>
              <w:t xml:space="preserve"> nosakot r</w:t>
            </w:r>
            <w:r w:rsidR="00D650D4" w:rsidRPr="00CD2C5B">
              <w:rPr>
                <w:rFonts w:ascii="Times New Roman" w:hAnsi="Times New Roman" w:cs="Times New Roman"/>
                <w:iCs/>
                <w:sz w:val="24"/>
                <w:szCs w:val="24"/>
              </w:rPr>
              <w:t>egulas nacionālo kompetento iestādi (</w:t>
            </w:r>
            <w:r w:rsidR="005B4C5F" w:rsidRPr="00CD2C5B">
              <w:rPr>
                <w:rFonts w:ascii="Times New Roman" w:hAnsi="Times New Roman" w:cs="Times New Roman"/>
                <w:iCs/>
                <w:sz w:val="24"/>
                <w:szCs w:val="24"/>
              </w:rPr>
              <w:t>Dabas aizsardzības pārvald</w:t>
            </w:r>
            <w:r w:rsidR="00F93B40" w:rsidRPr="00CD2C5B">
              <w:rPr>
                <w:rFonts w:ascii="Times New Roman" w:hAnsi="Times New Roman" w:cs="Times New Roman"/>
                <w:iCs/>
                <w:sz w:val="24"/>
                <w:szCs w:val="24"/>
              </w:rPr>
              <w:t>i</w:t>
            </w:r>
            <w:r w:rsidR="00D650D4" w:rsidRPr="00CD2C5B">
              <w:rPr>
                <w:rFonts w:ascii="Times New Roman" w:hAnsi="Times New Roman" w:cs="Times New Roman"/>
                <w:iCs/>
                <w:sz w:val="24"/>
                <w:szCs w:val="24"/>
              </w:rPr>
              <w:t xml:space="preserve">) un </w:t>
            </w:r>
            <w:r w:rsidR="005B4C5F" w:rsidRPr="00CD2C5B">
              <w:rPr>
                <w:rFonts w:ascii="Times New Roman" w:hAnsi="Times New Roman" w:cs="Times New Roman"/>
                <w:iCs/>
                <w:sz w:val="24"/>
                <w:szCs w:val="24"/>
              </w:rPr>
              <w:t>citus</w:t>
            </w:r>
            <w:r w:rsidRPr="00CD2C5B">
              <w:rPr>
                <w:rFonts w:ascii="Times New Roman" w:hAnsi="Times New Roman" w:cs="Times New Roman"/>
                <w:iCs/>
                <w:sz w:val="24"/>
                <w:szCs w:val="24"/>
              </w:rPr>
              <w:t xml:space="preserve"> r</w:t>
            </w:r>
            <w:r w:rsidR="00D650D4" w:rsidRPr="00CD2C5B">
              <w:rPr>
                <w:rFonts w:ascii="Times New Roman" w:hAnsi="Times New Roman" w:cs="Times New Roman"/>
                <w:iCs/>
                <w:sz w:val="24"/>
                <w:szCs w:val="24"/>
              </w:rPr>
              <w:t xml:space="preserve">egulas </w:t>
            </w:r>
            <w:r w:rsidRPr="00CD2C5B">
              <w:rPr>
                <w:rFonts w:ascii="Times New Roman" w:hAnsi="Times New Roman" w:cs="Times New Roman"/>
                <w:iCs/>
                <w:sz w:val="24"/>
                <w:szCs w:val="24"/>
              </w:rPr>
              <w:t>īstenošanas</w:t>
            </w:r>
            <w:r w:rsidR="005B4C5F" w:rsidRPr="00CD2C5B">
              <w:rPr>
                <w:rFonts w:ascii="Times New Roman" w:hAnsi="Times New Roman" w:cs="Times New Roman"/>
                <w:iCs/>
                <w:sz w:val="24"/>
                <w:szCs w:val="24"/>
              </w:rPr>
              <w:t xml:space="preserve"> jautājumus</w:t>
            </w:r>
            <w:r w:rsidR="00D650D4" w:rsidRPr="00CD2C5B">
              <w:rPr>
                <w:rFonts w:ascii="Times New Roman" w:hAnsi="Times New Roman" w:cs="Times New Roman"/>
                <w:iCs/>
                <w:sz w:val="24"/>
                <w:szCs w:val="24"/>
              </w:rPr>
              <w:t>.</w:t>
            </w:r>
            <w:r w:rsidR="00CD2C5B" w:rsidRPr="00CD2C5B">
              <w:rPr>
                <w:rFonts w:ascii="Times New Roman" w:hAnsi="Times New Roman" w:cs="Times New Roman"/>
                <w:sz w:val="24"/>
                <w:szCs w:val="24"/>
              </w:rPr>
              <w:t xml:space="preserve"> Likumprojektā noteiktie pārkāpumi un sodi iekļauti minētajā </w:t>
            </w:r>
            <w:r w:rsidR="00CD2C5B" w:rsidRPr="00CD2C5B">
              <w:rPr>
                <w:rFonts w:ascii="Times New Roman" w:hAnsi="Times New Roman" w:cs="Times New Roman"/>
                <w:iCs/>
                <w:sz w:val="24"/>
                <w:szCs w:val="24"/>
              </w:rPr>
              <w:t>Ģenētisko resursu izmantošanas</w:t>
            </w:r>
            <w:r w:rsidR="00CD2C5B" w:rsidRPr="00CD2C5B">
              <w:rPr>
                <w:rFonts w:ascii="Times New Roman" w:hAnsi="Times New Roman" w:cs="Times New Roman"/>
                <w:sz w:val="24"/>
                <w:szCs w:val="24"/>
              </w:rPr>
              <w:t xml:space="preserve"> likumprojektā, paredzot, ka tie stājas spēkā vienlaikus ar jauno Administratīvo pārkāpumu procesa likumu.</w:t>
            </w:r>
          </w:p>
          <w:p w14:paraId="57CD7994" w14:textId="60F679EF" w:rsidR="00E5323B" w:rsidRPr="00CD2C5B" w:rsidRDefault="00CD2C5B" w:rsidP="00CD2C5B">
            <w:pPr>
              <w:spacing w:after="120" w:line="240" w:lineRule="auto"/>
              <w:jc w:val="both"/>
              <w:rPr>
                <w:rFonts w:ascii="Times New Roman" w:hAnsi="Times New Roman" w:cs="Times New Roman"/>
                <w:b/>
                <w:bCs/>
                <w:color w:val="414142"/>
                <w:sz w:val="24"/>
                <w:szCs w:val="24"/>
                <w:shd w:val="clear" w:color="auto" w:fill="FFFFFF"/>
              </w:rPr>
            </w:pPr>
            <w:r w:rsidRPr="00CD2C5B">
              <w:rPr>
                <w:rFonts w:ascii="Times New Roman" w:hAnsi="Times New Roman" w:cs="Times New Roman"/>
                <w:sz w:val="24"/>
                <w:szCs w:val="24"/>
              </w:rPr>
              <w:t>Tādā veidā šajā ģenētisko resursu izmantošanas jomā īstenojot Ministru kabineta 2014. gada 22. aprīļa sēdē nolemto (prot. Nr. 24, 26. §) par nozaru administratīvo pārkāpumu kodifikācijas sistēmas ieviešanu.</w:t>
            </w:r>
          </w:p>
        </w:tc>
      </w:tr>
      <w:tr w:rsidR="00E5323B" w:rsidRPr="002D55CC" w14:paraId="2200C21F" w14:textId="77777777" w:rsidTr="001909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452D4E"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E7D17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F5CB10A" w14:textId="18106734" w:rsidR="00E5323B" w:rsidRPr="002D55CC" w:rsidRDefault="008115C8" w:rsidP="008D6ED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M</w:t>
            </w:r>
            <w:r w:rsidR="00D650D4" w:rsidRPr="00E73726">
              <w:rPr>
                <w:rFonts w:ascii="Times New Roman" w:hAnsi="Times New Roman" w:cs="Times New Roman"/>
                <w:sz w:val="24"/>
                <w:szCs w:val="24"/>
              </w:rPr>
              <w:t>inistrija</w:t>
            </w:r>
            <w:r w:rsidR="00CE274A">
              <w:rPr>
                <w:rFonts w:ascii="Times New Roman" w:hAnsi="Times New Roman" w:cs="Times New Roman"/>
                <w:sz w:val="24"/>
                <w:szCs w:val="24"/>
              </w:rPr>
              <w:t>.</w:t>
            </w:r>
          </w:p>
        </w:tc>
      </w:tr>
      <w:tr w:rsidR="001909B9" w:rsidRPr="002D55CC" w14:paraId="174D55A5" w14:textId="77777777" w:rsidTr="001909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23F1E9" w14:textId="77777777" w:rsidR="001909B9" w:rsidRPr="002D55CC" w:rsidRDefault="001909B9" w:rsidP="001909B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8043889" w14:textId="77777777" w:rsidR="001909B9" w:rsidRPr="002D55CC" w:rsidRDefault="001909B9" w:rsidP="001909B9">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4F99EC9" w14:textId="4F355D34" w:rsidR="001909B9" w:rsidRPr="001909B9" w:rsidRDefault="00CD2C5B" w:rsidP="001909B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2C5B">
              <w:rPr>
                <w:rFonts w:ascii="Times New Roman" w:eastAsia="Times New Roman" w:hAnsi="Times New Roman" w:cs="Times New Roman"/>
                <w:iCs/>
                <w:sz w:val="24"/>
                <w:szCs w:val="24"/>
                <w:lang w:eastAsia="lv-LV"/>
              </w:rPr>
              <w:t>Nav.</w:t>
            </w:r>
          </w:p>
        </w:tc>
      </w:tr>
    </w:tbl>
    <w:p w14:paraId="0CDB5F8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26756C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EB930E"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2D55CC" w14:paraId="378204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1C9E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0C312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4C7B8BC" w14:textId="1910E77D" w:rsidR="00E5323B" w:rsidRPr="00221B0F" w:rsidRDefault="00822298" w:rsidP="00221B0F">
            <w:pPr>
              <w:spacing w:after="120" w:line="240" w:lineRule="auto"/>
              <w:jc w:val="both"/>
              <w:rPr>
                <w:rFonts w:ascii="Times New Roman" w:hAnsi="Times New Roman" w:cs="Times New Roman"/>
                <w:sz w:val="24"/>
                <w:szCs w:val="24"/>
              </w:rPr>
            </w:pPr>
            <w:r w:rsidRPr="00221B0F">
              <w:rPr>
                <w:rFonts w:ascii="Times New Roman" w:hAnsi="Times New Roman" w:cs="Times New Roman"/>
                <w:sz w:val="24"/>
                <w:szCs w:val="24"/>
              </w:rPr>
              <w:t xml:space="preserve">Eiropas Parlamenta un Padomes 2014. gada 16. aprīļa Regulas (ES) Nr. 511/2014 par no </w:t>
            </w:r>
            <w:proofErr w:type="spellStart"/>
            <w:r w:rsidRPr="00221B0F">
              <w:rPr>
                <w:rFonts w:ascii="Times New Roman" w:hAnsi="Times New Roman" w:cs="Times New Roman"/>
                <w:sz w:val="24"/>
                <w:szCs w:val="24"/>
              </w:rPr>
              <w:t>Nagojas</w:t>
            </w:r>
            <w:proofErr w:type="spellEnd"/>
            <w:r w:rsidRPr="00221B0F">
              <w:rPr>
                <w:rFonts w:ascii="Times New Roman" w:hAnsi="Times New Roman" w:cs="Times New Roman"/>
                <w:sz w:val="24"/>
                <w:szCs w:val="24"/>
              </w:rPr>
              <w:t xml:space="preserve"> Protokola par piekļuvi ģenētiskajiem resursiem un to ieguvumu taisnīgu un godīgu sadali, kas gūti no šo resursu izmantošanas, izrietošiem atbilstības pasākumiem li</w:t>
            </w:r>
            <w:r w:rsidR="00984517">
              <w:rPr>
                <w:rFonts w:ascii="Times New Roman" w:hAnsi="Times New Roman" w:cs="Times New Roman"/>
                <w:sz w:val="24"/>
                <w:szCs w:val="24"/>
              </w:rPr>
              <w:t>etotāji</w:t>
            </w:r>
            <w:r w:rsidR="009A4D2C">
              <w:rPr>
                <w:rFonts w:ascii="Times New Roman" w:hAnsi="Times New Roman" w:cs="Times New Roman"/>
                <w:sz w:val="24"/>
                <w:szCs w:val="24"/>
              </w:rPr>
              <w:t>em Savienībā 11. pants</w:t>
            </w:r>
            <w:r w:rsidRPr="00221B0F">
              <w:rPr>
                <w:rFonts w:ascii="Times New Roman" w:hAnsi="Times New Roman" w:cs="Times New Roman"/>
                <w:sz w:val="24"/>
                <w:szCs w:val="24"/>
              </w:rPr>
              <w:t>.</w:t>
            </w:r>
          </w:p>
          <w:p w14:paraId="4B091BF3" w14:textId="64A1116D" w:rsidR="00221B0F" w:rsidRPr="00E55A33" w:rsidRDefault="00822298" w:rsidP="00984517">
            <w:pPr>
              <w:spacing w:after="120" w:line="240" w:lineRule="auto"/>
              <w:jc w:val="both"/>
              <w:rPr>
                <w:rFonts w:ascii="Times New Roman" w:eastAsia="Times New Roman" w:hAnsi="Times New Roman" w:cs="Times New Roman"/>
                <w:iCs/>
                <w:sz w:val="24"/>
                <w:szCs w:val="24"/>
                <w:lang w:eastAsia="lv-LV"/>
              </w:rPr>
            </w:pPr>
            <w:r w:rsidRPr="00221B0F">
              <w:rPr>
                <w:rFonts w:ascii="Times New Roman" w:eastAsia="Times New Roman" w:hAnsi="Times New Roman" w:cs="Times New Roman"/>
                <w:iCs/>
                <w:sz w:val="24"/>
                <w:szCs w:val="24"/>
                <w:lang w:eastAsia="lv-LV"/>
              </w:rPr>
              <w:t xml:space="preserve">Likumprojektu </w:t>
            </w:r>
            <w:r w:rsidR="00F93B40">
              <w:rPr>
                <w:rFonts w:ascii="Times New Roman" w:eastAsia="Times New Roman" w:hAnsi="Times New Roman" w:cs="Times New Roman"/>
                <w:iCs/>
                <w:sz w:val="24"/>
                <w:szCs w:val="24"/>
                <w:lang w:eastAsia="lv-LV"/>
              </w:rPr>
              <w:t>nepieciešams</w:t>
            </w:r>
            <w:r w:rsidRPr="00221B0F">
              <w:rPr>
                <w:rFonts w:ascii="Times New Roman" w:eastAsia="Times New Roman" w:hAnsi="Times New Roman" w:cs="Times New Roman"/>
                <w:iCs/>
                <w:sz w:val="24"/>
                <w:szCs w:val="24"/>
                <w:lang w:eastAsia="lv-LV"/>
              </w:rPr>
              <w:t xml:space="preserve"> pieņemt līdz 2018. gada novembrim.</w:t>
            </w:r>
          </w:p>
        </w:tc>
      </w:tr>
      <w:tr w:rsidR="00E5323B" w:rsidRPr="002D55CC" w14:paraId="0AEB2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E27191"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2B9168"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5ADE305" w14:textId="5A90B98F" w:rsidR="002716E0" w:rsidRPr="00AD2188" w:rsidRDefault="00FE692E" w:rsidP="00DA50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2D55CC" w14:paraId="3334C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5A672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333B5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19389C" w14:textId="77777777" w:rsidR="00414772" w:rsidRDefault="00414772" w:rsidP="00414772">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Lēmums par Bioloģiskās daudzveidības konvencijas </w:t>
            </w:r>
            <w:proofErr w:type="spellStart"/>
            <w:r>
              <w:rPr>
                <w:rFonts w:ascii="Times New Roman" w:eastAsia="Times New Roman" w:hAnsi="Times New Roman" w:cs="Times New Roman"/>
                <w:iCs/>
                <w:sz w:val="24"/>
                <w:szCs w:val="24"/>
                <w:lang w:eastAsia="lv-LV"/>
              </w:rPr>
              <w:t>Nagojas</w:t>
            </w:r>
            <w:proofErr w:type="spellEnd"/>
            <w:r>
              <w:rPr>
                <w:rFonts w:ascii="Times New Roman" w:eastAsia="Times New Roman" w:hAnsi="Times New Roman" w:cs="Times New Roman"/>
                <w:iCs/>
                <w:sz w:val="24"/>
                <w:szCs w:val="24"/>
                <w:lang w:eastAsia="lv-LV"/>
              </w:rPr>
              <w:t xml:space="preserve"> Protokola ienešanu Latvijas tiesību sistēmā nav pieņemts.</w:t>
            </w:r>
          </w:p>
          <w:p w14:paraId="3D77AD01" w14:textId="61A04DBE" w:rsidR="00C036F1" w:rsidRPr="00AD2188" w:rsidRDefault="00C036F1" w:rsidP="00FE692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noProof/>
                <w:sz w:val="24"/>
                <w:szCs w:val="24"/>
              </w:rPr>
              <w:t xml:space="preserve">Likumprojekts veicinās </w:t>
            </w:r>
            <w:r w:rsidRPr="00CC4807">
              <w:rPr>
                <w:rFonts w:ascii="Times New Roman" w:hAnsi="Times New Roman" w:cs="Times New Roman"/>
                <w:noProof/>
                <w:sz w:val="24"/>
                <w:szCs w:val="24"/>
              </w:rPr>
              <w:t>Biolo</w:t>
            </w:r>
            <w:r>
              <w:rPr>
                <w:rFonts w:ascii="Times New Roman" w:hAnsi="Times New Roman" w:cs="Times New Roman"/>
                <w:noProof/>
                <w:sz w:val="24"/>
                <w:szCs w:val="24"/>
              </w:rPr>
              <w:t>ģiskās daudzveidības konvencijas trešā</w:t>
            </w:r>
            <w:r w:rsidRPr="00CC4807">
              <w:rPr>
                <w:rFonts w:ascii="Times New Roman" w:hAnsi="Times New Roman" w:cs="Times New Roman"/>
                <w:noProof/>
                <w:sz w:val="24"/>
                <w:szCs w:val="24"/>
              </w:rPr>
              <w:t xml:space="preserve"> </w:t>
            </w:r>
            <w:r>
              <w:rPr>
                <w:rFonts w:ascii="Times New Roman" w:hAnsi="Times New Roman" w:cs="Times New Roman"/>
                <w:noProof/>
                <w:sz w:val="24"/>
                <w:szCs w:val="24"/>
              </w:rPr>
              <w:t>mērķa īstenošanu (</w:t>
            </w:r>
            <w:r w:rsidRPr="00CC4807">
              <w:rPr>
                <w:rFonts w:ascii="Times New Roman" w:hAnsi="Times New Roman" w:cs="Times New Roman"/>
                <w:sz w:val="24"/>
                <w:szCs w:val="24"/>
              </w:rPr>
              <w:t>godīga un līdztiesīga ģenētisko resursu patērēšanā iegūto labumu sadale, ietverot gan pienācīgu pieeju ģenētiskajiem resursiem, gan atbilstošu tehnoloģiju nodošanu, ņemot vērā visas tiesības uz šiem resursiem un tehnoloģ</w:t>
            </w:r>
            <w:r>
              <w:rPr>
                <w:rFonts w:ascii="Times New Roman" w:hAnsi="Times New Roman" w:cs="Times New Roman"/>
                <w:sz w:val="24"/>
                <w:szCs w:val="24"/>
              </w:rPr>
              <w:t>ijām, gan pienācīgu finansēšanu).</w:t>
            </w:r>
          </w:p>
        </w:tc>
      </w:tr>
    </w:tbl>
    <w:p w14:paraId="0BEB03A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4"/>
        <w:gridCol w:w="2190"/>
        <w:gridCol w:w="2251"/>
        <w:gridCol w:w="2410"/>
      </w:tblGrid>
      <w:tr w:rsidR="00E5323B" w:rsidRPr="002D55CC" w14:paraId="48063D3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1F89202"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1. tabula</w:t>
            </w:r>
            <w:r w:rsidRPr="002D55CC">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2D55CC" w14:paraId="152168B4" w14:textId="77777777" w:rsidTr="003258F5">
        <w:trPr>
          <w:tblCellSpacing w:w="15" w:type="dxa"/>
        </w:trPr>
        <w:tc>
          <w:tcPr>
            <w:tcW w:w="1204" w:type="pct"/>
            <w:tcBorders>
              <w:top w:val="outset" w:sz="6" w:space="0" w:color="auto"/>
              <w:left w:val="outset" w:sz="6" w:space="0" w:color="auto"/>
              <w:bottom w:val="outset" w:sz="6" w:space="0" w:color="auto"/>
              <w:right w:val="outset" w:sz="6" w:space="0" w:color="auto"/>
            </w:tcBorders>
            <w:hideMark/>
          </w:tcPr>
          <w:p w14:paraId="3267C67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Attiecīgā ES tiesību akta datums, numurs un nosaukums</w:t>
            </w:r>
          </w:p>
        </w:tc>
        <w:tc>
          <w:tcPr>
            <w:tcW w:w="3747" w:type="pct"/>
            <w:gridSpan w:val="3"/>
            <w:tcBorders>
              <w:top w:val="outset" w:sz="6" w:space="0" w:color="auto"/>
              <w:left w:val="outset" w:sz="6" w:space="0" w:color="auto"/>
              <w:bottom w:val="outset" w:sz="6" w:space="0" w:color="auto"/>
              <w:right w:val="outset" w:sz="6" w:space="0" w:color="auto"/>
            </w:tcBorders>
            <w:hideMark/>
          </w:tcPr>
          <w:p w14:paraId="5236A33E" w14:textId="77777777" w:rsidR="00E5323B" w:rsidRPr="002D55C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D55CC">
              <w:rPr>
                <w:rFonts w:ascii="Times New Roman" w:eastAsia="Times New Roman" w:hAnsi="Times New Roman" w:cs="Times New Roman"/>
                <w:iCs/>
                <w:color w:val="A6A6A6" w:themeColor="background1" w:themeShade="A6"/>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E5323B" w:rsidRPr="002D55CC" w14:paraId="79A65B72" w14:textId="77777777" w:rsidTr="003258F5">
        <w:trPr>
          <w:tblCellSpacing w:w="15" w:type="dxa"/>
        </w:trPr>
        <w:tc>
          <w:tcPr>
            <w:tcW w:w="1204" w:type="pct"/>
            <w:tcBorders>
              <w:top w:val="outset" w:sz="6" w:space="0" w:color="auto"/>
              <w:left w:val="outset" w:sz="6" w:space="0" w:color="auto"/>
              <w:bottom w:val="outset" w:sz="6" w:space="0" w:color="auto"/>
              <w:right w:val="outset" w:sz="6" w:space="0" w:color="auto"/>
            </w:tcBorders>
            <w:vAlign w:val="center"/>
            <w:hideMark/>
          </w:tcPr>
          <w:p w14:paraId="3DBA797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w:t>
            </w:r>
          </w:p>
        </w:tc>
        <w:tc>
          <w:tcPr>
            <w:tcW w:w="1205" w:type="pct"/>
            <w:tcBorders>
              <w:top w:val="outset" w:sz="6" w:space="0" w:color="auto"/>
              <w:left w:val="outset" w:sz="6" w:space="0" w:color="auto"/>
              <w:bottom w:val="outset" w:sz="6" w:space="0" w:color="auto"/>
              <w:right w:val="outset" w:sz="6" w:space="0" w:color="auto"/>
            </w:tcBorders>
            <w:vAlign w:val="center"/>
            <w:hideMark/>
          </w:tcPr>
          <w:p w14:paraId="35D1926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B</w:t>
            </w:r>
          </w:p>
        </w:tc>
        <w:tc>
          <w:tcPr>
            <w:tcW w:w="1239" w:type="pct"/>
            <w:tcBorders>
              <w:top w:val="outset" w:sz="6" w:space="0" w:color="auto"/>
              <w:left w:val="outset" w:sz="6" w:space="0" w:color="auto"/>
              <w:bottom w:val="outset" w:sz="6" w:space="0" w:color="auto"/>
              <w:right w:val="outset" w:sz="6" w:space="0" w:color="auto"/>
            </w:tcBorders>
            <w:vAlign w:val="center"/>
            <w:hideMark/>
          </w:tcPr>
          <w:p w14:paraId="43EB7082"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14:paraId="3A48104E"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D</w:t>
            </w:r>
          </w:p>
        </w:tc>
      </w:tr>
      <w:tr w:rsidR="00E5323B" w:rsidRPr="002D55CC" w14:paraId="1E89A82C" w14:textId="77777777" w:rsidTr="003258F5">
        <w:trPr>
          <w:tblCellSpacing w:w="15" w:type="dxa"/>
        </w:trPr>
        <w:tc>
          <w:tcPr>
            <w:tcW w:w="1204" w:type="pct"/>
            <w:tcBorders>
              <w:top w:val="outset" w:sz="6" w:space="0" w:color="auto"/>
              <w:left w:val="outset" w:sz="6" w:space="0" w:color="auto"/>
              <w:bottom w:val="outset" w:sz="6" w:space="0" w:color="auto"/>
              <w:right w:val="outset" w:sz="6" w:space="0" w:color="auto"/>
            </w:tcBorders>
            <w:hideMark/>
          </w:tcPr>
          <w:p w14:paraId="7E0F1FD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205" w:type="pct"/>
            <w:tcBorders>
              <w:top w:val="outset" w:sz="6" w:space="0" w:color="auto"/>
              <w:left w:val="outset" w:sz="6" w:space="0" w:color="auto"/>
              <w:bottom w:val="outset" w:sz="6" w:space="0" w:color="auto"/>
              <w:right w:val="outset" w:sz="6" w:space="0" w:color="auto"/>
            </w:tcBorders>
            <w:hideMark/>
          </w:tcPr>
          <w:p w14:paraId="25449B6D"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39" w:type="pct"/>
            <w:tcBorders>
              <w:top w:val="outset" w:sz="6" w:space="0" w:color="auto"/>
              <w:left w:val="outset" w:sz="6" w:space="0" w:color="auto"/>
              <w:bottom w:val="outset" w:sz="6" w:space="0" w:color="auto"/>
              <w:right w:val="outset" w:sz="6" w:space="0" w:color="auto"/>
            </w:tcBorders>
            <w:hideMark/>
          </w:tcPr>
          <w:p w14:paraId="540B59D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2D55CC">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D55C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269" w:type="pct"/>
            <w:tcBorders>
              <w:top w:val="outset" w:sz="6" w:space="0" w:color="auto"/>
              <w:left w:val="outset" w:sz="6" w:space="0" w:color="auto"/>
              <w:bottom w:val="outset" w:sz="6" w:space="0" w:color="auto"/>
              <w:right w:val="outset" w:sz="6" w:space="0" w:color="auto"/>
            </w:tcBorders>
            <w:hideMark/>
          </w:tcPr>
          <w:p w14:paraId="52839F78"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2D55CC">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2D55C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2D55CC" w14:paraId="5D047A31" w14:textId="77777777" w:rsidTr="003258F5">
        <w:trPr>
          <w:tblCellSpacing w:w="15" w:type="dxa"/>
        </w:trPr>
        <w:tc>
          <w:tcPr>
            <w:tcW w:w="1204" w:type="pct"/>
            <w:tcBorders>
              <w:top w:val="outset" w:sz="6" w:space="0" w:color="auto"/>
              <w:left w:val="outset" w:sz="6" w:space="0" w:color="auto"/>
              <w:bottom w:val="outset" w:sz="6" w:space="0" w:color="auto"/>
              <w:right w:val="outset" w:sz="6" w:space="0" w:color="auto"/>
            </w:tcBorders>
            <w:hideMark/>
          </w:tcPr>
          <w:p w14:paraId="220550D7" w14:textId="77777777" w:rsidR="00E5323B" w:rsidRPr="00222663" w:rsidRDefault="000A26FE" w:rsidP="00E5323B">
            <w:pPr>
              <w:spacing w:after="0" w:line="240" w:lineRule="auto"/>
              <w:rPr>
                <w:rFonts w:ascii="Times New Roman" w:eastAsia="Times New Roman" w:hAnsi="Times New Roman" w:cs="Times New Roman"/>
                <w:iCs/>
                <w:sz w:val="24"/>
                <w:szCs w:val="24"/>
                <w:lang w:eastAsia="lv-LV"/>
              </w:rPr>
            </w:pPr>
            <w:r w:rsidRPr="00222663">
              <w:rPr>
                <w:rFonts w:ascii="Times New Roman" w:eastAsia="Times New Roman" w:hAnsi="Times New Roman" w:cs="Times New Roman"/>
                <w:iCs/>
                <w:sz w:val="24"/>
                <w:szCs w:val="24"/>
                <w:lang w:eastAsia="lv-LV"/>
              </w:rPr>
              <w:t>11. panta 1. un 2. punkts</w:t>
            </w:r>
          </w:p>
        </w:tc>
        <w:tc>
          <w:tcPr>
            <w:tcW w:w="1205" w:type="pct"/>
            <w:tcBorders>
              <w:top w:val="outset" w:sz="6" w:space="0" w:color="auto"/>
              <w:left w:val="outset" w:sz="6" w:space="0" w:color="auto"/>
              <w:bottom w:val="outset" w:sz="6" w:space="0" w:color="auto"/>
              <w:right w:val="outset" w:sz="6" w:space="0" w:color="auto"/>
            </w:tcBorders>
            <w:hideMark/>
          </w:tcPr>
          <w:p w14:paraId="40FB0C11" w14:textId="78967BED" w:rsidR="00E5323B" w:rsidRPr="00222663" w:rsidRDefault="00333EA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(viens pants)</w:t>
            </w:r>
          </w:p>
        </w:tc>
        <w:tc>
          <w:tcPr>
            <w:tcW w:w="1239" w:type="pct"/>
            <w:tcBorders>
              <w:top w:val="outset" w:sz="6" w:space="0" w:color="auto"/>
              <w:left w:val="outset" w:sz="6" w:space="0" w:color="auto"/>
              <w:bottom w:val="outset" w:sz="6" w:space="0" w:color="auto"/>
              <w:right w:val="outset" w:sz="6" w:space="0" w:color="auto"/>
            </w:tcBorders>
            <w:hideMark/>
          </w:tcPr>
          <w:p w14:paraId="7A0AB859" w14:textId="62D592C8" w:rsidR="00E5323B" w:rsidRPr="00222663" w:rsidRDefault="003258F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w:t>
            </w:r>
            <w:r w:rsidR="000A26FE" w:rsidRPr="00222663">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hideMark/>
          </w:tcPr>
          <w:p w14:paraId="084F15D0" w14:textId="77777777" w:rsidR="00E5323B" w:rsidRPr="00222663" w:rsidRDefault="000A26FE" w:rsidP="00E5323B">
            <w:pPr>
              <w:spacing w:after="0" w:line="240" w:lineRule="auto"/>
              <w:rPr>
                <w:rFonts w:ascii="Times New Roman" w:eastAsia="Times New Roman" w:hAnsi="Times New Roman" w:cs="Times New Roman"/>
                <w:iCs/>
                <w:sz w:val="24"/>
                <w:szCs w:val="24"/>
                <w:lang w:eastAsia="lv-LV"/>
              </w:rPr>
            </w:pPr>
            <w:r w:rsidRPr="00222663">
              <w:rPr>
                <w:rFonts w:ascii="Times New Roman" w:eastAsia="Times New Roman" w:hAnsi="Times New Roman" w:cs="Times New Roman"/>
                <w:iCs/>
                <w:sz w:val="24"/>
                <w:szCs w:val="24"/>
                <w:lang w:eastAsia="lv-LV"/>
              </w:rPr>
              <w:t>Neparedz stingrākas prasības</w:t>
            </w:r>
          </w:p>
        </w:tc>
      </w:tr>
      <w:tr w:rsidR="00E5323B" w:rsidRPr="002D55CC" w14:paraId="2A491BFB" w14:textId="77777777" w:rsidTr="003258F5">
        <w:trPr>
          <w:tblCellSpacing w:w="15" w:type="dxa"/>
        </w:trPr>
        <w:tc>
          <w:tcPr>
            <w:tcW w:w="1204" w:type="pct"/>
            <w:tcBorders>
              <w:top w:val="outset" w:sz="6" w:space="0" w:color="auto"/>
              <w:left w:val="outset" w:sz="6" w:space="0" w:color="auto"/>
              <w:bottom w:val="outset" w:sz="6" w:space="0" w:color="auto"/>
              <w:right w:val="outset" w:sz="6" w:space="0" w:color="auto"/>
            </w:tcBorders>
            <w:hideMark/>
          </w:tcPr>
          <w:p w14:paraId="0FD09B6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47" w:type="pct"/>
            <w:gridSpan w:val="3"/>
            <w:tcBorders>
              <w:top w:val="outset" w:sz="6" w:space="0" w:color="auto"/>
              <w:left w:val="outset" w:sz="6" w:space="0" w:color="auto"/>
              <w:bottom w:val="outset" w:sz="6" w:space="0" w:color="auto"/>
              <w:right w:val="outset" w:sz="6" w:space="0" w:color="auto"/>
            </w:tcBorders>
            <w:hideMark/>
          </w:tcPr>
          <w:p w14:paraId="50E63341" w14:textId="287BA3E5" w:rsidR="00E5323B" w:rsidRPr="002D55CC" w:rsidRDefault="003258F5" w:rsidP="003458D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Likumprojekts šo jomu neskar.</w:t>
            </w:r>
          </w:p>
        </w:tc>
      </w:tr>
      <w:tr w:rsidR="00E5323B" w:rsidRPr="002D55CC" w14:paraId="662B1D2C" w14:textId="77777777" w:rsidTr="003258F5">
        <w:trPr>
          <w:tblCellSpacing w:w="15" w:type="dxa"/>
        </w:trPr>
        <w:tc>
          <w:tcPr>
            <w:tcW w:w="1204" w:type="pct"/>
            <w:tcBorders>
              <w:top w:val="outset" w:sz="6" w:space="0" w:color="auto"/>
              <w:left w:val="outset" w:sz="6" w:space="0" w:color="auto"/>
              <w:bottom w:val="outset" w:sz="6" w:space="0" w:color="auto"/>
              <w:right w:val="outset" w:sz="6" w:space="0" w:color="auto"/>
            </w:tcBorders>
            <w:hideMark/>
          </w:tcPr>
          <w:p w14:paraId="51C33E1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atbalsta </w:t>
            </w:r>
            <w:r w:rsidRPr="002D55CC">
              <w:rPr>
                <w:rFonts w:ascii="Times New Roman" w:eastAsia="Times New Roman" w:hAnsi="Times New Roman" w:cs="Times New Roman"/>
                <w:iCs/>
                <w:color w:val="414142"/>
                <w:sz w:val="24"/>
                <w:szCs w:val="24"/>
                <w:lang w:eastAsia="lv-LV"/>
              </w:rPr>
              <w:lastRenderedPageBreak/>
              <w:t>piešķiršanas un finanšu noteikumu (attiecībā uz monetāro politiku) projektiem</w:t>
            </w:r>
          </w:p>
        </w:tc>
        <w:tc>
          <w:tcPr>
            <w:tcW w:w="3747" w:type="pct"/>
            <w:gridSpan w:val="3"/>
            <w:tcBorders>
              <w:top w:val="outset" w:sz="6" w:space="0" w:color="auto"/>
              <w:left w:val="outset" w:sz="6" w:space="0" w:color="auto"/>
              <w:bottom w:val="outset" w:sz="6" w:space="0" w:color="auto"/>
              <w:right w:val="outset" w:sz="6" w:space="0" w:color="auto"/>
            </w:tcBorders>
            <w:hideMark/>
          </w:tcPr>
          <w:p w14:paraId="4A31738F" w14:textId="77777777" w:rsidR="00E5323B" w:rsidRPr="002D55CC" w:rsidRDefault="00580B0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80B0A">
              <w:rPr>
                <w:rFonts w:ascii="Times New Roman" w:eastAsia="Times New Roman" w:hAnsi="Times New Roman" w:cs="Times New Roman"/>
                <w:iCs/>
                <w:sz w:val="24"/>
                <w:szCs w:val="24"/>
                <w:lang w:eastAsia="lv-LV"/>
              </w:rPr>
              <w:lastRenderedPageBreak/>
              <w:t>Projekts šo jomu neskar</w:t>
            </w:r>
            <w:r w:rsidR="00451B7C">
              <w:rPr>
                <w:rFonts w:ascii="Times New Roman" w:eastAsia="Times New Roman" w:hAnsi="Times New Roman" w:cs="Times New Roman"/>
                <w:iCs/>
                <w:sz w:val="24"/>
                <w:szCs w:val="24"/>
                <w:lang w:eastAsia="lv-LV"/>
              </w:rPr>
              <w:t>.</w:t>
            </w:r>
          </w:p>
        </w:tc>
      </w:tr>
      <w:tr w:rsidR="00E5323B" w:rsidRPr="002D55CC" w14:paraId="1A4C7C7B" w14:textId="77777777" w:rsidTr="003258F5">
        <w:trPr>
          <w:tblCellSpacing w:w="15" w:type="dxa"/>
        </w:trPr>
        <w:tc>
          <w:tcPr>
            <w:tcW w:w="1204" w:type="pct"/>
            <w:tcBorders>
              <w:top w:val="outset" w:sz="6" w:space="0" w:color="auto"/>
              <w:left w:val="outset" w:sz="6" w:space="0" w:color="auto"/>
              <w:bottom w:val="outset" w:sz="6" w:space="0" w:color="auto"/>
              <w:right w:val="outset" w:sz="6" w:space="0" w:color="auto"/>
            </w:tcBorders>
            <w:hideMark/>
          </w:tcPr>
          <w:p w14:paraId="1F0B143A"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747" w:type="pct"/>
            <w:gridSpan w:val="3"/>
            <w:tcBorders>
              <w:top w:val="outset" w:sz="6" w:space="0" w:color="auto"/>
              <w:left w:val="outset" w:sz="6" w:space="0" w:color="auto"/>
              <w:bottom w:val="outset" w:sz="6" w:space="0" w:color="auto"/>
              <w:right w:val="outset" w:sz="6" w:space="0" w:color="auto"/>
            </w:tcBorders>
            <w:hideMark/>
          </w:tcPr>
          <w:p w14:paraId="0713B67D" w14:textId="77777777" w:rsidR="00E5323B" w:rsidRPr="002D55CC" w:rsidRDefault="00451B7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B7C">
              <w:rPr>
                <w:rFonts w:ascii="Times New Roman" w:eastAsia="Times New Roman" w:hAnsi="Times New Roman" w:cs="Times New Roman"/>
                <w:iCs/>
                <w:sz w:val="24"/>
                <w:szCs w:val="24"/>
                <w:lang w:eastAsia="lv-LV"/>
              </w:rPr>
              <w:t>Nav.</w:t>
            </w:r>
          </w:p>
        </w:tc>
      </w:tr>
      <w:tr w:rsidR="00E5323B" w:rsidRPr="002D55CC" w14:paraId="36132C0D"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502E77"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2. tabula</w:t>
            </w:r>
            <w:r w:rsidRPr="002D55CC">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2D55CC">
              <w:rPr>
                <w:rFonts w:ascii="Times New Roman" w:eastAsia="Times New Roman" w:hAnsi="Times New Roman" w:cs="Times New Roman"/>
                <w:b/>
                <w:bCs/>
                <w:iCs/>
                <w:color w:val="414142"/>
                <w:sz w:val="24"/>
                <w:szCs w:val="24"/>
                <w:lang w:eastAsia="lv-LV"/>
              </w:rPr>
              <w:br/>
              <w:t>Pasākumi šo saistību izpildei</w:t>
            </w:r>
          </w:p>
        </w:tc>
      </w:tr>
      <w:tr w:rsidR="003258F5" w:rsidRPr="002D55CC" w14:paraId="66F252F1" w14:textId="77777777" w:rsidTr="003258F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0FCA8238" w14:textId="0D482815" w:rsidR="003258F5" w:rsidRPr="003258F5" w:rsidRDefault="003258F5" w:rsidP="003258F5">
            <w:pPr>
              <w:spacing w:after="0" w:line="240" w:lineRule="auto"/>
              <w:jc w:val="center"/>
              <w:rPr>
                <w:rFonts w:ascii="Times New Roman" w:eastAsia="Times New Roman" w:hAnsi="Times New Roman" w:cs="Times New Roman"/>
                <w:iCs/>
                <w:sz w:val="24"/>
                <w:szCs w:val="24"/>
                <w:lang w:eastAsia="lv-LV"/>
              </w:rPr>
            </w:pPr>
            <w:r w:rsidRPr="003258F5">
              <w:rPr>
                <w:rFonts w:ascii="Times New Roman" w:eastAsia="Times New Roman" w:hAnsi="Times New Roman" w:cs="Times New Roman"/>
                <w:iCs/>
                <w:sz w:val="24"/>
                <w:szCs w:val="24"/>
                <w:lang w:eastAsia="lv-LV"/>
              </w:rPr>
              <w:t>Projekts šo jomu neskar.</w:t>
            </w:r>
          </w:p>
        </w:tc>
      </w:tr>
    </w:tbl>
    <w:p w14:paraId="7A4E4C5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631285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2D55CC" w14:paraId="3313A4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64228"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44CE5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3AC1F2B" w14:textId="0C353C1E" w:rsidR="00E5323B" w:rsidRDefault="00B55A62" w:rsidP="00D810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D810A3" w:rsidRPr="00D810A3">
              <w:rPr>
                <w:rFonts w:ascii="Times New Roman" w:eastAsia="Times New Roman" w:hAnsi="Times New Roman" w:cs="Times New Roman"/>
                <w:iCs/>
                <w:sz w:val="24"/>
                <w:szCs w:val="24"/>
                <w:lang w:eastAsia="lv-LV"/>
              </w:rPr>
              <w:t xml:space="preserve">ikumprojekta un tā anotācijas projektu publicēšana un komentāru sniegšanas iespēju norādīšana </w:t>
            </w:r>
            <w:r w:rsidR="008115C8">
              <w:rPr>
                <w:rFonts w:ascii="Times New Roman" w:eastAsia="Times New Roman" w:hAnsi="Times New Roman" w:cs="Times New Roman"/>
                <w:iCs/>
                <w:sz w:val="24"/>
                <w:szCs w:val="24"/>
                <w:lang w:eastAsia="lv-LV"/>
              </w:rPr>
              <w:t>M</w:t>
            </w:r>
            <w:r w:rsidR="00D810A3" w:rsidRPr="00D810A3">
              <w:rPr>
                <w:rFonts w:ascii="Times New Roman" w:eastAsia="Times New Roman" w:hAnsi="Times New Roman" w:cs="Times New Roman"/>
                <w:iCs/>
                <w:sz w:val="24"/>
                <w:szCs w:val="24"/>
                <w:lang w:eastAsia="lv-LV"/>
              </w:rPr>
              <w:t xml:space="preserve">inistrijas un Valsts kancelejas </w:t>
            </w:r>
            <w:r w:rsidR="00D30EE6">
              <w:rPr>
                <w:rFonts w:ascii="Times New Roman" w:eastAsia="Times New Roman" w:hAnsi="Times New Roman" w:cs="Times New Roman"/>
                <w:iCs/>
                <w:sz w:val="24"/>
                <w:szCs w:val="24"/>
                <w:lang w:eastAsia="lv-LV"/>
              </w:rPr>
              <w:t>tīmekļvietnē</w:t>
            </w:r>
            <w:r>
              <w:rPr>
                <w:rFonts w:ascii="Times New Roman" w:eastAsia="Times New Roman" w:hAnsi="Times New Roman" w:cs="Times New Roman"/>
                <w:iCs/>
                <w:sz w:val="24"/>
                <w:szCs w:val="24"/>
                <w:lang w:eastAsia="lv-LV"/>
              </w:rPr>
              <w:t>s</w:t>
            </w:r>
            <w:r w:rsidR="00D30EE6">
              <w:rPr>
                <w:rFonts w:ascii="Times New Roman" w:eastAsia="Times New Roman" w:hAnsi="Times New Roman" w:cs="Times New Roman"/>
                <w:iCs/>
                <w:sz w:val="24"/>
                <w:szCs w:val="24"/>
                <w:lang w:eastAsia="lv-LV"/>
              </w:rPr>
              <w:t xml:space="preserve">. </w:t>
            </w:r>
          </w:p>
          <w:p w14:paraId="0D34865F" w14:textId="5C73F8E9" w:rsidR="00B02174" w:rsidRPr="00D810A3" w:rsidRDefault="00B02174" w:rsidP="00B55A62">
            <w:pPr>
              <w:spacing w:after="0" w:line="240" w:lineRule="auto"/>
              <w:jc w:val="both"/>
              <w:rPr>
                <w:rFonts w:ascii="Times New Roman" w:eastAsia="Times New Roman" w:hAnsi="Times New Roman" w:cs="Times New Roman"/>
                <w:iCs/>
                <w:sz w:val="24"/>
                <w:szCs w:val="24"/>
                <w:lang w:eastAsia="lv-LV"/>
              </w:rPr>
            </w:pPr>
            <w:r w:rsidRPr="00B55A62">
              <w:rPr>
                <w:rFonts w:ascii="Times New Roman" w:eastAsia="Times New Roman" w:hAnsi="Times New Roman" w:cs="Times New Roman"/>
                <w:iCs/>
                <w:sz w:val="24"/>
                <w:szCs w:val="24"/>
                <w:lang w:eastAsia="lv-LV"/>
              </w:rPr>
              <w:t xml:space="preserve">Saziņa ar </w:t>
            </w:r>
            <w:r w:rsidR="009A4D2C">
              <w:rPr>
                <w:rFonts w:ascii="Times New Roman" w:eastAsia="Times New Roman" w:hAnsi="Times New Roman" w:cs="Times New Roman"/>
                <w:iCs/>
                <w:sz w:val="24"/>
                <w:szCs w:val="24"/>
                <w:lang w:eastAsia="lv-LV"/>
              </w:rPr>
              <w:t>l</w:t>
            </w:r>
            <w:r w:rsidR="00B55A62">
              <w:rPr>
                <w:rFonts w:ascii="Times New Roman" w:eastAsia="Times New Roman" w:hAnsi="Times New Roman" w:cs="Times New Roman"/>
                <w:iCs/>
                <w:sz w:val="24"/>
                <w:szCs w:val="24"/>
                <w:lang w:eastAsia="lv-LV"/>
              </w:rPr>
              <w:t>ikumprojektu komentējušajām personām</w:t>
            </w:r>
            <w:r w:rsidRPr="00B55A62">
              <w:rPr>
                <w:rFonts w:ascii="Times New Roman" w:eastAsia="Times New Roman" w:hAnsi="Times New Roman" w:cs="Times New Roman"/>
                <w:iCs/>
                <w:sz w:val="24"/>
                <w:szCs w:val="24"/>
                <w:lang w:eastAsia="lv-LV"/>
              </w:rPr>
              <w:t xml:space="preserve"> sarakstes </w:t>
            </w:r>
            <w:r w:rsidR="00B55A62">
              <w:rPr>
                <w:rFonts w:ascii="Times New Roman" w:eastAsia="Times New Roman" w:hAnsi="Times New Roman" w:cs="Times New Roman"/>
                <w:iCs/>
                <w:sz w:val="24"/>
                <w:szCs w:val="24"/>
                <w:lang w:eastAsia="lv-LV"/>
              </w:rPr>
              <w:t>un pēc nepieciešamības</w:t>
            </w:r>
            <w:r w:rsidRPr="00B55A62">
              <w:rPr>
                <w:rFonts w:ascii="Times New Roman" w:eastAsia="Times New Roman" w:hAnsi="Times New Roman" w:cs="Times New Roman"/>
                <w:iCs/>
                <w:sz w:val="24"/>
                <w:szCs w:val="24"/>
                <w:lang w:eastAsia="lv-LV"/>
              </w:rPr>
              <w:t xml:space="preserve"> sanāksmju veidā.</w:t>
            </w:r>
          </w:p>
        </w:tc>
      </w:tr>
      <w:tr w:rsidR="00E5323B" w:rsidRPr="002D55CC" w14:paraId="141E7E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AD95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905E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733B2E" w14:textId="253A7669" w:rsidR="00996704" w:rsidRDefault="008115C8" w:rsidP="009C5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96704" w:rsidRPr="00E73726">
              <w:rPr>
                <w:rFonts w:ascii="Times New Roman" w:hAnsi="Times New Roman" w:cs="Times New Roman"/>
                <w:sz w:val="24"/>
                <w:szCs w:val="24"/>
              </w:rPr>
              <w:t>inistrija</w:t>
            </w:r>
            <w:r w:rsidR="00996704">
              <w:rPr>
                <w:rFonts w:ascii="Times New Roman" w:hAnsi="Times New Roman" w:cs="Times New Roman"/>
                <w:sz w:val="24"/>
                <w:szCs w:val="24"/>
              </w:rPr>
              <w:t>s tīmekļvietnē</w:t>
            </w:r>
            <w:r w:rsidR="0021733F">
              <w:rPr>
                <w:rFonts w:ascii="Times New Roman" w:hAnsi="Times New Roman" w:cs="Times New Roman"/>
                <w:sz w:val="24"/>
                <w:szCs w:val="24"/>
              </w:rPr>
              <w:t xml:space="preserve"> </w:t>
            </w:r>
            <w:hyperlink r:id="rId9" w:history="1">
              <w:r w:rsidR="0021733F" w:rsidRPr="00744B79">
                <w:rPr>
                  <w:rStyle w:val="Hyperlink"/>
                  <w:rFonts w:ascii="Times New Roman" w:hAnsi="Times New Roman" w:cs="Times New Roman"/>
                  <w:sz w:val="24"/>
                  <w:szCs w:val="24"/>
                </w:rPr>
                <w:t>www.varam.gov.lv</w:t>
              </w:r>
            </w:hyperlink>
            <w:r w:rsidR="0021733F">
              <w:rPr>
                <w:rFonts w:ascii="Times New Roman" w:hAnsi="Times New Roman" w:cs="Times New Roman"/>
                <w:sz w:val="24"/>
                <w:szCs w:val="24"/>
              </w:rPr>
              <w:t xml:space="preserve"> </w:t>
            </w:r>
            <w:r w:rsidR="000922EE">
              <w:rPr>
                <w:rFonts w:ascii="Times New Roman" w:hAnsi="Times New Roman" w:cs="Times New Roman"/>
                <w:sz w:val="24"/>
                <w:szCs w:val="24"/>
              </w:rPr>
              <w:t xml:space="preserve"> publicēts</w:t>
            </w:r>
            <w:r w:rsidR="00996704">
              <w:rPr>
                <w:rFonts w:ascii="Times New Roman" w:hAnsi="Times New Roman" w:cs="Times New Roman"/>
                <w:sz w:val="24"/>
                <w:szCs w:val="24"/>
              </w:rPr>
              <w:t xml:space="preserve">: </w:t>
            </w:r>
          </w:p>
          <w:p w14:paraId="6EB24659" w14:textId="77777777" w:rsidR="00E5323B" w:rsidRPr="009B5749" w:rsidRDefault="00996704" w:rsidP="009C58C7">
            <w:pPr>
              <w:pStyle w:val="ListParagraph"/>
              <w:numPr>
                <w:ilvl w:val="0"/>
                <w:numId w:val="6"/>
              </w:numPr>
              <w:tabs>
                <w:tab w:val="left" w:pos="440"/>
              </w:tabs>
              <w:spacing w:after="0" w:line="240" w:lineRule="auto"/>
              <w:ind w:left="0" w:firstLine="111"/>
              <w:jc w:val="both"/>
              <w:rPr>
                <w:rFonts w:ascii="Times New Roman" w:hAnsi="Times New Roman" w:cs="Times New Roman"/>
                <w:sz w:val="24"/>
                <w:szCs w:val="24"/>
              </w:rPr>
            </w:pPr>
            <w:r w:rsidRPr="009B5749">
              <w:rPr>
                <w:rFonts w:ascii="Times New Roman" w:hAnsi="Times New Roman" w:cs="Times New Roman"/>
                <w:sz w:val="24"/>
                <w:szCs w:val="24"/>
              </w:rPr>
              <w:t>paziņojums par līdzdalības iespējām normatīvā akta izstrādē</w:t>
            </w:r>
            <w:r w:rsidR="000922EE" w:rsidRPr="009B5749">
              <w:rPr>
                <w:rFonts w:ascii="Times New Roman" w:hAnsi="Times New Roman" w:cs="Times New Roman"/>
                <w:sz w:val="24"/>
                <w:szCs w:val="24"/>
              </w:rPr>
              <w:t xml:space="preserve"> </w:t>
            </w:r>
            <w:hyperlink r:id="rId10" w:history="1">
              <w:r w:rsidR="000922EE" w:rsidRPr="009B5749">
                <w:rPr>
                  <w:rStyle w:val="Hyperlink"/>
                  <w:rFonts w:ascii="Times New Roman" w:eastAsia="Times New Roman" w:hAnsi="Times New Roman" w:cs="Times New Roman"/>
                  <w:iCs/>
                  <w:sz w:val="24"/>
                  <w:szCs w:val="24"/>
                  <w:lang w:eastAsia="lv-LV"/>
                </w:rPr>
                <w:t>2017. gada 27. jūlijā</w:t>
              </w:r>
            </w:hyperlink>
            <w:r w:rsidRPr="009B5749">
              <w:rPr>
                <w:rFonts w:ascii="Times New Roman" w:hAnsi="Times New Roman" w:cs="Times New Roman"/>
                <w:sz w:val="24"/>
                <w:szCs w:val="24"/>
              </w:rPr>
              <w:t>;</w:t>
            </w:r>
          </w:p>
          <w:p w14:paraId="4841C116" w14:textId="77777777" w:rsidR="000922EE" w:rsidRPr="009B5749" w:rsidRDefault="000922EE" w:rsidP="009C58C7">
            <w:pPr>
              <w:pStyle w:val="ListParagraph"/>
              <w:numPr>
                <w:ilvl w:val="0"/>
                <w:numId w:val="6"/>
              </w:numPr>
              <w:tabs>
                <w:tab w:val="left" w:pos="440"/>
              </w:tabs>
              <w:spacing w:after="0" w:line="240" w:lineRule="auto"/>
              <w:ind w:left="0" w:firstLine="111"/>
              <w:jc w:val="both"/>
              <w:rPr>
                <w:rFonts w:ascii="Times New Roman" w:hAnsi="Times New Roman" w:cs="Times New Roman"/>
                <w:sz w:val="24"/>
                <w:szCs w:val="24"/>
              </w:rPr>
            </w:pPr>
            <w:r w:rsidRPr="009B5749">
              <w:rPr>
                <w:rFonts w:ascii="Times New Roman" w:hAnsi="Times New Roman" w:cs="Times New Roman"/>
                <w:sz w:val="24"/>
                <w:szCs w:val="24"/>
              </w:rPr>
              <w:t xml:space="preserve">jaunu normatīvo aktu izstrādes paziņojums </w:t>
            </w:r>
            <w:hyperlink r:id="rId11" w:history="1">
              <w:r w:rsidRPr="009B5749">
                <w:rPr>
                  <w:rStyle w:val="Hyperlink"/>
                  <w:rFonts w:ascii="Times New Roman" w:hAnsi="Times New Roman" w:cs="Times New Roman"/>
                  <w:sz w:val="24"/>
                  <w:szCs w:val="24"/>
                </w:rPr>
                <w:t>2017. gada 27. jūlijā</w:t>
              </w:r>
            </w:hyperlink>
            <w:r w:rsidRPr="009B5749">
              <w:rPr>
                <w:rFonts w:ascii="Times New Roman" w:hAnsi="Times New Roman" w:cs="Times New Roman"/>
                <w:sz w:val="24"/>
                <w:szCs w:val="24"/>
              </w:rPr>
              <w:t>;</w:t>
            </w:r>
          </w:p>
          <w:p w14:paraId="1D995378" w14:textId="713426E4" w:rsidR="00996704" w:rsidRPr="009B5749" w:rsidRDefault="00533D50"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w:t>
            </w:r>
            <w:r w:rsidR="000922EE" w:rsidRPr="009B5749">
              <w:rPr>
                <w:rFonts w:ascii="Times New Roman" w:hAnsi="Times New Roman" w:cs="Times New Roman"/>
                <w:sz w:val="24"/>
                <w:szCs w:val="24"/>
              </w:rPr>
              <w:t xml:space="preserve">ikumprojekts un paziņojums par līdzdalības iespējām tā izstrādē </w:t>
            </w:r>
            <w:hyperlink r:id="rId12" w:history="1">
              <w:r w:rsidR="000922EE" w:rsidRPr="009B5749">
                <w:rPr>
                  <w:rStyle w:val="Hyperlink"/>
                  <w:rFonts w:ascii="Times New Roman" w:eastAsia="Times New Roman" w:hAnsi="Times New Roman" w:cs="Times New Roman"/>
                  <w:iCs/>
                  <w:sz w:val="24"/>
                  <w:szCs w:val="24"/>
                  <w:lang w:eastAsia="lv-LV"/>
                </w:rPr>
                <w:t>2018. gada 6. aprīlī</w:t>
              </w:r>
            </w:hyperlink>
            <w:r w:rsidR="000922EE" w:rsidRPr="009B5749">
              <w:rPr>
                <w:rFonts w:ascii="Times New Roman" w:eastAsia="Times New Roman" w:hAnsi="Times New Roman" w:cs="Times New Roman"/>
                <w:iCs/>
                <w:sz w:val="24"/>
                <w:szCs w:val="24"/>
                <w:lang w:eastAsia="lv-LV"/>
              </w:rPr>
              <w:t>;</w:t>
            </w:r>
          </w:p>
          <w:p w14:paraId="5BB0181D" w14:textId="77777777" w:rsidR="00533D50" w:rsidRPr="00533D50" w:rsidRDefault="00533D50"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w:t>
            </w:r>
            <w:r w:rsidR="000922EE" w:rsidRPr="009B5749">
              <w:rPr>
                <w:rFonts w:ascii="Times New Roman" w:eastAsia="Times New Roman" w:hAnsi="Times New Roman" w:cs="Times New Roman"/>
                <w:iCs/>
                <w:sz w:val="24"/>
                <w:szCs w:val="24"/>
                <w:lang w:eastAsia="lv-LV"/>
              </w:rPr>
              <w:t xml:space="preserve">ikumprojekts un jauna normatīvā akta izstrādes paziņojums </w:t>
            </w:r>
            <w:hyperlink r:id="rId13" w:history="1">
              <w:r w:rsidR="000922EE" w:rsidRPr="009B5749">
                <w:rPr>
                  <w:rStyle w:val="Hyperlink"/>
                  <w:rFonts w:ascii="Times New Roman" w:eastAsia="Times New Roman" w:hAnsi="Times New Roman" w:cs="Times New Roman"/>
                  <w:iCs/>
                  <w:sz w:val="24"/>
                  <w:szCs w:val="24"/>
                  <w:lang w:eastAsia="lv-LV"/>
                </w:rPr>
                <w:t>2018. gada 6. aprīlī</w:t>
              </w:r>
            </w:hyperlink>
            <w:r>
              <w:rPr>
                <w:rFonts w:ascii="Times New Roman" w:eastAsia="Times New Roman" w:hAnsi="Times New Roman" w:cs="Times New Roman"/>
                <w:iCs/>
                <w:sz w:val="24"/>
                <w:szCs w:val="24"/>
                <w:lang w:eastAsia="lv-LV"/>
              </w:rPr>
              <w:t>;</w:t>
            </w:r>
          </w:p>
          <w:p w14:paraId="607C1AD6" w14:textId="37737374" w:rsidR="00533D50" w:rsidRPr="00533D50" w:rsidRDefault="00533D50"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Likumprojekts </w:t>
            </w:r>
            <w:hyperlink r:id="rId14" w:history="1">
              <w:r w:rsidRPr="00533D50">
                <w:rPr>
                  <w:rStyle w:val="Hyperlink"/>
                  <w:rFonts w:ascii="Times New Roman" w:eastAsia="Times New Roman" w:hAnsi="Times New Roman" w:cs="Times New Roman"/>
                  <w:iCs/>
                  <w:sz w:val="24"/>
                  <w:szCs w:val="24"/>
                  <w:lang w:eastAsia="lv-LV"/>
                </w:rPr>
                <w:t>2018. gada 17. jūlijā</w:t>
              </w:r>
            </w:hyperlink>
            <w:r>
              <w:rPr>
                <w:rFonts w:ascii="Times New Roman" w:eastAsia="Times New Roman" w:hAnsi="Times New Roman" w:cs="Times New Roman"/>
                <w:iCs/>
                <w:sz w:val="24"/>
                <w:szCs w:val="24"/>
                <w:lang w:eastAsia="lv-LV"/>
              </w:rPr>
              <w:t>.</w:t>
            </w:r>
          </w:p>
        </w:tc>
      </w:tr>
      <w:tr w:rsidR="00E5323B" w:rsidRPr="002D55CC" w14:paraId="323A58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25582" w14:textId="0D9A05BA"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C7456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6BF4156" w14:textId="4CCE3697" w:rsidR="00E5323B" w:rsidRPr="000D3333" w:rsidRDefault="0047351D" w:rsidP="009C58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saņemti priekšlikumi vai iebildumi.</w:t>
            </w:r>
            <w:r w:rsidR="00996704">
              <w:rPr>
                <w:rFonts w:ascii="Times New Roman" w:eastAsia="Times New Roman" w:hAnsi="Times New Roman" w:cs="Times New Roman"/>
                <w:iCs/>
                <w:color w:val="A6A6A6" w:themeColor="background1" w:themeShade="A6"/>
                <w:sz w:val="24"/>
                <w:szCs w:val="24"/>
                <w:lang w:eastAsia="lv-LV"/>
              </w:rPr>
              <w:t xml:space="preserve"> </w:t>
            </w:r>
          </w:p>
        </w:tc>
      </w:tr>
      <w:tr w:rsidR="00E5323B" w:rsidRPr="002D55CC" w14:paraId="70A7FF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6DCB81"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24C03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F1290" w14:textId="77777777" w:rsidR="00E5323B" w:rsidRPr="000D3333" w:rsidRDefault="00DC5D42" w:rsidP="009C58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804552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DCF0CE" w14:textId="47C5D991" w:rsidR="00E5323B" w:rsidRPr="0026184D" w:rsidRDefault="0026184D" w:rsidP="009C58C7">
            <w:pPr>
              <w:spacing w:after="0" w:line="240" w:lineRule="auto"/>
              <w:jc w:val="both"/>
              <w:rPr>
                <w:rFonts w:ascii="Times New Roman" w:eastAsia="Times New Roman" w:hAnsi="Times New Roman" w:cs="Times New Roman"/>
                <w:iCs/>
                <w:sz w:val="24"/>
                <w:szCs w:val="24"/>
                <w:lang w:eastAsia="lv-LV"/>
              </w:rPr>
            </w:pPr>
            <w:r w:rsidRPr="0026184D">
              <w:rPr>
                <w:rFonts w:ascii="Times New Roman" w:eastAsia="Times New Roman" w:hAnsi="Times New Roman" w:cs="Times New Roman"/>
                <w:iCs/>
                <w:sz w:val="24"/>
                <w:szCs w:val="24"/>
                <w:lang w:eastAsia="lv-LV"/>
              </w:rPr>
              <w:t xml:space="preserve">Dabas aizsardzības pārvalde, </w:t>
            </w:r>
            <w:r w:rsidR="00946639">
              <w:rPr>
                <w:rFonts w:ascii="Times New Roman" w:eastAsia="Times New Roman" w:hAnsi="Times New Roman" w:cs="Times New Roman"/>
                <w:iCs/>
                <w:sz w:val="24"/>
                <w:szCs w:val="24"/>
                <w:lang w:eastAsia="lv-LV"/>
              </w:rPr>
              <w:t>m</w:t>
            </w:r>
            <w:r w:rsidRPr="0026184D">
              <w:rPr>
                <w:rFonts w:ascii="Times New Roman" w:eastAsia="Times New Roman" w:hAnsi="Times New Roman" w:cs="Times New Roman"/>
                <w:iCs/>
                <w:sz w:val="24"/>
                <w:szCs w:val="24"/>
                <w:lang w:eastAsia="lv-LV"/>
              </w:rPr>
              <w:t>inistrija</w:t>
            </w:r>
            <w:r w:rsidR="00B411C9">
              <w:rPr>
                <w:rFonts w:ascii="Times New Roman" w:eastAsia="Times New Roman" w:hAnsi="Times New Roman" w:cs="Times New Roman"/>
                <w:iCs/>
                <w:sz w:val="24"/>
                <w:szCs w:val="24"/>
                <w:lang w:eastAsia="lv-LV"/>
              </w:rPr>
              <w:t xml:space="preserve"> (</w:t>
            </w:r>
            <w:proofErr w:type="spellStart"/>
            <w:r w:rsidR="00B411C9">
              <w:rPr>
                <w:rFonts w:ascii="Times New Roman" w:eastAsia="Times New Roman" w:hAnsi="Times New Roman" w:cs="Times New Roman"/>
                <w:iCs/>
                <w:sz w:val="24"/>
                <w:szCs w:val="24"/>
                <w:lang w:eastAsia="lv-LV"/>
              </w:rPr>
              <w:t>Nagojas</w:t>
            </w:r>
            <w:proofErr w:type="spellEnd"/>
            <w:r w:rsidR="00B411C9">
              <w:rPr>
                <w:rFonts w:ascii="Times New Roman" w:eastAsia="Times New Roman" w:hAnsi="Times New Roman" w:cs="Times New Roman"/>
                <w:iCs/>
                <w:sz w:val="24"/>
                <w:szCs w:val="24"/>
                <w:lang w:eastAsia="lv-LV"/>
              </w:rPr>
              <w:t xml:space="preserve"> Protokola kontaktpersona)</w:t>
            </w:r>
            <w:r w:rsidRPr="0026184D">
              <w:rPr>
                <w:rFonts w:ascii="Times New Roman" w:eastAsia="Times New Roman" w:hAnsi="Times New Roman" w:cs="Times New Roman"/>
                <w:iCs/>
                <w:sz w:val="24"/>
                <w:szCs w:val="24"/>
                <w:lang w:eastAsia="lv-LV"/>
              </w:rPr>
              <w:t>.</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izpildes ietekme uz pārvaldes funkcijām un institucionālo struktūru.</w:t>
            </w:r>
            <w:r w:rsidRPr="002D55C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FD08B5" w14:textId="51C46E77" w:rsidR="00B411C9" w:rsidRDefault="009A4D2C" w:rsidP="00B411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īstenotu r</w:t>
            </w:r>
            <w:r w:rsidR="00B411C9">
              <w:rPr>
                <w:rFonts w:ascii="Times New Roman" w:eastAsia="Times New Roman" w:hAnsi="Times New Roman" w:cs="Times New Roman"/>
                <w:iCs/>
                <w:sz w:val="24"/>
                <w:szCs w:val="24"/>
                <w:lang w:eastAsia="lv-LV"/>
              </w:rPr>
              <w:t xml:space="preserve">egulas noteikto, </w:t>
            </w:r>
            <w:r>
              <w:rPr>
                <w:rFonts w:ascii="Times New Roman" w:eastAsia="Times New Roman" w:hAnsi="Times New Roman" w:cs="Times New Roman"/>
                <w:iCs/>
                <w:sz w:val="24"/>
                <w:szCs w:val="24"/>
                <w:lang w:eastAsia="lv-LV"/>
              </w:rPr>
              <w:t>l</w:t>
            </w:r>
            <w:r w:rsidR="0038423A" w:rsidRPr="0038423A">
              <w:rPr>
                <w:rFonts w:ascii="Times New Roman" w:eastAsia="Times New Roman" w:hAnsi="Times New Roman" w:cs="Times New Roman"/>
                <w:iCs/>
                <w:sz w:val="24"/>
                <w:szCs w:val="24"/>
                <w:lang w:eastAsia="lv-LV"/>
              </w:rPr>
              <w:t>ikumprojekt</w:t>
            </w:r>
            <w:r w:rsidR="009E392E">
              <w:rPr>
                <w:rFonts w:ascii="Times New Roman" w:eastAsia="Times New Roman" w:hAnsi="Times New Roman" w:cs="Times New Roman"/>
                <w:iCs/>
                <w:sz w:val="24"/>
                <w:szCs w:val="24"/>
                <w:lang w:eastAsia="lv-LV"/>
              </w:rPr>
              <w:t xml:space="preserve">s paredz </w:t>
            </w:r>
            <w:r w:rsidR="00B411C9">
              <w:rPr>
                <w:rFonts w:ascii="Times New Roman" w:eastAsia="Times New Roman" w:hAnsi="Times New Roman" w:cs="Times New Roman"/>
                <w:iCs/>
                <w:sz w:val="24"/>
                <w:szCs w:val="24"/>
                <w:lang w:eastAsia="lv-LV"/>
              </w:rPr>
              <w:t xml:space="preserve">papildu </w:t>
            </w:r>
            <w:r w:rsidR="009E392E">
              <w:rPr>
                <w:rFonts w:ascii="Times New Roman" w:eastAsia="Times New Roman" w:hAnsi="Times New Roman" w:cs="Times New Roman"/>
                <w:iCs/>
                <w:sz w:val="24"/>
                <w:szCs w:val="24"/>
                <w:lang w:eastAsia="lv-LV"/>
              </w:rPr>
              <w:t>administratīv</w:t>
            </w:r>
            <w:r w:rsidR="00B411C9">
              <w:rPr>
                <w:rFonts w:ascii="Times New Roman" w:eastAsia="Times New Roman" w:hAnsi="Times New Roman" w:cs="Times New Roman"/>
                <w:iCs/>
                <w:sz w:val="24"/>
                <w:szCs w:val="24"/>
                <w:lang w:eastAsia="lv-LV"/>
              </w:rPr>
              <w:t xml:space="preserve">os sodus. Attiecīgi paplašinot Dabas aizsardzības pārvaldes funkcijas un uzdevumus šajā jomā. Jauno funkciju un uzdevumu īstenošanai, </w:t>
            </w:r>
            <w:r w:rsidR="00AF3295">
              <w:rPr>
                <w:rFonts w:ascii="Times New Roman" w:eastAsia="Times New Roman" w:hAnsi="Times New Roman" w:cs="Times New Roman"/>
                <w:iCs/>
                <w:sz w:val="24"/>
                <w:szCs w:val="24"/>
                <w:lang w:eastAsia="lv-LV"/>
              </w:rPr>
              <w:t xml:space="preserve">Dabas aizsardzības pārvaldei nepieciešamas </w:t>
            </w:r>
            <w:r w:rsidR="00B411C9">
              <w:rPr>
                <w:rFonts w:ascii="Times New Roman" w:eastAsia="Times New Roman" w:hAnsi="Times New Roman" w:cs="Times New Roman"/>
                <w:iCs/>
                <w:sz w:val="24"/>
                <w:szCs w:val="24"/>
                <w:lang w:eastAsia="lv-LV"/>
              </w:rPr>
              <w:t>divas papildu amata vietas</w:t>
            </w:r>
            <w:r w:rsidR="00562C63">
              <w:rPr>
                <w:rFonts w:ascii="Times New Roman" w:eastAsia="Times New Roman" w:hAnsi="Times New Roman" w:cs="Times New Roman"/>
                <w:iCs/>
                <w:sz w:val="24"/>
                <w:szCs w:val="24"/>
                <w:lang w:eastAsia="lv-LV"/>
              </w:rPr>
              <w:t>, kuras plānots nodrošināt no ministrijas sektora vakancēm</w:t>
            </w:r>
            <w:r w:rsidR="00B411C9">
              <w:rPr>
                <w:rFonts w:ascii="Times New Roman" w:eastAsia="Times New Roman" w:hAnsi="Times New Roman" w:cs="Times New Roman"/>
                <w:iCs/>
                <w:sz w:val="24"/>
                <w:szCs w:val="24"/>
                <w:lang w:eastAsia="lv-LV"/>
              </w:rPr>
              <w:t xml:space="preserve">.  </w:t>
            </w:r>
            <w:r w:rsidR="00284B4D">
              <w:rPr>
                <w:rFonts w:ascii="Times New Roman" w:eastAsia="Times New Roman" w:hAnsi="Times New Roman" w:cs="Times New Roman"/>
                <w:iCs/>
                <w:sz w:val="24"/>
                <w:szCs w:val="24"/>
                <w:lang w:eastAsia="lv-LV"/>
              </w:rPr>
              <w:t xml:space="preserve"> </w:t>
            </w:r>
          </w:p>
          <w:p w14:paraId="036614B5" w14:textId="0E43DD66" w:rsidR="00E5323B" w:rsidRPr="002D55CC" w:rsidRDefault="0026184D" w:rsidP="00B411C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Saistībā ar L</w:t>
            </w:r>
            <w:r w:rsidR="0038423A">
              <w:rPr>
                <w:rFonts w:ascii="Times New Roman" w:hAnsi="Times New Roman" w:cs="Times New Roman"/>
                <w:sz w:val="24"/>
                <w:szCs w:val="24"/>
              </w:rPr>
              <w:t>ikumprojektu nav nepieciešams veidot jaunas institūcijas, likvidēt vai reorganizēt esošās.</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77777777" w:rsidR="00E5323B" w:rsidRPr="002D55CC" w:rsidRDefault="0038423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8423A">
              <w:rPr>
                <w:rFonts w:ascii="Times New Roman" w:eastAsia="Times New Roman" w:hAnsi="Times New Roman" w:cs="Times New Roman"/>
                <w:iCs/>
                <w:sz w:val="24"/>
                <w:szCs w:val="24"/>
                <w:lang w:eastAsia="lv-LV"/>
              </w:rPr>
              <w:t>Nav.</w:t>
            </w:r>
          </w:p>
        </w:tc>
      </w:tr>
    </w:tbl>
    <w:p w14:paraId="0FF8CC4D" w14:textId="77777777" w:rsidR="00C25B49" w:rsidRDefault="00C25B49" w:rsidP="00894C55">
      <w:pPr>
        <w:spacing w:after="0" w:line="240" w:lineRule="auto"/>
        <w:rPr>
          <w:rFonts w:ascii="Times New Roman" w:hAnsi="Times New Roman" w:cs="Times New Roman"/>
          <w:sz w:val="28"/>
          <w:szCs w:val="28"/>
        </w:rPr>
      </w:pPr>
    </w:p>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77777777"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77777777" w:rsidR="004407B6" w:rsidRDefault="004407B6"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Kaspars Gerhards</w:t>
            </w:r>
          </w:p>
        </w:tc>
      </w:tr>
    </w:tbl>
    <w:p w14:paraId="47413FCF" w14:textId="77777777" w:rsidR="00E5323B" w:rsidRPr="002D55CC" w:rsidRDefault="00E5323B" w:rsidP="00894C55">
      <w:pPr>
        <w:spacing w:after="0" w:line="240" w:lineRule="auto"/>
        <w:rPr>
          <w:rFonts w:ascii="Times New Roman" w:hAnsi="Times New Roman" w:cs="Times New Roman"/>
          <w:sz w:val="28"/>
          <w:szCs w:val="28"/>
        </w:rPr>
      </w:pPr>
    </w:p>
    <w:p w14:paraId="2D39B860" w14:textId="77777777" w:rsidR="00894C55" w:rsidRPr="002D55CC" w:rsidRDefault="00894C55" w:rsidP="00894C55">
      <w:pPr>
        <w:spacing w:after="0" w:line="240" w:lineRule="auto"/>
        <w:ind w:firstLine="720"/>
        <w:rPr>
          <w:rFonts w:ascii="Times New Roman" w:hAnsi="Times New Roman" w:cs="Times New Roman"/>
          <w:sz w:val="28"/>
          <w:szCs w:val="28"/>
        </w:rPr>
      </w:pPr>
    </w:p>
    <w:p w14:paraId="1A62FBFE" w14:textId="77777777" w:rsidR="00894C55" w:rsidRPr="002D55CC" w:rsidRDefault="00894C55" w:rsidP="00894C55">
      <w:pPr>
        <w:spacing w:after="0" w:line="240" w:lineRule="auto"/>
        <w:ind w:firstLine="720"/>
        <w:rPr>
          <w:rFonts w:ascii="Times New Roman" w:hAnsi="Times New Roman" w:cs="Times New Roman"/>
          <w:sz w:val="28"/>
          <w:szCs w:val="28"/>
        </w:rPr>
      </w:pPr>
    </w:p>
    <w:p w14:paraId="6269ECD4" w14:textId="77777777" w:rsidR="00894C55" w:rsidRPr="002D55CC" w:rsidRDefault="00894C55" w:rsidP="00894C55">
      <w:pPr>
        <w:tabs>
          <w:tab w:val="left" w:pos="6237"/>
        </w:tabs>
        <w:spacing w:after="0" w:line="240" w:lineRule="auto"/>
        <w:ind w:firstLine="720"/>
        <w:rPr>
          <w:rFonts w:ascii="Times New Roman" w:hAnsi="Times New Roman" w:cs="Times New Roman"/>
          <w:sz w:val="28"/>
          <w:szCs w:val="28"/>
        </w:rPr>
      </w:pPr>
    </w:p>
    <w:p w14:paraId="14AF6BA4" w14:textId="77777777" w:rsidR="00894C55" w:rsidRPr="002D55CC" w:rsidRDefault="00894C55" w:rsidP="00894C55">
      <w:pPr>
        <w:tabs>
          <w:tab w:val="left" w:pos="6237"/>
        </w:tabs>
        <w:spacing w:after="0" w:line="240" w:lineRule="auto"/>
        <w:ind w:firstLine="720"/>
        <w:rPr>
          <w:rFonts w:ascii="Times New Roman" w:hAnsi="Times New Roman" w:cs="Times New Roman"/>
          <w:sz w:val="28"/>
          <w:szCs w:val="28"/>
        </w:rPr>
      </w:pPr>
    </w:p>
    <w:p w14:paraId="28C13843" w14:textId="77777777" w:rsidR="00894C55" w:rsidRPr="002D55CC" w:rsidRDefault="00894C55" w:rsidP="00894C55">
      <w:pPr>
        <w:tabs>
          <w:tab w:val="left" w:pos="6237"/>
        </w:tabs>
        <w:spacing w:after="0" w:line="240" w:lineRule="auto"/>
        <w:ind w:firstLine="720"/>
        <w:rPr>
          <w:rFonts w:ascii="Times New Roman" w:hAnsi="Times New Roman" w:cs="Times New Roman"/>
          <w:sz w:val="28"/>
          <w:szCs w:val="28"/>
        </w:rPr>
      </w:pPr>
    </w:p>
    <w:p w14:paraId="17983956" w14:textId="77777777" w:rsidR="00894C55" w:rsidRPr="002D55CC" w:rsidRDefault="00DC5D4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Šļaukstiņš 67026523</w:t>
      </w:r>
    </w:p>
    <w:p w14:paraId="45DC474C" w14:textId="3630EC5B" w:rsidR="00894C55" w:rsidRPr="002D55CC" w:rsidRDefault="00E86895" w:rsidP="00894C55">
      <w:pPr>
        <w:tabs>
          <w:tab w:val="left" w:pos="6237"/>
        </w:tabs>
        <w:spacing w:after="0" w:line="240" w:lineRule="auto"/>
        <w:rPr>
          <w:rFonts w:ascii="Times New Roman" w:hAnsi="Times New Roman" w:cs="Times New Roman"/>
          <w:sz w:val="24"/>
          <w:szCs w:val="28"/>
        </w:rPr>
      </w:pPr>
      <w:hyperlink r:id="rId15" w:history="1">
        <w:r w:rsidR="0021733F" w:rsidRPr="00744B79">
          <w:rPr>
            <w:rStyle w:val="Hyperlink"/>
            <w:rFonts w:ascii="Times New Roman" w:hAnsi="Times New Roman" w:cs="Times New Roman"/>
            <w:sz w:val="24"/>
            <w:szCs w:val="28"/>
          </w:rPr>
          <w:t>valdimarts.slaukstins@varam.gov.lv</w:t>
        </w:r>
      </w:hyperlink>
      <w:r w:rsidR="0021733F">
        <w:rPr>
          <w:rFonts w:ascii="Times New Roman" w:hAnsi="Times New Roman" w:cs="Times New Roman"/>
          <w:sz w:val="24"/>
          <w:szCs w:val="28"/>
        </w:rPr>
        <w:t xml:space="preserve"> </w:t>
      </w:r>
    </w:p>
    <w:sectPr w:rsidR="00894C55" w:rsidRPr="002D55CC"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A0C23" w14:textId="77777777" w:rsidR="009A4D2C" w:rsidRDefault="009A4D2C" w:rsidP="00894C55">
      <w:pPr>
        <w:spacing w:after="0" w:line="240" w:lineRule="auto"/>
      </w:pPr>
      <w:r>
        <w:separator/>
      </w:r>
    </w:p>
  </w:endnote>
  <w:endnote w:type="continuationSeparator" w:id="0">
    <w:p w14:paraId="03BA7962" w14:textId="77777777" w:rsidR="009A4D2C" w:rsidRDefault="009A4D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17BAA764" w:rsidR="009A4D2C" w:rsidRPr="00D31181" w:rsidRDefault="00C2256E" w:rsidP="00D31181">
    <w:pPr>
      <w:pStyle w:val="Footer"/>
      <w:rPr>
        <w:rFonts w:ascii="Times New Roman" w:hAnsi="Times New Roman" w:cs="Times New Roman"/>
        <w:sz w:val="24"/>
        <w:szCs w:val="24"/>
      </w:rPr>
    </w:pPr>
    <w:r>
      <w:rPr>
        <w:rFonts w:ascii="Times New Roman" w:hAnsi="Times New Roman" w:cs="Times New Roman"/>
        <w:sz w:val="24"/>
        <w:szCs w:val="24"/>
      </w:rPr>
      <w:t>VARAMLik_17</w:t>
    </w:r>
    <w:r w:rsidR="002A083E">
      <w:rPr>
        <w:rFonts w:ascii="Times New Roman" w:hAnsi="Times New Roman" w:cs="Times New Roman"/>
        <w:sz w:val="24"/>
        <w:szCs w:val="24"/>
      </w:rPr>
      <w:t>08</w:t>
    </w:r>
    <w:r w:rsidR="009A4D2C" w:rsidRPr="00D31181">
      <w:rPr>
        <w:rFonts w:ascii="Times New Roman" w:hAnsi="Times New Roman" w:cs="Times New Roman"/>
        <w:sz w:val="24"/>
        <w:szCs w:val="24"/>
      </w:rPr>
      <w:t>18_LAPK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16F58F0E" w:rsidR="009A4D2C" w:rsidRPr="00D31181" w:rsidRDefault="00C2256E" w:rsidP="00166F71">
    <w:pPr>
      <w:pStyle w:val="Footer"/>
      <w:rPr>
        <w:rFonts w:ascii="Times New Roman" w:hAnsi="Times New Roman" w:cs="Times New Roman"/>
        <w:sz w:val="24"/>
        <w:szCs w:val="24"/>
      </w:rPr>
    </w:pPr>
    <w:r>
      <w:rPr>
        <w:rFonts w:ascii="Times New Roman" w:hAnsi="Times New Roman" w:cs="Times New Roman"/>
        <w:sz w:val="24"/>
        <w:szCs w:val="24"/>
      </w:rPr>
      <w:t>VARAMLik_17</w:t>
    </w:r>
    <w:r w:rsidR="002A083E">
      <w:rPr>
        <w:rFonts w:ascii="Times New Roman" w:hAnsi="Times New Roman" w:cs="Times New Roman"/>
        <w:sz w:val="24"/>
        <w:szCs w:val="24"/>
      </w:rPr>
      <w:t>08</w:t>
    </w:r>
    <w:r w:rsidR="009A4D2C" w:rsidRPr="00D31181">
      <w:rPr>
        <w:rFonts w:ascii="Times New Roman" w:hAnsi="Times New Roman" w:cs="Times New Roman"/>
        <w:sz w:val="24"/>
        <w:szCs w:val="24"/>
      </w:rPr>
      <w:t>18_LAPK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F7C1B" w14:textId="77777777" w:rsidR="009A4D2C" w:rsidRDefault="009A4D2C" w:rsidP="00894C55">
      <w:pPr>
        <w:spacing w:after="0" w:line="240" w:lineRule="auto"/>
      </w:pPr>
      <w:r>
        <w:separator/>
      </w:r>
    </w:p>
  </w:footnote>
  <w:footnote w:type="continuationSeparator" w:id="0">
    <w:p w14:paraId="14BA251D" w14:textId="77777777" w:rsidR="009A4D2C" w:rsidRDefault="009A4D2C" w:rsidP="00894C55">
      <w:pPr>
        <w:spacing w:after="0" w:line="240" w:lineRule="auto"/>
      </w:pPr>
      <w:r>
        <w:continuationSeparator/>
      </w:r>
    </w:p>
  </w:footnote>
  <w:footnote w:id="1">
    <w:p w14:paraId="48A3DF46" w14:textId="70165DD4" w:rsidR="009A4D2C" w:rsidRDefault="009A4D2C">
      <w:pPr>
        <w:pStyle w:val="FootnoteText"/>
      </w:pPr>
      <w:r>
        <w:rPr>
          <w:rStyle w:val="FootnoteReference"/>
        </w:rPr>
        <w:footnoteRef/>
      </w:r>
      <w:r>
        <w:t xml:space="preserve"> </w:t>
      </w:r>
      <w:hyperlink r:id="rId1" w:history="1">
        <w:r>
          <w:rPr>
            <w:rStyle w:val="Hyperlink"/>
            <w:sz w:val="18"/>
            <w:szCs w:val="18"/>
          </w:rPr>
          <w:t>https://www.cbd.int/abs/text/default.shtml</w:t>
        </w:r>
      </w:hyperlink>
    </w:p>
  </w:footnote>
  <w:footnote w:id="2">
    <w:p w14:paraId="3C2E2DD2" w14:textId="77777777" w:rsidR="009A4D2C" w:rsidRDefault="009A4D2C" w:rsidP="00150613">
      <w:pPr>
        <w:pStyle w:val="FootnoteText"/>
        <w:jc w:val="both"/>
      </w:pPr>
      <w:r>
        <w:rPr>
          <w:rStyle w:val="FootnoteReference"/>
        </w:rPr>
        <w:footnoteRef/>
      </w:r>
      <w:r>
        <w:t xml:space="preserve"> </w:t>
      </w:r>
      <w:proofErr w:type="spellStart"/>
      <w:r>
        <w:t>Izvērtējums</w:t>
      </w:r>
      <w:proofErr w:type="spellEnd"/>
      <w:r>
        <w:t xml:space="preserve"> par Bioloģiskās daudzveidības konvencijas </w:t>
      </w:r>
      <w:proofErr w:type="spellStart"/>
      <w:r>
        <w:t>Nagojas</w:t>
      </w:r>
      <w:proofErr w:type="spellEnd"/>
      <w:r>
        <w:t xml:space="preserve"> Protokola ratificēšanu Latvijā, 2017., 22. – 26. lpp. Pieejams: </w:t>
      </w:r>
      <w:hyperlink r:id="rId2" w:history="1">
        <w:r w:rsidRPr="004562EF">
          <w:rPr>
            <w:rStyle w:val="Hyperlink"/>
          </w:rPr>
          <w:t>https://www.lvafa.gov.lv/materiali/petijumi/195-multisektorialie-projekti/pms2017/230-izvertejums-par-biologiskas-daudzveidibas-konvencijas-nagojas-protokola-ratificesanu</w:t>
        </w:r>
      </w:hyperlink>
      <w:r>
        <w:t xml:space="preserve"> </w:t>
      </w:r>
    </w:p>
  </w:footnote>
  <w:footnote w:id="3">
    <w:p w14:paraId="2CAD93FD" w14:textId="094CF5C0" w:rsidR="009A4D2C" w:rsidRDefault="009A4D2C">
      <w:pPr>
        <w:pStyle w:val="FootnoteText"/>
      </w:pPr>
      <w:r>
        <w:rPr>
          <w:rStyle w:val="FootnoteReference"/>
        </w:rPr>
        <w:footnoteRef/>
      </w:r>
      <w:r>
        <w:t xml:space="preserve"> </w:t>
      </w:r>
      <w:hyperlink r:id="rId3" w:history="1">
        <w:r w:rsidRPr="0069229B">
          <w:rPr>
            <w:rStyle w:val="Hyperlink"/>
          </w:rPr>
          <w:t>http://ec.europa.eu/environment/nature/biodiversity/international/abs/legislation_en.htm</w:t>
        </w:r>
      </w:hyperlink>
      <w:r>
        <w:t xml:space="preserve"> </w:t>
      </w:r>
    </w:p>
  </w:footnote>
  <w:footnote w:id="4">
    <w:p w14:paraId="2095D37C" w14:textId="77777777" w:rsidR="009A4D2C" w:rsidRDefault="009A4D2C" w:rsidP="00CE274A">
      <w:pPr>
        <w:pStyle w:val="FootnoteText"/>
        <w:tabs>
          <w:tab w:val="left" w:pos="284"/>
        </w:tabs>
        <w:spacing w:after="120"/>
        <w:jc w:val="both"/>
      </w:pPr>
      <w:r>
        <w:rPr>
          <w:rStyle w:val="FootnoteReference"/>
        </w:rPr>
        <w:footnoteRef/>
      </w:r>
      <w:r>
        <w:t xml:space="preserve"> </w:t>
      </w:r>
      <w:hyperlink r:id="rId4" w:history="1">
        <w:r w:rsidRPr="002E386E">
          <w:rPr>
            <w:rStyle w:val="Hyperlink"/>
          </w:rPr>
          <w:t>https://www.lvafa.gov.lv/materiali/petijumi/195-multisektorialie-projekti/pms2017/230-izvertejums-par-biologiskas-daudzveidibas-konvencijas-nagojas-protokola-ratificesanu</w:t>
        </w:r>
      </w:hyperlink>
      <w:r>
        <w:t xml:space="preserve"> </w:t>
      </w:r>
    </w:p>
  </w:footnote>
  <w:footnote w:id="5">
    <w:p w14:paraId="62D960BB" w14:textId="78157E98" w:rsidR="009A4D2C" w:rsidRPr="00E047FE" w:rsidRDefault="009A4D2C" w:rsidP="00CE274A">
      <w:pPr>
        <w:pStyle w:val="FootnoteText"/>
        <w:spacing w:after="120"/>
        <w:jc w:val="both"/>
        <w:rPr>
          <w:rFonts w:ascii="Times New Roman" w:hAnsi="Times New Roman" w:cs="Times New Roman"/>
          <w:b/>
          <w:sz w:val="24"/>
          <w:szCs w:val="24"/>
        </w:rPr>
      </w:pPr>
      <w:r w:rsidRPr="00E047FE">
        <w:rPr>
          <w:rStyle w:val="FootnoteReference"/>
          <w:rFonts w:ascii="Times New Roman" w:hAnsi="Times New Roman" w:cs="Times New Roman"/>
          <w:sz w:val="24"/>
          <w:szCs w:val="24"/>
        </w:rPr>
        <w:footnoteRef/>
      </w:r>
      <w:r w:rsidRPr="00E047FE">
        <w:rPr>
          <w:rFonts w:ascii="Times New Roman" w:hAnsi="Times New Roman" w:cs="Times New Roman"/>
          <w:b/>
          <w:sz w:val="24"/>
          <w:szCs w:val="24"/>
        </w:rPr>
        <w:t xml:space="preserve"> </w:t>
      </w:r>
      <w:hyperlink r:id="rId5" w:history="1">
        <w:r w:rsidRPr="00EA5DA3">
          <w:rPr>
            <w:rStyle w:val="Hyperlink"/>
            <w:rFonts w:ascii="Times New Roman" w:hAnsi="Times New Roman" w:cs="Times New Roman"/>
            <w:sz w:val="24"/>
            <w:szCs w:val="24"/>
            <w:bdr w:val="none" w:sz="0" w:space="0" w:color="auto" w:frame="1"/>
            <w:shd w:val="clear" w:color="auto" w:fill="FFFFFF"/>
          </w:rPr>
          <w:t>Komisijas paziņojums</w:t>
        </w:r>
      </w:hyperlink>
      <w:r w:rsidRPr="00E047FE">
        <w:rPr>
          <w:rStyle w:val="Strong"/>
          <w:rFonts w:ascii="Times New Roman" w:hAnsi="Times New Roman" w:cs="Times New Roman"/>
          <w:b w:val="0"/>
          <w:sz w:val="24"/>
          <w:szCs w:val="24"/>
          <w:bdr w:val="none" w:sz="0" w:space="0" w:color="auto" w:frame="1"/>
          <w:shd w:val="clear" w:color="auto" w:fill="FFFFFF"/>
        </w:rPr>
        <w:t xml:space="preserve"> – Norādījumi par piemērošanas jomu un galvenajiem pienākumiem attiecībā uz Eiropas Parlamenta un Padomes Regulu (ES) Nr. 511/2014 par no </w:t>
      </w:r>
      <w:proofErr w:type="spellStart"/>
      <w:r w:rsidRPr="00E047FE">
        <w:rPr>
          <w:rStyle w:val="Strong"/>
          <w:rFonts w:ascii="Times New Roman" w:hAnsi="Times New Roman" w:cs="Times New Roman"/>
          <w:b w:val="0"/>
          <w:sz w:val="24"/>
          <w:szCs w:val="24"/>
          <w:bdr w:val="none" w:sz="0" w:space="0" w:color="auto" w:frame="1"/>
          <w:shd w:val="clear" w:color="auto" w:fill="FFFFFF"/>
        </w:rPr>
        <w:t>Nagojas</w:t>
      </w:r>
      <w:proofErr w:type="spellEnd"/>
      <w:r w:rsidRPr="00E047FE">
        <w:rPr>
          <w:rStyle w:val="Strong"/>
          <w:rFonts w:ascii="Times New Roman" w:hAnsi="Times New Roman" w:cs="Times New Roman"/>
          <w:b w:val="0"/>
          <w:sz w:val="24"/>
          <w:szCs w:val="24"/>
          <w:bdr w:val="none" w:sz="0" w:space="0" w:color="auto" w:frame="1"/>
          <w:shd w:val="clear" w:color="auto" w:fill="FFFFFF"/>
        </w:rPr>
        <w:t xml:space="preserve"> Protokola par piekļuvi ģenētiskajiem resursiem un to ieguvumu taisnīgu un godīgu sadali, kas gūti no šo resursu izmantošanas, izrietošiem atbilstības pasākumiem lietotājiem Savienībā</w:t>
      </w:r>
    </w:p>
  </w:footnote>
  <w:footnote w:id="6">
    <w:p w14:paraId="004A85E6" w14:textId="77777777" w:rsidR="009A4D2C" w:rsidRPr="00E047FE" w:rsidRDefault="009A4D2C" w:rsidP="005C72C4">
      <w:pPr>
        <w:pStyle w:val="FootnoteText"/>
        <w:spacing w:after="120"/>
        <w:jc w:val="both"/>
      </w:pPr>
      <w:r w:rsidRPr="00E047FE">
        <w:rPr>
          <w:rStyle w:val="FootnoteReference"/>
          <w:rFonts w:ascii="Times New Roman" w:hAnsi="Times New Roman" w:cs="Times New Roman"/>
          <w:sz w:val="24"/>
          <w:szCs w:val="24"/>
        </w:rPr>
        <w:footnoteRef/>
      </w:r>
      <w:r w:rsidRPr="00E047FE">
        <w:rPr>
          <w:rFonts w:ascii="Times New Roman" w:hAnsi="Times New Roman" w:cs="Times New Roman"/>
          <w:b/>
          <w:sz w:val="24"/>
          <w:szCs w:val="24"/>
        </w:rPr>
        <w:t xml:space="preserve"> </w:t>
      </w:r>
      <w:hyperlink r:id="rId6" w:history="1">
        <w:r w:rsidRPr="00E047FE">
          <w:rPr>
            <w:rStyle w:val="Hyperlink"/>
            <w:rFonts w:ascii="Times New Roman" w:hAnsi="Times New Roman" w:cs="Times New Roman"/>
            <w:sz w:val="24"/>
            <w:szCs w:val="24"/>
          </w:rPr>
          <w:t>http://www.fao.org/plant-treaty/en/</w:t>
        </w:r>
      </w:hyperlink>
      <w:r w:rsidRPr="00E047F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77777777" w:rsidR="009A4D2C" w:rsidRPr="00C25B49" w:rsidRDefault="009A4D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6895">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63EC3"/>
    <w:multiLevelType w:val="hybridMultilevel"/>
    <w:tmpl w:val="3D94B12C"/>
    <w:lvl w:ilvl="0" w:tplc="81F4D1A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3"/>
    <w:rsid w:val="00005336"/>
    <w:rsid w:val="00007BD8"/>
    <w:rsid w:val="000127F6"/>
    <w:rsid w:val="00013D41"/>
    <w:rsid w:val="00024364"/>
    <w:rsid w:val="00024F6B"/>
    <w:rsid w:val="00046D37"/>
    <w:rsid w:val="00055C2D"/>
    <w:rsid w:val="00056EF2"/>
    <w:rsid w:val="000579EF"/>
    <w:rsid w:val="00072FDF"/>
    <w:rsid w:val="00073F00"/>
    <w:rsid w:val="000922EE"/>
    <w:rsid w:val="000A26FE"/>
    <w:rsid w:val="000C522E"/>
    <w:rsid w:val="000C7F8B"/>
    <w:rsid w:val="000D3333"/>
    <w:rsid w:val="000D4813"/>
    <w:rsid w:val="000D6483"/>
    <w:rsid w:val="000E0734"/>
    <w:rsid w:val="000E7BD3"/>
    <w:rsid w:val="000F520D"/>
    <w:rsid w:val="001037A5"/>
    <w:rsid w:val="0010501D"/>
    <w:rsid w:val="001050AD"/>
    <w:rsid w:val="0011075E"/>
    <w:rsid w:val="00130932"/>
    <w:rsid w:val="001323B4"/>
    <w:rsid w:val="00143F6E"/>
    <w:rsid w:val="001469E8"/>
    <w:rsid w:val="00150613"/>
    <w:rsid w:val="001553D4"/>
    <w:rsid w:val="00162695"/>
    <w:rsid w:val="00163EDD"/>
    <w:rsid w:val="00164C9F"/>
    <w:rsid w:val="00166F71"/>
    <w:rsid w:val="00167997"/>
    <w:rsid w:val="0017234C"/>
    <w:rsid w:val="0017680D"/>
    <w:rsid w:val="00177E20"/>
    <w:rsid w:val="00184B1D"/>
    <w:rsid w:val="0019085D"/>
    <w:rsid w:val="001909B9"/>
    <w:rsid w:val="00194DAB"/>
    <w:rsid w:val="001C0422"/>
    <w:rsid w:val="001C3244"/>
    <w:rsid w:val="001C74F9"/>
    <w:rsid w:val="001D660D"/>
    <w:rsid w:val="001E071B"/>
    <w:rsid w:val="001E3DB3"/>
    <w:rsid w:val="001E4F86"/>
    <w:rsid w:val="001F31C1"/>
    <w:rsid w:val="00201C78"/>
    <w:rsid w:val="002028EF"/>
    <w:rsid w:val="0020794B"/>
    <w:rsid w:val="0021733F"/>
    <w:rsid w:val="00221B0F"/>
    <w:rsid w:val="00222663"/>
    <w:rsid w:val="00222842"/>
    <w:rsid w:val="00243426"/>
    <w:rsid w:val="002450DA"/>
    <w:rsid w:val="0026033D"/>
    <w:rsid w:val="0026184D"/>
    <w:rsid w:val="00262C5A"/>
    <w:rsid w:val="0026348B"/>
    <w:rsid w:val="00265EBF"/>
    <w:rsid w:val="002661B4"/>
    <w:rsid w:val="002679FD"/>
    <w:rsid w:val="002716E0"/>
    <w:rsid w:val="00272C2D"/>
    <w:rsid w:val="00272D62"/>
    <w:rsid w:val="0027514F"/>
    <w:rsid w:val="00284B4D"/>
    <w:rsid w:val="002A0351"/>
    <w:rsid w:val="002A083E"/>
    <w:rsid w:val="002A5BB8"/>
    <w:rsid w:val="002B3775"/>
    <w:rsid w:val="002C1E31"/>
    <w:rsid w:val="002C5FA0"/>
    <w:rsid w:val="002D25D0"/>
    <w:rsid w:val="002D3EBB"/>
    <w:rsid w:val="002D55CC"/>
    <w:rsid w:val="002D5941"/>
    <w:rsid w:val="002E1C05"/>
    <w:rsid w:val="002E611D"/>
    <w:rsid w:val="002E72C1"/>
    <w:rsid w:val="003258F5"/>
    <w:rsid w:val="00325CBF"/>
    <w:rsid w:val="00333EA6"/>
    <w:rsid w:val="00344950"/>
    <w:rsid w:val="003458D5"/>
    <w:rsid w:val="003463FA"/>
    <w:rsid w:val="00367ED1"/>
    <w:rsid w:val="00372FCD"/>
    <w:rsid w:val="0038423A"/>
    <w:rsid w:val="00396EA8"/>
    <w:rsid w:val="003A628D"/>
    <w:rsid w:val="003B0BF9"/>
    <w:rsid w:val="003B2CE3"/>
    <w:rsid w:val="003E0791"/>
    <w:rsid w:val="003F0751"/>
    <w:rsid w:val="003F28AC"/>
    <w:rsid w:val="00410147"/>
    <w:rsid w:val="00414772"/>
    <w:rsid w:val="00430303"/>
    <w:rsid w:val="00434FA1"/>
    <w:rsid w:val="0043565B"/>
    <w:rsid w:val="00437416"/>
    <w:rsid w:val="004407B6"/>
    <w:rsid w:val="00440F89"/>
    <w:rsid w:val="00444EC9"/>
    <w:rsid w:val="004454FE"/>
    <w:rsid w:val="00451B7C"/>
    <w:rsid w:val="00456E40"/>
    <w:rsid w:val="00457957"/>
    <w:rsid w:val="00463FCB"/>
    <w:rsid w:val="00471F27"/>
    <w:rsid w:val="0047351D"/>
    <w:rsid w:val="004859D0"/>
    <w:rsid w:val="004901DF"/>
    <w:rsid w:val="00490A2F"/>
    <w:rsid w:val="00494C04"/>
    <w:rsid w:val="004B008C"/>
    <w:rsid w:val="004C78BE"/>
    <w:rsid w:val="004C7B2E"/>
    <w:rsid w:val="004E55F6"/>
    <w:rsid w:val="004E64C3"/>
    <w:rsid w:val="004E7650"/>
    <w:rsid w:val="0050178F"/>
    <w:rsid w:val="005017F5"/>
    <w:rsid w:val="005325E2"/>
    <w:rsid w:val="00533D50"/>
    <w:rsid w:val="00546BAC"/>
    <w:rsid w:val="005575C2"/>
    <w:rsid w:val="00557D5F"/>
    <w:rsid w:val="0056039C"/>
    <w:rsid w:val="00562C63"/>
    <w:rsid w:val="005714CF"/>
    <w:rsid w:val="00574290"/>
    <w:rsid w:val="00580461"/>
    <w:rsid w:val="00580B0A"/>
    <w:rsid w:val="0058225B"/>
    <w:rsid w:val="00586A1C"/>
    <w:rsid w:val="005911D9"/>
    <w:rsid w:val="005A5587"/>
    <w:rsid w:val="005B4C5F"/>
    <w:rsid w:val="005C1C96"/>
    <w:rsid w:val="005C592F"/>
    <w:rsid w:val="005C72C4"/>
    <w:rsid w:val="005D4AF0"/>
    <w:rsid w:val="005E4B5D"/>
    <w:rsid w:val="005F1444"/>
    <w:rsid w:val="00601253"/>
    <w:rsid w:val="006023B8"/>
    <w:rsid w:val="00604F94"/>
    <w:rsid w:val="00637A81"/>
    <w:rsid w:val="00655F2C"/>
    <w:rsid w:val="00660FA8"/>
    <w:rsid w:val="006739DD"/>
    <w:rsid w:val="00674AD8"/>
    <w:rsid w:val="00695E45"/>
    <w:rsid w:val="006A65F3"/>
    <w:rsid w:val="006B2C28"/>
    <w:rsid w:val="006B463B"/>
    <w:rsid w:val="006C575D"/>
    <w:rsid w:val="006C6BE9"/>
    <w:rsid w:val="006D09F6"/>
    <w:rsid w:val="006E1081"/>
    <w:rsid w:val="006E4707"/>
    <w:rsid w:val="007018E0"/>
    <w:rsid w:val="007031B2"/>
    <w:rsid w:val="007078FD"/>
    <w:rsid w:val="007149B4"/>
    <w:rsid w:val="00720585"/>
    <w:rsid w:val="00722927"/>
    <w:rsid w:val="00734173"/>
    <w:rsid w:val="00735D39"/>
    <w:rsid w:val="007417EB"/>
    <w:rsid w:val="007455BA"/>
    <w:rsid w:val="00751FA1"/>
    <w:rsid w:val="007609E0"/>
    <w:rsid w:val="00766082"/>
    <w:rsid w:val="00766960"/>
    <w:rsid w:val="00773AF6"/>
    <w:rsid w:val="00781B77"/>
    <w:rsid w:val="00795F71"/>
    <w:rsid w:val="007B431F"/>
    <w:rsid w:val="007B4819"/>
    <w:rsid w:val="007C232F"/>
    <w:rsid w:val="007C6BB6"/>
    <w:rsid w:val="007D4B23"/>
    <w:rsid w:val="007D6EDE"/>
    <w:rsid w:val="007E5F7A"/>
    <w:rsid w:val="007E73AB"/>
    <w:rsid w:val="007F6218"/>
    <w:rsid w:val="008050D6"/>
    <w:rsid w:val="008115C8"/>
    <w:rsid w:val="00816C11"/>
    <w:rsid w:val="00822298"/>
    <w:rsid w:val="008423D9"/>
    <w:rsid w:val="008458CB"/>
    <w:rsid w:val="00882975"/>
    <w:rsid w:val="0088473F"/>
    <w:rsid w:val="008903A0"/>
    <w:rsid w:val="00894C55"/>
    <w:rsid w:val="0089553B"/>
    <w:rsid w:val="008B1B0D"/>
    <w:rsid w:val="008B1E02"/>
    <w:rsid w:val="008B40F1"/>
    <w:rsid w:val="008C388B"/>
    <w:rsid w:val="008C5130"/>
    <w:rsid w:val="008C546B"/>
    <w:rsid w:val="008C5B77"/>
    <w:rsid w:val="008D0C00"/>
    <w:rsid w:val="008D2A30"/>
    <w:rsid w:val="008D35A5"/>
    <w:rsid w:val="008D6ED1"/>
    <w:rsid w:val="008E30D5"/>
    <w:rsid w:val="008E6D0A"/>
    <w:rsid w:val="008F1D5F"/>
    <w:rsid w:val="008F5FD0"/>
    <w:rsid w:val="009006B6"/>
    <w:rsid w:val="00904FE0"/>
    <w:rsid w:val="00920A9A"/>
    <w:rsid w:val="00930221"/>
    <w:rsid w:val="00943502"/>
    <w:rsid w:val="00946639"/>
    <w:rsid w:val="00953461"/>
    <w:rsid w:val="00980BB0"/>
    <w:rsid w:val="0098202C"/>
    <w:rsid w:val="009837EA"/>
    <w:rsid w:val="00984517"/>
    <w:rsid w:val="009869E1"/>
    <w:rsid w:val="00996704"/>
    <w:rsid w:val="00996DC9"/>
    <w:rsid w:val="009A2654"/>
    <w:rsid w:val="009A4D2C"/>
    <w:rsid w:val="009A6978"/>
    <w:rsid w:val="009B5749"/>
    <w:rsid w:val="009B6F44"/>
    <w:rsid w:val="009C58C7"/>
    <w:rsid w:val="009E392E"/>
    <w:rsid w:val="00A029CF"/>
    <w:rsid w:val="00A10FC3"/>
    <w:rsid w:val="00A115D4"/>
    <w:rsid w:val="00A13EB1"/>
    <w:rsid w:val="00A1609D"/>
    <w:rsid w:val="00A340AA"/>
    <w:rsid w:val="00A45C81"/>
    <w:rsid w:val="00A50D36"/>
    <w:rsid w:val="00A52C20"/>
    <w:rsid w:val="00A535A9"/>
    <w:rsid w:val="00A549D2"/>
    <w:rsid w:val="00A579C8"/>
    <w:rsid w:val="00A6073E"/>
    <w:rsid w:val="00A74339"/>
    <w:rsid w:val="00A7589F"/>
    <w:rsid w:val="00A763F8"/>
    <w:rsid w:val="00A76525"/>
    <w:rsid w:val="00A95ED0"/>
    <w:rsid w:val="00A962F8"/>
    <w:rsid w:val="00AB564F"/>
    <w:rsid w:val="00AC087F"/>
    <w:rsid w:val="00AC0D7D"/>
    <w:rsid w:val="00AC4E32"/>
    <w:rsid w:val="00AD2188"/>
    <w:rsid w:val="00AD367F"/>
    <w:rsid w:val="00AD3F01"/>
    <w:rsid w:val="00AE5567"/>
    <w:rsid w:val="00AE5FF5"/>
    <w:rsid w:val="00AF1239"/>
    <w:rsid w:val="00AF3295"/>
    <w:rsid w:val="00B02174"/>
    <w:rsid w:val="00B0271C"/>
    <w:rsid w:val="00B05972"/>
    <w:rsid w:val="00B065EA"/>
    <w:rsid w:val="00B14EEC"/>
    <w:rsid w:val="00B16199"/>
    <w:rsid w:val="00B16480"/>
    <w:rsid w:val="00B17830"/>
    <w:rsid w:val="00B2165C"/>
    <w:rsid w:val="00B411C9"/>
    <w:rsid w:val="00B46809"/>
    <w:rsid w:val="00B53D70"/>
    <w:rsid w:val="00B54AAD"/>
    <w:rsid w:val="00B55A62"/>
    <w:rsid w:val="00B57EE5"/>
    <w:rsid w:val="00B658D7"/>
    <w:rsid w:val="00B7394C"/>
    <w:rsid w:val="00B833D3"/>
    <w:rsid w:val="00B950C4"/>
    <w:rsid w:val="00BA20AA"/>
    <w:rsid w:val="00BB6D7E"/>
    <w:rsid w:val="00BC0EF7"/>
    <w:rsid w:val="00BC5EF8"/>
    <w:rsid w:val="00BD0D1F"/>
    <w:rsid w:val="00BD4425"/>
    <w:rsid w:val="00C036F1"/>
    <w:rsid w:val="00C14E8C"/>
    <w:rsid w:val="00C2256E"/>
    <w:rsid w:val="00C25B49"/>
    <w:rsid w:val="00C45D3B"/>
    <w:rsid w:val="00C45DB6"/>
    <w:rsid w:val="00C54A5F"/>
    <w:rsid w:val="00C64792"/>
    <w:rsid w:val="00C669CC"/>
    <w:rsid w:val="00C72E95"/>
    <w:rsid w:val="00C74F48"/>
    <w:rsid w:val="00C83792"/>
    <w:rsid w:val="00C85E63"/>
    <w:rsid w:val="00C90580"/>
    <w:rsid w:val="00C90B71"/>
    <w:rsid w:val="00CA0258"/>
    <w:rsid w:val="00CA3CCA"/>
    <w:rsid w:val="00CA3CE2"/>
    <w:rsid w:val="00CB08A2"/>
    <w:rsid w:val="00CC0C6F"/>
    <w:rsid w:val="00CC0D2D"/>
    <w:rsid w:val="00CC3C4B"/>
    <w:rsid w:val="00CC4807"/>
    <w:rsid w:val="00CD2C5B"/>
    <w:rsid w:val="00CD7303"/>
    <w:rsid w:val="00CE274A"/>
    <w:rsid w:val="00CE4D1F"/>
    <w:rsid w:val="00CE5657"/>
    <w:rsid w:val="00CF69FA"/>
    <w:rsid w:val="00D0241F"/>
    <w:rsid w:val="00D133F8"/>
    <w:rsid w:val="00D14A3E"/>
    <w:rsid w:val="00D211F9"/>
    <w:rsid w:val="00D230E4"/>
    <w:rsid w:val="00D250AE"/>
    <w:rsid w:val="00D25945"/>
    <w:rsid w:val="00D27613"/>
    <w:rsid w:val="00D30EE6"/>
    <w:rsid w:val="00D31181"/>
    <w:rsid w:val="00D5167C"/>
    <w:rsid w:val="00D57C25"/>
    <w:rsid w:val="00D64C02"/>
    <w:rsid w:val="00D64E4F"/>
    <w:rsid w:val="00D650D4"/>
    <w:rsid w:val="00D7693A"/>
    <w:rsid w:val="00D810A3"/>
    <w:rsid w:val="00D9233F"/>
    <w:rsid w:val="00DA501E"/>
    <w:rsid w:val="00DA6409"/>
    <w:rsid w:val="00DA64E3"/>
    <w:rsid w:val="00DC02B9"/>
    <w:rsid w:val="00DC5D42"/>
    <w:rsid w:val="00DD1837"/>
    <w:rsid w:val="00DD3A73"/>
    <w:rsid w:val="00DE4946"/>
    <w:rsid w:val="00DF6F69"/>
    <w:rsid w:val="00E028F7"/>
    <w:rsid w:val="00E02BB7"/>
    <w:rsid w:val="00E02FE0"/>
    <w:rsid w:val="00E047FE"/>
    <w:rsid w:val="00E14523"/>
    <w:rsid w:val="00E165FA"/>
    <w:rsid w:val="00E20F99"/>
    <w:rsid w:val="00E3716B"/>
    <w:rsid w:val="00E43845"/>
    <w:rsid w:val="00E5323B"/>
    <w:rsid w:val="00E55A33"/>
    <w:rsid w:val="00E642D3"/>
    <w:rsid w:val="00E70D8F"/>
    <w:rsid w:val="00E73726"/>
    <w:rsid w:val="00E737DC"/>
    <w:rsid w:val="00E86895"/>
    <w:rsid w:val="00E8749E"/>
    <w:rsid w:val="00E87B4E"/>
    <w:rsid w:val="00E90C01"/>
    <w:rsid w:val="00EA3DD2"/>
    <w:rsid w:val="00EA486E"/>
    <w:rsid w:val="00EA5993"/>
    <w:rsid w:val="00EA5DA3"/>
    <w:rsid w:val="00EB016B"/>
    <w:rsid w:val="00EB3CCE"/>
    <w:rsid w:val="00EC31F0"/>
    <w:rsid w:val="00ED0FED"/>
    <w:rsid w:val="00ED2183"/>
    <w:rsid w:val="00ED657D"/>
    <w:rsid w:val="00ED66A3"/>
    <w:rsid w:val="00ED67D4"/>
    <w:rsid w:val="00EE001B"/>
    <w:rsid w:val="00EE16E2"/>
    <w:rsid w:val="00EE6A20"/>
    <w:rsid w:val="00EF6F94"/>
    <w:rsid w:val="00F00127"/>
    <w:rsid w:val="00F00501"/>
    <w:rsid w:val="00F032AA"/>
    <w:rsid w:val="00F0607D"/>
    <w:rsid w:val="00F07398"/>
    <w:rsid w:val="00F133EA"/>
    <w:rsid w:val="00F133F3"/>
    <w:rsid w:val="00F17999"/>
    <w:rsid w:val="00F40124"/>
    <w:rsid w:val="00F51883"/>
    <w:rsid w:val="00F57B0C"/>
    <w:rsid w:val="00F67531"/>
    <w:rsid w:val="00F777C5"/>
    <w:rsid w:val="00F83D03"/>
    <w:rsid w:val="00F84157"/>
    <w:rsid w:val="00F93B40"/>
    <w:rsid w:val="00FC1F80"/>
    <w:rsid w:val="00FD6DF6"/>
    <w:rsid w:val="00FE692E"/>
    <w:rsid w:val="00FF3DE9"/>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ch.cbd.int/" TargetMode="External"/><Relationship Id="rId13" Type="http://schemas.openxmlformats.org/officeDocument/2006/relationships/hyperlink" Target="http://www.varam.gov.lv/lat/likumdosana/normativo_aktu_projekti/dabas_aizsardzibas_joma/?doc=2584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ram.gov.lv/lat/lidzd/pazinojumi_par_lidzdalibas_iesp/?doc=2584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likumdosana/normativo_aktu_projekti/dabas_aizsardzibas_joma/?doc=24781" TargetMode="External"/><Relationship Id="rId5" Type="http://schemas.openxmlformats.org/officeDocument/2006/relationships/webSettings" Target="webSettings.xml"/><Relationship Id="rId15" Type="http://schemas.openxmlformats.org/officeDocument/2006/relationships/hyperlink" Target="mailto:valdimarts.slaukstins@varam.gov.lv" TargetMode="External"/><Relationship Id="rId10" Type="http://schemas.openxmlformats.org/officeDocument/2006/relationships/hyperlink" Target="http://www.varam.gov.lv/lat/lidzd/pazinojumi_par_lidzdalibas_iesp/?doc=247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yperlink" Target="http://www.varam.gov.lv/lat/likumdosana/normativo_aktu_projekti/dabas_aizsardzibas_joma/?doc=2626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biodiversity/international/abs/legislation_en.htm" TargetMode="External"/><Relationship Id="rId2" Type="http://schemas.openxmlformats.org/officeDocument/2006/relationships/hyperlink" Target="https://www.lvafa.gov.lv/materiali/petijumi/195-multisektorialie-projekti/pms2017/230-izvertejums-par-biologiskas-daudzveidibas-konvencijas-nagojas-protokola-ratificesanu" TargetMode="External"/><Relationship Id="rId1" Type="http://schemas.openxmlformats.org/officeDocument/2006/relationships/hyperlink" Target="https://www.cbd.int/abs/text/default.shtml" TargetMode="External"/><Relationship Id="rId6" Type="http://schemas.openxmlformats.org/officeDocument/2006/relationships/hyperlink" Target="http://www.fao.org/plant-treaty/en/" TargetMode="External"/><Relationship Id="rId5" Type="http://schemas.openxmlformats.org/officeDocument/2006/relationships/hyperlink" Target="https://eur-lex.europa.eu/legal-content/LV/TXT/?uri=CELEX:52016XC0827(01)" TargetMode="External"/><Relationship Id="rId4" Type="http://schemas.openxmlformats.org/officeDocument/2006/relationships/hyperlink" Target="https://www.lvafa.gov.lv/materiali/petijumi/195-multisektorialie-projekti/pms2017/230-izvertejums-par-biologiskas-daudzveidibas-konvencijas-nagojas-protokola-ratificesan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1B7FC0"/>
    <w:rsid w:val="0027455F"/>
    <w:rsid w:val="00344186"/>
    <w:rsid w:val="003E738D"/>
    <w:rsid w:val="00472F39"/>
    <w:rsid w:val="00523A63"/>
    <w:rsid w:val="005E6D36"/>
    <w:rsid w:val="008439C3"/>
    <w:rsid w:val="008B623B"/>
    <w:rsid w:val="008D39C9"/>
    <w:rsid w:val="009C1B4C"/>
    <w:rsid w:val="00AD4A2F"/>
    <w:rsid w:val="00B3767C"/>
    <w:rsid w:val="00B92F31"/>
    <w:rsid w:val="00C00671"/>
    <w:rsid w:val="00EE49F8"/>
    <w:rsid w:val="00F90FE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FB63-91D7-43A7-A709-C366E845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12</Pages>
  <Words>14143</Words>
  <Characters>8062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Likumprojekta “Grozījums Latvijas Administratīvo pārkāpumu kodeksā” sākotnējās ietekmes novērtējuma ziņojums (anotācija)</vt:lpstr>
    </vt:vector>
  </TitlesOfParts>
  <Company>VARAM Dabas aizsardzības departaments</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Administratīvo pārkāpumu kodeksā” sākotnējās ietekmes novērtējuma ziņojums (anotācija)</dc:title>
  <dc:subject>Anotācija</dc:subject>
  <dc:creator>Valdimārts Šļaukstiņš</dc:creator>
  <dc:description>67026523, valdimarts.slaukstins@varam.gov.lv</dc:description>
  <cp:lastModifiedBy>Valdimārts Šļaukstiņš</cp:lastModifiedBy>
  <cp:revision>142</cp:revision>
  <dcterms:created xsi:type="dcterms:W3CDTF">2018-05-03T05:52:00Z</dcterms:created>
  <dcterms:modified xsi:type="dcterms:W3CDTF">2018-08-17T08:42:00Z</dcterms:modified>
</cp:coreProperties>
</file>